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96"/>
        </w:rPr>
      </w:pPr>
      <w:r>
        <w:rPr>
          <w:rFonts w:ascii="宋体" w:hAnsi="宋体"/>
          <w:b/>
          <w:sz w:val="96"/>
        </w:rPr>
      </w:r>
      <w:r/>
    </w:p>
    <w:p>
      <w:pPr>
        <w:ind w:left="0"/>
        <w:jc w:val="center"/>
        <w:rPr>
          <w:rFonts w:ascii="宋体" w:hAnsi="宋体"/>
          <w:b/>
          <w:sz w:val="96"/>
        </w:rPr>
      </w:pPr>
      <w:r>
        <w:rPr>
          <w:rFonts w:hint="eastAsia" w:ascii="宋体" w:hAnsi="宋体"/>
          <w:b/>
          <w:sz w:val="96"/>
        </w:rPr>
        <w:t xml:space="preserve">苏州市相城区政府采购</w:t>
      </w:r>
      <w:r/>
    </w:p>
    <w:p>
      <w:pPr>
        <w:ind w:left="0"/>
        <w:jc w:val="center"/>
        <w:rPr>
          <w:rFonts w:ascii="宋体" w:hAnsi="宋体"/>
          <w:b/>
          <w:sz w:val="96"/>
        </w:rPr>
      </w:pPr>
      <w:r>
        <w:rPr>
          <w:rFonts w:hint="eastAsia" w:ascii="宋体" w:hAnsi="宋体"/>
          <w:b/>
          <w:sz w:val="96"/>
        </w:rPr>
        <w:t xml:space="preserve">招标文件</w:t>
      </w:r>
      <w:r/>
    </w:p>
    <w:p>
      <w:pPr>
        <w:ind w:left="0"/>
        <w:jc w:val="left"/>
        <w:spacing w:line="360" w:lineRule="auto"/>
        <w:rPr>
          <w:rFonts w:ascii="宋体" w:hAnsi="宋体"/>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2211070</wp:posOffset>
                </wp:positionH>
                <wp:positionV relativeFrom="paragraph">
                  <wp:posOffset>246380</wp:posOffset>
                </wp:positionV>
                <wp:extent cx="1605915" cy="1479550"/>
                <wp:effectExtent l="0" t="0" r="0" b="6350"/>
                <wp:wrapSquare wrapText="bothSides"/>
                <wp:docPr id="5" name="图片 5" descr="d:\Documents\WeChat Files\wxid_0dsp69hju7rl12\FileStorage\Temp\554ec0d5d2f95841b30a87efdf35a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d:\Documents\WeChat Files\wxid_0dsp69hju7rl12\FileStorage\Temp\554ec0d5d2f95841b30a87efdf35ae6.png"/>
                        <pic:cNvPicPr>
                          <a:picLocks noChangeAspect="1"/>
                        </pic:cNvPicPr>
                        <pic:nvPr/>
                      </pic:nvPicPr>
                      <pic:blipFill>
                        <a:blip r:embed="rId17"/>
                        <a:stretch/>
                      </pic:blipFill>
                      <pic:spPr bwMode="auto">
                        <a:xfrm>
                          <a:off x="0" y="0"/>
                          <a:ext cx="1605600" cy="1479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74.1pt;mso-position-horizontal:absolute;mso-position-vertical-relative:text;margin-top:19.4pt;mso-position-vertical:absolute;width:126.4pt;height:116.5pt;mso-wrap-distance-left:9.0pt;mso-wrap-distance-top:0.0pt;mso-wrap-distance-right:9.0pt;mso-wrap-distance-bottom:0.0pt;" stroked="f">
                <v:path textboxrect="0,0,0,0"/>
                <w10:wrap type="square"/>
                <v:imagedata r:id="rId17" o:title=""/>
              </v:shape>
            </w:pict>
          </mc:Fallback>
        </mc:AlternateContent>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highlight w:val="yellow"/>
        </w:rPr>
      </w:pPr>
      <w:r>
        <w:rPr>
          <w:rFonts w:ascii="宋体" w:hAnsi="宋体"/>
          <w:b/>
          <w:sz w:val="32"/>
          <w:highlight w:val="yellow"/>
        </w:rPr>
      </w:r>
      <w:r/>
    </w:p>
    <w:p>
      <w:pPr>
        <w:ind w:left="1842"/>
        <w:jc w:val="left"/>
        <w:spacing w:line="480" w:lineRule="auto"/>
        <w:rPr>
          <w:rFonts w:ascii="宋体" w:hAnsi="宋体"/>
          <w:b/>
          <w:sz w:val="32"/>
          <w:highlight w:val="yellow"/>
        </w:rPr>
      </w:pPr>
      <w:r>
        <w:rPr>
          <w:rFonts w:ascii="宋体" w:hAnsi="宋体"/>
          <w:b/>
          <w:sz w:val="32"/>
          <w:highlight w:val="yellow"/>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JSZC-320507-SZGZ-G2026-0049</w:t>
      </w:r>
      <w:r/>
    </w:p>
    <w:p>
      <w:pPr>
        <w:ind w:left="1842"/>
        <w:jc w:val="left"/>
        <w:spacing w:line="480" w:lineRule="auto"/>
        <w:rPr>
          <w:rFonts w:ascii="宋体" w:hAnsi="宋体"/>
          <w:b/>
          <w:sz w:val="32"/>
        </w:rPr>
      </w:pPr>
      <w:r>
        <w:rPr>
          <w:rFonts w:ascii="宋体" w:hAnsi="宋体"/>
          <w:b/>
          <w:sz w:val="32"/>
        </w:rPr>
        <w:t xml:space="preserve">招标单位：</w:t>
      </w:r>
      <w:r>
        <w:rPr>
          <w:rFonts w:hint="eastAsia" w:ascii="宋体" w:hAnsi="宋体"/>
          <w:b/>
          <w:sz w:val="32"/>
        </w:rPr>
        <w:t xml:space="preserve">苏州市相城区人民政府元和街道办事处</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元和街道卫星消防站消防装备及车辆采购</w:t>
      </w:r>
      <w:r/>
    </w:p>
    <w:p>
      <w:pPr>
        <w:ind w:left="1842"/>
        <w:jc w:val="left"/>
        <w:spacing w:line="480" w:lineRule="auto"/>
        <w:tabs>
          <w:tab w:val="center" w:pos="6264" w:leader="none"/>
        </w:tabs>
        <w:rPr>
          <w:rFonts w:ascii="宋体" w:hAnsi="宋体"/>
          <w:b/>
          <w:sz w:val="32"/>
        </w:rPr>
      </w:pPr>
      <w:r>
        <w:rPr>
          <w:rFonts w:ascii="宋体" w:hAnsi="宋体"/>
          <w:b/>
          <w:sz w:val="32"/>
        </w:rPr>
        <w:t xml:space="preserve">项目类别：</w:t>
      </w:r>
      <w:r>
        <w:rPr>
          <w:rFonts w:hint="eastAsia" w:ascii="宋体" w:hAnsi="宋体"/>
          <w:b/>
          <w:sz w:val="32"/>
        </w:rPr>
        <w:t xml:space="preserve">货物</w:t>
      </w:r>
      <w:r>
        <w:rPr>
          <w:rFonts w:hint="eastAsia" w:ascii="宋体" w:hAnsi="宋体"/>
          <w:b/>
          <w:sz w:val="32"/>
        </w:rPr>
        <w:t xml:space="preserve">类</w:t>
      </w:r>
      <w:r/>
    </w:p>
    <w:p>
      <w:pPr>
        <w:ind w:left="1842"/>
        <w:jc w:val="left"/>
        <w:spacing w:line="480" w:lineRule="auto"/>
        <w:tabs>
          <w:tab w:val="center" w:pos="6264" w:leader="none"/>
        </w:tabs>
        <w:rPr>
          <w:rFonts w:ascii="宋体" w:hAnsi="宋体"/>
          <w:b/>
          <w:sz w:val="32"/>
        </w:rPr>
      </w:pPr>
      <w:r>
        <w:rPr>
          <w:rFonts w:hint="eastAsia" w:ascii="宋体" w:hAnsi="宋体"/>
          <w:b/>
          <w:sz w:val="32"/>
        </w:rPr>
        <w:t xml:space="preserve">所属行业类别：工业</w:t>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78"/>
        <w:rPr>
          <w:rFonts w:ascii="宋体" w:hAnsi="宋体"/>
        </w:rPr>
      </w:pPr>
      <w:r>
        <w:rPr>
          <w:rFonts w:ascii="宋体" w:hAnsi="宋体"/>
        </w:rPr>
      </w:r>
      <w:r/>
    </w:p>
    <w:p>
      <w:pPr>
        <w:ind w:left="0"/>
        <w:jc w:val="center"/>
        <w:rPr>
          <w:rFonts w:ascii="宋体" w:hAnsi="宋体"/>
          <w:b/>
          <w:sz w:val="32"/>
        </w:rPr>
      </w:pPr>
      <w:r>
        <w:rPr>
          <w:rFonts w:hint="eastAsia" w:ascii="宋体" w:hAnsi="宋体"/>
          <w:b/>
          <w:sz w:val="32"/>
        </w:rPr>
        <w:t xml:space="preserve">苏州公正建设咨询房地产评估有限公司</w:t>
      </w:r>
      <w:r/>
    </w:p>
    <w:p>
      <w:pPr>
        <w:ind w:left="0"/>
        <w:jc w:val="center"/>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8</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b/>
          <w:spacing w:val="20"/>
          <w:sz w:val="30"/>
        </w:rPr>
      </w:pPr>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JSZC-320507-SZGZ-G2026-0049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元和街道卫星消防站消防装备及车辆采购</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名称：苏州公正建设咨询房地产评估有限公司</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联系地址：苏州市相城区华元路1902号2幢东楼2楼</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联系人：沈燕、陆帏帏</w:t>
            </w:r>
            <w:r>
              <w:rPr>
                <w:rFonts w:hint="eastAsia" w:ascii="宋体" w:hAnsi="宋体"/>
                <w:sz w:val="21"/>
                <w:szCs w:val="21"/>
              </w:rPr>
              <w:t xml:space="preserve">、杨富珍</w:t>
            </w:r>
            <w:bookmarkStart w:id="3" w:name="_GoBack"/>
            <w:r/>
            <w:bookmarkEnd w:id="3"/>
            <w:r/>
            <w:r/>
          </w:p>
          <w:p>
            <w:pPr>
              <w:ind w:left="0"/>
              <w:jc w:val="left"/>
              <w:spacing w:line="440" w:lineRule="exact"/>
              <w:rPr>
                <w:rFonts w:ascii="宋体" w:hAnsi="宋体"/>
                <w:sz w:val="21"/>
                <w:szCs w:val="21"/>
              </w:rPr>
            </w:pPr>
            <w:r>
              <w:rPr>
                <w:rFonts w:hint="eastAsia" w:ascii="宋体" w:hAnsi="宋体" w:cs="Times New Roman"/>
                <w:sz w:val="21"/>
                <w:szCs w:val="21"/>
              </w:rPr>
              <w:t xml:space="preserve">联系电话：0512-67913588-6001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招标单位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名称：苏州市相城区人民政府元和街道办事处</w:t>
            </w:r>
            <w:r/>
          </w:p>
          <w:p>
            <w:pPr>
              <w:ind w:left="0"/>
              <w:jc w:val="left"/>
              <w:spacing w:line="440" w:lineRule="exact"/>
              <w:rPr>
                <w:rFonts w:ascii="宋体" w:hAnsi="宋体"/>
                <w:sz w:val="21"/>
                <w:szCs w:val="21"/>
              </w:rPr>
            </w:pPr>
            <w:r>
              <w:rPr>
                <w:rFonts w:hint="eastAsia" w:ascii="宋体" w:hAnsi="宋体"/>
                <w:sz w:val="21"/>
                <w:szCs w:val="21"/>
              </w:rPr>
              <w:t xml:space="preserve">地址：苏州市相城区元和街道</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李杰</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0512-65758267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投标文件网上</w:t>
            </w:r>
            <w:r>
              <w:rPr>
                <w:highlight w:val="none"/>
              </w:rP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提交截止时间</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ascii="宋体" w:hAnsi="宋体" w:cs="Times New Roman"/>
                <w:sz w:val="21"/>
                <w:szCs w:val="21"/>
                <w:highlight w:val="none"/>
              </w:rPr>
              <w:t xml:space="preserve">2026</w:t>
            </w:r>
            <w:r>
              <w:rPr>
                <w:rFonts w:hint="eastAsia" w:ascii="宋体" w:hAnsi="宋体" w:cs="Times New Roman"/>
                <w:sz w:val="21"/>
                <w:szCs w:val="21"/>
                <w:highlight w:val="none"/>
              </w:rPr>
              <w:t xml:space="preserve">年</w:t>
            </w:r>
            <w:r>
              <w:rPr>
                <w:rFonts w:hint="eastAsia" w:ascii="宋体" w:hAnsi="宋体" w:cs="Times New Roman"/>
                <w:sz w:val="21"/>
                <w:szCs w:val="21"/>
                <w:highlight w:val="none"/>
              </w:rPr>
              <w:t xml:space="preserve">8月25日13</w:t>
            </w:r>
            <w:r>
              <w:rPr>
                <w:rFonts w:hint="eastAsia" w:ascii="宋体" w:hAnsi="宋体" w:cs="Times New Roman"/>
                <w:sz w:val="21"/>
                <w:szCs w:val="21"/>
                <w:highlight w:val="none"/>
              </w:rPr>
            </w:r>
            <w:r>
              <w:rPr>
                <w:rFonts w:hint="eastAsia" w:ascii="宋体" w:hAnsi="宋体" w:cs="Times New Roman"/>
                <w:sz w:val="21"/>
                <w:szCs w:val="21"/>
                <w:highlight w:val="none"/>
              </w:rPr>
              <w:t xml:space="preserve">点</w:t>
            </w:r>
            <w:r>
              <w:rPr>
                <w:rFonts w:ascii="宋体" w:hAnsi="宋体" w:cs="Times New Roman"/>
                <w:sz w:val="21"/>
                <w:szCs w:val="21"/>
                <w:highlight w:val="none"/>
              </w:rPr>
              <w:t xml:space="preserve">30</w:t>
            </w:r>
            <w:r>
              <w:rPr>
                <w:rFonts w:hint="eastAsia" w:ascii="宋体" w:hAnsi="宋体" w:cs="Times New Roman"/>
                <w:sz w:val="21"/>
                <w:szCs w:val="21"/>
                <w:highlight w:val="none"/>
              </w:rPr>
              <w:t xml:space="preserve">分（北京时间）</w:t>
            </w:r>
            <w:r>
              <w:rPr>
                <w:rFonts w:ascii="宋体" w:hAnsi="宋体" w:cs="Times New Roman"/>
                <w:sz w:val="21"/>
                <w:szCs w:val="21"/>
                <w:highlight w:val="none"/>
              </w:rPr>
              <w:t xml:space="preserve"> </w:t>
            </w:r>
            <w:r>
              <w:rPr>
                <w:highlight w:val="none"/>
              </w:rPr>
            </w:r>
          </w:p>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投标文件必须在截止时间前完成提交（上传），逾期提交（上传）的投标文件恕不接受。</w:t>
            </w:r>
            <w:r>
              <w:rPr>
                <w:highlight w:val="none"/>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开标时间</w:t>
            </w:r>
            <w:r>
              <w:rPr>
                <w:highlight w:val="none"/>
              </w:rP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开标地点</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ascii="宋体" w:hAnsi="宋体" w:cs="Times New Roman"/>
                <w:sz w:val="21"/>
                <w:szCs w:val="21"/>
                <w:highlight w:val="none"/>
              </w:rPr>
              <w:t xml:space="preserve">2026</w:t>
            </w:r>
            <w:r>
              <w:rPr>
                <w:rFonts w:hint="eastAsia" w:ascii="宋体" w:hAnsi="宋体" w:cs="Times New Roman"/>
                <w:sz w:val="21"/>
                <w:szCs w:val="21"/>
                <w:highlight w:val="none"/>
              </w:rPr>
              <w:t xml:space="preserve">年</w:t>
            </w:r>
            <w:r>
              <w:rPr>
                <w:rFonts w:ascii="宋体" w:hAnsi="宋体" w:cs="Times New Roman"/>
                <w:sz w:val="21"/>
                <w:szCs w:val="21"/>
                <w:highlight w:val="none"/>
              </w:rPr>
              <w:t xml:space="preserve">8月25日13</w:t>
            </w:r>
            <w:r>
              <w:rPr>
                <w:rFonts w:hint="eastAsia" w:ascii="宋体" w:hAnsi="宋体" w:cs="Times New Roman"/>
                <w:sz w:val="21"/>
                <w:szCs w:val="21"/>
                <w:highlight w:val="none"/>
              </w:rPr>
              <w:t xml:space="preserve">点</w:t>
            </w:r>
            <w:r>
              <w:rPr>
                <w:rFonts w:ascii="宋体" w:hAnsi="宋体" w:cs="Times New Roman"/>
                <w:sz w:val="21"/>
                <w:szCs w:val="21"/>
                <w:highlight w:val="none"/>
              </w:rPr>
              <w:t xml:space="preserve">30</w:t>
            </w:r>
            <w:r>
              <w:rPr>
                <w:rFonts w:hint="eastAsia" w:ascii="宋体" w:hAnsi="宋体" w:cs="Times New Roman"/>
                <w:sz w:val="21"/>
                <w:szCs w:val="21"/>
                <w:highlight w:val="none"/>
              </w:rPr>
              <w:t xml:space="preserve">分（北京时间）</w:t>
            </w:r>
            <w:r>
              <w:rPr>
                <w:highlight w:val="none"/>
              </w:rPr>
            </w:r>
          </w:p>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“苏采云”系统（网址：</w:t>
            </w:r>
            <w:r>
              <w:rPr>
                <w:rFonts w:ascii="宋体" w:hAnsi="宋体" w:cs="Times New Roman"/>
                <w:sz w:val="21"/>
                <w:szCs w:val="21"/>
                <w:highlight w:val="none"/>
              </w:rPr>
              <w:t xml:space="preserve">http://jszfcg.jsczt.cn/</w:t>
            </w:r>
            <w:r>
              <w:rPr>
                <w:rFonts w:hint="eastAsia" w:ascii="宋体" w:hAnsi="宋体" w:cs="Times New Roman"/>
                <w:sz w:val="21"/>
                <w:szCs w:val="21"/>
                <w:highlight w:val="none"/>
              </w:rPr>
              <w:t xml:space="preserve">）</w:t>
            </w:r>
            <w:r>
              <w:rPr>
                <w:highlight w:val="none"/>
              </w:rPr>
            </w:r>
          </w:p>
          <w:p>
            <w:pPr>
              <w:ind w:left="0"/>
              <w:jc w:val="left"/>
              <w:spacing w:line="440" w:lineRule="exact"/>
              <w:rPr>
                <w:rFonts w:ascii="宋体" w:hAnsi="宋体" w:cs="Times New Roman"/>
                <w:sz w:val="21"/>
                <w:szCs w:val="21"/>
                <w:highlight w:val="none"/>
              </w:rPr>
            </w:pPr>
            <w:r>
              <w:rPr>
                <w:rFonts w:hint="eastAsia" w:ascii="宋体" w:hAnsi="宋体"/>
                <w:b/>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rPr>
                <w:highlight w:val="none"/>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本项目采用电子投标文件，投标人按照招标文件要求制作上传电子投标文件，投标人中标后需提供纸质投标文件一正二副。</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50"/>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50"/>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（三）投标人的报价均超过了采购预算，招标单位不能支付的；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（四）投标文件含有招标单位不能接受的附加条件的；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（五）法律、法规和招标文件规定的其他无效情形。</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中标服务费金额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中标服务费：本次招标项目中标服务费由中标人支付，本项目代理费金额</w:t>
            </w:r>
            <w:r>
              <w:rPr>
                <w:rFonts w:hint="eastAsia" w:ascii="宋体" w:hAnsi="宋体" w:cs="Times New Roman"/>
                <w:b/>
                <w:sz w:val="21"/>
                <w:szCs w:val="21"/>
              </w:rPr>
              <w:t xml:space="preserve">为</w:t>
            </w:r>
            <w:r>
              <w:rPr>
                <w:rFonts w:ascii="宋体" w:hAnsi="宋体" w:cs="Times New Roman"/>
                <w:b/>
                <w:sz w:val="21"/>
                <w:szCs w:val="21"/>
              </w:rPr>
              <w:t xml:space="preserve">19400</w:t>
            </w:r>
            <w:r>
              <w:rPr>
                <w:rFonts w:hint="eastAsia" w:ascii="宋体" w:hAnsi="宋体" w:cs="Times New Roman"/>
                <w:b/>
                <w:sz w:val="21"/>
                <w:szCs w:val="21"/>
              </w:rPr>
              <w:t xml:space="preserve">元</w:t>
            </w:r>
            <w:r>
              <w:rPr>
                <w:rFonts w:hint="eastAsia" w:ascii="宋体" w:hAnsi="宋体" w:cs="Times New Roman"/>
                <w:sz w:val="21"/>
                <w:szCs w:val="21"/>
              </w:rPr>
              <w:t xml:space="preserve">，供应商所投报价应当包含该项目代理服务费，该费用应在领取中标通知书时付清。具体收费以如下比例按差额定率累进法进行计算：</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收费标准：预算金额100万以下费率为预算金额的1.5%；</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预算金额100－500万费率为预算金额的1.1%。</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预算金额500－1000万费率为预算金额的0.8%。</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账 户 名：苏州公正建设咨询房地产评估有限公司坤润分公司</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开户银行：中国农业银行股份有限公司苏州元和支行</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账    号：</w:t>
            </w:r>
            <w:r>
              <w:rPr>
                <w:rFonts w:ascii="宋体" w:hAnsi="宋体" w:cs="Times New Roman"/>
                <w:sz w:val="21"/>
                <w:szCs w:val="21"/>
              </w:rPr>
              <w:t xml:space="preserve">10541101040040455</w:t>
            </w:r>
            <w:r/>
          </w:p>
        </w:tc>
      </w:tr>
    </w:tbl>
    <w:p>
      <w:pPr>
        <w:ind w:left="0"/>
        <w:jc w:val="center"/>
        <w:rPr>
          <w:rFonts w:ascii="宋体" w:hAnsi="宋体"/>
          <w:b/>
          <w:sz w:val="44"/>
          <w:szCs w:val="22"/>
        </w:rPr>
      </w:pPr>
      <w:r/>
      <w:bookmarkStart w:id="4" w:name="_Toc28592"/>
      <w:r/>
      <w:bookmarkStart w:id="5" w:name="_Toc7166"/>
      <w:r/>
      <w:r/>
    </w:p>
    <w:p>
      <w:pPr>
        <w:ind w:left="0"/>
        <w:jc w:val="center"/>
        <w:rPr>
          <w:rFonts w:ascii="宋体" w:hAnsi="宋体"/>
          <w:b/>
          <w:sz w:val="44"/>
          <w:szCs w:val="22"/>
        </w:rPr>
      </w:pPr>
      <w:r>
        <w:rPr>
          <w:rFonts w:ascii="宋体" w:hAnsi="宋体"/>
          <w:b/>
          <w:sz w:val="44"/>
          <w:szCs w:val="22"/>
        </w:rPr>
      </w:r>
      <w:r/>
    </w:p>
    <w:p>
      <w:pPr>
        <w:pStyle w:val="892"/>
        <w:rPr>
          <w:rFonts w:ascii="宋体" w:hAnsi="宋体"/>
        </w:rPr>
      </w:pPr>
      <w:r>
        <w:rPr>
          <w:rFonts w:ascii="宋体" w:hAnsi="宋体"/>
        </w:rPr>
      </w:r>
      <w:r/>
    </w:p>
    <w:p>
      <w:pPr>
        <w:ind w:left="0"/>
        <w:jc w:val="left"/>
        <w:rPr>
          <w:rFonts w:ascii="宋体" w:hAnsi="宋体"/>
          <w:b/>
          <w:sz w:val="44"/>
          <w:szCs w:val="22"/>
        </w:rPr>
      </w:pPr>
      <w:r/>
      <w:bookmarkStart w:id="6" w:name="_Toc159146111"/>
      <w:r>
        <w:rPr>
          <w:rFonts w:ascii="宋体" w:hAnsi="宋体"/>
          <w:b/>
          <w:sz w:val="44"/>
          <w:szCs w:val="22"/>
        </w:rPr>
        <w:br w:type="page" w:clear="all"/>
      </w:r>
      <w:r/>
    </w:p>
    <w:p>
      <w:pPr>
        <w:pStyle w:val="866"/>
        <w:ind w:left="431" w:firstLine="17"/>
        <w:jc w:val="center"/>
        <w:spacing w:before="0" w:after="0" w:line="360" w:lineRule="auto"/>
        <w:rPr>
          <w:rStyle w:val="1146"/>
          <w:rFonts w:ascii="宋体" w:hAnsi="宋体"/>
        </w:rPr>
      </w:pPr>
      <w:r>
        <w:rPr>
          <w:rFonts w:hint="eastAsia" w:ascii="宋体" w:hAnsi="宋体"/>
          <w:b/>
          <w:sz w:val="44"/>
          <w:szCs w:val="22"/>
        </w:rPr>
        <w:t xml:space="preserve">第一章 </w:t>
      </w:r>
      <w:bookmarkEnd w:id="4"/>
      <w:r/>
      <w:bookmarkEnd w:id="5"/>
      <w:r/>
      <w:bookmarkEnd w:id="6"/>
      <w:r>
        <w:rPr>
          <w:rFonts w:hint="eastAsia" w:ascii="宋体" w:hAnsi="宋体"/>
          <w:b/>
          <w:sz w:val="44"/>
          <w:szCs w:val="22"/>
        </w:rPr>
        <w:t xml:space="preserve">招标公告</w:t>
      </w:r>
      <w:r/>
    </w:p>
    <w:p>
      <w:pPr>
        <w:ind w:left="0" w:firstLine="422"/>
        <w:spacing w:line="360" w:lineRule="auto"/>
        <w:rPr>
          <w:rFonts w:ascii="宋体" w:hAnsi="宋体"/>
          <w:sz w:val="21"/>
          <w:szCs w:val="21"/>
        </w:rPr>
      </w:pPr>
      <w:r>
        <w:rPr>
          <w:rFonts w:hint="eastAsia" w:ascii="宋体" w:hAnsi="宋体"/>
          <w:sz w:val="21"/>
          <w:szCs w:val="21"/>
        </w:rPr>
        <w:t xml:space="preserve">项目概况：</w:t>
      </w:r>
      <w:r>
        <w:rPr>
          <w:rFonts w:hint="eastAsia" w:ascii="宋体" w:hAnsi="宋体"/>
          <w:sz w:val="21"/>
          <w:szCs w:val="21"/>
          <w:u w:val="single"/>
        </w:rPr>
        <w:t xml:space="preserve"> </w:t>
      </w:r>
      <w:r>
        <w:rPr>
          <w:rFonts w:ascii="宋体" w:hAnsi="宋体"/>
          <w:sz w:val="21"/>
          <w:szCs w:val="21"/>
          <w:u w:val="single"/>
        </w:rPr>
        <w:t xml:space="preserve">元和街道卫星消防站消防装备及车辆采购 </w:t>
      </w:r>
      <w:r>
        <w:rPr>
          <w:rFonts w:hint="eastAsia" w:ascii="宋体" w:hAnsi="宋体"/>
          <w:sz w:val="21"/>
          <w:szCs w:val="21"/>
        </w:rPr>
        <w:t xml:space="preserve">招标项目的潜在投标人应在</w:t>
      </w:r>
      <w:r>
        <w:rPr>
          <w:rFonts w:hint="eastAsia" w:ascii="宋体" w:hAnsi="宋体"/>
          <w:sz w:val="21"/>
          <w:szCs w:val="21"/>
          <w:u w:val="single"/>
        </w:rPr>
        <w:t xml:space="preserve"> 苏采云系统 </w:t>
      </w:r>
      <w:r>
        <w:rPr>
          <w:rFonts w:hint="eastAsia" w:ascii="宋体" w:hAnsi="宋体"/>
          <w:sz w:val="21"/>
          <w:szCs w:val="21"/>
        </w:rPr>
        <w:t xml:space="preserve">获取招标文件，并</w:t>
      </w:r>
      <w:r>
        <w:rPr>
          <w:rFonts w:hint="eastAsia" w:ascii="宋体" w:hAnsi="宋体"/>
          <w:sz w:val="21"/>
          <w:szCs w:val="21"/>
          <w:highlight w:val="none"/>
        </w:rPr>
        <w:t xml:space="preserve">于</w:t>
      </w:r>
      <w:r>
        <w:rPr>
          <w:rFonts w:hint="eastAsia" w:ascii="宋体" w:hAnsi="宋体"/>
          <w:sz w:val="21"/>
          <w:szCs w:val="21"/>
          <w:highlight w:val="none"/>
          <w:u w:val="single"/>
        </w:rPr>
        <w:t xml:space="preserve">2026年</w:t>
      </w:r>
      <w:r>
        <w:rPr>
          <w:rFonts w:hint="eastAsia" w:ascii="宋体" w:hAnsi="宋体"/>
          <w:sz w:val="21"/>
          <w:szCs w:val="21"/>
          <w:highlight w:val="none"/>
          <w:u w:val="single"/>
        </w:rPr>
        <w:t xml:space="preserve">8月25日13</w:t>
      </w:r>
      <w:r>
        <w:rPr>
          <w:rFonts w:hint="eastAsia" w:ascii="宋体" w:hAnsi="宋体"/>
          <w:sz w:val="21"/>
          <w:szCs w:val="21"/>
          <w:highlight w:val="none"/>
          <w:u w:val="single"/>
        </w:rPr>
        <w:t xml:space="preserve">点30分（</w:t>
      </w:r>
      <w:r>
        <w:rPr>
          <w:rFonts w:hint="eastAsia" w:ascii="宋体" w:hAnsi="宋体"/>
          <w:sz w:val="21"/>
          <w:szCs w:val="21"/>
          <w:u w:val="single"/>
        </w:rPr>
        <w:t xml:space="preserve">北京时间）</w:t>
      </w:r>
      <w:r>
        <w:rPr>
          <w:rFonts w:hint="eastAsia" w:ascii="宋体" w:hAnsi="宋体"/>
          <w:sz w:val="21"/>
          <w:szCs w:val="21"/>
        </w:rPr>
        <w:t xml:space="preserve">前递交投标文件。</w:t>
      </w:r>
      <w:r/>
    </w:p>
    <w:p>
      <w:pPr>
        <w:pStyle w:val="884"/>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84"/>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JSZC-320507-SZGZ-G2026-0049</w:t>
      </w:r>
      <w:r/>
    </w:p>
    <w:p>
      <w:pPr>
        <w:pStyle w:val="884"/>
        <w:ind w:left="0" w:firstLine="420"/>
        <w:spacing w:line="360" w:lineRule="auto"/>
        <w:rPr>
          <w:rFonts w:ascii="宋体" w:hAnsi="宋体"/>
          <w:sz w:val="21"/>
          <w:szCs w:val="21"/>
        </w:rPr>
      </w:pPr>
      <w:r>
        <w:rPr>
          <w:rFonts w:hint="eastAsia" w:ascii="宋体" w:hAnsi="宋体"/>
          <w:sz w:val="21"/>
          <w:szCs w:val="21"/>
        </w:rPr>
        <w:t xml:space="preserve">2.项目名称：</w:t>
      </w:r>
      <w:r>
        <w:rPr>
          <w:rFonts w:ascii="宋体" w:hAnsi="宋体" w:cs="Segoe UI"/>
          <w:sz w:val="21"/>
          <w:szCs w:val="21"/>
        </w:rPr>
        <w:t xml:space="preserve">元和街道卫星消防站消防装备及车辆采购</w:t>
      </w:r>
      <w:r/>
    </w:p>
    <w:p>
      <w:pPr>
        <w:pStyle w:val="884"/>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84"/>
        <w:ind w:left="0" w:firstLine="420"/>
        <w:spacing w:line="360" w:lineRule="auto"/>
        <w:rPr>
          <w:rFonts w:ascii="宋体" w:hAnsi="宋体"/>
          <w:sz w:val="21"/>
          <w:szCs w:val="21"/>
        </w:rPr>
      </w:pPr>
      <w:r>
        <w:rPr>
          <w:rFonts w:hint="eastAsia" w:ascii="宋体" w:hAnsi="宋体"/>
          <w:sz w:val="21"/>
          <w:szCs w:val="21"/>
        </w:rPr>
        <w:t xml:space="preserve">4.采购预算：人民币壹佰肆拾万元整（¥</w:t>
      </w:r>
      <w:r>
        <w:rPr>
          <w:rFonts w:ascii="宋体" w:hAnsi="宋体"/>
          <w:sz w:val="21"/>
          <w:szCs w:val="21"/>
        </w:rPr>
        <w:t xml:space="preserve">1400000.00</w:t>
      </w:r>
      <w:r>
        <w:rPr>
          <w:rFonts w:hint="eastAsia" w:ascii="宋体" w:hAnsi="宋体"/>
          <w:sz w:val="21"/>
          <w:szCs w:val="21"/>
        </w:rPr>
        <w:t xml:space="preserve">）</w:t>
      </w:r>
      <w:r/>
    </w:p>
    <w:p>
      <w:pPr>
        <w:pStyle w:val="884"/>
        <w:ind w:left="0" w:firstLine="420"/>
        <w:spacing w:line="360" w:lineRule="auto"/>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最高限价：人民币壹佰肆拾万元整（¥</w:t>
      </w:r>
      <w:r>
        <w:rPr>
          <w:rFonts w:ascii="宋体" w:hAnsi="宋体"/>
          <w:sz w:val="21"/>
          <w:szCs w:val="21"/>
        </w:rPr>
        <w:t xml:space="preserve">1400000.00</w:t>
      </w:r>
      <w:r>
        <w:rPr>
          <w:rFonts w:hint="eastAsia" w:ascii="宋体" w:hAnsi="宋体"/>
          <w:sz w:val="21"/>
          <w:szCs w:val="21"/>
        </w:rPr>
        <w:t xml:space="preserve">）</w:t>
      </w:r>
      <w:r/>
    </w:p>
    <w:p>
      <w:pPr>
        <w:pStyle w:val="884"/>
        <w:ind w:left="0" w:firstLine="420"/>
        <w:spacing w:line="360" w:lineRule="auto"/>
        <w:rPr>
          <w:rFonts w:ascii="宋体" w:hAnsi="宋体"/>
          <w:sz w:val="21"/>
          <w:szCs w:val="21"/>
        </w:rPr>
      </w:pPr>
      <w:r>
        <w:rPr>
          <w:rFonts w:hint="eastAsia"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供货期限：自合同签订之日起三个月内完成。</w:t>
      </w:r>
      <w:r/>
    </w:p>
    <w:p>
      <w:pPr>
        <w:pStyle w:val="884"/>
        <w:ind w:left="0" w:firstLine="420"/>
        <w:spacing w:line="360" w:lineRule="auto"/>
        <w:rPr>
          <w:rFonts w:ascii="宋体" w:hAnsi="宋体"/>
          <w:sz w:val="21"/>
          <w:szCs w:val="21"/>
        </w:rPr>
      </w:pPr>
      <w:r>
        <w:rPr>
          <w:rFonts w:ascii="宋体" w:hAnsi="宋体"/>
          <w:sz w:val="21"/>
          <w:szCs w:val="21"/>
        </w:rPr>
        <w:t xml:space="preserve">7</w:t>
      </w:r>
      <w:r>
        <w:rPr>
          <w:rFonts w:hint="eastAsia" w:ascii="宋体" w:hAnsi="宋体"/>
          <w:sz w:val="21"/>
          <w:szCs w:val="21"/>
        </w:rPr>
        <w:t xml:space="preserve">.采购需求：</w:t>
      </w:r>
      <w:r>
        <w:rPr>
          <w:rFonts w:ascii="宋体" w:hAnsi="宋体" w:cs="Segoe UI"/>
          <w:sz w:val="21"/>
          <w:szCs w:val="21"/>
        </w:rPr>
        <w:t xml:space="preserve">元和街道卫星消防站消防装备及车辆采购</w:t>
      </w:r>
      <w:r>
        <w:rPr>
          <w:rFonts w:hint="eastAsia" w:ascii="宋体" w:hAnsi="宋体" w:cs="Segoe UI"/>
          <w:sz w:val="21"/>
          <w:szCs w:val="21"/>
        </w:rPr>
        <w:t xml:space="preserve">。</w:t>
      </w:r>
      <w:r/>
    </w:p>
    <w:p>
      <w:pPr>
        <w:pStyle w:val="884"/>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84"/>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84"/>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84"/>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84"/>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84"/>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84"/>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84"/>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2、本项目的特定资格要求： </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（1）本项目不接受联合体投标；</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2）本项目专门面向中小企业，所属行业为工业，供应商应为中小微企业、监狱企业、残疾人福利性单位。供应商应提供《中小企业声明函》或《残疾人福利性单位声明函》或省级以上监狱管理局、戒毒管理局（含新疆生产建设兵团）出具的属于监狱企业的证明文件。</w:t>
      </w:r>
      <w:r/>
    </w:p>
    <w:p>
      <w:pPr>
        <w:pStyle w:val="884"/>
        <w:ind w:left="0" w:firstLine="420"/>
        <w:spacing w:line="360" w:lineRule="auto"/>
        <w:rPr>
          <w:rFonts w:ascii="宋体" w:hAnsi="宋体" w:cs="Times New Roman"/>
          <w:sz w:val="21"/>
          <w:szCs w:val="21"/>
        </w:rPr>
      </w:pPr>
      <w:r>
        <w:rPr>
          <w:rFonts w:hint="eastAsia" w:ascii="宋体" w:hAnsi="宋体" w:cs="Times New Roman"/>
          <w:sz w:val="21"/>
          <w:szCs w:val="21"/>
        </w:rPr>
        <w:t xml:space="preserve">注：</w:t>
      </w:r>
      <w:r>
        <w:rPr>
          <w:rFonts w:hint="eastAsia" w:ascii="宋体" w:hAnsi="宋体"/>
          <w:sz w:val="21"/>
          <w:szCs w:val="21"/>
          <w:lang w:bidi="ar"/>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pStyle w:val="884"/>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84"/>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84"/>
        <w:ind w:left="0" w:firstLine="420"/>
        <w:spacing w:line="360" w:lineRule="auto"/>
        <w:rPr>
          <w:rFonts w:ascii="宋体" w:hAnsi="宋体"/>
          <w:sz w:val="21"/>
          <w:szCs w:val="21"/>
        </w:rPr>
      </w:pPr>
      <w:r>
        <w:rPr>
          <w:rFonts w:hint="eastAsia" w:ascii="宋体" w:hAnsi="宋体"/>
          <w:sz w:val="21"/>
          <w:szCs w:val="21"/>
        </w:rPr>
        <w:t xml:space="preserve">2.地点：苏州市政府采购网自行下载</w:t>
      </w:r>
      <w:r/>
    </w:p>
    <w:p>
      <w:pPr>
        <w:pStyle w:val="884"/>
        <w:ind w:left="0" w:firstLine="420"/>
        <w:spacing w:line="360" w:lineRule="auto"/>
        <w:rPr>
          <w:rFonts w:ascii="宋体" w:hAnsi="宋体"/>
          <w:sz w:val="21"/>
          <w:szCs w:val="21"/>
        </w:rPr>
      </w:pPr>
      <w:r>
        <w:rPr>
          <w:rFonts w:hint="eastAsia" w:ascii="宋体" w:hAnsi="宋体"/>
          <w:sz w:val="21"/>
          <w:szCs w:val="21"/>
        </w:rPr>
        <w:t xml:space="preserve">3.方式：</w:t>
      </w:r>
      <w:r/>
    </w:p>
    <w:p>
      <w:pPr>
        <w:pStyle w:val="884"/>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84"/>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w:t>
      </w:r>
      <w:r>
        <w:rPr>
          <w:rFonts w:hint="eastAsia" w:ascii="宋体" w:hAnsi="宋体"/>
          <w:sz w:val="21"/>
          <w:szCs w:val="21"/>
        </w:rPr>
        <w:t xml:space="preserve">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苏州现场办理地址：苏州市高新区邓尉路105号狮山科技馆一楼服务大厅，电话：0512-65737699。</w:t>
      </w:r>
      <w:r/>
    </w:p>
    <w:p>
      <w:pPr>
        <w:pStyle w:val="884"/>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84"/>
        <w:ind w:left="0" w:firstLine="420"/>
        <w:spacing w:line="360" w:lineRule="auto"/>
        <w:rPr>
          <w:rFonts w:ascii="宋体" w:hAnsi="宋体"/>
          <w:sz w:val="21"/>
          <w:szCs w:val="21"/>
        </w:rPr>
      </w:pPr>
      <w:r>
        <w:rPr>
          <w:rFonts w:hint="eastAsia" w:ascii="宋体" w:hAnsi="宋体"/>
          <w:sz w:val="21"/>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84"/>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84"/>
        <w:ind w:left="0" w:firstLine="420"/>
        <w:jc w:val="left"/>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84"/>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84"/>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18261002950</w:t>
      </w:r>
      <w:r>
        <w:rPr>
          <w:rFonts w:hint="eastAsia" w:ascii="宋体" w:hAnsi="宋体"/>
          <w:sz w:val="21"/>
          <w:szCs w:val="21"/>
        </w:rPr>
        <w:t xml:space="preserve">；</w:t>
      </w:r>
      <w:r/>
    </w:p>
    <w:p>
      <w:pPr>
        <w:pStyle w:val="884"/>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84"/>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84"/>
        <w:ind w:left="0" w:firstLine="420"/>
        <w:spacing w:line="360" w:lineRule="auto"/>
        <w:rPr>
          <w:rFonts w:ascii="宋体" w:hAnsi="宋体"/>
          <w:sz w:val="21"/>
          <w:szCs w:val="21"/>
        </w:rPr>
      </w:pPr>
      <w:r>
        <w:rPr>
          <w:rFonts w:hint="eastAsia" w:ascii="宋体" w:hAnsi="宋体"/>
          <w:sz w:val="21"/>
          <w:szCs w:val="21"/>
        </w:rPr>
        <w:t xml:space="preserve">系统使用指导与咨询：联系电话：18261002950；QQ：3048755361、1315179389、895706745。</w:t>
      </w:r>
      <w:r/>
    </w:p>
    <w:p>
      <w:pPr>
        <w:pStyle w:val="884"/>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84"/>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84"/>
        <w:ind w:left="0" w:firstLine="420"/>
        <w:spacing w:line="360" w:lineRule="auto"/>
        <w:rPr>
          <w:rFonts w:ascii="宋体" w:hAnsi="宋体"/>
          <w:sz w:val="21"/>
          <w:szCs w:val="21"/>
          <w:highlight w:val="none"/>
        </w:rPr>
      </w:pPr>
      <w:r>
        <w:rPr>
          <w:rFonts w:hint="eastAsia" w:ascii="宋体" w:hAnsi="宋体"/>
          <w:sz w:val="21"/>
          <w:szCs w:val="21"/>
        </w:rPr>
        <w:t xml:space="preserve">1.提交投标文件截止时</w:t>
      </w:r>
      <w:r>
        <w:rPr>
          <w:rFonts w:hint="eastAsia" w:ascii="宋体" w:hAnsi="宋体"/>
          <w:sz w:val="21"/>
          <w:szCs w:val="21"/>
          <w:highlight w:val="none"/>
        </w:rPr>
        <w:t xml:space="preserve">间：</w:t>
      </w:r>
      <w:r>
        <w:rPr>
          <w:rFonts w:hint="eastAsia" w:ascii="宋体" w:hAnsi="宋体"/>
          <w:sz w:val="21"/>
          <w:szCs w:val="21"/>
          <w:highlight w:val="none"/>
          <w:u w:val="single"/>
        </w:rPr>
        <w:t xml:space="preserve">2026年</w:t>
      </w:r>
      <w:r>
        <w:rPr>
          <w:rFonts w:hint="eastAsia" w:ascii="宋体" w:hAnsi="宋体"/>
          <w:sz w:val="21"/>
          <w:szCs w:val="21"/>
          <w:highlight w:val="none"/>
          <w:u w:val="single"/>
        </w:rPr>
        <w:t xml:space="preserve">8月25日13</w:t>
      </w:r>
      <w:r>
        <w:rPr>
          <w:rFonts w:hint="eastAsia" w:ascii="宋体" w:hAnsi="宋体" w:cs="Times New Roman"/>
          <w:sz w:val="21"/>
          <w:szCs w:val="21"/>
          <w:highlight w:val="none"/>
          <w:u w:val="single"/>
        </w:rPr>
        <w:t xml:space="preserve">点</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分</w:t>
      </w:r>
      <w:r>
        <w:rPr>
          <w:rFonts w:hint="eastAsia" w:ascii="宋体" w:hAnsi="宋体"/>
          <w:sz w:val="21"/>
          <w:szCs w:val="21"/>
          <w:highlight w:val="none"/>
        </w:rPr>
        <w:t xml:space="preserve">（北京时间）；</w:t>
      </w:r>
      <w:r>
        <w:rPr>
          <w:rFonts w:ascii="宋体" w:hAnsi="宋体"/>
          <w:sz w:val="21"/>
          <w:szCs w:val="21"/>
          <w:highlight w:val="none"/>
        </w:rPr>
        <w:t xml:space="preserve"> </w:t>
      </w:r>
      <w:r>
        <w:rPr>
          <w:highlight w:val="none"/>
        </w:rPr>
      </w:r>
    </w:p>
    <w:p>
      <w:pPr>
        <w:pStyle w:val="884"/>
        <w:ind w:left="0" w:firstLine="420"/>
        <w:spacing w:line="360" w:lineRule="auto"/>
        <w:rPr>
          <w:rFonts w:ascii="宋体" w:hAnsi="宋体"/>
          <w:sz w:val="21"/>
          <w:szCs w:val="21"/>
        </w:rPr>
      </w:pPr>
      <w:r>
        <w:rPr>
          <w:rFonts w:hint="eastAsia" w:ascii="宋体" w:hAnsi="宋体"/>
          <w:sz w:val="21"/>
          <w:szCs w:val="21"/>
          <w:highlight w:val="none"/>
        </w:rPr>
        <w:t xml:space="preserve">2.开标时间：</w:t>
      </w:r>
      <w:r>
        <w:rPr>
          <w:rFonts w:hint="eastAsia" w:ascii="宋体" w:hAnsi="宋体"/>
          <w:sz w:val="21"/>
          <w:szCs w:val="21"/>
          <w:highlight w:val="none"/>
          <w:u w:val="single"/>
        </w:rPr>
        <w:t xml:space="preserve">2026年</w:t>
      </w:r>
      <w:r>
        <w:rPr>
          <w:rFonts w:ascii="宋体" w:hAnsi="宋体"/>
          <w:sz w:val="21"/>
          <w:szCs w:val="21"/>
          <w:highlight w:val="none"/>
          <w:u w:val="single"/>
        </w:rPr>
        <w:t xml:space="preserve">8月25日13</w:t>
      </w:r>
      <w:r>
        <w:rPr>
          <w:rFonts w:hint="eastAsia" w:ascii="宋体" w:hAnsi="宋体"/>
          <w:sz w:val="21"/>
          <w:szCs w:val="21"/>
          <w:highlight w:val="none"/>
          <w:u w:val="single"/>
        </w:rPr>
        <w:t xml:space="preserve">点30分</w:t>
      </w:r>
      <w:r>
        <w:rPr>
          <w:rFonts w:hint="eastAsia" w:ascii="宋体" w:hAnsi="宋体"/>
          <w:sz w:val="21"/>
          <w:szCs w:val="21"/>
          <w:highlight w:val="none"/>
        </w:rPr>
        <w:t xml:space="preserve">（北京时间）</w:t>
      </w:r>
      <w:r>
        <w:rPr>
          <w:rFonts w:hint="eastAsia" w:ascii="宋体" w:hAnsi="宋体"/>
          <w:sz w:val="21"/>
          <w:szCs w:val="21"/>
        </w:rPr>
        <w:t xml:space="preserve">；</w:t>
      </w:r>
      <w:r/>
    </w:p>
    <w:p>
      <w:pPr>
        <w:pStyle w:val="884"/>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84"/>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84"/>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84"/>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84"/>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84"/>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84"/>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pStyle w:val="884"/>
        <w:ind w:left="0" w:firstLine="420"/>
        <w:spacing w:line="360" w:lineRule="auto"/>
        <w:rPr>
          <w:rFonts w:ascii="宋体" w:hAnsi="宋体"/>
          <w:sz w:val="21"/>
          <w:szCs w:val="21"/>
        </w:rPr>
      </w:pPr>
      <w:r>
        <w:rPr>
          <w:rFonts w:hint="eastAsia" w:ascii="宋体" w:hAnsi="宋体"/>
          <w:sz w:val="21"/>
          <w:szCs w:val="21"/>
        </w:rPr>
        <w:t xml:space="preserve">1、本项目获取招标文件截止日期之后仍可以下载招标文件，但截止日期之后下载的招标文件，视为非有效方式且不作为供应商权益受到损害的证明材料和依据。</w:t>
      </w:r>
      <w:r/>
    </w:p>
    <w:p>
      <w:pPr>
        <w:pStyle w:val="884"/>
        <w:ind w:left="0" w:firstLine="420"/>
        <w:spacing w:line="360" w:lineRule="auto"/>
        <w:rPr>
          <w:rFonts w:ascii="宋体" w:hAnsi="宋体"/>
          <w:sz w:val="21"/>
          <w:szCs w:val="21"/>
        </w:rPr>
      </w:pPr>
      <w:r>
        <w:rPr>
          <w:rFonts w:hint="eastAsia" w:ascii="宋体" w:hAnsi="宋体"/>
          <w:sz w:val="21"/>
          <w:szCs w:val="21"/>
        </w:rPr>
        <w:t xml:space="preserve">2、政府采购监督电话：0512-67591006、0512-67591005。</w:t>
      </w:r>
      <w:r/>
    </w:p>
    <w:p>
      <w:pPr>
        <w:pStyle w:val="884"/>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、本次采购的有关信息将在苏州市政府采购网、江苏政府采购网上发布；有关该采购项目的澄清、修正及中标等信息亦在以上网站发布，敬请留意。</w:t>
      </w:r>
      <w:r/>
    </w:p>
    <w:p>
      <w:pPr>
        <w:pStyle w:val="884"/>
        <w:ind w:left="0" w:firstLine="422"/>
        <w:spacing w:line="360" w:lineRule="auto"/>
        <w:rPr>
          <w:rFonts w:ascii="宋体" w:hAnsi="宋体"/>
          <w:b/>
          <w:sz w:val="21"/>
          <w:szCs w:val="21"/>
        </w:rPr>
      </w:pPr>
      <w:r>
        <w:rPr>
          <w:rFonts w:hint="eastAsia" w:ascii="宋体" w:hAnsi="宋体"/>
          <w:b/>
          <w:sz w:val="21"/>
          <w:szCs w:val="21"/>
        </w:rPr>
        <w:t xml:space="preserve">七、对本次征集提出询问，请按以下方式联系</w:t>
      </w:r>
      <w:r/>
    </w:p>
    <w:p>
      <w:pPr>
        <w:pStyle w:val="884"/>
        <w:ind w:left="0" w:firstLine="420"/>
        <w:spacing w:line="360" w:lineRule="auto"/>
        <w:rPr>
          <w:rFonts w:ascii="宋体" w:hAnsi="宋体"/>
          <w:sz w:val="21"/>
          <w:szCs w:val="21"/>
        </w:rPr>
      </w:pPr>
      <w:r>
        <w:rPr>
          <w:rFonts w:hint="eastAsia" w:ascii="宋体" w:hAnsi="宋体"/>
          <w:sz w:val="21"/>
          <w:szCs w:val="21"/>
        </w:rPr>
        <w:t xml:space="preserve">1.招标单位信息 </w:t>
      </w:r>
      <w:r/>
    </w:p>
    <w:p>
      <w:pPr>
        <w:pStyle w:val="884"/>
        <w:ind w:left="0" w:firstLine="420"/>
        <w:spacing w:line="360" w:lineRule="auto"/>
        <w:rPr>
          <w:rFonts w:ascii="宋体" w:hAnsi="宋体"/>
          <w:sz w:val="21"/>
          <w:szCs w:val="21"/>
        </w:rPr>
      </w:pPr>
      <w:r>
        <w:rPr>
          <w:rFonts w:hint="eastAsia" w:ascii="宋体" w:hAnsi="宋体"/>
          <w:sz w:val="21"/>
          <w:szCs w:val="21"/>
        </w:rPr>
        <w:t xml:space="preserve">名称：苏州市相城区人民政府元和街道办事处</w:t>
      </w:r>
      <w:r/>
    </w:p>
    <w:p>
      <w:pPr>
        <w:pStyle w:val="884"/>
        <w:ind w:left="0" w:firstLine="420"/>
        <w:spacing w:line="360" w:lineRule="auto"/>
        <w:rPr>
          <w:rFonts w:ascii="宋体" w:hAnsi="宋体"/>
          <w:sz w:val="21"/>
          <w:szCs w:val="21"/>
        </w:rPr>
      </w:pPr>
      <w:r>
        <w:rPr>
          <w:rFonts w:hint="eastAsia" w:ascii="宋体" w:hAnsi="宋体"/>
          <w:sz w:val="21"/>
          <w:szCs w:val="21"/>
        </w:rPr>
        <w:t xml:space="preserve">地址：苏州市相城区</w:t>
      </w:r>
      <w:r/>
    </w:p>
    <w:p>
      <w:pPr>
        <w:pStyle w:val="884"/>
        <w:ind w:left="0" w:firstLine="420"/>
        <w:spacing w:line="360" w:lineRule="auto"/>
        <w:rPr>
          <w:rFonts w:ascii="宋体" w:hAnsi="宋体" w:cs="Times New Roman"/>
          <w:sz w:val="21"/>
          <w:szCs w:val="21"/>
        </w:rPr>
      </w:pPr>
      <w:r>
        <w:rPr>
          <w:rFonts w:hint="eastAsia" w:ascii="宋体" w:hAnsi="宋体" w:cs="Times New Roman"/>
          <w:sz w:val="21"/>
          <w:szCs w:val="21"/>
        </w:rPr>
        <w:t xml:space="preserve">联系人：李杰</w:t>
      </w:r>
      <w:r/>
    </w:p>
    <w:p>
      <w:pPr>
        <w:pStyle w:val="884"/>
        <w:ind w:left="0" w:firstLine="420"/>
        <w:spacing w:line="360" w:lineRule="auto"/>
        <w:rPr>
          <w:rFonts w:ascii="宋体" w:hAnsi="宋体"/>
          <w:sz w:val="21"/>
          <w:szCs w:val="21"/>
        </w:rPr>
      </w:pPr>
      <w:r>
        <w:rPr>
          <w:rFonts w:hint="eastAsia" w:ascii="宋体" w:hAnsi="宋体" w:cs="Times New Roman"/>
          <w:sz w:val="21"/>
          <w:szCs w:val="21"/>
        </w:rPr>
        <w:t xml:space="preserve">联系电话：0512-65758267</w:t>
      </w:r>
      <w:r/>
    </w:p>
    <w:p>
      <w:pPr>
        <w:pStyle w:val="884"/>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84"/>
        <w:ind w:left="0" w:firstLine="420"/>
        <w:spacing w:line="360" w:lineRule="auto"/>
        <w:rPr>
          <w:rFonts w:ascii="宋体" w:hAnsi="宋体"/>
          <w:sz w:val="21"/>
          <w:szCs w:val="21"/>
        </w:rPr>
      </w:pPr>
      <w:r>
        <w:rPr>
          <w:rFonts w:hint="eastAsia" w:ascii="宋体" w:hAnsi="宋体"/>
          <w:sz w:val="21"/>
          <w:szCs w:val="21"/>
        </w:rPr>
        <w:t xml:space="preserve">名称：苏州公正建设咨询房地产评估有限公司</w:t>
      </w:r>
      <w:r/>
    </w:p>
    <w:p>
      <w:pPr>
        <w:pStyle w:val="884"/>
        <w:ind w:left="0" w:firstLine="420"/>
        <w:spacing w:line="360" w:lineRule="auto"/>
        <w:rPr>
          <w:rFonts w:ascii="宋体" w:hAnsi="宋体"/>
          <w:sz w:val="21"/>
          <w:szCs w:val="21"/>
        </w:rPr>
      </w:pPr>
      <w:r>
        <w:rPr>
          <w:rFonts w:hint="eastAsia" w:ascii="宋体" w:hAnsi="宋体"/>
          <w:sz w:val="21"/>
          <w:szCs w:val="21"/>
        </w:rPr>
        <w:t xml:space="preserve">地址：苏州市相城区华元路1902号2幢东楼2楼</w:t>
      </w:r>
      <w:r/>
    </w:p>
    <w:p>
      <w:pPr>
        <w:pStyle w:val="884"/>
        <w:ind w:left="0" w:firstLine="420"/>
        <w:spacing w:line="360" w:lineRule="auto"/>
        <w:rPr>
          <w:rFonts w:ascii="宋体" w:hAnsi="宋体"/>
          <w:sz w:val="21"/>
          <w:szCs w:val="21"/>
        </w:rPr>
      </w:pPr>
      <w:r>
        <w:rPr>
          <w:rFonts w:hint="eastAsia" w:ascii="宋体" w:hAnsi="宋体"/>
          <w:sz w:val="21"/>
          <w:szCs w:val="21"/>
        </w:rPr>
        <w:t xml:space="preserve">联系人：沈燕、陆帏帏</w:t>
      </w:r>
      <w:r>
        <w:rPr>
          <w:rFonts w:hint="eastAsia" w:ascii="宋体" w:hAnsi="宋体"/>
          <w:sz w:val="21"/>
          <w:szCs w:val="21"/>
        </w:rPr>
        <w:t xml:space="preserve">、杨富珍</w:t>
      </w:r>
      <w:r/>
    </w:p>
    <w:p>
      <w:pPr>
        <w:pStyle w:val="884"/>
        <w:ind w:left="0" w:firstLine="420"/>
        <w:spacing w:line="360" w:lineRule="auto"/>
        <w:rPr>
          <w:rFonts w:ascii="宋体" w:hAnsi="宋体"/>
          <w:sz w:val="21"/>
          <w:szCs w:val="21"/>
        </w:rPr>
      </w:pPr>
      <w:r>
        <w:rPr>
          <w:rFonts w:hint="eastAsia" w:ascii="宋体" w:hAnsi="宋体"/>
          <w:sz w:val="21"/>
          <w:szCs w:val="21"/>
        </w:rPr>
        <w:t xml:space="preserve">联系电话：0512-67913588-6001</w:t>
      </w:r>
      <w:r/>
    </w:p>
    <w:p>
      <w:pPr>
        <w:pStyle w:val="884"/>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84"/>
        <w:ind w:left="0" w:firstLine="420"/>
        <w:spacing w:line="360" w:lineRule="auto"/>
        <w:rPr>
          <w:rFonts w:ascii="宋体" w:hAnsi="宋体"/>
          <w:sz w:val="21"/>
          <w:szCs w:val="21"/>
        </w:rPr>
      </w:pPr>
      <w:r>
        <w:rPr>
          <w:rFonts w:hint="eastAsia" w:ascii="宋体" w:hAnsi="宋体"/>
          <w:sz w:val="21"/>
          <w:szCs w:val="21"/>
        </w:rPr>
        <w:t xml:space="preserve">项目联系人：沈燕、陆帏帏</w:t>
      </w:r>
      <w:r>
        <w:rPr>
          <w:rFonts w:hint="eastAsia" w:ascii="宋体" w:hAnsi="宋体"/>
          <w:sz w:val="21"/>
          <w:szCs w:val="21"/>
        </w:rPr>
        <w:t xml:space="preserve">、杨富珍</w:t>
      </w:r>
      <w:r/>
    </w:p>
    <w:p>
      <w:pPr>
        <w:pStyle w:val="884"/>
        <w:ind w:left="0" w:firstLine="420"/>
        <w:spacing w:line="360" w:lineRule="auto"/>
        <w:rPr>
          <w:rFonts w:ascii="宋体" w:hAnsi="宋体"/>
          <w:sz w:val="21"/>
          <w:szCs w:val="21"/>
        </w:rPr>
      </w:pPr>
      <w:r>
        <w:rPr>
          <w:rFonts w:hint="eastAsia" w:ascii="宋体" w:hAnsi="宋体"/>
          <w:sz w:val="21"/>
          <w:szCs w:val="21"/>
        </w:rPr>
        <w:t xml:space="preserve">联系电话：0512-67913588-6001</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ind w:left="0"/>
        <w:jc w:val="left"/>
        <w:rPr>
          <w:rFonts w:ascii="宋体" w:hAnsi="宋体"/>
          <w:b/>
          <w:sz w:val="44"/>
          <w:szCs w:val="22"/>
        </w:rPr>
      </w:pPr>
      <w:r/>
      <w:bookmarkStart w:id="7" w:name="_Toc6217"/>
      <w:r/>
      <w:bookmarkStart w:id="8" w:name="_Toc2412"/>
      <w:r/>
      <w:bookmarkStart w:id="9" w:name="_Toc159146112"/>
      <w:r>
        <w:rPr>
          <w:rFonts w:ascii="宋体" w:hAnsi="宋体"/>
          <w:b/>
          <w:sz w:val="44"/>
          <w:szCs w:val="22"/>
        </w:rPr>
        <w:br w:type="page" w:clear="all"/>
      </w:r>
      <w:r/>
    </w:p>
    <w:p>
      <w:pPr>
        <w:pStyle w:val="866"/>
        <w:ind w:left="0" w:firstLine="0"/>
        <w:jc w:val="center"/>
        <w:spacing w:line="240" w:lineRule="auto"/>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0" w:name="投标人须知"/>
      <w:r/>
      <w:bookmarkEnd w:id="10"/>
      <w:r>
        <w:rPr>
          <w:rFonts w:ascii="宋体" w:hAnsi="宋体"/>
          <w:b/>
          <w:sz w:val="44"/>
          <w:szCs w:val="22"/>
        </w:rPr>
        <w:t xml:space="preserve">投标人须知</w:t>
      </w:r>
      <w:bookmarkEnd w:id="7"/>
      <w:r/>
      <w:bookmarkEnd w:id="8"/>
      <w:r/>
      <w:bookmarkEnd w:id="9"/>
      <w:r/>
      <w:r/>
    </w:p>
    <w:p>
      <w:pPr>
        <w:pStyle w:val="884"/>
        <w:ind w:left="0" w:firstLine="422"/>
        <w:spacing w:line="360" w:lineRule="auto"/>
        <w:rPr>
          <w:rFonts w:ascii="宋体" w:hAnsi="宋体"/>
          <w:b/>
          <w:sz w:val="21"/>
          <w:szCs w:val="21"/>
        </w:rPr>
      </w:pPr>
      <w:r/>
      <w:bookmarkStart w:id="11" w:name="_Toc20132"/>
      <w:r/>
      <w:bookmarkStart w:id="12" w:name="_Toc13437"/>
      <w:r>
        <w:rPr>
          <w:rFonts w:hint="eastAsia" w:ascii="宋体" w:hAnsi="宋体"/>
          <w:b/>
          <w:sz w:val="21"/>
          <w:szCs w:val="21"/>
        </w:rPr>
        <w:t xml:space="preserve">一、说明和释义</w:t>
      </w:r>
      <w:bookmarkEnd w:id="11"/>
      <w:r/>
      <w:bookmarkEnd w:id="12"/>
      <w:r/>
      <w:r/>
    </w:p>
    <w:p>
      <w:pPr>
        <w:pStyle w:val="884"/>
        <w:ind w:left="0" w:firstLine="422"/>
        <w:spacing w:line="360" w:lineRule="auto"/>
        <w:rPr>
          <w:rFonts w:ascii="宋体" w:hAnsi="宋体"/>
          <w:b/>
          <w:sz w:val="21"/>
          <w:szCs w:val="21"/>
        </w:rPr>
      </w:pPr>
      <w:r/>
      <w:bookmarkStart w:id="13" w:name="_Toc9408"/>
      <w:r>
        <w:rPr>
          <w:rFonts w:hint="eastAsia" w:ascii="宋体" w:hAnsi="宋体"/>
          <w:b/>
          <w:sz w:val="21"/>
          <w:szCs w:val="21"/>
        </w:rPr>
        <w:t xml:space="preserve">1.说明</w:t>
      </w:r>
      <w:bookmarkEnd w:id="13"/>
      <w:r/>
      <w:r/>
    </w:p>
    <w:p>
      <w:pPr>
        <w:pStyle w:val="884"/>
        <w:ind w:left="0" w:firstLine="420"/>
        <w:spacing w:line="360" w:lineRule="auto"/>
        <w:rPr>
          <w:rFonts w:ascii="宋体" w:hAnsi="宋体"/>
          <w:sz w:val="21"/>
          <w:szCs w:val="21"/>
        </w:rPr>
      </w:pPr>
      <w:r>
        <w:rPr>
          <w:rFonts w:hint="eastAsia" w:ascii="宋体" w:hAnsi="宋体"/>
          <w:sz w:val="21"/>
          <w:szCs w:val="21"/>
        </w:rPr>
        <w:t xml:space="preserve">1.1本招标文件仅适用苏州公正建设咨询房地产评估有限公司组织的招标活动。</w:t>
      </w:r>
      <w:r/>
    </w:p>
    <w:p>
      <w:pPr>
        <w:pStyle w:val="884"/>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84"/>
        <w:ind w:left="0" w:firstLine="420"/>
        <w:spacing w:line="360" w:lineRule="auto"/>
        <w:rPr>
          <w:rFonts w:ascii="宋体" w:hAnsi="宋体"/>
          <w:sz w:val="21"/>
          <w:szCs w:val="21"/>
        </w:rPr>
      </w:pPr>
      <w:r>
        <w:rPr>
          <w:rFonts w:hint="eastAsia" w:ascii="宋体" w:hAnsi="宋体"/>
          <w:sz w:val="21"/>
          <w:szCs w:val="21"/>
        </w:rPr>
        <w:t xml:space="preserve">1.3本招标文件的解释权属苏州公正建设咨询房地产评估有限公司。</w:t>
      </w:r>
      <w:r/>
    </w:p>
    <w:p>
      <w:pPr>
        <w:pStyle w:val="884"/>
        <w:ind w:left="0" w:firstLine="422"/>
        <w:spacing w:line="360" w:lineRule="auto"/>
        <w:rPr>
          <w:rFonts w:ascii="宋体" w:hAnsi="宋体"/>
          <w:b/>
          <w:sz w:val="21"/>
          <w:szCs w:val="21"/>
        </w:rPr>
      </w:pPr>
      <w:r/>
      <w:bookmarkStart w:id="14" w:name="_Toc27555"/>
      <w:r>
        <w:rPr>
          <w:rFonts w:hint="eastAsia" w:ascii="宋体" w:hAnsi="宋体"/>
          <w:b/>
          <w:sz w:val="21"/>
          <w:szCs w:val="21"/>
        </w:rPr>
        <w:t xml:space="preserve">2.词语释义</w:t>
      </w:r>
      <w:bookmarkEnd w:id="14"/>
      <w:r/>
      <w:r/>
    </w:p>
    <w:p>
      <w:pPr>
        <w:pStyle w:val="884"/>
        <w:ind w:left="0" w:firstLine="420"/>
        <w:spacing w:line="360" w:lineRule="auto"/>
        <w:rPr>
          <w:rFonts w:ascii="宋体" w:hAnsi="宋体"/>
          <w:sz w:val="21"/>
          <w:szCs w:val="21"/>
        </w:rPr>
      </w:pPr>
      <w:r>
        <w:rPr>
          <w:rFonts w:hint="eastAsia" w:ascii="宋体" w:hAnsi="宋体"/>
          <w:sz w:val="21"/>
          <w:szCs w:val="21"/>
        </w:rPr>
        <w:t xml:space="preserve">2.1 招标单位：指依法进行政府采购的国家机关、事业单位、团体组织。</w:t>
      </w:r>
      <w:r/>
    </w:p>
    <w:p>
      <w:pPr>
        <w:pStyle w:val="884"/>
        <w:ind w:left="0" w:firstLine="420"/>
        <w:spacing w:line="360" w:lineRule="auto"/>
        <w:rPr>
          <w:rFonts w:ascii="宋体" w:hAnsi="宋体"/>
          <w:sz w:val="21"/>
          <w:szCs w:val="21"/>
        </w:rPr>
      </w:pPr>
      <w:r>
        <w:rPr>
          <w:rFonts w:hint="eastAsia" w:ascii="宋体" w:hAnsi="宋体"/>
          <w:sz w:val="21"/>
          <w:szCs w:val="21"/>
        </w:rPr>
        <w:t xml:space="preserve">2.2采购代理机构：指依法接受招标单位委托，从事货物、工程和服务等政府采购业务的采购代理机构。本项目的采购代理机构是苏州公正建设咨询房地产评估有限公司。</w:t>
      </w:r>
      <w:r/>
    </w:p>
    <w:p>
      <w:pPr>
        <w:pStyle w:val="884"/>
        <w:ind w:left="0" w:firstLine="420"/>
        <w:spacing w:line="360" w:lineRule="auto"/>
        <w:rPr>
          <w:rFonts w:ascii="宋体" w:hAnsi="宋体"/>
          <w:sz w:val="21"/>
          <w:szCs w:val="21"/>
        </w:rPr>
      </w:pPr>
      <w:r>
        <w:rPr>
          <w:rFonts w:hint="eastAsia" w:ascii="宋体" w:hAnsi="宋体"/>
          <w:sz w:val="21"/>
          <w:szCs w:val="21"/>
        </w:rPr>
        <w:t xml:space="preserve">2.3 投标人：指投标招标、参加投标竞争的法人、其他组织或自然人。</w:t>
      </w:r>
      <w:r/>
    </w:p>
    <w:p>
      <w:pPr>
        <w:pStyle w:val="88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投标：投标人根据招标单位或采购代理机构发布的招标文件，编制投标文件并按规定投标的行为。</w:t>
      </w:r>
      <w:r/>
    </w:p>
    <w:p>
      <w:pPr>
        <w:pStyle w:val="88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8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甲方（招标单位）：指招标文件中载明的，依法进行政府采购的国家机关、事业单位、团体组织。</w:t>
      </w:r>
      <w:r/>
    </w:p>
    <w:p>
      <w:pPr>
        <w:pStyle w:val="88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乙方（供应商）：合同中规定的向招标单位提供货物和服务的法人或其他组织和自然人。</w:t>
      </w:r>
      <w:r/>
    </w:p>
    <w:p>
      <w:pPr>
        <w:pStyle w:val="88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8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84"/>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84"/>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5" w:name="_Toc13350"/>
      <w:r/>
      <w:bookmarkStart w:id="16" w:name="_Toc14976"/>
      <w:r/>
      <w:r/>
    </w:p>
    <w:p>
      <w:pPr>
        <w:pStyle w:val="884"/>
        <w:ind w:left="0" w:firstLine="422"/>
        <w:spacing w:line="360" w:lineRule="auto"/>
        <w:rPr>
          <w:rFonts w:ascii="宋体" w:hAnsi="宋体"/>
          <w:sz w:val="21"/>
          <w:szCs w:val="21"/>
        </w:rPr>
      </w:pPr>
      <w:r>
        <w:rPr>
          <w:rFonts w:hint="eastAsia" w:ascii="宋体" w:hAnsi="宋体"/>
          <w:b/>
          <w:sz w:val="21"/>
          <w:szCs w:val="21"/>
        </w:rPr>
        <w:t xml:space="preserve">二、投标人</w:t>
      </w:r>
      <w:bookmarkEnd w:id="15"/>
      <w:r/>
      <w:bookmarkEnd w:id="16"/>
      <w:r/>
      <w:r/>
    </w:p>
    <w:p>
      <w:pPr>
        <w:pStyle w:val="884"/>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24"/>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24"/>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24"/>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24"/>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24"/>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24"/>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24"/>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24"/>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3.2落实政府采购政策需满足的资格要求：详见招标公告。</w:t>
      </w:r>
      <w:r/>
    </w:p>
    <w:p>
      <w:pPr>
        <w:pStyle w:val="924"/>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3.3本项目的特定资格要求：详见招标公告。</w:t>
      </w:r>
      <w:r/>
    </w:p>
    <w:p>
      <w:pPr>
        <w:pStyle w:val="924"/>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24"/>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24"/>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24"/>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84"/>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5.2本次招标活动招标单位和采购代理机构不收取标书工本费与中标服务费。</w:t>
      </w:r>
      <w:r/>
    </w:p>
    <w:p>
      <w:pPr>
        <w:pStyle w:val="884"/>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84"/>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84"/>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7" w:name="_Toc31958"/>
      <w:r/>
      <w:bookmarkStart w:id="18" w:name="_Toc5764"/>
      <w:r/>
      <w:r/>
    </w:p>
    <w:p>
      <w:pPr>
        <w:pStyle w:val="884"/>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84"/>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7"/>
      <w:r/>
      <w:bookmarkEnd w:id="18"/>
      <w:r/>
      <w:r/>
    </w:p>
    <w:p>
      <w:pPr>
        <w:pStyle w:val="884"/>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84"/>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84"/>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7.2招标文件及其补充通知（包括更正公告）不是直接从财政部门指定的政府采购信息发布媒体上下载获得的，招标单位或采购代理机构对招标文件及其补遗的真实性、完整性不承担任何责任。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84"/>
        <w:ind w:left="0" w:firstLine="420"/>
        <w:spacing w:line="360" w:lineRule="auto"/>
        <w:rPr>
          <w:rFonts w:ascii="宋体" w:hAnsi="宋体"/>
          <w:sz w:val="21"/>
          <w:szCs w:val="21"/>
        </w:rPr>
      </w:pPr>
      <w:r>
        <w:rPr>
          <w:rFonts w:hint="eastAsia" w:ascii="宋体" w:hAnsi="宋体"/>
          <w:sz w:val="21"/>
          <w:szCs w:val="21"/>
        </w:rPr>
        <w:t xml:space="preserve">8.1招标单位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84"/>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招标单位或者采购代理机构应当在投标截止时间至少15日前，并通过苏州市政府采购网对外进行发布；不足15日的，招标单位或者采购代理机构应当顺延提交投标文件的截止时间。</w:t>
      </w:r>
      <w:r/>
    </w:p>
    <w:p>
      <w:pPr>
        <w:pStyle w:val="884"/>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招标公告”自行查看项目的补充通知（包括更正公告）。补充通知（包括更正公告）将作为招标文件的组成部分，对所有投标人有约束力。</w:t>
      </w:r>
      <w:r/>
    </w:p>
    <w:p>
      <w:pPr>
        <w:pStyle w:val="884"/>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招标单位或采购代理机构向投标人提供的有关现场的资料和数据，是招标单位或采购代理机构现有的并认为能使投标人可利用的资料。招标单位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9.3经招标单位允许，投标人可为勘察目的进入招标单位的项目现场，但投标人不得因此使招标单位承担有关的责任和蒙受损失。投标人应承担勘察现场的责任和风险。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招标单位或采购代理机构提出任何索赔的要求，对此招标单位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84"/>
        <w:ind w:left="0" w:firstLine="420"/>
        <w:spacing w:line="360" w:lineRule="auto"/>
        <w:rPr>
          <w:rFonts w:ascii="宋体" w:hAnsi="宋体"/>
          <w:sz w:val="21"/>
          <w:szCs w:val="21"/>
        </w:rPr>
      </w:pPr>
      <w:r/>
      <w:bookmarkStart w:id="19" w:name="_Toc16745"/>
      <w:r/>
      <w:bookmarkStart w:id="20"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招标单位、采购代理机构提出质疑。采购代理机构应当在收到投标人书面质疑后7个工作日内作出答复。</w:t>
      </w:r>
      <w:r/>
    </w:p>
    <w:p>
      <w:pPr>
        <w:pStyle w:val="884"/>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84"/>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84"/>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84"/>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84"/>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84"/>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84"/>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84"/>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84"/>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84"/>
        <w:ind w:left="0" w:firstLine="422"/>
        <w:spacing w:line="360" w:lineRule="auto"/>
        <w:rPr>
          <w:rFonts w:ascii="宋体" w:hAnsi="宋体"/>
          <w:b/>
          <w:sz w:val="21"/>
          <w:szCs w:val="21"/>
        </w:rPr>
      </w:pPr>
      <w:r>
        <w:rPr>
          <w:rFonts w:hint="eastAsia" w:ascii="宋体" w:hAnsi="宋体"/>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84"/>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884"/>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84"/>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9"/>
      <w:r/>
      <w:bookmarkEnd w:id="20"/>
      <w:r/>
      <w:r/>
    </w:p>
    <w:p>
      <w:pPr>
        <w:pStyle w:val="884"/>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8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.1投标人应仔细阅读招标文件的所有内容，应当按照招标文件的要求编制投标文件，并保证所提供全部资料的真实性，以使其投标对招标文件作出实质性投标，否则，其投标可能被拒绝。</w:t>
      </w:r>
      <w:r/>
    </w:p>
    <w:p>
      <w:pPr>
        <w:pStyle w:val="88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84"/>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8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8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.2投标文件应使用中文编制，投标文件中必须使用其他文字的，必须附有中文译本。对于未附有中文译本和中文译本不准确的投标文件，由此可能引起的对投标人不利的后果，招标单位和采购代理机构概不负责。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投标报价明细表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84"/>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84"/>
        <w:ind w:left="0" w:firstLine="420"/>
        <w:spacing w:line="360" w:lineRule="auto"/>
        <w:rPr>
          <w:rFonts w:ascii="宋体" w:hAnsi="宋体"/>
          <w:sz w:val="21"/>
          <w:szCs w:val="21"/>
        </w:rPr>
      </w:pPr>
      <w:r>
        <w:rPr>
          <w:rFonts w:hint="eastAsia" w:ascii="宋体" w:hAnsi="宋体"/>
          <w:sz w:val="21"/>
          <w:szCs w:val="21"/>
        </w:rPr>
        <w:t xml:space="preserve">14.1.4.2投标人基本情况表（格式见第三章）；</w:t>
      </w:r>
      <w:r/>
    </w:p>
    <w:p>
      <w:pPr>
        <w:pStyle w:val="884"/>
        <w:ind w:left="0" w:firstLine="420"/>
        <w:spacing w:line="360" w:lineRule="auto"/>
        <w:rPr>
          <w:rFonts w:ascii="宋体" w:hAnsi="宋体"/>
          <w:sz w:val="21"/>
          <w:szCs w:val="21"/>
        </w:rPr>
      </w:pPr>
      <w:r>
        <w:rPr>
          <w:rFonts w:hint="eastAsia" w:ascii="宋体" w:hAnsi="宋体"/>
          <w:sz w:val="21"/>
          <w:szCs w:val="21"/>
        </w:rPr>
        <w:t xml:space="preserve">14.1.4.3投标人法定代表人身份证复印件；</w:t>
      </w:r>
      <w:r/>
    </w:p>
    <w:p>
      <w:pPr>
        <w:pStyle w:val="884"/>
        <w:ind w:left="0" w:firstLine="420"/>
        <w:spacing w:line="360" w:lineRule="auto"/>
        <w:rPr>
          <w:rFonts w:ascii="宋体" w:hAnsi="宋体"/>
          <w:sz w:val="21"/>
          <w:szCs w:val="21"/>
        </w:rPr>
      </w:pPr>
      <w:r>
        <w:rPr>
          <w:rFonts w:hint="eastAsia" w:ascii="宋体" w:hAnsi="宋体"/>
          <w:sz w:val="21"/>
          <w:szCs w:val="21"/>
        </w:rPr>
        <w:t xml:space="preserve">14.1.4.4法定代表人授权委托书（如有授权，格式见第三章）；</w:t>
      </w:r>
      <w:r/>
    </w:p>
    <w:p>
      <w:pPr>
        <w:pStyle w:val="884"/>
        <w:ind w:left="0" w:firstLine="420"/>
        <w:spacing w:line="360" w:lineRule="auto"/>
        <w:rPr>
          <w:rFonts w:ascii="宋体" w:hAnsi="宋体"/>
          <w:sz w:val="21"/>
          <w:szCs w:val="21"/>
        </w:rPr>
      </w:pPr>
      <w:r>
        <w:rPr>
          <w:rFonts w:hint="eastAsia" w:ascii="宋体" w:hAnsi="宋体"/>
          <w:sz w:val="21"/>
          <w:szCs w:val="21"/>
        </w:rPr>
        <w:t xml:space="preserve">14.1.4.5投标人授权代理人身份证复印件（如有授权）；</w:t>
      </w:r>
      <w:r/>
    </w:p>
    <w:p>
      <w:pPr>
        <w:pStyle w:val="88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14.1.4.6具有独立承担民事责任的能力证明。包括法人或者其他组织的营业执照等证明文件，自然人的身份证明；</w:t>
      </w:r>
      <w:r/>
    </w:p>
    <w:p>
      <w:pPr>
        <w:pStyle w:val="924"/>
        <w:ind w:left="0" w:right="0" w:firstLine="420"/>
        <w:spacing w:before="0" w:after="0" w:line="360" w:lineRule="auto"/>
        <w:rPr>
          <w:rFonts w:ascii="宋体" w:hAnsi="宋体" w:cs="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cs="宋体"/>
          <w:sz w:val="21"/>
          <w:szCs w:val="21"/>
        </w:rPr>
        <w:t xml:space="preserve">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24"/>
        <w:ind w:left="0" w:right="0" w:firstLine="420"/>
        <w:spacing w:before="0" w:after="0" w:line="360" w:lineRule="auto"/>
        <w:rPr>
          <w:rFonts w:ascii="宋体" w:hAnsi="宋体" w:cs="宋体"/>
          <w:sz w:val="21"/>
          <w:szCs w:val="21"/>
        </w:rPr>
      </w:pPr>
      <w:r>
        <w:rPr>
          <w:rFonts w:hint="eastAsia" w:ascii="宋体" w:hAnsi="宋体"/>
          <w:sz w:val="21"/>
          <w:szCs w:val="21"/>
        </w:rPr>
        <w:t xml:space="preserve">14.1.4.</w:t>
      </w:r>
      <w:r>
        <w:rPr>
          <w:rFonts w:ascii="宋体" w:hAnsi="宋体"/>
          <w:sz w:val="21"/>
          <w:szCs w:val="21"/>
        </w:rPr>
        <w:t xml:space="preserve">8</w:t>
      </w:r>
      <w:r>
        <w:rPr>
          <w:rFonts w:hint="eastAsia" w:ascii="宋体" w:hAnsi="宋体" w:cs="宋体"/>
          <w:sz w:val="21"/>
          <w:szCs w:val="21"/>
        </w:rPr>
        <w:t xml:space="preserve">具备履行合同所必需的设备和专业技术能力的证明材料或承诺；</w:t>
      </w:r>
      <w:r/>
    </w:p>
    <w:p>
      <w:pPr>
        <w:pStyle w:val="88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9</w:t>
      </w:r>
      <w:r>
        <w:rPr>
          <w:rFonts w:hint="eastAsia" w:ascii="宋体" w:hAnsi="宋体"/>
          <w:sz w:val="21"/>
          <w:szCs w:val="21"/>
        </w:rPr>
        <w:t xml:space="preserve">依法缴纳税收和社会保障资金的相关资料</w:t>
      </w:r>
      <w:r>
        <w:rPr>
          <w:rFonts w:hint="eastAsia" w:ascii="宋体" w:hAnsi="宋体"/>
          <w:b/>
          <w:sz w:val="21"/>
          <w:szCs w:val="21"/>
        </w:rPr>
        <w:t xml:space="preserve">（投标人应提供提交最新一期依法缴纳税收及缴纳社会保障资金的证明材料，如相关主管部门证明或银行代扣证明。投标人如依法享受缓缴、免缴税收、社会保障资金的应提供相关主管部门出具的证明材料）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8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10</w:t>
      </w:r>
      <w:r>
        <w:rPr>
          <w:rFonts w:hint="eastAsia" w:ascii="宋体" w:hAnsi="宋体"/>
          <w:sz w:val="21"/>
          <w:szCs w:val="21"/>
        </w:rPr>
        <w:t xml:space="preserve">参加政府采购活动前三年内在经营活动中没有重大违法记录的书面声明函；</w:t>
      </w:r>
      <w:r/>
    </w:p>
    <w:p>
      <w:pPr>
        <w:pStyle w:val="88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11</w:t>
      </w:r>
      <w:r>
        <w:rPr>
          <w:rFonts w:hint="eastAsia" w:ascii="宋体" w:hAnsi="宋体"/>
          <w:sz w:val="21"/>
          <w:szCs w:val="21"/>
        </w:rPr>
        <w:t xml:space="preserve">投标保证承诺书；</w:t>
      </w:r>
      <w:r/>
    </w:p>
    <w:p>
      <w:pPr>
        <w:pStyle w:val="88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12</w:t>
      </w:r>
      <w:r>
        <w:rPr>
          <w:rFonts w:hint="eastAsia" w:ascii="宋体" w:hAnsi="宋体"/>
          <w:sz w:val="21"/>
          <w:szCs w:val="21"/>
        </w:rPr>
        <w:t xml:space="preserve">关于符合本国产品标准的声明函；</w:t>
      </w:r>
      <w:r/>
    </w:p>
    <w:p>
      <w:pPr>
        <w:pStyle w:val="88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13</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8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投标人与其他单位存在控股、管理关系情况表（格式见第三章）。</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.1</w:t>
      </w:r>
      <w:r>
        <w:rPr>
          <w:rFonts w:hint="eastAsia" w:ascii="宋体" w:hAnsi="宋体"/>
          <w:b/>
          <w:sz w:val="21"/>
        </w:rPr>
        <w:t xml:space="preserve">技术服务方案</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.2</w:t>
      </w:r>
      <w:r>
        <w:rPr>
          <w:rFonts w:hint="eastAsia" w:ascii="宋体" w:hAnsi="宋体"/>
          <w:b/>
          <w:sz w:val="21"/>
        </w:rPr>
        <w:t xml:space="preserve">投入本项目企业综合能力</w:t>
      </w:r>
      <w:r/>
    </w:p>
    <w:p>
      <w:pPr>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50"/>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14.1.4.1-14.1.4.13</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50"/>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w:t>
      </w:r>
      <w:r>
        <w:rPr>
          <w:rFonts w:ascii="宋体" w:hAnsi="宋体" w:cs="宋体"/>
          <w:b/>
          <w:bCs/>
          <w:sz w:val="21"/>
          <w:szCs w:val="21"/>
          <w:lang w:val="en-US"/>
        </w:rPr>
        <w:t xml:space="preserve">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50"/>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50"/>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w:t>
      </w:r>
      <w:r/>
    </w:p>
    <w:p>
      <w:pPr>
        <w:pStyle w:val="1250"/>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5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w:t>
      </w:r>
      <w:r>
        <w:rPr>
          <w:rFonts w:hint="eastAsia" w:ascii="宋体" w:hAnsi="宋体"/>
          <w:b/>
          <w:sz w:val="21"/>
          <w:szCs w:val="21"/>
        </w:rPr>
        <w:t xml:space="preserve">代理服务费</w:t>
      </w:r>
      <w:r>
        <w:rPr>
          <w:rFonts w:hint="eastAsia" w:ascii="宋体" w:hAnsi="宋体"/>
          <w:sz w:val="21"/>
          <w:szCs w:val="21"/>
        </w:rPr>
        <w:t xml:space="preserve">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50"/>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5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.2在特殊情况下，招标单位、采购代理机构可与投标人协商延长投标书的有效期。这种要求和答复都应以书面形式进行。同意延长有效期的投标人不能修改投标文件。</w:t>
      </w:r>
      <w:r/>
    </w:p>
    <w:p>
      <w:pPr>
        <w:pStyle w:val="125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50"/>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宋体" w:hAnsi="宋体"/>
          <w:sz w:val="21"/>
          <w:szCs w:val="21"/>
        </w:rPr>
        <w:t xml:space="preserve">本项目采用电子招投标形式，请供应商按照</w:t>
      </w:r>
      <w:r>
        <w:rPr>
          <w:rFonts w:hint="eastAsia" w:ascii="宋体" w:hAnsi="宋体"/>
          <w:b/>
          <w:sz w:val="21"/>
          <w:szCs w:val="21"/>
        </w:rPr>
        <w:t xml:space="preserve">《苏采云系统供应商操作手册》</w:t>
      </w:r>
      <w:r>
        <w:rPr>
          <w:rFonts w:hint="eastAsia" w:ascii="宋体" w:hAnsi="宋体"/>
          <w:sz w:val="21"/>
          <w:szCs w:val="21"/>
        </w:rPr>
        <w:t xml:space="preserve">进行制作、上传电子投标文件。</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21" w:name="_Toc25608"/>
      <w:r/>
      <w:bookmarkStart w:id="22" w:name="_Toc31150"/>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1"/>
      <w:r/>
      <w:bookmarkEnd w:id="22"/>
      <w:r/>
      <w:r/>
    </w:p>
    <w:p>
      <w:pPr>
        <w:pStyle w:val="1250"/>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50"/>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250"/>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.1投标人应当在在投标截止时间前制作并上传电子投标文件。</w:t>
      </w:r>
      <w:r/>
    </w:p>
    <w:p>
      <w:pPr>
        <w:pStyle w:val="884"/>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250"/>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5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招标单位和采购代理机构</w:t>
      </w:r>
      <w:r>
        <w:rPr>
          <w:rFonts w:hint="eastAsia" w:ascii="宋体" w:hAnsi="宋体" w:cs="宋体"/>
          <w:sz w:val="21"/>
          <w:szCs w:val="21"/>
        </w:rPr>
        <w:t xml:space="preserve">拒绝接收。</w:t>
      </w:r>
      <w:r/>
    </w:p>
    <w:p>
      <w:pPr>
        <w:pStyle w:val="125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.2招标单位和采购代理机构推迟投标截止时间时，将按本须知规定的更正公告的方式对外发布。在这种情况下，</w:t>
      </w:r>
      <w:r>
        <w:rPr>
          <w:rFonts w:hint="eastAsia" w:ascii="宋体" w:hAnsi="宋体"/>
          <w:sz w:val="21"/>
          <w:szCs w:val="21"/>
        </w:rPr>
        <w:t xml:space="preserve">招标单位、采购代理机构</w:t>
      </w:r>
      <w:r>
        <w:rPr>
          <w:rFonts w:hint="eastAsia" w:ascii="宋体" w:hAnsi="宋体" w:cs="宋体"/>
          <w:sz w:val="21"/>
          <w:szCs w:val="21"/>
        </w:rPr>
        <w:t xml:space="preserve">和投标人的权利和义务将受到新的截止期的约束。</w:t>
      </w:r>
      <w:r/>
    </w:p>
    <w:p>
      <w:pPr>
        <w:pStyle w:val="125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5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宋体" w:hAnsi="宋体"/>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宋体" w:hAnsi="宋体"/>
          <w:sz w:val="21"/>
          <w:szCs w:val="21"/>
        </w:rPr>
        <w:t xml:space="preserve">《苏采云系统供应商操作手册》</w:t>
      </w:r>
      <w:r>
        <w:rPr>
          <w:rFonts w:hint="eastAsia" w:ascii="宋体" w:hAnsi="宋体" w:cs="宋体"/>
          <w:sz w:val="21"/>
          <w:szCs w:val="21"/>
        </w:rPr>
        <w:t xml:space="preserve">。</w:t>
      </w:r>
      <w:bookmarkStart w:id="23" w:name="_Toc22837"/>
      <w:r/>
      <w:bookmarkStart w:id="24"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50"/>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23"/>
      <w:r/>
      <w:bookmarkEnd w:id="24"/>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宋体" w:hAnsi="宋体"/>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.1公开招标采购项目开标结束后，招标单位应当依法对投标人的资格进行审查，未通过资格审查的视为无效投标。</w:t>
      </w:r>
      <w:r/>
    </w:p>
    <w:p>
      <w:pPr>
        <w:pStyle w:val="125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.1.4确定中标候选人名单，以及根据招标单位委托直接确定中标人；</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.1.5向招标单位、采购代理机构或者有关部门报告评标中发现的违法行为。</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（五）评标结果，确定的中标候选人名单或者经招标单位委托直接确定的中标人；</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.2.6配合招标单位和采购代理机构答复投标人提出的质疑。</w:t>
      </w:r>
      <w:r/>
    </w:p>
    <w:p>
      <w:pPr>
        <w:pStyle w:val="125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.2在投标文件的审查、澄清、评价和比较以及授予合同的过程中，投标人对招标单位、采购代理机构和评标委员会成员施加影响的任何行为，都将取消其中标资格。</w:t>
      </w:r>
      <w:r/>
    </w:p>
    <w:p>
      <w:pPr>
        <w:pStyle w:val="125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.4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.5 评标委员会成员对需要共同认定的事项存在争议的，应当按照少数服从多数的原则作出结论。持不同意见的评标委员会成员应当在评标报告上签署不同意见及理由，否则视为同意评标报告。</w:t>
      </w:r>
      <w:r/>
    </w:p>
    <w:p>
      <w:pPr>
        <w:pStyle w:val="125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50"/>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5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）投标文件含有招标单位不能接受的附加条件的；</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（五）法律、法规和招标文件规定的其他无效情形。</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.2投标人应当遵循公平竞争的原则，不得恶意串通，不得妨碍其他投标人的竞争行为，不得损害招标单位或者其他投标人的合法权益。</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5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.1.3投标人的报价均超过了采购预算，招标单位不能支付的；</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.1.4因重大变故，采购任务取消的；</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.2废标后，招标单位和采购代理机构将把废标的理由通知所有投标人。</w:t>
      </w:r>
      <w:r/>
    </w:p>
    <w:p>
      <w:pPr>
        <w:pStyle w:val="1250"/>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50"/>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50"/>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25" w:name="_Toc19501"/>
      <w:r/>
      <w:bookmarkStart w:id="26" w:name="_Toc18442"/>
      <w:r/>
      <w:r/>
    </w:p>
    <w:p>
      <w:pPr>
        <w:pStyle w:val="1250"/>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25"/>
      <w:r/>
      <w:bookmarkEnd w:id="26"/>
      <w:r/>
      <w:r/>
    </w:p>
    <w:p>
      <w:pPr>
        <w:pStyle w:val="1250"/>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50"/>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.1评标委员会根据投标人资格审查情况，对投标文件进行评价和比较，按照评标办法和标准进行评标，并按招标单位的委托向招标单位推荐中标人。</w:t>
      </w:r>
      <w:r/>
    </w:p>
    <w:p>
      <w:pPr>
        <w:pStyle w:val="1250"/>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5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招标单位将把合同授予其投标文件在实质上响应投标招标文件要求且按本须知规定评选出的投标人。确定为中标的投标人必须具有实施本合同的能力和资源。</w:t>
      </w:r>
      <w:r/>
    </w:p>
    <w:p>
      <w:pPr>
        <w:pStyle w:val="125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50"/>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.2中标通知书将成为合同的组成部分，对招标单位和中标人具有同等法律效力。</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中标通知书发出后，招标单位不得违法改变中标结果，中标人无正当理由不得放弃中标。</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bCs/>
          <w:sz w:val="21"/>
          <w:szCs w:val="21"/>
          <w:lang w:val="en-US"/>
        </w:rPr>
        <w:t xml:space="preserve">招标单位及其委托的代理机构在发放《中标（成交）通知书》的同时，向参与项目评审的未中标（成交）供应商发放《未中标（成交）通知书》，以电子邮件、纸质寄送等与投标（响应）供应商约定的方式书面告知该未中标（成交）供应商的评审得分与排名，未中标（成交）供应商未按约定的时间和方式获取告知信息的，视为自动放弃并自行承担相应后果。</w:t>
      </w:r>
      <w:r/>
    </w:p>
    <w:p>
      <w:pPr>
        <w:pStyle w:val="125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按照《关于做好政府采购支持企业发展有关事项的通知》（苏财购〔2020〕52号）及</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文件精神，招标单位与中</w:t>
      </w:r>
      <w:r>
        <w:rPr>
          <w:rFonts w:hint="eastAsia" w:ascii="宋体" w:hAnsi="宋体" w:cs="宋体"/>
          <w:sz w:val="21"/>
          <w:szCs w:val="21"/>
        </w:rPr>
        <w:t xml:space="preserve">标人原则上应当在中标通知书发出之日起三十日内，按照招标文件及投标文件确定的事项签订政府采购合同。</w:t>
      </w:r>
      <w:r/>
    </w:p>
    <w:p>
      <w:pPr>
        <w:pStyle w:val="1250"/>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招标单位与中标人所签订的合同不得对招标文件确定的事项和中标人投标文件作实质性修改，招标单位不得向中标人提出任何不合理的要求作为签订合同的条件。</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50"/>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5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政府采购合同履行中，招标单位需追加与合同标的相同货物、工程或者服务的，在不改变合同其他条款的前提下，可以与中标人协商签订补充合同，但所有补充合同的采购金额不得超过原合同采购金额的1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27" w:name="_Toc21029"/>
      <w:r/>
      <w:bookmarkStart w:id="28" w:name="_Toc8186"/>
      <w:r/>
      <w:r/>
    </w:p>
    <w:p>
      <w:pPr>
        <w:pStyle w:val="1250"/>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27"/>
      <w:r/>
      <w:bookmarkEnd w:id="28"/>
      <w:r/>
      <w:r/>
    </w:p>
    <w:p>
      <w:pPr>
        <w:pStyle w:val="125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.有关监督部门将对招投标全过程进行监督。</w:t>
      </w:r>
      <w:r/>
    </w:p>
    <w:p>
      <w:pPr>
        <w:pStyle w:val="1250"/>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w:t>
      </w:r>
      <w:r>
        <w:rPr>
          <w:rFonts w:hint="eastAsia" w:ascii="宋体" w:hAnsi="宋体"/>
        </w:rPr>
        <w:t xml:space="preserve"> </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866"/>
        <w:ind w:left="0" w:firstLine="0"/>
        <w:jc w:val="center"/>
        <w:spacing w:line="240" w:lineRule="auto"/>
        <w:rPr>
          <w:rFonts w:ascii="宋体" w:hAnsi="宋体" w:cs="Times New Roman"/>
          <w:b/>
          <w:bCs/>
          <w:sz w:val="28"/>
          <w:szCs w:val="28"/>
          <w:lang w:val="zh-CN"/>
        </w:rPr>
      </w:pPr>
      <w:r/>
      <w:bookmarkStart w:id="29" w:name="_Toc7264"/>
      <w:r/>
      <w:bookmarkStart w:id="30" w:name="_Toc24711"/>
      <w:r>
        <w:rPr>
          <w:rFonts w:hint="eastAsia" w:ascii="宋体" w:hAnsi="宋体"/>
          <w:b/>
          <w:sz w:val="44"/>
          <w:szCs w:val="22"/>
        </w:rPr>
        <w:br w:type="page" w:clear="all"/>
      </w:r>
      <w:bookmarkStart w:id="31" w:name="_Toc159146113"/>
      <w:r>
        <w:rPr>
          <w:rFonts w:hint="eastAsia" w:ascii="宋体" w:hAnsi="宋体" w:cs="Times New Roman"/>
          <w:b/>
          <w:bCs/>
          <w:sz w:val="28"/>
          <w:szCs w:val="28"/>
          <w:lang w:val="zh-CN"/>
        </w:rPr>
        <w:t xml:space="preserve">第三章  </w:t>
      </w:r>
      <w:bookmarkStart w:id="32" w:name="投标文件格式"/>
      <w:r/>
      <w:bookmarkEnd w:id="32"/>
      <w:r>
        <w:rPr>
          <w:rFonts w:hint="eastAsia" w:ascii="宋体" w:hAnsi="宋体" w:cs="Times New Roman"/>
          <w:b/>
          <w:bCs/>
          <w:sz w:val="28"/>
          <w:szCs w:val="28"/>
          <w:lang w:val="zh-CN"/>
        </w:rPr>
        <w:t xml:space="preserve">投标文件格式</w:t>
      </w:r>
      <w:bookmarkEnd w:id="29"/>
      <w:r/>
      <w:bookmarkEnd w:id="30"/>
      <w:r/>
      <w:bookmarkEnd w:id="31"/>
      <w:r/>
      <w:r/>
    </w:p>
    <w:p>
      <w:pPr>
        <w:ind w:left="0" w:firstLine="420"/>
        <w:spacing w:line="440" w:lineRule="exact"/>
        <w:rPr>
          <w:rFonts w:ascii="宋体" w:hAnsi="宋体"/>
          <w:sz w:val="21"/>
          <w:szCs w:val="21"/>
          <w:lang w:val="zh-CN"/>
        </w:rPr>
      </w:pPr>
      <w:r>
        <w:rPr>
          <w:rFonts w:ascii="宋体" w:hAnsi="宋体"/>
          <w:sz w:val="21"/>
          <w:szCs w:val="21"/>
          <w:lang w:val="zh-CN"/>
        </w:rPr>
        <w:t xml:space="preserve">说明：</w:t>
      </w:r>
      <w:r/>
    </w:p>
    <w:p>
      <w:pPr>
        <w:ind w:left="0" w:firstLine="420"/>
        <w:spacing w:line="440" w:lineRule="exact"/>
        <w:rPr>
          <w:rFonts w:ascii="宋体" w:hAnsi="宋体"/>
          <w:sz w:val="21"/>
          <w:szCs w:val="21"/>
          <w:lang w:val="zh-CN"/>
        </w:rPr>
      </w:pPr>
      <w:r>
        <w:rPr>
          <w:rFonts w:ascii="宋体" w:hAnsi="宋体"/>
          <w:sz w:val="21"/>
          <w:szCs w:val="21"/>
          <w:lang w:val="zh-CN"/>
        </w:rPr>
        <w:t xml:space="preserve">对本章所有的投标书格式，投标方可根据自身情况进行补充和修改，但补充和修改不得造成与本格式内容有实质性的违背。</w:t>
      </w:r>
      <w:bookmarkStart w:id="33" w:name="_Toc71810480"/>
      <w:r/>
      <w:bookmarkStart w:id="34" w:name="_Toc159146114"/>
      <w:r/>
      <w:bookmarkStart w:id="35" w:name="_Toc3821"/>
      <w:r/>
      <w:bookmarkStart w:id="36" w:name="_Toc105397779"/>
      <w:r/>
      <w:bookmarkStart w:id="37" w:name="_Toc17036"/>
      <w:r/>
      <w:r/>
    </w:p>
    <w:p>
      <w:pPr>
        <w:ind w:left="0"/>
        <w:spacing w:line="440" w:lineRule="exact"/>
        <w:rPr>
          <w:rFonts w:ascii="宋体" w:hAnsi="宋体"/>
          <w:b/>
          <w:sz w:val="21"/>
          <w:szCs w:val="21"/>
          <w:lang w:val="zh-CN"/>
        </w:rPr>
      </w:pPr>
      <w:r>
        <w:rPr>
          <w:rFonts w:hint="eastAsia" w:ascii="宋体" w:hAnsi="宋体"/>
          <w:b/>
          <w:sz w:val="21"/>
          <w:szCs w:val="21"/>
          <w:lang w:val="zh-CN"/>
        </w:rPr>
        <w:t xml:space="preserve">附件1.投标函</w:t>
      </w:r>
      <w:bookmarkEnd w:id="33"/>
      <w:r/>
      <w:bookmarkEnd w:id="34"/>
      <w:r/>
      <w:bookmarkEnd w:id="35"/>
      <w:r/>
      <w:bookmarkEnd w:id="36"/>
      <w:r/>
      <w:bookmarkEnd w:id="37"/>
      <w:r/>
      <w:r/>
    </w:p>
    <w:p>
      <w:pPr>
        <w:jc w:val="center"/>
        <w:spacing w:line="440" w:lineRule="exact"/>
        <w:rPr>
          <w:rFonts w:ascii="宋体" w:hAnsi="宋体"/>
          <w:b/>
          <w:sz w:val="21"/>
          <w:szCs w:val="21"/>
        </w:rPr>
      </w:pPr>
      <w:r>
        <w:rPr>
          <w:rFonts w:hint="eastAsia" w:ascii="宋体" w:hAnsi="宋体"/>
          <w:b/>
          <w:sz w:val="21"/>
          <w:szCs w:val="21"/>
        </w:rPr>
        <w:t xml:space="preserve">投标函</w:t>
      </w:r>
      <w:r/>
    </w:p>
    <w:p>
      <w:pPr>
        <w:ind w:left="0" w:firstLine="4638"/>
        <w:jc w:val="left"/>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苏州公正建设咨询房地产评估有限公司</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6、我方承诺该项投标在开标后的全过程中保持有效，不作任何更改和变动。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38" w:name="_Toc159146115"/>
      <w:r/>
      <w:bookmarkStart w:id="39" w:name="_Toc71810481"/>
      <w:r/>
      <w:bookmarkStart w:id="40"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38"/>
      <w:r/>
      <w:bookmarkEnd w:id="39"/>
      <w:r/>
      <w:bookmarkEnd w:id="40"/>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41" w:name="TBR"/>
      <w:r/>
      <w:bookmarkEnd w:id="4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42" w:name="FBH"/>
      <w:r/>
      <w:bookmarkStart w:id="43" w:name="XMBH"/>
      <w:r/>
      <w:bookmarkEnd w:id="42"/>
      <w:r/>
      <w:bookmarkEnd w:id="43"/>
      <w:r/>
      <w:r/>
    </w:p>
    <w:tbl>
      <w:tblPr>
        <w:tblW w:w="98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rPr>
                <w:rFonts w:ascii="宋体" w:hAnsi="宋体"/>
                <w:sz w:val="21"/>
                <w:szCs w:val="21"/>
              </w:rPr>
            </w:pPr>
            <w:r/>
            <w:bookmarkStart w:id="44" w:name="XMMC"/>
            <w:r/>
            <w:bookmarkEnd w:id="44"/>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45" w:name="JEXX"/>
            <w:r/>
            <w:bookmarkEnd w:id="45"/>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spacing w:line="600" w:lineRule="exact"/>
              <w:rPr>
                <w:rFonts w:ascii="宋体" w:hAnsi="宋体"/>
                <w:sz w:val="21"/>
                <w:szCs w:val="21"/>
              </w:rPr>
            </w:pPr>
            <w:r/>
            <w:bookmarkStart w:id="46" w:name="JEDX"/>
            <w:r/>
            <w:bookmarkEnd w:id="46"/>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47" w:name="NF"/>
      <w:r/>
      <w:bookmarkEnd w:id="47"/>
      <w:r>
        <w:rPr>
          <w:rFonts w:hint="eastAsia" w:ascii="宋体" w:hAnsi="宋体"/>
          <w:sz w:val="21"/>
          <w:szCs w:val="21"/>
        </w:rPr>
        <w:t xml:space="preserve"> 年 </w:t>
      </w:r>
      <w:bookmarkStart w:id="48" w:name="YF"/>
      <w:r/>
      <w:bookmarkEnd w:id="48"/>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49" w:name="RI"/>
      <w:r/>
      <w:bookmarkEnd w:id="49"/>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2、如有分包，投标人投任何一个包的标的，都需单独填写开标一览表。</w:t>
      </w:r>
      <w:r/>
    </w:p>
    <w:p>
      <w:pPr>
        <w:pStyle w:val="892"/>
        <w:rPr>
          <w:rFonts w:ascii="宋体" w:hAnsi="宋体"/>
        </w:rPr>
      </w:pPr>
      <w:r>
        <w:rPr>
          <w:rFonts w:ascii="宋体" w:hAnsi="宋体"/>
        </w:rPr>
      </w:r>
      <w:r/>
    </w:p>
    <w:p>
      <w:pPr>
        <w:ind w:left="0"/>
        <w:spacing w:line="440" w:lineRule="exact"/>
        <w:rPr>
          <w:rFonts w:ascii="宋体" w:hAnsi="宋体"/>
          <w:b/>
          <w:sz w:val="21"/>
          <w:szCs w:val="21"/>
        </w:rPr>
      </w:pPr>
      <w:r/>
      <w:bookmarkStart w:id="50" w:name="_Toc7945"/>
      <w:r/>
      <w:bookmarkStart w:id="51" w:name="_Toc241"/>
      <w:r/>
      <w:bookmarkStart w:id="52"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92"/>
        <w:rPr>
          <w:rFonts w:ascii="宋体" w:hAnsi="宋体"/>
        </w:rPr>
      </w:pPr>
      <w:r>
        <w:rPr>
          <w:rFonts w:ascii="宋体" w:hAnsi="宋体"/>
        </w:rPr>
      </w:r>
      <w:r/>
    </w:p>
    <w:p>
      <w:pPr>
        <w:ind w:left="0"/>
        <w:spacing w:line="440" w:lineRule="exact"/>
        <w:rPr>
          <w:rFonts w:ascii="宋体" w:hAnsi="宋体"/>
          <w:b/>
          <w:sz w:val="21"/>
          <w:szCs w:val="21"/>
        </w:rPr>
      </w:pPr>
      <w:r>
        <w:rPr>
          <w:rFonts w:ascii="宋体" w:hAnsi="宋体"/>
          <w:b/>
          <w:sz w:val="21"/>
          <w:szCs w:val="21"/>
        </w:rPr>
      </w:r>
      <w:r/>
    </w:p>
    <w:p>
      <w:pPr>
        <w:ind w:left="0"/>
        <w:jc w:val="left"/>
        <w:rPr>
          <w:rFonts w:ascii="宋体" w:hAnsi="宋体"/>
          <w:b/>
          <w:sz w:val="21"/>
          <w:szCs w:val="21"/>
        </w:rPr>
      </w:pPr>
      <w:r/>
      <w:bookmarkStart w:id="53" w:name="_Toc105397781"/>
      <w:r/>
      <w:bookmarkStart w:id="54" w:name="_Toc159146116"/>
      <w:r>
        <w:rPr>
          <w:rFonts w:ascii="宋体" w:hAnsi="宋体"/>
          <w:b/>
          <w:sz w:val="21"/>
          <w:szCs w:val="21"/>
        </w:rPr>
        <w:br w:type="page" w:clear="all"/>
      </w:r>
      <w:r/>
    </w:p>
    <w:p>
      <w:pPr>
        <w:ind w:left="0"/>
        <w:rPr>
          <w:rFonts w:ascii="宋体" w:hAnsi="宋体"/>
          <w:b/>
          <w:sz w:val="21"/>
          <w:szCs w:val="21"/>
        </w:rPr>
        <w:outlineLvl w:val="0"/>
      </w:pPr>
      <w:r>
        <w:rPr>
          <w:rFonts w:ascii="宋体" w:hAnsi="宋体"/>
          <w:b/>
          <w:sz w:val="21"/>
          <w:szCs w:val="21"/>
        </w:rPr>
        <w:t xml:space="preserve">附件3</w:t>
      </w:r>
      <w:bookmarkEnd w:id="50"/>
      <w:r/>
      <w:bookmarkEnd w:id="51"/>
      <w:r>
        <w:rPr>
          <w:rFonts w:hint="eastAsia" w:ascii="宋体" w:hAnsi="宋体"/>
          <w:b/>
          <w:sz w:val="21"/>
          <w:szCs w:val="21"/>
        </w:rPr>
        <w:t xml:space="preserve">.</w:t>
      </w:r>
      <w:r>
        <w:rPr>
          <w:rFonts w:hint="eastAsia" w:ascii="宋体" w:hAnsi="宋体"/>
        </w:rPr>
        <w:t xml:space="preserve"> </w:t>
      </w:r>
      <w:bookmarkEnd w:id="52"/>
      <w:r/>
      <w:bookmarkEnd w:id="53"/>
      <w:r/>
      <w:bookmarkEnd w:id="54"/>
      <w:r>
        <w:rPr>
          <w:rFonts w:hint="eastAsia" w:ascii="宋体" w:hAnsi="宋体"/>
          <w:b/>
          <w:sz w:val="21"/>
          <w:szCs w:val="21"/>
        </w:rPr>
        <w:t xml:space="preserve">投标报价明细表</w:t>
      </w:r>
      <w:r/>
    </w:p>
    <w:p>
      <w:pPr>
        <w:ind w:left="0"/>
        <w:jc w:val="center"/>
        <w:spacing w:line="400" w:lineRule="exact"/>
        <w:widowControl w:val="off"/>
        <w:rPr>
          <w:rFonts w:ascii="宋体" w:hAnsi="宋体"/>
          <w:b/>
          <w:bCs/>
          <w:sz w:val="21"/>
          <w:szCs w:val="21"/>
        </w:rPr>
      </w:pPr>
      <w:r>
        <w:rPr>
          <w:rFonts w:hint="eastAsia" w:ascii="宋体" w:hAnsi="宋体"/>
          <w:b/>
          <w:bCs/>
          <w:sz w:val="28"/>
          <w:szCs w:val="21"/>
        </w:rPr>
        <w:t xml:space="preserve">投标报价明细表</w:t>
      </w:r>
      <w:r/>
    </w:p>
    <w:p>
      <w:pPr>
        <w:ind w:left="560"/>
        <w:spacing w:after="120"/>
        <w:widowControl w:val="off"/>
        <w:rPr>
          <w:rFonts w:ascii="宋体" w:hAnsi="宋体"/>
          <w:sz w:val="21"/>
          <w:szCs w:val="21"/>
        </w:rPr>
      </w:pPr>
      <w:r>
        <w:rPr>
          <w:rFonts w:hint="eastAsia" w:ascii="宋体" w:hAnsi="宋体"/>
          <w:sz w:val="21"/>
          <w:szCs w:val="21"/>
        </w:rPr>
        <w:t xml:space="preserve">项目名称： </w:t>
      </w:r>
      <w:r>
        <w:rPr>
          <w:rFonts w:ascii="宋体" w:hAnsi="宋体"/>
          <w:sz w:val="21"/>
          <w:szCs w:val="21"/>
        </w:rPr>
        <w:t xml:space="preserve">                                            </w:t>
      </w:r>
      <w:r>
        <w:rPr>
          <w:rFonts w:hint="eastAsia" w:ascii="宋体" w:hAnsi="宋体"/>
          <w:sz w:val="21"/>
          <w:szCs w:val="21"/>
        </w:rPr>
        <w:t xml:space="preserve">项目编号：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35"/>
        <w:gridCol w:w="1398"/>
        <w:gridCol w:w="1154"/>
        <w:gridCol w:w="1275"/>
        <w:gridCol w:w="1276"/>
        <w:gridCol w:w="1163"/>
        <w:gridCol w:w="1276"/>
        <w:gridCol w:w="1867"/>
      </w:tblGrid>
      <w:tr>
        <w:trPr>
          <w:jc w:val="center"/>
          <w:trHeight w:val="441"/>
        </w:trPr>
        <w:tc>
          <w:tcPr>
            <w:tcW w:w="735" w:type="dxa"/>
            <w:vAlign w:val="center"/>
            <w:textDirection w:val="lrTb"/>
            <w:noWrap w:val="false"/>
          </w:tcPr>
          <w:p>
            <w:pPr>
              <w:ind w:left="0"/>
              <w:jc w:val="center"/>
              <w:spacing w:before="190" w:line="360" w:lineRule="auto"/>
              <w:widowControl w:val="off"/>
              <w:rPr>
                <w:rFonts w:ascii="宋体" w:hAnsi="宋体"/>
                <w:sz w:val="21"/>
                <w:szCs w:val="21"/>
              </w:rPr>
            </w:pPr>
            <w:r>
              <w:rPr>
                <w:rFonts w:hint="eastAsia" w:ascii="宋体" w:hAnsi="宋体"/>
                <w:sz w:val="21"/>
                <w:szCs w:val="21"/>
              </w:rPr>
              <w:t xml:space="preserve">序号</w:t>
            </w:r>
            <w:r/>
          </w:p>
        </w:tc>
        <w:tc>
          <w:tcPr>
            <w:tcW w:w="1398"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设备名称</w:t>
            </w:r>
            <w:r/>
          </w:p>
        </w:tc>
        <w:tc>
          <w:tcPr>
            <w:tcW w:w="1154" w:type="dxa"/>
            <w:vAlign w:val="center"/>
            <w:textDirection w:val="lrTb"/>
            <w:noWrap w:val="false"/>
          </w:tcPr>
          <w:p>
            <w:pPr>
              <w:ind w:left="0"/>
              <w:jc w:val="center"/>
              <w:spacing w:before="190" w:line="360" w:lineRule="auto"/>
              <w:widowControl w:val="off"/>
              <w:rPr>
                <w:rFonts w:ascii="宋体" w:hAnsi="宋体"/>
                <w:sz w:val="21"/>
                <w:szCs w:val="21"/>
              </w:rPr>
            </w:pPr>
            <w:r>
              <w:rPr>
                <w:rFonts w:hint="eastAsia" w:ascii="宋体" w:hAnsi="宋体"/>
                <w:sz w:val="21"/>
                <w:szCs w:val="21"/>
              </w:rPr>
              <w:t xml:space="preserve">品牌、型号、规格</w:t>
            </w:r>
            <w:r/>
          </w:p>
        </w:tc>
        <w:tc>
          <w:tcPr>
            <w:tcW w:w="1275" w:type="dxa"/>
            <w:vAlign w:val="center"/>
            <w:textDirection w:val="lrTb"/>
            <w:noWrap w:val="false"/>
          </w:tcPr>
          <w:p>
            <w:pPr>
              <w:ind w:left="0"/>
              <w:jc w:val="center"/>
              <w:spacing w:before="190" w:line="360" w:lineRule="auto"/>
              <w:widowControl w:val="off"/>
              <w:rPr>
                <w:rFonts w:ascii="宋体" w:hAnsi="宋体"/>
                <w:sz w:val="21"/>
                <w:szCs w:val="21"/>
              </w:rPr>
            </w:pPr>
            <w:r>
              <w:rPr>
                <w:rFonts w:hint="eastAsia" w:ascii="宋体" w:hAnsi="宋体"/>
                <w:sz w:val="21"/>
                <w:szCs w:val="21"/>
              </w:rPr>
              <w:t xml:space="preserve">生产厂家</w:t>
            </w:r>
            <w:r/>
          </w:p>
        </w:tc>
        <w:tc>
          <w:tcPr>
            <w:tcW w:w="1276" w:type="dxa"/>
            <w:vAlign w:val="center"/>
            <w:textDirection w:val="lrTb"/>
            <w:noWrap w:val="false"/>
          </w:tcPr>
          <w:p>
            <w:pPr>
              <w:ind w:left="0"/>
              <w:jc w:val="center"/>
              <w:spacing w:before="190" w:line="360" w:lineRule="auto"/>
              <w:widowControl w:val="off"/>
              <w:rPr>
                <w:rFonts w:ascii="宋体" w:hAnsi="宋体"/>
                <w:sz w:val="21"/>
                <w:szCs w:val="21"/>
              </w:rPr>
            </w:pPr>
            <w:r>
              <w:rPr>
                <w:rFonts w:hint="eastAsia" w:ascii="宋体" w:hAnsi="宋体"/>
                <w:sz w:val="21"/>
                <w:szCs w:val="21"/>
              </w:rPr>
              <w:t xml:space="preserve">数量/单位</w:t>
            </w:r>
            <w:r/>
          </w:p>
        </w:tc>
        <w:tc>
          <w:tcPr>
            <w:tcW w:w="1163" w:type="dxa"/>
            <w:vAlign w:val="center"/>
            <w:textDirection w:val="lrTb"/>
            <w:noWrap w:val="false"/>
          </w:tcPr>
          <w:p>
            <w:pPr>
              <w:ind w:left="0"/>
              <w:jc w:val="center"/>
              <w:spacing w:before="190" w:line="360" w:lineRule="auto"/>
              <w:widowControl w:val="off"/>
              <w:rPr>
                <w:rFonts w:ascii="宋体" w:hAnsi="宋体"/>
                <w:sz w:val="21"/>
                <w:szCs w:val="21"/>
              </w:rPr>
            </w:pPr>
            <w:r>
              <w:rPr>
                <w:rFonts w:hint="eastAsia" w:ascii="宋体" w:hAnsi="宋体"/>
                <w:sz w:val="21"/>
                <w:szCs w:val="21"/>
              </w:rPr>
              <w:t xml:space="preserve">单价（元）</w:t>
            </w:r>
            <w:r/>
          </w:p>
        </w:tc>
        <w:tc>
          <w:tcPr>
            <w:tcW w:w="1276" w:type="dxa"/>
            <w:vAlign w:val="center"/>
            <w:textDirection w:val="lrTb"/>
            <w:noWrap w:val="false"/>
          </w:tcPr>
          <w:p>
            <w:pPr>
              <w:ind w:left="0"/>
              <w:jc w:val="center"/>
              <w:spacing w:before="190" w:line="360" w:lineRule="auto"/>
              <w:widowControl w:val="off"/>
              <w:rPr>
                <w:rFonts w:ascii="宋体" w:hAnsi="宋体"/>
                <w:sz w:val="21"/>
                <w:szCs w:val="21"/>
              </w:rPr>
            </w:pPr>
            <w:r>
              <w:rPr>
                <w:rFonts w:hint="eastAsia" w:ascii="宋体" w:hAnsi="宋体"/>
                <w:sz w:val="21"/>
                <w:szCs w:val="21"/>
              </w:rPr>
              <w:t xml:space="preserve">总价（元）</w:t>
            </w:r>
            <w:r/>
          </w:p>
        </w:tc>
        <w:tc>
          <w:tcPr>
            <w:tcW w:w="1867"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是否属于小微型、监狱、残疾人企业的产品</w:t>
            </w:r>
            <w:r/>
          </w:p>
        </w:tc>
      </w:tr>
      <w:tr>
        <w:trPr>
          <w:jc w:val="center"/>
        </w:trPr>
        <w:tc>
          <w:tcPr>
            <w:tcW w:w="73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8"/>
                <w:szCs w:val="21"/>
              </w:rPr>
              <w:t xml:space="preserve">1</w:t>
            </w:r>
            <w:r/>
          </w:p>
        </w:tc>
        <w:tc>
          <w:tcPr>
            <w:tcW w:w="1398"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115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127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1163"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186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Pr>
        <w:tc>
          <w:tcPr>
            <w:tcW w:w="73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1398"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115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127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1163"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186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Pr>
        <w:tc>
          <w:tcPr>
            <w:tcW w:w="73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1398"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115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127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1163"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186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Pr>
        <w:tc>
          <w:tcPr>
            <w:tcW w:w="73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1398"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115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127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1163"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186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Pr>
        <w:tc>
          <w:tcPr>
            <w:tcW w:w="73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1398"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115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127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1163"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186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Pr>
        <w:tc>
          <w:tcPr>
            <w:gridSpan w:val="8"/>
            <w:tcW w:w="10144" w:type="dxa"/>
            <w:vAlign w:val="center"/>
            <w:textDirection w:val="lrTb"/>
            <w:noWrap w:val="false"/>
          </w:tcPr>
          <w:p>
            <w:pPr>
              <w:ind w:left="0"/>
              <w:spacing w:line="360" w:lineRule="auto"/>
              <w:widowControl w:val="off"/>
              <w:rPr>
                <w:rFonts w:ascii="宋体" w:hAnsi="宋体"/>
                <w:sz w:val="21"/>
                <w:szCs w:val="21"/>
                <w:u w:val="single"/>
              </w:rPr>
            </w:pPr>
            <w:r>
              <w:rPr>
                <w:rFonts w:hint="eastAsia" w:ascii="宋体" w:hAnsi="宋体"/>
                <w:sz w:val="21"/>
                <w:szCs w:val="21"/>
              </w:rPr>
              <w:t xml:space="preserve">投标总报价：人民币（大写）</w:t>
            </w:r>
            <w:r>
              <w:rPr>
                <w:rFonts w:hint="eastAsia" w:ascii="宋体" w:hAnsi="宋体"/>
                <w:sz w:val="21"/>
                <w:szCs w:val="21"/>
                <w:u w:val="single"/>
              </w:rPr>
              <w:t xml:space="preserve">                         </w:t>
            </w:r>
            <w:r>
              <w:rPr>
                <w:rFonts w:hint="eastAsia" w:ascii="宋体" w:hAnsi="宋体"/>
                <w:sz w:val="21"/>
                <w:szCs w:val="21"/>
              </w:rPr>
              <w:t xml:space="preserve">；￥</w:t>
            </w:r>
            <w:r>
              <w:rPr>
                <w:rFonts w:hint="eastAsia" w:ascii="宋体" w:hAnsi="宋体"/>
                <w:sz w:val="21"/>
                <w:szCs w:val="21"/>
                <w:u w:val="single"/>
              </w:rPr>
              <w:t xml:space="preserve">                       </w:t>
            </w:r>
            <w:r>
              <w:rPr>
                <w:rFonts w:hint="eastAsia" w:ascii="宋体" w:hAnsi="宋体"/>
                <w:sz w:val="21"/>
                <w:szCs w:val="21"/>
              </w:rPr>
              <w:t xml:space="preserve"> ；</w:t>
            </w:r>
            <w:r/>
          </w:p>
        </w:tc>
      </w:tr>
    </w:tbl>
    <w:p>
      <w:pPr>
        <w:ind w:left="0"/>
        <w:spacing w:line="440" w:lineRule="exact"/>
        <w:widowControl w:val="off"/>
        <w:rPr>
          <w:rFonts w:ascii="宋体" w:hAnsi="宋体"/>
          <w:bCs/>
          <w:sz w:val="21"/>
          <w:szCs w:val="21"/>
        </w:rPr>
      </w:pPr>
      <w:r>
        <w:rPr>
          <w:rFonts w:hint="eastAsia" w:ascii="宋体" w:hAnsi="宋体"/>
          <w:sz w:val="21"/>
          <w:szCs w:val="21"/>
        </w:rPr>
        <w:t xml:space="preserve">注：“</w:t>
      </w:r>
      <w:r>
        <w:rPr>
          <w:rFonts w:hint="eastAsia" w:ascii="宋体" w:hAnsi="宋体"/>
          <w:bCs/>
          <w:sz w:val="21"/>
          <w:szCs w:val="21"/>
        </w:rPr>
        <w:t xml:space="preserve">投标报价分析表”投标总价应当与“开标一览表”的</w:t>
      </w:r>
      <w:r>
        <w:rPr>
          <w:rFonts w:hint="eastAsia" w:ascii="宋体" w:hAnsi="宋体"/>
          <w:sz w:val="21"/>
          <w:szCs w:val="21"/>
        </w:rPr>
        <w:t xml:space="preserve">投标总价</w:t>
      </w:r>
      <w:r>
        <w:rPr>
          <w:rFonts w:hint="eastAsia" w:ascii="宋体" w:hAnsi="宋体"/>
          <w:bCs/>
          <w:sz w:val="21"/>
          <w:szCs w:val="21"/>
        </w:rPr>
        <w:t xml:space="preserve">相等，如不相等，以“开标一览表”为准。</w:t>
      </w:r>
      <w:r/>
    </w:p>
    <w:p>
      <w:pPr>
        <w:ind w:left="0" w:firstLine="21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投标单位（公章）：</w:t>
      </w:r>
      <w:r/>
    </w:p>
    <w:p>
      <w:pPr>
        <w:ind w:left="0" w:firstLine="21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法定代表人或代理人：（签字或签章）</w:t>
      </w:r>
      <w:r/>
    </w:p>
    <w:p>
      <w:pPr>
        <w:ind w:left="0"/>
        <w:spacing w:line="360" w:lineRule="auto"/>
        <w:widowControl w:val="off"/>
        <w:rPr>
          <w:rFonts w:ascii="宋体" w:hAnsi="宋体"/>
          <w:sz w:val="21"/>
          <w:szCs w:val="21"/>
        </w:rPr>
      </w:pPr>
      <w:r>
        <w:rPr>
          <w:rFonts w:hint="eastAsia" w:ascii="宋体" w:hAnsi="宋体" w:cs="Times New Roman"/>
          <w:sz w:val="21"/>
          <w:szCs w:val="21"/>
        </w:rPr>
        <w:t xml:space="preserve">日期：     年     月     日</w:t>
      </w:r>
      <w:r/>
    </w:p>
    <w:p>
      <w:pPr>
        <w:pStyle w:val="927"/>
        <w:ind w:left="400" w:firstLine="400"/>
        <w:rPr>
          <w:rFonts w:ascii="宋体" w:hAnsi="宋体"/>
        </w:rPr>
      </w:pPr>
      <w:r>
        <w:rPr>
          <w:rFonts w:ascii="宋体" w:hAnsi="宋体"/>
        </w:r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55" w:name="_Toc71810483"/>
      <w:r/>
      <w:bookmarkStart w:id="56" w:name="_Toc105397782"/>
      <w:r/>
      <w:bookmarkStart w:id="57" w:name="_Toc159146117"/>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55"/>
      <w:r/>
      <w:bookmarkEnd w:id="56"/>
      <w:r/>
      <w:bookmarkEnd w:id="57"/>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苏州公正建设咨询房地产评估有限公司</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92"/>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58" w:name="_Toc21574"/>
      <w:r/>
      <w:bookmarkStart w:id="59" w:name="_Toc159146118"/>
      <w:r/>
      <w:bookmarkStart w:id="60" w:name="_Toc105397783"/>
      <w:r/>
      <w:bookmarkStart w:id="61" w:name="_Toc71810484"/>
      <w:r/>
      <w:bookmarkStart w:id="62" w:name="_Toc1962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58"/>
      <w:r/>
      <w:bookmarkEnd w:id="59"/>
      <w:r/>
      <w:bookmarkEnd w:id="60"/>
      <w:r/>
      <w:bookmarkEnd w:id="61"/>
      <w:r/>
      <w:bookmarkEnd w:id="62"/>
      <w:r/>
      <w:r/>
    </w:p>
    <w:p>
      <w:pPr>
        <w:ind w:left="0"/>
        <w:jc w:val="center"/>
        <w:spacing w:line="360" w:lineRule="auto"/>
        <w:widowControl w:val="off"/>
        <w:rPr>
          <w:rFonts w:ascii="宋体" w:hAnsi="宋体" w:cs="Times New Roman"/>
          <w:color w:val="000000"/>
          <w:sz w:val="21"/>
          <w:szCs w:val="21"/>
        </w:rPr>
      </w:pPr>
      <w:r>
        <w:rPr>
          <w:rFonts w:hint="eastAsia" w:ascii="宋体" w:hAnsi="宋体" w:cs="Times New Roman"/>
          <w:b/>
          <w:bCs/>
          <w:color w:val="000000"/>
          <w:sz w:val="28"/>
          <w:szCs w:val="28"/>
        </w:rPr>
        <w:t xml:space="preserve">中小企业声明函（货物）</w:t>
      </w:r>
      <w:r/>
    </w:p>
    <w:p>
      <w:pPr>
        <w:ind w:left="0"/>
        <w:jc w:val="left"/>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p>
      <w:pPr>
        <w:ind w:left="0"/>
        <w:jc w:val="left"/>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本公司（联合体）郑重声明，根据《政府采购促进中小企业发展管理办法》（财库〔2020〕46号）的规定，本公司（联合体)参加 </w:t>
      </w:r>
      <w:r>
        <w:rPr>
          <w:rFonts w:hint="eastAsia" w:ascii="宋体" w:hAnsi="宋体" w:cs="Times New Roman"/>
          <w:color w:val="000000"/>
          <w:sz w:val="21"/>
          <w:szCs w:val="21"/>
          <w:u w:val="single"/>
        </w:rPr>
        <w:t xml:space="preserve">     （单位名称）    </w:t>
      </w:r>
      <w:r>
        <w:rPr>
          <w:rFonts w:hint="eastAsia" w:ascii="宋体" w:hAnsi="宋体" w:cs="Times New Roman"/>
          <w:color w:val="000000"/>
          <w:sz w:val="21"/>
          <w:szCs w:val="21"/>
        </w:rPr>
        <w:t xml:space="preserve">的 </w:t>
      </w:r>
      <w:r>
        <w:rPr>
          <w:rFonts w:hint="eastAsia" w:ascii="宋体" w:hAnsi="宋体" w:cs="Times New Roman"/>
          <w:color w:val="000000"/>
          <w:sz w:val="21"/>
          <w:szCs w:val="21"/>
          <w:u w:val="single"/>
        </w:rPr>
        <w:t xml:space="preserve">   （项目名称）     </w:t>
      </w:r>
      <w:r>
        <w:rPr>
          <w:rFonts w:hint="eastAsia" w:ascii="宋体" w:hAnsi="宋体" w:cs="Times New Roman"/>
          <w:color w:val="000000"/>
          <w:sz w:val="21"/>
          <w:szCs w:val="21"/>
        </w:rPr>
        <w:t xml:space="preserve">招投标活动，提供的货物由符合政策要求的中小企业制造。相关企业（含联合体中的中小企业、签订分包意向协议的中小企业）的具体情况如下：</w:t>
      </w:r>
      <w:r/>
    </w:p>
    <w:p>
      <w:pPr>
        <w:numPr>
          <w:ilvl w:val="0"/>
          <w:numId w:val="1"/>
        </w:numPr>
        <w:jc w:val="left"/>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u w:val="single"/>
        </w:rPr>
        <w:t xml:space="preserve">  （项目名称）   ，</w:t>
      </w:r>
      <w:r>
        <w:rPr>
          <w:rFonts w:hint="eastAsia" w:ascii="宋体" w:hAnsi="宋体" w:cs="Times New Roman"/>
          <w:color w:val="000000"/>
          <w:sz w:val="21"/>
          <w:szCs w:val="21"/>
        </w:rPr>
        <w:t xml:space="preserve">属于</w:t>
      </w:r>
      <w:r>
        <w:rPr>
          <w:rFonts w:hint="eastAsia" w:ascii="宋体" w:hAnsi="宋体" w:cs="Times New Roman"/>
          <w:color w:val="000000"/>
          <w:sz w:val="21"/>
          <w:szCs w:val="21"/>
          <w:u w:val="single"/>
        </w:rPr>
        <w:t xml:space="preserve">（招标文件中明确的所属行业）</w:t>
      </w:r>
      <w:r>
        <w:rPr>
          <w:rFonts w:hint="eastAsia" w:ascii="宋体" w:hAnsi="宋体" w:cs="Times New Roman"/>
          <w:color w:val="000000"/>
          <w:sz w:val="21"/>
          <w:szCs w:val="21"/>
        </w:rPr>
        <w:t xml:space="preserve">行业；制造商为</w:t>
      </w:r>
      <w:r>
        <w:rPr>
          <w:rFonts w:hint="eastAsia" w:ascii="宋体" w:hAnsi="宋体" w:cs="Times New Roman"/>
          <w:color w:val="000000"/>
          <w:sz w:val="21"/>
          <w:szCs w:val="21"/>
          <w:u w:val="single"/>
        </w:rPr>
        <w:t xml:space="preserve">（企业名称），</w:t>
      </w:r>
      <w:r>
        <w:rPr>
          <w:rFonts w:hint="eastAsia" w:ascii="宋体" w:hAnsi="宋体" w:cs="Times New Roman"/>
          <w:color w:val="000000"/>
          <w:sz w:val="21"/>
          <w:szCs w:val="21"/>
        </w:rPr>
        <w:t xml:space="preserve">从业人员</w:t>
      </w:r>
      <w:r>
        <w:rPr>
          <w:rFonts w:hint="eastAsia" w:ascii="宋体" w:hAnsi="宋体" w:cs="Times New Roman"/>
          <w:color w:val="000000"/>
          <w:sz w:val="21"/>
          <w:szCs w:val="21"/>
          <w:u w:val="single"/>
        </w:rPr>
        <w:t xml:space="preserve">     </w:t>
      </w:r>
      <w:r>
        <w:rPr>
          <w:rFonts w:hint="eastAsia" w:ascii="宋体" w:hAnsi="宋体" w:cs="Times New Roman"/>
          <w:color w:val="000000"/>
          <w:sz w:val="21"/>
          <w:szCs w:val="21"/>
        </w:rPr>
        <w:t xml:space="preserve">人，营业收入为</w:t>
      </w:r>
      <w:r>
        <w:rPr>
          <w:rFonts w:hint="eastAsia" w:ascii="宋体" w:hAnsi="宋体" w:cs="Times New Roman"/>
          <w:color w:val="000000"/>
          <w:sz w:val="21"/>
          <w:szCs w:val="21"/>
          <w:u w:val="single"/>
        </w:rPr>
        <w:t xml:space="preserve">     </w:t>
      </w:r>
      <w:r>
        <w:rPr>
          <w:rFonts w:hint="eastAsia" w:ascii="宋体" w:hAnsi="宋体" w:cs="Times New Roman"/>
          <w:color w:val="000000"/>
          <w:sz w:val="21"/>
          <w:szCs w:val="21"/>
        </w:rPr>
        <w:t xml:space="preserve">万元，资产总额为___万元，属于（</w:t>
      </w:r>
      <w:r>
        <w:rPr>
          <w:rFonts w:hint="eastAsia" w:ascii="宋体" w:hAnsi="宋体" w:cs="Times New Roman"/>
          <w:color w:val="000000"/>
          <w:sz w:val="21"/>
          <w:szCs w:val="21"/>
          <w:u w:val="single"/>
        </w:rPr>
        <w:t xml:space="preserve">□中型企业、</w:t>
      </w:r>
      <w:r>
        <w:rPr>
          <w:rFonts w:ascii="宋体" w:hAnsi="宋体" w:cs="Times New Roman"/>
          <w:color w:val="000000"/>
          <w:sz w:val="21"/>
          <w:szCs w:val="21"/>
          <w:u w:val="single"/>
        </w:rPr>
        <w:t xml:space="preserve">□</w:t>
      </w:r>
      <w:r>
        <w:rPr>
          <w:rFonts w:hint="eastAsia" w:ascii="宋体" w:hAnsi="宋体" w:cs="Times New Roman"/>
          <w:color w:val="000000"/>
          <w:sz w:val="21"/>
          <w:szCs w:val="21"/>
          <w:u w:val="single"/>
        </w:rPr>
        <w:t xml:space="preserve">小型企业、</w:t>
      </w:r>
      <w:r>
        <w:rPr>
          <w:rFonts w:ascii="宋体" w:hAnsi="宋体" w:cs="Times New Roman"/>
          <w:color w:val="000000"/>
          <w:sz w:val="21"/>
          <w:szCs w:val="21"/>
          <w:u w:val="single"/>
        </w:rPr>
        <w:t xml:space="preserve">□</w:t>
      </w:r>
      <w:r>
        <w:rPr>
          <w:rFonts w:hint="eastAsia" w:ascii="宋体" w:hAnsi="宋体" w:cs="Times New Roman"/>
          <w:color w:val="000000"/>
          <w:sz w:val="21"/>
          <w:szCs w:val="21"/>
          <w:u w:val="single"/>
        </w:rPr>
        <w:t xml:space="preserve">微型企业</w:t>
      </w:r>
      <w:r>
        <w:rPr>
          <w:rFonts w:hint="eastAsia" w:ascii="宋体" w:hAnsi="宋体" w:cs="Times New Roman"/>
          <w:color w:val="000000"/>
          <w:sz w:val="21"/>
          <w:szCs w:val="21"/>
        </w:rPr>
        <w:t xml:space="preserve">）；</w:t>
      </w:r>
      <w:r/>
    </w:p>
    <w:p>
      <w:pPr>
        <w:numPr>
          <w:ilvl w:val="0"/>
          <w:numId w:val="1"/>
        </w:numPr>
        <w:jc w:val="left"/>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u w:val="single"/>
        </w:rPr>
        <w:t xml:space="preserve">（项目名称） ，</w:t>
      </w:r>
      <w:r>
        <w:rPr>
          <w:rFonts w:hint="eastAsia" w:ascii="宋体" w:hAnsi="宋体" w:cs="Times New Roman"/>
          <w:color w:val="000000"/>
          <w:sz w:val="21"/>
          <w:szCs w:val="21"/>
        </w:rPr>
        <w:t xml:space="preserve">属于（招标文件中明确的所属行业）行业；制造商为</w:t>
      </w:r>
      <w:r>
        <w:rPr>
          <w:rFonts w:hint="eastAsia" w:ascii="宋体" w:hAnsi="宋体" w:cs="Times New Roman"/>
          <w:color w:val="000000"/>
          <w:sz w:val="21"/>
          <w:szCs w:val="21"/>
          <w:u w:val="single"/>
        </w:rPr>
        <w:t xml:space="preserve">（企业名称），</w:t>
      </w:r>
      <w:r>
        <w:rPr>
          <w:rFonts w:hint="eastAsia" w:ascii="宋体" w:hAnsi="宋体" w:cs="Times New Roman"/>
          <w:color w:val="000000"/>
          <w:sz w:val="21"/>
          <w:szCs w:val="21"/>
        </w:rPr>
        <w:t xml:space="preserve">从业人员</w:t>
      </w:r>
      <w:r>
        <w:rPr>
          <w:rFonts w:hint="eastAsia" w:ascii="宋体" w:hAnsi="宋体" w:cs="Times New Roman"/>
          <w:color w:val="000000"/>
          <w:sz w:val="21"/>
          <w:szCs w:val="21"/>
          <w:u w:val="single"/>
        </w:rPr>
        <w:t xml:space="preserve">      </w:t>
      </w:r>
      <w:r>
        <w:rPr>
          <w:rFonts w:hint="eastAsia" w:ascii="宋体" w:hAnsi="宋体" w:cs="Times New Roman"/>
          <w:color w:val="000000"/>
          <w:sz w:val="21"/>
          <w:szCs w:val="21"/>
        </w:rPr>
        <w:t xml:space="preserve">人，营业收入为___万元，资产总额为___万元，属于（</w:t>
      </w:r>
      <w:r>
        <w:rPr>
          <w:rFonts w:hint="eastAsia" w:ascii="宋体" w:hAnsi="宋体" w:cs="Times New Roman"/>
          <w:color w:val="000000"/>
          <w:sz w:val="21"/>
          <w:szCs w:val="21"/>
          <w:u w:val="single"/>
        </w:rPr>
        <w:t xml:space="preserve">□中型企业、□小型企业、□微型企业</w:t>
      </w:r>
      <w:r>
        <w:rPr>
          <w:rFonts w:hint="eastAsia" w:ascii="宋体" w:hAnsi="宋体" w:cs="Times New Roman"/>
          <w:color w:val="000000"/>
          <w:sz w:val="21"/>
          <w:szCs w:val="21"/>
        </w:rPr>
        <w:t xml:space="preserve">）；</w:t>
      </w:r>
      <w:r/>
    </w:p>
    <w:p>
      <w:pPr>
        <w:ind w:left="0"/>
        <w:jc w:val="left"/>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w:t>
      </w:r>
      <w:r/>
    </w:p>
    <w:p>
      <w:pPr>
        <w:ind w:left="0" w:firstLine="420"/>
        <w:jc w:val="left"/>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p>
      <w:pPr>
        <w:ind w:left="0" w:firstLine="420"/>
        <w:jc w:val="left"/>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以上企业，不属于大企业的分支机构，不存在控股股东为大企业的情形，也不存在与大企业的负责人为同一人的情形。</w:t>
      </w:r>
      <w:r/>
    </w:p>
    <w:p>
      <w:pPr>
        <w:ind w:left="0" w:firstLine="420"/>
        <w:jc w:val="left"/>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本企业对上述声明内容的真实性负责。如有虚假，将依法承担相应责任。</w:t>
      </w:r>
      <w:r/>
    </w:p>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         企业名称（盖章）：</w:t>
      </w:r>
      <w:r/>
    </w:p>
    <w:p>
      <w:pPr>
        <w:ind w:left="0" w:right="2500" w:firstLine="5250"/>
        <w:spacing w:line="360" w:lineRule="auto"/>
        <w:rPr>
          <w:rFonts w:ascii="宋体" w:hAnsi="宋体"/>
          <w:sz w:val="21"/>
          <w:szCs w:val="21"/>
          <w:lang w:val="zh-CN"/>
        </w:rPr>
      </w:pPr>
      <w:r>
        <w:rPr>
          <w:rFonts w:hint="eastAsia" w:ascii="宋体" w:hAnsi="宋体" w:cs="Times New Roman"/>
          <w:color w:val="000000"/>
          <w:sz w:val="21"/>
          <w:szCs w:val="21"/>
        </w:rPr>
        <w:t xml:space="preserve">   日    期：</w:t>
      </w:r>
      <w:r/>
    </w:p>
    <w:p>
      <w:pPr>
        <w:ind w:left="0"/>
        <w:spacing w:line="280" w:lineRule="exact"/>
        <w:rPr>
          <w:rFonts w:ascii="宋体" w:hAnsi="宋体"/>
        </w:rPr>
      </w:pPr>
      <w:r/>
      <w:bookmarkStart w:id="63" w:name="_Toc71810485"/>
      <w:r/>
      <w:r/>
    </w:p>
    <w:p>
      <w:pPr>
        <w:ind w:left="0"/>
        <w:rPr>
          <w:rFonts w:ascii="宋体" w:hAnsi="宋体" w:cs="Times New Roman"/>
          <w:lang w:val="zh-CN"/>
        </w:rPr>
      </w:pPr>
      <w:r>
        <w:rPr>
          <w:rFonts w:ascii="宋体" w:hAnsi="宋体" w:cs="Times New Roman"/>
          <w:lang w:val="zh-CN"/>
        </w:rPr>
      </w:r>
      <w:r/>
    </w:p>
    <w:p>
      <w:pPr>
        <w:pStyle w:val="892"/>
        <w:rPr>
          <w:rFonts w:ascii="宋体" w:hAnsi="宋体"/>
          <w:lang w:val="zh-CN"/>
        </w:rPr>
      </w:pPr>
      <w:r>
        <w:rPr>
          <w:rFonts w:ascii="宋体" w:hAnsi="宋体"/>
          <w:lang w:val="zh-CN"/>
        </w:rPr>
      </w:r>
      <w:r/>
    </w:p>
    <w:p>
      <w:pPr>
        <w:ind w:left="0"/>
        <w:jc w:val="left"/>
        <w:rPr>
          <w:rFonts w:ascii="宋体" w:hAnsi="宋体"/>
          <w:b/>
          <w:sz w:val="21"/>
          <w:szCs w:val="21"/>
        </w:rPr>
      </w:pPr>
      <w:r/>
      <w:bookmarkStart w:id="64" w:name="_Toc159146119"/>
      <w:r/>
      <w:bookmarkStart w:id="65" w:name="_Toc105397784"/>
      <w:r>
        <w:rPr>
          <w:rFonts w:ascii="宋体" w:hAnsi="宋体"/>
          <w:b/>
          <w:sz w:val="21"/>
          <w:szCs w:val="21"/>
        </w:rPr>
        <w:br w:type="page" w:clear="all"/>
      </w:r>
      <w:r/>
    </w:p>
    <w:p>
      <w:pPr>
        <w:ind w:left="0"/>
        <w:jc w:val="left"/>
        <w:rPr>
          <w:rFonts w:ascii="宋体" w:hAnsi="宋体"/>
          <w:b/>
          <w:bCs/>
          <w:sz w:val="21"/>
          <w:szCs w:val="21"/>
        </w:rPr>
        <w:outlineLvl w:val="0"/>
      </w:pPr>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63"/>
      <w:r/>
      <w:bookmarkEnd w:id="64"/>
      <w:r/>
      <w:bookmarkEnd w:id="6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66" w:name="_Toc32206"/>
      <w:r/>
      <w:bookmarkStart w:id="67" w:name="_Toc15378"/>
      <w:r/>
      <w:bookmarkStart w:id="68" w:name="_Toc3869"/>
      <w:r>
        <w:rPr>
          <w:rFonts w:hint="eastAsia" w:ascii="宋体" w:hAnsi="宋体"/>
          <w:sz w:val="21"/>
          <w:szCs w:val="21"/>
          <w:u w:val="single"/>
          <w:lang w:val="zh-CN"/>
        </w:rPr>
        <w:t xml:space="preserve">苏州公正建设咨询房地产评估有限公司</w:t>
      </w:r>
      <w:r>
        <w:rPr>
          <w:rFonts w:hint="eastAsia" w:ascii="宋体" w:hAnsi="宋体"/>
          <w:sz w:val="21"/>
          <w:szCs w:val="21"/>
          <w:lang w:val="zh-CN"/>
        </w:rPr>
        <w:t xml:space="preserve">：</w:t>
      </w:r>
      <w:bookmarkEnd w:id="66"/>
      <w:r/>
      <w:bookmarkEnd w:id="67"/>
      <w:r/>
      <w:bookmarkEnd w:id="68"/>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67"/>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ind w:left="0"/>
        <w:jc w:val="left"/>
        <w:rPr>
          <w:rFonts w:ascii="宋体" w:hAnsi="宋体"/>
          <w:b/>
          <w:sz w:val="21"/>
          <w:szCs w:val="21"/>
        </w:rPr>
        <w:outlineLvl w:val="0"/>
      </w:pPr>
      <w:r>
        <w:rPr>
          <w:rFonts w:ascii="宋体" w:hAnsi="宋体"/>
          <w:sz w:val="21"/>
          <w:szCs w:val="21"/>
          <w:lang w:val="zh-CN"/>
        </w:rPr>
        <w:br w:type="page" w:clear="all"/>
      </w:r>
      <w:bookmarkStart w:id="69" w:name="_Toc71810487"/>
      <w:r/>
      <w:bookmarkStart w:id="70" w:name="_Toc159146120"/>
      <w:r/>
      <w:bookmarkStart w:id="71" w:name="_Toc105397785"/>
      <w:r>
        <w:rPr>
          <w:rFonts w:ascii="宋体" w:hAnsi="宋体"/>
          <w:b/>
          <w:sz w:val="21"/>
          <w:szCs w:val="21"/>
        </w:rPr>
        <w:t xml:space="preserve">附件7</w:t>
      </w:r>
      <w:r>
        <w:rPr>
          <w:rFonts w:hint="eastAsia" w:ascii="宋体" w:hAnsi="宋体"/>
          <w:b/>
          <w:sz w:val="21"/>
          <w:szCs w:val="21"/>
        </w:rPr>
        <w:t xml:space="preserve">.</w:t>
      </w:r>
      <w:bookmarkEnd w:id="69"/>
      <w:r>
        <w:rPr>
          <w:rFonts w:hint="eastAsia" w:ascii="宋体" w:hAnsi="宋体"/>
        </w:rPr>
        <w:t xml:space="preserve"> </w:t>
      </w:r>
      <w:r>
        <w:rPr>
          <w:rFonts w:hint="eastAsia" w:ascii="宋体" w:hAnsi="宋体"/>
          <w:b/>
          <w:sz w:val="21"/>
          <w:szCs w:val="21"/>
        </w:rPr>
        <w:t xml:space="preserve">偏离表</w:t>
      </w:r>
      <w:bookmarkEnd w:id="70"/>
      <w:r/>
      <w:bookmarkEnd w:id="71"/>
      <w:r>
        <w:rPr>
          <w:rFonts w:hint="eastAsia" w:ascii="宋体" w:hAnsi="宋体"/>
          <w:b/>
          <w:sz w:val="21"/>
          <w:szCs w:val="21"/>
        </w:rPr>
        <w:t xml:space="preserve">（商务、技术）</w:t>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商务</w:t>
      </w:r>
      <w:r>
        <w:rPr>
          <w:rFonts w:hint="eastAsia" w:ascii="宋体" w:hAnsi="宋体"/>
          <w:b/>
          <w:sz w:val="21"/>
          <w:szCs w:val="21"/>
        </w:rPr>
        <w:t xml:space="preserve">要求偏离表</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vAlign w:val="center"/>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注：投标人应在本表中对照招标文件服务要求逐项对应列出响应内容，并在“偏离说明”项下填写以下内容：优于的，填写“正偏离”；符合的，填写“无偏离”；低于的，填写“负偏离”。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spacing w:line="360" w:lineRule="auto"/>
        <w:rPr>
          <w:rFonts w:ascii="宋体" w:hAnsi="宋体"/>
          <w:sz w:val="21"/>
          <w:szCs w:val="21"/>
        </w:rPr>
      </w:pPr>
      <w:r>
        <w:rPr>
          <w:rFonts w:ascii="宋体" w:hAnsi="宋体"/>
          <w:sz w:val="21"/>
          <w:szCs w:val="21"/>
        </w:rPr>
        <w:t xml:space="preserve">投标人（盖章）： </w:t>
      </w:r>
      <w:r/>
    </w:p>
    <w:p>
      <w:pPr>
        <w:ind w:firstLine="4830"/>
        <w:spacing w:line="360" w:lineRule="auto"/>
        <w:rPr>
          <w:rFonts w:ascii="宋体" w:hAnsi="宋体"/>
          <w:sz w:val="21"/>
          <w:szCs w:val="21"/>
        </w:rPr>
      </w:pPr>
      <w:r>
        <w:rPr>
          <w:rFonts w:ascii="宋体" w:hAnsi="宋体"/>
          <w:sz w:val="21"/>
          <w:szCs w:val="21"/>
        </w:rPr>
        <w:t xml:space="preserve">法定代表人或代理人（签字或盖章）：</w:t>
      </w:r>
      <w:r/>
    </w:p>
    <w:p>
      <w:pPr>
        <w:ind w:left="0"/>
        <w:jc w:val="left"/>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宋体" w:hAnsi="宋体" w:cs="Times New Roman"/>
          <w:b/>
          <w:sz w:val="30"/>
          <w:szCs w:val="30"/>
        </w:rPr>
      </w:pPr>
      <w:r>
        <w:rPr>
          <w:rFonts w:ascii="宋体" w:hAnsi="宋体" w:cs="Times New Roman"/>
          <w:b/>
          <w:sz w:val="30"/>
          <w:szCs w:val="30"/>
        </w:rPr>
        <w:br w:type="page" w:clear="all"/>
      </w:r>
      <w:r/>
    </w:p>
    <w:p>
      <w:pPr>
        <w:ind w:left="0"/>
        <w:jc w:val="center"/>
        <w:spacing w:line="360" w:lineRule="auto"/>
        <w:widowControl w:val="off"/>
        <w:rPr>
          <w:rFonts w:ascii="宋体" w:hAnsi="宋体" w:cs="Times New Roman"/>
          <w:b/>
          <w:sz w:val="30"/>
          <w:szCs w:val="30"/>
        </w:rPr>
      </w:pPr>
      <w:r>
        <w:rPr>
          <w:rFonts w:hint="eastAsia" w:ascii="宋体" w:hAnsi="宋体" w:cs="Times New Roman"/>
          <w:b/>
          <w:sz w:val="30"/>
          <w:szCs w:val="30"/>
        </w:rPr>
        <w:t xml:space="preserve">技术要求偏离表</w:t>
      </w:r>
      <w:r/>
    </w:p>
    <w:tbl>
      <w:tblPr>
        <w:tblW w:w="91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3108"/>
        <w:gridCol w:w="1752"/>
        <w:gridCol w:w="1699"/>
        <w:gridCol w:w="1757"/>
      </w:tblGrid>
      <w:tr>
        <w:trPr>
          <w:jc w:val="center"/>
        </w:trPr>
        <w:tc>
          <w:tcPr>
            <w:tcW w:w="828" w:type="dxa"/>
            <w:vAlign w:val="center"/>
            <w:textDirection w:val="lrTb"/>
            <w:noWrap w:val="false"/>
          </w:tcPr>
          <w:p>
            <w:pPr>
              <w:ind w:left="0"/>
              <w:jc w:val="center"/>
              <w:spacing w:before="240" w:after="240"/>
              <w:rPr>
                <w:rFonts w:ascii="宋体" w:hAnsi="宋体" w:cs="Times New Roman"/>
                <w:sz w:val="21"/>
                <w:szCs w:val="21"/>
              </w:rPr>
            </w:pPr>
            <w:r>
              <w:rPr>
                <w:rFonts w:hint="eastAsia" w:ascii="宋体" w:hAnsi="宋体" w:cs="Times New Roman"/>
                <w:sz w:val="21"/>
                <w:szCs w:val="21"/>
              </w:rPr>
              <w:t xml:space="preserve">序号</w:t>
            </w:r>
            <w:r/>
          </w:p>
        </w:tc>
        <w:tc>
          <w:tcPr>
            <w:tcW w:w="3108"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招标</w:t>
            </w:r>
            <w:r>
              <w:rPr>
                <w:rFonts w:hint="eastAsia" w:ascii="宋体" w:hAnsi="宋体" w:cs="Times New Roman"/>
                <w:sz w:val="21"/>
                <w:szCs w:val="21"/>
              </w:rPr>
              <w:t xml:space="preserve">要求</w:t>
            </w:r>
            <w:r/>
          </w:p>
        </w:tc>
        <w:tc>
          <w:tcPr>
            <w:tcW w:w="1752"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投标</w:t>
            </w:r>
            <w:r>
              <w:rPr>
                <w:rFonts w:hint="eastAsia" w:ascii="宋体" w:hAnsi="宋体" w:cs="Times New Roman"/>
                <w:sz w:val="21"/>
                <w:szCs w:val="21"/>
              </w:rPr>
              <w:t xml:space="preserve">要求</w:t>
            </w:r>
            <w:r/>
          </w:p>
        </w:tc>
        <w:tc>
          <w:tcPr>
            <w:tcW w:w="1699"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偏离/响应</w:t>
            </w:r>
            <w:r/>
          </w:p>
        </w:tc>
        <w:tc>
          <w:tcPr>
            <w:tcW w:w="1757"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说明</w:t>
            </w:r>
            <w:r/>
          </w:p>
        </w:tc>
      </w:tr>
      <w:tr>
        <w:trPr>
          <w:jc w:val="center"/>
        </w:trPr>
        <w:tc>
          <w:tcPr>
            <w:tcW w:w="828" w:type="dxa"/>
            <w:textDirection w:val="lrTb"/>
            <w:noWrap w:val="false"/>
          </w:tcPr>
          <w:p>
            <w:pPr>
              <w:ind w:left="0"/>
              <w:jc w:val="left"/>
              <w:spacing w:before="240" w:after="240"/>
              <w:rPr>
                <w:rFonts w:ascii="宋体" w:hAnsi="宋体" w:cs="Times New Roman"/>
                <w:sz w:val="21"/>
                <w:szCs w:val="21"/>
              </w:rPr>
            </w:pPr>
            <w:r>
              <w:rPr>
                <w:rFonts w:ascii="宋体" w:hAnsi="宋体" w:cs="Times New Roman"/>
                <w:sz w:val="21"/>
                <w:szCs w:val="21"/>
              </w:rPr>
            </w:r>
            <w:r/>
          </w:p>
        </w:tc>
        <w:tc>
          <w:tcPr>
            <w:tcW w:w="3108" w:type="dxa"/>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W w:w="1752" w:type="dxa"/>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1699" w:type="dxa"/>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1757" w:type="dxa"/>
            <w:textDirection w:val="lrTb"/>
            <w:noWrap w:val="false"/>
          </w:tcPr>
          <w:p>
            <w:pPr>
              <w:ind w:left="0"/>
              <w:jc w:val="left"/>
              <w:rPr>
                <w:rFonts w:ascii="宋体" w:hAnsi="宋体" w:cs="Times New Roman"/>
                <w:sz w:val="21"/>
                <w:szCs w:val="21"/>
              </w:rPr>
            </w:pPr>
            <w:r>
              <w:rPr>
                <w:rFonts w:ascii="宋体" w:hAnsi="宋体" w:cs="Times New Roman"/>
                <w:sz w:val="21"/>
                <w:szCs w:val="21"/>
              </w:rPr>
            </w:r>
            <w:r/>
          </w:p>
        </w:tc>
      </w:tr>
      <w:tr>
        <w:trPr>
          <w:jc w:val="center"/>
        </w:trPr>
        <w:tc>
          <w:tcPr>
            <w:tcW w:w="828" w:type="dxa"/>
            <w:textDirection w:val="lrTb"/>
            <w:noWrap w:val="false"/>
          </w:tcPr>
          <w:p>
            <w:pPr>
              <w:ind w:left="0"/>
              <w:jc w:val="left"/>
              <w:spacing w:before="240" w:after="240"/>
              <w:rPr>
                <w:rFonts w:ascii="宋体" w:hAnsi="宋体" w:cs="Times New Roman"/>
                <w:sz w:val="21"/>
                <w:szCs w:val="21"/>
              </w:rPr>
            </w:pPr>
            <w:r>
              <w:rPr>
                <w:rFonts w:ascii="宋体" w:hAnsi="宋体" w:cs="Times New Roman"/>
                <w:sz w:val="21"/>
                <w:szCs w:val="21"/>
              </w:rPr>
            </w:r>
            <w:r/>
          </w:p>
        </w:tc>
        <w:tc>
          <w:tcPr>
            <w:tcW w:w="3108" w:type="dxa"/>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1752" w:type="dxa"/>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1699" w:type="dxa"/>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1757" w:type="dxa"/>
            <w:textDirection w:val="lrTb"/>
            <w:noWrap w:val="false"/>
          </w:tcPr>
          <w:p>
            <w:pPr>
              <w:ind w:left="0"/>
              <w:jc w:val="left"/>
              <w:rPr>
                <w:rFonts w:ascii="宋体" w:hAnsi="宋体" w:cs="Times New Roman"/>
                <w:sz w:val="21"/>
                <w:szCs w:val="21"/>
              </w:rPr>
            </w:pPr>
            <w:r>
              <w:rPr>
                <w:rFonts w:ascii="宋体" w:hAnsi="宋体" w:cs="Times New Roman"/>
                <w:sz w:val="21"/>
                <w:szCs w:val="21"/>
              </w:rPr>
            </w:r>
            <w:r/>
          </w:p>
        </w:tc>
      </w:tr>
      <w:tr>
        <w:trPr>
          <w:jc w:val="center"/>
        </w:trPr>
        <w:tc>
          <w:tcPr>
            <w:tcW w:w="828" w:type="dxa"/>
            <w:textDirection w:val="lrTb"/>
            <w:noWrap w:val="false"/>
          </w:tcPr>
          <w:p>
            <w:pPr>
              <w:ind w:left="0"/>
              <w:jc w:val="left"/>
              <w:spacing w:before="240" w:after="240"/>
              <w:rPr>
                <w:rFonts w:ascii="宋体" w:hAnsi="宋体" w:cs="Times New Roman"/>
                <w:sz w:val="21"/>
                <w:szCs w:val="21"/>
              </w:rPr>
            </w:pPr>
            <w:r>
              <w:rPr>
                <w:rFonts w:ascii="宋体" w:hAnsi="宋体" w:cs="Times New Roman"/>
                <w:sz w:val="21"/>
                <w:szCs w:val="21"/>
              </w:rPr>
            </w:r>
            <w:r/>
          </w:p>
        </w:tc>
        <w:tc>
          <w:tcPr>
            <w:tcW w:w="3108" w:type="dxa"/>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1752" w:type="dxa"/>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1699" w:type="dxa"/>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1757" w:type="dxa"/>
            <w:textDirection w:val="lrTb"/>
            <w:noWrap w:val="false"/>
          </w:tcPr>
          <w:p>
            <w:pPr>
              <w:ind w:left="0"/>
              <w:jc w:val="left"/>
              <w:rPr>
                <w:rFonts w:ascii="宋体" w:hAnsi="宋体" w:cs="Times New Roman"/>
                <w:sz w:val="21"/>
                <w:szCs w:val="21"/>
              </w:rPr>
            </w:pPr>
            <w:r>
              <w:rPr>
                <w:rFonts w:ascii="宋体" w:hAnsi="宋体" w:cs="Times New Roman"/>
                <w:sz w:val="21"/>
                <w:szCs w:val="21"/>
              </w:rPr>
            </w:r>
            <w:r/>
          </w:p>
        </w:tc>
      </w:tr>
      <w:tr>
        <w:trPr>
          <w:jc w:val="center"/>
        </w:trPr>
        <w:tc>
          <w:tcPr>
            <w:tcW w:w="828" w:type="dxa"/>
            <w:textDirection w:val="lrTb"/>
            <w:noWrap w:val="false"/>
          </w:tcPr>
          <w:p>
            <w:pPr>
              <w:ind w:left="0"/>
              <w:jc w:val="left"/>
              <w:spacing w:before="240" w:after="240"/>
              <w:rPr>
                <w:rFonts w:ascii="宋体" w:hAnsi="宋体" w:cs="Times New Roman"/>
                <w:sz w:val="21"/>
                <w:szCs w:val="21"/>
              </w:rPr>
            </w:pPr>
            <w:r>
              <w:rPr>
                <w:rFonts w:ascii="宋体" w:hAnsi="宋体" w:cs="Times New Roman"/>
                <w:sz w:val="21"/>
                <w:szCs w:val="21"/>
              </w:rPr>
            </w:r>
            <w:r/>
          </w:p>
        </w:tc>
        <w:tc>
          <w:tcPr>
            <w:tcW w:w="3108" w:type="dxa"/>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1752" w:type="dxa"/>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1699" w:type="dxa"/>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1757" w:type="dxa"/>
            <w:textDirection w:val="lrTb"/>
            <w:noWrap w:val="false"/>
          </w:tcPr>
          <w:p>
            <w:pPr>
              <w:ind w:left="0"/>
              <w:jc w:val="left"/>
              <w:rPr>
                <w:rFonts w:ascii="宋体" w:hAnsi="宋体" w:cs="Times New Roman"/>
                <w:sz w:val="21"/>
                <w:szCs w:val="21"/>
              </w:rPr>
            </w:pPr>
            <w:r>
              <w:rPr>
                <w:rFonts w:ascii="宋体" w:hAnsi="宋体" w:cs="Times New Roman"/>
                <w:sz w:val="21"/>
                <w:szCs w:val="21"/>
              </w:rPr>
            </w:r>
            <w:r/>
          </w:p>
        </w:tc>
      </w:tr>
      <w:tr>
        <w:trPr>
          <w:jc w:val="center"/>
        </w:trPr>
        <w:tc>
          <w:tcPr>
            <w:tcW w:w="828" w:type="dxa"/>
            <w:textDirection w:val="lrTb"/>
            <w:noWrap w:val="false"/>
          </w:tcPr>
          <w:p>
            <w:pPr>
              <w:ind w:left="0"/>
              <w:jc w:val="left"/>
              <w:spacing w:before="240" w:after="240"/>
              <w:rPr>
                <w:rFonts w:ascii="宋体" w:hAnsi="宋体" w:cs="Times New Roman"/>
                <w:sz w:val="21"/>
                <w:szCs w:val="21"/>
              </w:rPr>
            </w:pPr>
            <w:r>
              <w:rPr>
                <w:rFonts w:ascii="宋体" w:hAnsi="宋体" w:cs="Times New Roman"/>
                <w:sz w:val="21"/>
                <w:szCs w:val="21"/>
              </w:rPr>
            </w:r>
            <w:r/>
          </w:p>
        </w:tc>
        <w:tc>
          <w:tcPr>
            <w:tcW w:w="3108" w:type="dxa"/>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1752" w:type="dxa"/>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1699" w:type="dxa"/>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1757" w:type="dxa"/>
            <w:textDirection w:val="lrTb"/>
            <w:noWrap w:val="false"/>
          </w:tcPr>
          <w:p>
            <w:pPr>
              <w:ind w:left="0"/>
              <w:jc w:val="left"/>
              <w:rPr>
                <w:rFonts w:ascii="宋体" w:hAnsi="宋体" w:cs="Times New Roman"/>
                <w:sz w:val="21"/>
                <w:szCs w:val="21"/>
              </w:rPr>
            </w:pPr>
            <w:r>
              <w:rPr>
                <w:rFonts w:ascii="宋体" w:hAnsi="宋体" w:cs="Times New Roman"/>
                <w:sz w:val="21"/>
                <w:szCs w:val="21"/>
              </w:rPr>
            </w:r>
            <w:r/>
          </w:p>
        </w:tc>
      </w:tr>
      <w:tr>
        <w:trPr>
          <w:jc w:val="center"/>
        </w:trPr>
        <w:tc>
          <w:tcPr>
            <w:tcW w:w="828" w:type="dxa"/>
            <w:textDirection w:val="lrTb"/>
            <w:noWrap w:val="false"/>
          </w:tcPr>
          <w:p>
            <w:pPr>
              <w:ind w:left="0"/>
              <w:jc w:val="left"/>
              <w:spacing w:before="240" w:after="240"/>
              <w:rPr>
                <w:rFonts w:ascii="宋体" w:hAnsi="宋体" w:cs="Times New Roman"/>
                <w:sz w:val="21"/>
                <w:szCs w:val="21"/>
              </w:rPr>
            </w:pPr>
            <w:r>
              <w:rPr>
                <w:rFonts w:ascii="宋体" w:hAnsi="宋体" w:cs="Times New Roman"/>
                <w:sz w:val="21"/>
                <w:szCs w:val="21"/>
              </w:rPr>
            </w:r>
            <w:r/>
          </w:p>
        </w:tc>
        <w:tc>
          <w:tcPr>
            <w:tcW w:w="3108" w:type="dxa"/>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1752" w:type="dxa"/>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1699" w:type="dxa"/>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1757" w:type="dxa"/>
            <w:textDirection w:val="lrTb"/>
            <w:noWrap w:val="false"/>
          </w:tcPr>
          <w:p>
            <w:pPr>
              <w:ind w:left="0"/>
              <w:jc w:val="left"/>
              <w:rPr>
                <w:rFonts w:ascii="宋体" w:hAnsi="宋体" w:cs="Times New Roman"/>
                <w:sz w:val="21"/>
                <w:szCs w:val="21"/>
              </w:rPr>
            </w:pPr>
            <w:r>
              <w:rPr>
                <w:rFonts w:ascii="宋体" w:hAnsi="宋体" w:cs="Times New Roman"/>
                <w:sz w:val="21"/>
                <w:szCs w:val="21"/>
              </w:rPr>
            </w:r>
            <w:r/>
          </w:p>
        </w:tc>
      </w:tr>
      <w:tr>
        <w:trPr>
          <w:jc w:val="center"/>
        </w:trPr>
        <w:tc>
          <w:tcPr>
            <w:tcW w:w="828" w:type="dxa"/>
            <w:textDirection w:val="lrTb"/>
            <w:noWrap w:val="false"/>
          </w:tcPr>
          <w:p>
            <w:pPr>
              <w:ind w:left="0"/>
              <w:jc w:val="left"/>
              <w:spacing w:before="240" w:after="240"/>
              <w:rPr>
                <w:rFonts w:ascii="宋体" w:hAnsi="宋体" w:cs="Times New Roman"/>
                <w:sz w:val="21"/>
                <w:szCs w:val="21"/>
              </w:rPr>
            </w:pPr>
            <w:r>
              <w:rPr>
                <w:rFonts w:ascii="宋体" w:hAnsi="宋体" w:cs="Times New Roman"/>
                <w:sz w:val="21"/>
                <w:szCs w:val="21"/>
              </w:rPr>
            </w:r>
            <w:r/>
          </w:p>
        </w:tc>
        <w:tc>
          <w:tcPr>
            <w:tcW w:w="3108" w:type="dxa"/>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1752" w:type="dxa"/>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1699" w:type="dxa"/>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1757" w:type="dxa"/>
            <w:textDirection w:val="lrTb"/>
            <w:noWrap w:val="false"/>
          </w:tcPr>
          <w:p>
            <w:pPr>
              <w:ind w:left="0"/>
              <w:jc w:val="left"/>
              <w:rPr>
                <w:rFonts w:ascii="宋体" w:hAnsi="宋体" w:cs="Times New Roman"/>
                <w:sz w:val="21"/>
                <w:szCs w:val="21"/>
              </w:rPr>
            </w:pPr>
            <w:r>
              <w:rPr>
                <w:rFonts w:ascii="宋体" w:hAnsi="宋体" w:cs="Times New Roman"/>
                <w:sz w:val="21"/>
                <w:szCs w:val="21"/>
              </w:rPr>
            </w:r>
            <w:r/>
          </w:p>
        </w:tc>
      </w:tr>
      <w:tr>
        <w:trPr>
          <w:jc w:val="center"/>
        </w:trPr>
        <w:tc>
          <w:tcPr>
            <w:tcW w:w="828" w:type="dxa"/>
            <w:textDirection w:val="lrTb"/>
            <w:noWrap w:val="false"/>
          </w:tcPr>
          <w:p>
            <w:pPr>
              <w:ind w:left="0"/>
              <w:jc w:val="left"/>
              <w:spacing w:before="240" w:after="240"/>
              <w:rPr>
                <w:rFonts w:ascii="宋体" w:hAnsi="宋体" w:cs="Times New Roman"/>
                <w:sz w:val="21"/>
                <w:szCs w:val="21"/>
              </w:rPr>
            </w:pPr>
            <w:r>
              <w:rPr>
                <w:rFonts w:ascii="宋体" w:hAnsi="宋体" w:cs="Times New Roman"/>
                <w:sz w:val="21"/>
                <w:szCs w:val="21"/>
              </w:rPr>
            </w:r>
            <w:r/>
          </w:p>
        </w:tc>
        <w:tc>
          <w:tcPr>
            <w:tcW w:w="3108" w:type="dxa"/>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1752" w:type="dxa"/>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1699" w:type="dxa"/>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1757" w:type="dxa"/>
            <w:textDirection w:val="lrTb"/>
            <w:noWrap w:val="false"/>
          </w:tcPr>
          <w:p>
            <w:pPr>
              <w:ind w:left="0"/>
              <w:jc w:val="left"/>
              <w:rPr>
                <w:rFonts w:ascii="宋体" w:hAnsi="宋体" w:cs="Times New Roman"/>
                <w:sz w:val="21"/>
                <w:szCs w:val="21"/>
              </w:rPr>
            </w:pPr>
            <w:r>
              <w:rPr>
                <w:rFonts w:ascii="宋体" w:hAnsi="宋体" w:cs="Times New Roman"/>
                <w:sz w:val="21"/>
                <w:szCs w:val="21"/>
              </w:rPr>
            </w:r>
            <w:r/>
          </w:p>
        </w:tc>
      </w:tr>
    </w:tbl>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注：1、投标单位应对照招标文件技术要求等要求，所投标的物与招标文件的规定有偏离的，应在此表中申明与技术要求条文的偏差和例外。</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2、未在上表中说明的，如在投标文件其他内容中已有文字说明的，则以已有文字说明为准，否则，将被认为完全响应招标文件的规定。但该表不作为投标单位对所投标的物关于技术要求等详细描述和说明的替代。</w:t>
      </w:r>
      <w:r/>
    </w:p>
    <w:p>
      <w:pPr>
        <w:ind w:left="0" w:firstLine="42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投标单位（公章）：</w:t>
      </w:r>
      <w:r/>
    </w:p>
    <w:p>
      <w:pPr>
        <w:ind w:left="0" w:firstLine="42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法定代表人或代理人：（签字或签章）</w:t>
      </w:r>
      <w:r/>
    </w:p>
    <w:p>
      <w:pPr>
        <w:ind w:firstLine="4830"/>
        <w:jc w:val="left"/>
        <w:spacing w:line="360" w:lineRule="auto"/>
        <w:rPr>
          <w:rFonts w:ascii="宋体" w:hAnsi="宋体"/>
          <w:b/>
          <w:sz w:val="21"/>
          <w:szCs w:val="21"/>
        </w:rPr>
      </w:pPr>
      <w:r>
        <w:rPr>
          <w:rFonts w:hint="eastAsia" w:ascii="宋体" w:hAnsi="宋体" w:cs="Times New Roman"/>
          <w:sz w:val="21"/>
          <w:szCs w:val="21"/>
        </w:rPr>
        <w:t xml:space="preserve">日期：     年     月     日</w:t>
      </w:r>
      <w:r/>
    </w:p>
    <w:p>
      <w:pPr>
        <w:ind w:firstLine="4830"/>
        <w:jc w:val="left"/>
        <w:spacing w:line="360" w:lineRule="auto"/>
        <w:rPr>
          <w:rFonts w:ascii="宋体" w:hAnsi="宋体"/>
          <w:sz w:val="21"/>
          <w:szCs w:val="21"/>
        </w:rPr>
      </w:pPr>
      <w:r/>
      <w:bookmarkStart w:id="72" w:name="_Toc31973"/>
      <w:r/>
      <w:bookmarkStart w:id="73" w:name="_Toc27138"/>
      <w:r>
        <w:rPr>
          <w:rFonts w:ascii="宋体" w:hAnsi="宋体"/>
          <w:sz w:val="21"/>
          <w:szCs w:val="21"/>
        </w:rPr>
        <w:t xml:space="preserve"> </w:t>
      </w:r>
      <w:r/>
    </w:p>
    <w:p>
      <w:pPr>
        <w:pStyle w:val="892"/>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pPr>
      <w:r/>
      <w:bookmarkStart w:id="74" w:name="_Toc159146121"/>
      <w:r/>
      <w:bookmarkStart w:id="75" w:name="_Toc105397786"/>
      <w:r>
        <w:rPr>
          <w:rFonts w:ascii="宋体" w:hAnsi="宋体"/>
          <w:b/>
          <w:sz w:val="21"/>
          <w:szCs w:val="21"/>
        </w:rPr>
        <w:br w:type="page" w:clear="all"/>
      </w:r>
      <w:r/>
    </w:p>
    <w:p>
      <w:pPr>
        <w:ind w:left="0"/>
        <w:jc w:val="left"/>
        <w:rPr>
          <w:rFonts w:ascii="宋体" w:hAnsi="宋体"/>
          <w:b/>
          <w:sz w:val="21"/>
          <w:szCs w:val="21"/>
        </w:rPr>
        <w:outlineLvl w:val="0"/>
      </w:pPr>
      <w:r>
        <w:rPr>
          <w:rFonts w:ascii="宋体" w:hAnsi="宋体"/>
          <w:b/>
          <w:sz w:val="21"/>
          <w:szCs w:val="21"/>
        </w:rPr>
        <w:t xml:space="preserve">附件8</w:t>
      </w:r>
      <w:r>
        <w:rPr>
          <w:rFonts w:hint="eastAsia" w:ascii="宋体" w:hAnsi="宋体"/>
          <w:b/>
          <w:sz w:val="21"/>
          <w:szCs w:val="21"/>
        </w:rPr>
        <w:t xml:space="preserve">.项目人员配置表</w:t>
      </w:r>
      <w:bookmarkEnd w:id="74"/>
      <w:r/>
      <w:bookmarkEnd w:id="7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项目人员配置表</w:t>
      </w:r>
      <w:r/>
    </w:p>
    <w:tbl>
      <w:tblPr>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7"/>
        <w:gridCol w:w="1316"/>
        <w:gridCol w:w="1316"/>
        <w:gridCol w:w="1094"/>
        <w:gridCol w:w="849"/>
        <w:gridCol w:w="1114"/>
        <w:gridCol w:w="1336"/>
        <w:gridCol w:w="1214"/>
        <w:gridCol w:w="978"/>
      </w:tblGrid>
      <w:tr>
        <w:trPr>
          <w:jc w:val="center"/>
          <w:trHeight w:val="760"/>
        </w:trPr>
        <w:tc>
          <w:tcPr>
            <w:tcW w:w="63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31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部门</w:t>
            </w:r>
            <w:r/>
          </w:p>
        </w:tc>
        <w:tc>
          <w:tcPr>
            <w:tcW w:w="131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09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84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11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3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214"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978"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63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W w:w="131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31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09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4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14"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3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14"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78"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63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W w:w="131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31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09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4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14"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3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14"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78"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63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p>
        </w:tc>
        <w:tc>
          <w:tcPr>
            <w:tcW w:w="131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31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09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4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14"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3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14"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78"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63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4</w:t>
            </w:r>
            <w:r/>
          </w:p>
        </w:tc>
        <w:tc>
          <w:tcPr>
            <w:tcW w:w="131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31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09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4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14"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3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14"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78"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63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6</w:t>
            </w:r>
            <w:r/>
          </w:p>
        </w:tc>
        <w:tc>
          <w:tcPr>
            <w:tcW w:w="131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31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09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4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14"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3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14"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78"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63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w:t>
            </w:r>
            <w:r/>
          </w:p>
        </w:tc>
        <w:tc>
          <w:tcPr>
            <w:tcW w:w="131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31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09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4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14"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3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14"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78"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b/>
          <w:sz w:val="21"/>
          <w:szCs w:val="21"/>
        </w:rPr>
      </w:pPr>
      <w:r>
        <w:rPr>
          <w:rFonts w:hint="eastAsia" w:ascii="宋体" w:hAnsi="宋体"/>
          <w:b/>
          <w:sz w:val="21"/>
          <w:szCs w:val="21"/>
        </w:rPr>
        <w:t xml:space="preserve">注：1</w:t>
      </w:r>
      <w:r>
        <w:rPr>
          <w:rFonts w:ascii="宋体" w:hAnsi="宋体"/>
          <w:b/>
          <w:sz w:val="21"/>
          <w:szCs w:val="21"/>
        </w:rPr>
        <w:t xml:space="preserve">.</w:t>
      </w:r>
      <w:r>
        <w:rPr>
          <w:rFonts w:hint="eastAsia" w:ascii="宋体" w:hAnsi="宋体"/>
          <w:b/>
          <w:sz w:val="21"/>
          <w:szCs w:val="21"/>
        </w:rPr>
        <w:t xml:space="preserve">《项目服务人员配置表》至少包含上述人员信息，其余项目人员须在附件《偏离表（服务、商务）》中完全响应招标文件要求，否则为非实质性响应。</w:t>
      </w:r>
      <w:r/>
    </w:p>
    <w:p>
      <w:pPr>
        <w:ind w:left="0" w:firstLine="402"/>
        <w:spacing w:line="360" w:lineRule="auto"/>
        <w:widowControl w:val="off"/>
        <w:rPr>
          <w:rFonts w:ascii="宋体" w:hAnsi="宋体"/>
          <w:b/>
          <w:sz w:val="21"/>
          <w:szCs w:val="21"/>
        </w:rPr>
      </w:pPr>
      <w:r>
        <w:rPr>
          <w:rFonts w:ascii="宋体" w:hAnsi="宋体"/>
          <w:b/>
        </w:rPr>
        <w:t xml:space="preserve">2</w:t>
      </w:r>
      <w:r>
        <w:rPr>
          <w:rFonts w:hint="eastAsia" w:ascii="宋体" w:hAnsi="宋体"/>
          <w:b/>
        </w:rPr>
        <w:t xml:space="preserve">.</w:t>
      </w:r>
      <w:r>
        <w:rPr>
          <w:rFonts w:hint="eastAsia" w:ascii="宋体" w:hAnsi="宋体"/>
          <w:b/>
          <w:sz w:val="21"/>
        </w:rPr>
        <w:t xml:space="preserve"> 服务类项目中供应商若使用退休人员，将不享受中小企业扶持政策。</w:t>
      </w:r>
      <w:r/>
    </w:p>
    <w:p>
      <w:pPr>
        <w:ind w:left="0" w:firstLine="420"/>
        <w:jc w:val="left"/>
        <w:spacing w:line="360" w:lineRule="auto"/>
        <w:widowControl w:val="off"/>
        <w:rPr>
          <w:rFonts w:ascii="宋体" w:hAnsi="宋体"/>
          <w:sz w:val="21"/>
        </w:rPr>
      </w:pPr>
      <w:r>
        <w:rPr>
          <w:rFonts w:ascii="宋体" w:hAnsi="宋体"/>
          <w:sz w:val="21"/>
        </w:rPr>
        <w:t xml:space="preserve">3</w:t>
      </w:r>
      <w:r>
        <w:rPr>
          <w:rFonts w:ascii="宋体" w:hAnsi="宋体"/>
          <w:sz w:val="21"/>
          <w:szCs w:val="21"/>
        </w:rPr>
        <w:t xml:space="preserve">.</w:t>
      </w:r>
      <w:r>
        <w:rPr>
          <w:rFonts w:hint="eastAsia" w:ascii="宋体" w:hAnsi="宋体"/>
          <w:sz w:val="21"/>
        </w:rPr>
        <w:t xml:space="preserve">请将相关人员证明材料复印件加盖公章后附在本表后面。</w:t>
      </w:r>
      <w:r>
        <w:rPr>
          <w:rFonts w:ascii="宋体" w:hAnsi="宋体"/>
          <w:sz w:val="21"/>
        </w:rPr>
        <w:t xml:space="preserve">若事项较多，</w:t>
      </w:r>
      <w:r>
        <w:rPr>
          <w:rFonts w:hint="eastAsia" w:ascii="宋体" w:hAnsi="宋体"/>
          <w:sz w:val="21"/>
        </w:rPr>
        <w:t xml:space="preserve">供应商</w:t>
      </w:r>
      <w:r>
        <w:rPr>
          <w:rFonts w:ascii="宋体" w:hAnsi="宋体"/>
          <w:sz w:val="21"/>
        </w:rPr>
        <w:t xml:space="preserve">可根据</w:t>
      </w:r>
      <w:r>
        <w:rPr>
          <w:rFonts w:hint="eastAsia" w:ascii="宋体" w:hAnsi="宋体"/>
          <w:sz w:val="21"/>
        </w:rPr>
        <w:t xml:space="preserve">响应</w:t>
      </w:r>
      <w:r>
        <w:rPr>
          <w:rFonts w:ascii="宋体" w:hAnsi="宋体"/>
          <w:sz w:val="21"/>
        </w:rPr>
        <w:t xml:space="preserve">内容的实际情况另纸说明</w:t>
      </w:r>
      <w:r>
        <w:rPr>
          <w:rFonts w:hint="eastAsia" w:ascii="宋体" w:hAnsi="宋体"/>
          <w:sz w:val="21"/>
        </w:rPr>
        <w:t xml:space="preserve">。</w:t>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76" w:name="_Toc105397787"/>
      <w:r/>
      <w:bookmarkStart w:id="77" w:name="_Toc71810489"/>
      <w:r>
        <w:rPr>
          <w:rFonts w:ascii="宋体" w:hAnsi="宋体"/>
          <w:b/>
          <w:sz w:val="21"/>
          <w:szCs w:val="21"/>
        </w:rPr>
        <w:br w:type="page" w:clear="all"/>
      </w:r>
      <w:bookmarkStart w:id="78" w:name="_Toc159146122"/>
      <w:r>
        <w:rPr>
          <w:rFonts w:ascii="宋体" w:hAnsi="宋体"/>
          <w:b/>
          <w:sz w:val="21"/>
          <w:szCs w:val="21"/>
        </w:rPr>
        <w:t xml:space="preserve">附件9</w:t>
      </w:r>
      <w:r>
        <w:rPr>
          <w:rFonts w:hint="eastAsia" w:ascii="宋体" w:hAnsi="宋体"/>
          <w:b/>
          <w:sz w:val="21"/>
          <w:szCs w:val="21"/>
        </w:rPr>
        <w:t xml:space="preserve">.</w:t>
      </w:r>
      <w:bookmarkEnd w:id="76"/>
      <w:r/>
      <w:bookmarkEnd w:id="77"/>
      <w:r/>
      <w:bookmarkEnd w:id="78"/>
      <w:r>
        <w:rPr>
          <w:rFonts w:hint="eastAsia" w:ascii="宋体" w:hAnsi="宋体"/>
        </w:rPr>
        <w:t xml:space="preserve"> </w:t>
      </w:r>
      <w:r>
        <w:rPr>
          <w:rFonts w:hint="eastAsia" w:ascii="宋体" w:hAnsi="宋体"/>
          <w:b/>
          <w:sz w:val="21"/>
          <w:szCs w:val="21"/>
        </w:rPr>
        <w:t xml:space="preserve">类似项目业绩一览表</w:t>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类似项目业绩一览表</w:t>
      </w:r>
      <w:r/>
    </w:p>
    <w:tbl>
      <w:tblPr>
        <w:tblW w:w="764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92"/>
        <w:rPr>
          <w:rFonts w:ascii="宋体" w:hAnsi="宋体"/>
        </w:rPr>
      </w:pPr>
      <w:r>
        <w:rPr>
          <w:rFonts w:ascii="宋体" w:hAnsi="宋体"/>
        </w:rPr>
      </w:r>
      <w:r/>
    </w:p>
    <w:p>
      <w:pPr>
        <w:pStyle w:val="884"/>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79" w:name="_Toc105397788"/>
      <w:r/>
      <w:bookmarkStart w:id="80" w:name="_Toc159146123"/>
      <w:r/>
      <w:bookmarkStart w:id="81" w:name="_Toc71810490"/>
      <w:r/>
      <w:bookmarkEnd w:id="72"/>
      <w:r/>
      <w:bookmarkEnd w:id="73"/>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79"/>
      <w:r/>
      <w:bookmarkEnd w:id="8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987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92"/>
        <w:rPr>
          <w:rFonts w:ascii="宋体" w:hAnsi="宋体"/>
        </w:rPr>
      </w:pPr>
      <w:r>
        <w:rPr>
          <w:rFonts w:ascii="宋体" w:hAnsi="宋体"/>
        </w:rPr>
      </w:r>
      <w:r/>
    </w:p>
    <w:p>
      <w:pPr>
        <w:pStyle w:val="884"/>
        <w:rPr>
          <w:rFonts w:ascii="宋体" w:hAnsi="宋体" w:cs="Times New Roman"/>
        </w:rPr>
      </w:pPr>
      <w:r>
        <w:rPr>
          <w:rFonts w:ascii="宋体" w:hAnsi="宋体" w:cs="Times New Roman"/>
        </w:rPr>
      </w:r>
      <w:r/>
    </w:p>
    <w:p>
      <w:pPr>
        <w:ind w:left="0"/>
        <w:jc w:val="left"/>
        <w:rPr>
          <w:rFonts w:ascii="宋体" w:hAnsi="宋体"/>
          <w:b/>
          <w:sz w:val="21"/>
          <w:szCs w:val="21"/>
        </w:rPr>
      </w:pPr>
      <w:r/>
      <w:bookmarkStart w:id="82" w:name="_Toc159146124"/>
      <w:r/>
      <w:bookmarkStart w:id="83" w:name="_Toc105397789"/>
      <w:r>
        <w:rPr>
          <w:rFonts w:ascii="宋体" w:hAnsi="宋体"/>
          <w:b/>
          <w:sz w:val="21"/>
          <w:szCs w:val="21"/>
        </w:rPr>
        <w:br w:type="page" w:clear="all"/>
      </w:r>
      <w:r/>
    </w:p>
    <w:p>
      <w:pPr>
        <w:ind w:left="0"/>
        <w:jc w:val="left"/>
        <w:rPr>
          <w:rFonts w:ascii="宋体" w:hAnsi="宋体"/>
          <w:b/>
          <w:sz w:val="21"/>
          <w:szCs w:val="21"/>
        </w:rPr>
        <w:outlineLvl w:val="0"/>
      </w:pPr>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1"/>
      <w:r/>
      <w:bookmarkEnd w:id="82"/>
      <w:r/>
      <w:bookmarkEnd w:id="83"/>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苏州公正建设咨询房地产评估有限公司</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宋体" w:hAnsi="宋体"/>
          <w:b/>
          <w:sz w:val="21"/>
          <w:szCs w:val="21"/>
        </w:rPr>
        <w:outlineLvl w:val="0"/>
      </w:pPr>
      <w:r>
        <w:rPr>
          <w:rFonts w:ascii="宋体" w:hAnsi="宋体"/>
          <w:sz w:val="21"/>
          <w:szCs w:val="21"/>
        </w:rPr>
        <w:br w:type="page" w:clear="all"/>
      </w:r>
      <w:bookmarkStart w:id="84" w:name="_Toc105397790"/>
      <w:r/>
      <w:bookmarkStart w:id="85" w:name="_Toc71810491"/>
      <w:r/>
      <w:bookmarkStart w:id="86" w:name="_Toc159146125"/>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投标人基本情况表</w:t>
      </w:r>
      <w:bookmarkEnd w:id="84"/>
      <w:r/>
      <w:bookmarkEnd w:id="85"/>
      <w:r/>
      <w:bookmarkEnd w:id="86"/>
      <w:r/>
      <w:r/>
    </w:p>
    <w:p>
      <w:pPr>
        <w:ind w:left="0"/>
        <w:jc w:val="left"/>
        <w:spacing w:line="360" w:lineRule="auto"/>
        <w:rPr>
          <w:rFonts w:ascii="宋体" w:hAnsi="宋体"/>
          <w:sz w:val="21"/>
          <w:szCs w:val="21"/>
        </w:rPr>
      </w:pPr>
      <w:r>
        <w:rPr>
          <w:rFonts w:ascii="宋体" w:hAnsi="宋体"/>
          <w:sz w:val="21"/>
          <w:szCs w:val="21"/>
        </w:rPr>
      </w:r>
      <w:r/>
    </w:p>
    <w:tbl>
      <w:tblPr>
        <w:tblW w:w="9073" w:type="dxa"/>
        <w:jc w:val="center"/>
        <w:tblLayout w:type="fixed"/>
        <w:tblCellMar>
          <w:left w:w="0" w:type="dxa"/>
          <w:right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firstLine="216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年万元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firstLine="420"/>
              <w:spacing w:line="360" w:lineRule="auto"/>
              <w:rPr>
                <w:rFonts w:ascii="宋体" w:hAnsi="宋体" w:cs="Times New Roman"/>
                <w:sz w:val="21"/>
                <w:szCs w:val="21"/>
              </w:rPr>
            </w:pPr>
            <w:r>
              <w:rPr>
                <w:rFonts w:ascii="宋体" w:hAnsi="宋体" w:cs="Times New Roman"/>
                <w:sz w:val="21"/>
                <w:szCs w:val="21"/>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bl>
    <w:p>
      <w:pPr>
        <w:ind w:left="0" w:firstLine="315"/>
        <w:jc w:val="left"/>
        <w:spacing w:line="360" w:lineRule="auto"/>
        <w:rPr>
          <w:rFonts w:ascii="宋体" w:hAnsi="宋体"/>
          <w:b/>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p>
    <w:p>
      <w:pPr>
        <w:ind w:left="0" w:firstLine="368"/>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Pr>
          <w:rFonts w:ascii="宋体" w:hAnsi="宋体" w:cs="Times New Roman"/>
          <w:lang w:val="zh-CN"/>
        </w:rPr>
      </w:pPr>
      <w:r>
        <w:rPr>
          <w:rFonts w:ascii="宋体" w:hAnsi="宋体" w:cs="Times New Roman"/>
          <w:lang w:val="zh-CN"/>
        </w:rPr>
      </w:r>
      <w:r/>
    </w:p>
    <w:p>
      <w:pPr>
        <w:ind w:left="0"/>
        <w:jc w:val="left"/>
        <w:rPr>
          <w:rFonts w:ascii="宋体" w:hAnsi="宋体"/>
          <w:b/>
          <w:bCs/>
          <w:sz w:val="21"/>
          <w:szCs w:val="21"/>
        </w:rPr>
      </w:pPr>
      <w:r/>
      <w:bookmarkStart w:id="87" w:name="_Toc105397791"/>
      <w:r/>
      <w:bookmarkStart w:id="88" w:name="_Toc103258863"/>
      <w:r/>
      <w:bookmarkStart w:id="89" w:name="_Toc159146126"/>
      <w:r>
        <w:rPr>
          <w:rFonts w:ascii="宋体" w:hAnsi="宋体"/>
          <w:b/>
          <w:bCs/>
          <w:sz w:val="21"/>
          <w:szCs w:val="21"/>
        </w:rPr>
        <w:br w:type="page" w:clear="all"/>
      </w:r>
      <w:r/>
    </w:p>
    <w:p>
      <w:pPr>
        <w:ind w:left="0"/>
        <w:rPr>
          <w:rFonts w:ascii="宋体" w:hAnsi="宋体" w:cs="Times New Roman"/>
          <w:b/>
          <w:sz w:val="21"/>
          <w:szCs w:val="21"/>
        </w:rPr>
      </w:pPr>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3</w:t>
      </w:r>
      <w:r>
        <w:rPr>
          <w:rFonts w:hint="eastAsia" w:ascii="宋体" w:hAnsi="宋体"/>
          <w:b/>
          <w:bCs/>
          <w:sz w:val="21"/>
          <w:szCs w:val="21"/>
        </w:rPr>
        <w:t xml:space="preserve">.</w:t>
      </w:r>
      <w:r>
        <w:rPr>
          <w:rFonts w:hint="eastAsia" w:ascii="宋体" w:hAnsi="宋体"/>
        </w:rPr>
        <w:t xml:space="preserve"> </w:t>
      </w:r>
      <w:bookmarkEnd w:id="87"/>
      <w:r/>
      <w:bookmarkEnd w:id="88"/>
      <w:r/>
      <w:bookmarkEnd w:id="89"/>
      <w:r>
        <w:rPr>
          <w:rFonts w:hint="eastAsia" w:ascii="宋体" w:hAnsi="宋体" w:cs="Times New Roman"/>
          <w:b/>
          <w:sz w:val="21"/>
          <w:szCs w:val="21"/>
        </w:rPr>
        <w:t xml:space="preserve">投标人与其他单位存在控股、管理关系情况表</w:t>
      </w:r>
      <w:r/>
    </w:p>
    <w:p>
      <w:pPr>
        <w:ind w:left="0"/>
        <w:jc w:val="center"/>
        <w:spacing w:line="360" w:lineRule="auto"/>
        <w:widowControl w:val="off"/>
        <w:rPr>
          <w:rFonts w:ascii="宋体" w:hAnsi="宋体" w:cs="Times New Roman"/>
          <w:b/>
          <w:sz w:val="21"/>
          <w:szCs w:val="21"/>
        </w:rPr>
      </w:pPr>
      <w:r>
        <w:rPr>
          <w:rFonts w:ascii="宋体" w:hAnsi="宋体" w:cs="Times New Roman"/>
          <w:b/>
          <w:sz w:val="21"/>
          <w:szCs w:val="21"/>
        </w:rPr>
      </w:r>
      <w:r/>
    </w:p>
    <w:p>
      <w:pPr>
        <w:ind w:left="0"/>
        <w:jc w:val="center"/>
        <w:spacing w:line="360" w:lineRule="auto"/>
        <w:widowControl w:val="off"/>
        <w:rPr>
          <w:rFonts w:ascii="宋体" w:hAnsi="宋体" w:cs="Times New Roman"/>
          <w:b/>
          <w:sz w:val="30"/>
          <w:szCs w:val="30"/>
        </w:rPr>
      </w:pPr>
      <w:r>
        <w:rPr>
          <w:rFonts w:hint="eastAsia" w:ascii="宋体" w:hAnsi="宋体" w:cs="Times New Roman"/>
          <w:b/>
          <w:sz w:val="30"/>
          <w:szCs w:val="30"/>
        </w:rPr>
        <w:t xml:space="preserve">投标人与其他单位存在控股、管理关系情况表</w:t>
      </w:r>
      <w:r/>
    </w:p>
    <w:p>
      <w:pPr>
        <w:ind w:left="0"/>
        <w:jc w:val="center"/>
        <w:spacing w:line="360" w:lineRule="auto"/>
        <w:widowControl w:val="off"/>
        <w:rPr>
          <w:rFonts w:ascii="宋体" w:hAnsi="宋体" w:cs="Times New Roman"/>
          <w:b/>
          <w:sz w:val="21"/>
          <w:szCs w:val="21"/>
        </w:rPr>
      </w:pPr>
      <w:r>
        <w:rPr>
          <w:rFonts w:ascii="宋体" w:hAnsi="宋体" w:cs="Times New Roman"/>
          <w:b/>
          <w:sz w:val="21"/>
          <w:szCs w:val="21"/>
        </w:rPr>
      </w:r>
      <w:r/>
    </w:p>
    <w:tbl>
      <w:tblPr>
        <w:tblW w:w="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1"/>
        <w:gridCol w:w="4935"/>
      </w:tblGrid>
      <w:tr>
        <w:trPr>
          <w:jc w:val="center"/>
          <w:trHeight w:val="637"/>
        </w:trPr>
        <w:tc>
          <w:tcPr>
            <w:tcW w:w="4671"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与投标人存在控股、管理关系的单位名称</w:t>
            </w:r>
            <w:r/>
          </w:p>
        </w:tc>
        <w:tc>
          <w:tcPr>
            <w:tcW w:w="4935"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控股、管理关系情况说明</w:t>
            </w:r>
            <w:r/>
          </w:p>
        </w:tc>
      </w:tr>
      <w:tr>
        <w:trPr>
          <w:jc w:val="center"/>
          <w:trHeight w:val="850"/>
        </w:trPr>
        <w:tc>
          <w:tcPr>
            <w:tcW w:w="4671"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W w:w="4935"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jc w:val="center"/>
          <w:trHeight w:val="850"/>
        </w:trPr>
        <w:tc>
          <w:tcPr>
            <w:tcW w:w="4671"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W w:w="4935"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jc w:val="center"/>
          <w:trHeight w:val="850"/>
        </w:trPr>
        <w:tc>
          <w:tcPr>
            <w:tcW w:w="4671"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W w:w="4935"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jc w:val="center"/>
          <w:trHeight w:val="850"/>
        </w:trPr>
        <w:tc>
          <w:tcPr>
            <w:tcW w:w="4671"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W w:w="4935"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jc w:val="center"/>
          <w:trHeight w:val="850"/>
        </w:trPr>
        <w:tc>
          <w:tcPr>
            <w:tcW w:w="4671"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W w:w="4935"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jc w:val="center"/>
          <w:trHeight w:val="850"/>
        </w:trPr>
        <w:tc>
          <w:tcPr>
            <w:tcW w:w="4671"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W w:w="4935"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bl>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注：1、投标单位须如实填写所有与之有控股、管理关系的情况，若无控股及管理情况，请填写“无”，并加盖公章，该情况表为资格审查条件，未提交视为资格审查不合格。</w:t>
      </w:r>
      <w:r/>
    </w:p>
    <w:p>
      <w:pPr>
        <w:ind w:left="0"/>
        <w:spacing w:after="120"/>
        <w:widowControl w:val="off"/>
        <w:rPr>
          <w:rFonts w:ascii="宋体" w:hAnsi="宋体" w:cs="Times New Roman"/>
          <w:sz w:val="21"/>
          <w:szCs w:val="21"/>
        </w:rPr>
      </w:pPr>
      <w:r>
        <w:rPr>
          <w:rFonts w:hint="eastAsia" w:ascii="宋体" w:hAnsi="宋体" w:cs="Times New Roman"/>
          <w:b/>
          <w:sz w:val="21"/>
          <w:szCs w:val="21"/>
        </w:rPr>
        <w:t xml:space="preserve">       2、投标单位对上述情况表的真实性负责。如有虚假，将依法承担相应责任。</w:t>
      </w:r>
      <w:r/>
    </w:p>
    <w:p>
      <w:pPr>
        <w:ind w:left="0" w:firstLine="422"/>
        <w:spacing w:line="360" w:lineRule="auto"/>
        <w:widowControl w:val="off"/>
        <w:rPr>
          <w:rFonts w:ascii="宋体" w:hAnsi="宋体" w:cs="Times New Roman"/>
          <w:b/>
          <w:sz w:val="21"/>
          <w:szCs w:val="21"/>
        </w:rPr>
      </w:pPr>
      <w:r>
        <w:rPr>
          <w:rFonts w:ascii="宋体" w:hAnsi="宋体" w:cs="Times New Roman"/>
          <w:b/>
          <w:sz w:val="21"/>
          <w:szCs w:val="21"/>
        </w:rPr>
      </w:r>
      <w:r/>
    </w:p>
    <w:p>
      <w:pPr>
        <w:ind w:left="0" w:firstLine="422"/>
        <w:spacing w:line="360" w:lineRule="auto"/>
        <w:widowControl w:val="off"/>
        <w:rPr>
          <w:rFonts w:ascii="宋体" w:hAnsi="宋体" w:cs="Times New Roman"/>
          <w:b/>
          <w:sz w:val="21"/>
          <w:szCs w:val="21"/>
        </w:rPr>
      </w:pPr>
      <w:r>
        <w:rPr>
          <w:rFonts w:ascii="宋体" w:hAnsi="宋体" w:cs="Times New Roman"/>
          <w:b/>
          <w:sz w:val="21"/>
          <w:szCs w:val="21"/>
        </w:rPr>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投标人：（盖章）</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法定代表人或代理人：（签字或盖章）</w:t>
      </w:r>
      <w:r/>
    </w:p>
    <w:p>
      <w:pPr>
        <w:ind w:left="0"/>
        <w:rPr>
          <w:rFonts w:ascii="宋体" w:hAnsi="宋体"/>
          <w:sz w:val="21"/>
          <w:szCs w:val="21"/>
        </w:rPr>
        <w:outlineLvl w:val="0"/>
      </w:pPr>
      <w:r>
        <w:rPr>
          <w:rFonts w:hint="eastAsia" w:ascii="宋体" w:hAnsi="宋体" w:cs="Times New Roman"/>
          <w:sz w:val="21"/>
          <w:szCs w:val="21"/>
        </w:rPr>
        <w:t xml:space="preserve">日期： </w:t>
      </w:r>
      <w:r>
        <w:rPr>
          <w:rFonts w:ascii="宋体" w:hAnsi="宋体" w:cs="Times New Roman"/>
          <w:sz w:val="21"/>
          <w:szCs w:val="21"/>
        </w:rPr>
        <w:t xml:space="preserve">   </w:t>
      </w:r>
      <w:r>
        <w:rPr>
          <w:rFonts w:hint="eastAsia" w:ascii="宋体" w:hAnsi="宋体" w:cs="Times New Roman"/>
          <w:sz w:val="21"/>
          <w:szCs w:val="21"/>
        </w:rPr>
        <w:t xml:space="preserve">年 </w:t>
      </w:r>
      <w:r>
        <w:rPr>
          <w:rFonts w:ascii="宋体" w:hAnsi="宋体" w:cs="Times New Roman"/>
          <w:sz w:val="21"/>
          <w:szCs w:val="21"/>
        </w:rPr>
        <w:t xml:space="preserve">  </w:t>
      </w:r>
      <w:r>
        <w:rPr>
          <w:rFonts w:hint="eastAsia" w:ascii="宋体" w:hAnsi="宋体" w:cs="Times New Roman"/>
          <w:sz w:val="21"/>
          <w:szCs w:val="21"/>
        </w:rPr>
        <w:t xml:space="preserve">月 </w:t>
      </w:r>
      <w:r>
        <w:rPr>
          <w:rFonts w:ascii="宋体" w:hAnsi="宋体" w:cs="Times New Roman"/>
          <w:sz w:val="21"/>
          <w:szCs w:val="21"/>
        </w:rPr>
        <w:t xml:space="preserve">  </w:t>
      </w:r>
      <w:r>
        <w:rPr>
          <w:rFonts w:hint="eastAsia" w:ascii="宋体" w:hAnsi="宋体" w:cs="Times New Roman"/>
          <w:sz w:val="21"/>
          <w:szCs w:val="21"/>
        </w:rPr>
        <w:t xml:space="preserve"> 日</w:t>
      </w:r>
      <w:r/>
    </w:p>
    <w:p>
      <w:pPr>
        <w:ind w:left="0" w:right="-200"/>
        <w:jc w:val="center"/>
        <w:spacing w:line="360" w:lineRule="auto"/>
        <w:widowControl w:val="off"/>
        <w:rPr>
          <w:rFonts w:ascii="宋体" w:hAnsi="宋体"/>
        </w:rPr>
      </w:pPr>
      <w:r>
        <w:rPr>
          <w:rFonts w:ascii="宋体" w:hAnsi="宋体"/>
        </w:rPr>
      </w:r>
      <w:r/>
    </w:p>
    <w:p>
      <w:pPr>
        <w:pStyle w:val="927"/>
        <w:ind w:left="400" w:firstLine="400"/>
        <w:rPr>
          <w:rFonts w:ascii="宋体" w:hAnsi="宋体"/>
        </w:rPr>
      </w:pPr>
      <w:r>
        <w:rPr>
          <w:rFonts w:ascii="宋体" w:hAnsi="宋体"/>
        </w:rPr>
      </w:r>
      <w:r/>
    </w:p>
    <w:p>
      <w:pPr>
        <w:pStyle w:val="927"/>
        <w:ind w:left="400" w:firstLine="400"/>
        <w:rPr>
          <w:rFonts w:ascii="宋体" w:hAnsi="宋体"/>
        </w:rPr>
      </w:pPr>
      <w:r>
        <w:rPr>
          <w:rFonts w:ascii="宋体" w:hAnsi="宋体"/>
        </w:rPr>
      </w:r>
      <w:r/>
    </w:p>
    <w:p>
      <w:pPr>
        <w:pStyle w:val="927"/>
        <w:ind w:left="400" w:firstLine="400"/>
        <w:rPr>
          <w:rFonts w:ascii="宋体" w:hAnsi="宋体"/>
        </w:rPr>
      </w:pPr>
      <w:r>
        <w:rPr>
          <w:rFonts w:ascii="宋体" w:hAnsi="宋体"/>
        </w:rPr>
      </w:r>
      <w:r/>
    </w:p>
    <w:p>
      <w:pPr>
        <w:pStyle w:val="927"/>
        <w:ind w:left="400" w:firstLine="400"/>
        <w:rPr>
          <w:rFonts w:ascii="宋体" w:hAnsi="宋体"/>
        </w:rPr>
      </w:pPr>
      <w:r>
        <w:rPr>
          <w:rFonts w:ascii="宋体" w:hAnsi="宋体"/>
        </w:rPr>
      </w:r>
      <w:r/>
    </w:p>
    <w:p>
      <w:pPr>
        <w:pStyle w:val="927"/>
        <w:ind w:left="400" w:firstLine="400"/>
        <w:rPr>
          <w:rFonts w:ascii="宋体" w:hAnsi="宋体"/>
        </w:rPr>
      </w:pPr>
      <w:r>
        <w:rPr>
          <w:rFonts w:ascii="宋体" w:hAnsi="宋体"/>
        </w:rPr>
      </w:r>
      <w:r/>
    </w:p>
    <w:p>
      <w:pPr>
        <w:pStyle w:val="927"/>
        <w:ind w:left="400" w:firstLine="400"/>
        <w:rPr>
          <w:rFonts w:ascii="宋体" w:hAnsi="宋体"/>
        </w:rPr>
      </w:pPr>
      <w:r>
        <w:rPr>
          <w:rFonts w:ascii="宋体" w:hAnsi="宋体"/>
        </w:rPr>
      </w:r>
      <w:r/>
    </w:p>
    <w:p>
      <w:pPr>
        <w:pStyle w:val="927"/>
        <w:ind w:left="400" w:firstLine="400"/>
        <w:rPr>
          <w:rFonts w:ascii="宋体" w:hAnsi="宋体"/>
        </w:rPr>
      </w:pPr>
      <w:r>
        <w:rPr>
          <w:rFonts w:ascii="宋体" w:hAnsi="宋体"/>
        </w:rPr>
      </w:r>
      <w:r/>
    </w:p>
    <w:p>
      <w:pPr>
        <w:pStyle w:val="927"/>
        <w:ind w:left="400" w:firstLine="400"/>
        <w:rPr>
          <w:rFonts w:ascii="宋体" w:hAnsi="宋体"/>
        </w:rPr>
      </w:pPr>
      <w:r>
        <w:rPr>
          <w:rFonts w:ascii="宋体" w:hAnsi="宋体"/>
        </w:rPr>
      </w:r>
      <w:r/>
    </w:p>
    <w:p>
      <w:pPr>
        <w:contextualSpacing/>
        <w:ind w:left="0"/>
        <w:spacing w:line="276" w:lineRule="auto"/>
        <w:widowControl w:val="off"/>
        <w:rPr>
          <w:rFonts w:ascii="宋体" w:hAnsi="宋体" w:cs="Times New Roman"/>
          <w:b/>
          <w:sz w:val="21"/>
          <w:szCs w:val="22"/>
        </w:rPr>
      </w:pPr>
      <w:r>
        <w:rPr>
          <w:rFonts w:hint="eastAsia" w:ascii="宋体" w:hAnsi="宋体"/>
          <w:b/>
          <w:bCs/>
          <w:sz w:val="21"/>
          <w:szCs w:val="21"/>
        </w:rPr>
        <w:t xml:space="preserve">附件14：投标（响应）保证承诺书</w:t>
      </w:r>
      <w:r/>
    </w:p>
    <w:p>
      <w:pPr>
        <w:ind w:left="0"/>
        <w:jc w:val="center"/>
        <w:spacing w:line="600" w:lineRule="atLeast"/>
        <w:rPr>
          <w:rFonts w:ascii="宋体" w:hAnsi="宋体"/>
          <w:b/>
          <w:sz w:val="21"/>
          <w:szCs w:val="21"/>
        </w:rPr>
      </w:pPr>
      <w:r>
        <w:rPr>
          <w:rFonts w:hint="eastAsia" w:ascii="宋体" w:hAnsi="宋体"/>
          <w:b/>
          <w:sz w:val="21"/>
          <w:szCs w:val="21"/>
        </w:rPr>
        <w:t xml:space="preserve">投标（响应）保证承诺书</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致：</w:t>
      </w:r>
      <w:r>
        <w:rPr>
          <w:rFonts w:hint="eastAsia" w:ascii="宋体" w:hAnsi="宋体"/>
          <w:sz w:val="21"/>
          <w:szCs w:val="21"/>
          <w:u w:val="single"/>
        </w:rPr>
        <w:t xml:space="preserve">         （招标单位名称）</w:t>
      </w:r>
      <w:r/>
    </w:p>
    <w:p>
      <w:pPr>
        <w:ind w:left="0" w:firstLine="600"/>
        <w:jc w:val="left"/>
        <w:spacing w:line="360" w:lineRule="auto"/>
        <w:rPr>
          <w:rFonts w:ascii="宋体" w:hAnsi="宋体"/>
          <w:sz w:val="21"/>
          <w:szCs w:val="21"/>
        </w:rPr>
      </w:pPr>
      <w:r>
        <w:rPr>
          <w:rFonts w:hint="eastAsia" w:ascii="宋体" w:hAnsi="宋体"/>
          <w:sz w:val="21"/>
          <w:szCs w:val="21"/>
        </w:rPr>
        <w:t xml:space="preserve">我（单位/本人，以下统称我单位）自愿参加</w:t>
      </w:r>
      <w:r>
        <w:rPr>
          <w:rFonts w:hint="eastAsia" w:ascii="宋体" w:hAnsi="宋体"/>
          <w:sz w:val="21"/>
          <w:szCs w:val="21"/>
          <w:u w:val="single"/>
        </w:rPr>
        <w:t xml:space="preserve">              （项目名称和采购编号）</w:t>
      </w:r>
      <w:r>
        <w:rPr>
          <w:rFonts w:hint="eastAsia" w:ascii="宋体" w:hAnsi="宋体"/>
          <w:sz w:val="21"/>
          <w:szCs w:val="21"/>
        </w:rPr>
        <w:t xml:space="preserve">的投标（响应）,并做出如下承诺：</w:t>
      </w:r>
      <w:r/>
    </w:p>
    <w:p>
      <w:pPr>
        <w:ind w:left="0" w:firstLine="600"/>
        <w:jc w:val="left"/>
        <w:spacing w:line="360" w:lineRule="auto"/>
        <w:rPr>
          <w:rFonts w:ascii="宋体" w:hAnsi="宋体"/>
          <w:sz w:val="21"/>
          <w:szCs w:val="21"/>
        </w:rPr>
      </w:pPr>
      <w:r>
        <w:rPr>
          <w:rFonts w:hint="eastAsia" w:ascii="宋体" w:hAnsi="宋体"/>
          <w:sz w:val="21"/>
          <w:szCs w:val="21"/>
        </w:rPr>
        <w:t xml:space="preserve">一、除不可抗力外，我单位如果发生以下行为，将在行为发生的10个工作日内，向贵方</w:t>
      </w:r>
      <w:r>
        <w:rPr>
          <w:rFonts w:hint="eastAsia" w:ascii="宋体" w:hAnsi="宋体"/>
          <w:sz w:val="21"/>
          <w:szCs w:val="21"/>
          <w:u w:val="single"/>
        </w:rPr>
        <w:t xml:space="preserve">（或招标单位）</w:t>
      </w:r>
      <w:r>
        <w:rPr>
          <w:rFonts w:hint="eastAsia" w:ascii="宋体" w:hAnsi="宋体"/>
          <w:sz w:val="21"/>
          <w:szCs w:val="21"/>
        </w:rPr>
        <w:t xml:space="preserve">支付本招标文件公布的预算金额（或最高限价）的2%作为违约赔偿金（数量不确定的单价采购须约定具体金额）。</w:t>
      </w:r>
      <w:r/>
    </w:p>
    <w:p>
      <w:pPr>
        <w:ind w:left="0" w:firstLine="555"/>
        <w:jc w:val="left"/>
        <w:spacing w:line="360" w:lineRule="auto"/>
        <w:rPr>
          <w:rFonts w:ascii="宋体" w:hAnsi="宋体"/>
          <w:sz w:val="21"/>
          <w:szCs w:val="21"/>
        </w:rPr>
      </w:pPr>
      <w:r>
        <w:rPr>
          <w:rFonts w:hint="eastAsia" w:ascii="宋体" w:hAnsi="宋体"/>
          <w:sz w:val="21"/>
          <w:szCs w:val="21"/>
        </w:rPr>
        <w:t xml:space="preserve">1.自投标截止时间至本项目发布中标（成交）公告为止，撤销投标（响应）；</w:t>
      </w:r>
      <w:r/>
    </w:p>
    <w:p>
      <w:pPr>
        <w:ind w:left="0" w:firstLine="555"/>
        <w:jc w:val="left"/>
        <w:spacing w:line="360" w:lineRule="auto"/>
        <w:rPr>
          <w:rFonts w:ascii="宋体" w:hAnsi="宋体"/>
          <w:sz w:val="21"/>
          <w:szCs w:val="21"/>
        </w:rPr>
      </w:pPr>
      <w:r>
        <w:rPr>
          <w:rFonts w:hint="eastAsia" w:ascii="宋体" w:hAnsi="宋体"/>
          <w:sz w:val="21"/>
          <w:szCs w:val="21"/>
        </w:rPr>
        <w:t xml:space="preserve">2.中标后不依法与招标单位签订合同；</w:t>
      </w:r>
      <w:r/>
    </w:p>
    <w:p>
      <w:pPr>
        <w:ind w:left="0" w:firstLine="555"/>
        <w:jc w:val="left"/>
        <w:spacing w:line="360" w:lineRule="auto"/>
        <w:rPr>
          <w:rFonts w:ascii="宋体" w:hAnsi="宋体"/>
          <w:sz w:val="21"/>
          <w:szCs w:val="21"/>
        </w:rPr>
      </w:pPr>
      <w:r>
        <w:rPr>
          <w:rFonts w:hint="eastAsia" w:ascii="宋体" w:hAnsi="宋体"/>
          <w:sz w:val="21"/>
          <w:szCs w:val="21"/>
        </w:rPr>
        <w:t xml:space="preserve">3.中标后不按本招标文件规定向贵方缴纳采购代理费。</w:t>
      </w:r>
      <w:r/>
    </w:p>
    <w:p>
      <w:pPr>
        <w:ind w:left="0" w:firstLine="600"/>
        <w:jc w:val="left"/>
        <w:spacing w:line="360" w:lineRule="auto"/>
        <w:rPr>
          <w:rFonts w:ascii="宋体" w:hAnsi="宋体"/>
          <w:sz w:val="21"/>
          <w:szCs w:val="21"/>
        </w:rPr>
      </w:pPr>
      <w:r>
        <w:rPr>
          <w:rFonts w:hint="eastAsia" w:ascii="宋体" w:hAnsi="宋体"/>
          <w:sz w:val="21"/>
          <w:szCs w:val="21"/>
        </w:rPr>
        <w:t xml:space="preserve">二、我单位知晓上述行为的法律后果，承认本承诺书作为贵方</w:t>
      </w:r>
      <w:r>
        <w:rPr>
          <w:rFonts w:hint="eastAsia" w:ascii="宋体" w:hAnsi="宋体"/>
          <w:sz w:val="21"/>
          <w:szCs w:val="21"/>
          <w:u w:val="single"/>
        </w:rPr>
        <w:t xml:space="preserve">（或招标单位）</w:t>
      </w:r>
      <w:r>
        <w:rPr>
          <w:rFonts w:hint="eastAsia" w:ascii="宋体" w:hAnsi="宋体"/>
          <w:sz w:val="21"/>
          <w:szCs w:val="21"/>
        </w:rPr>
        <w:t xml:space="preserve">要求我单位履行违约赔偿义务的依据作用。</w:t>
      </w:r>
      <w:r/>
    </w:p>
    <w:p>
      <w:pPr>
        <w:ind w:left="0"/>
        <w:jc w:val="left"/>
        <w:spacing w:line="360" w:lineRule="auto"/>
        <w:rPr>
          <w:rFonts w:ascii="宋体" w:hAnsi="宋体"/>
          <w:sz w:val="21"/>
          <w:szCs w:val="21"/>
        </w:rPr>
      </w:pPr>
      <w:r>
        <w:rPr>
          <w:rFonts w:hint="eastAsia" w:ascii="宋体" w:hAnsi="宋体"/>
          <w:sz w:val="21"/>
          <w:szCs w:val="21"/>
        </w:rPr>
        <w:t xml:space="preserve"> </w:t>
      </w:r>
      <w:r/>
    </w:p>
    <w:p>
      <w:pPr>
        <w:ind w:left="0"/>
        <w:jc w:val="left"/>
        <w:spacing w:line="360" w:lineRule="auto"/>
        <w:rPr>
          <w:rFonts w:ascii="宋体" w:hAnsi="宋体"/>
          <w:sz w:val="21"/>
          <w:szCs w:val="21"/>
        </w:rPr>
      </w:pPr>
      <w:r>
        <w:rPr>
          <w:rFonts w:hint="eastAsia" w:ascii="宋体" w:hAnsi="宋体"/>
          <w:sz w:val="21"/>
          <w:szCs w:val="21"/>
        </w:rPr>
        <w:t xml:space="preserve">投标人：（盖公章）</w:t>
      </w:r>
      <w:r/>
    </w:p>
    <w:p>
      <w:pPr>
        <w:ind w:left="0"/>
        <w:jc w:val="left"/>
        <w:spacing w:line="360" w:lineRule="auto"/>
        <w:rPr>
          <w:rFonts w:ascii="宋体" w:hAnsi="宋体"/>
          <w:sz w:val="21"/>
          <w:szCs w:val="21"/>
        </w:rPr>
      </w:pPr>
      <w:r>
        <w:rPr>
          <w:rFonts w:hint="eastAsia" w:ascii="宋体" w:hAnsi="宋体"/>
          <w:sz w:val="21"/>
          <w:szCs w:val="21"/>
        </w:rPr>
        <w:t xml:space="preserve">地址：</w:t>
      </w:r>
      <w:r/>
    </w:p>
    <w:p>
      <w:pPr>
        <w:ind w:left="0"/>
        <w:jc w:val="left"/>
        <w:spacing w:line="360" w:lineRule="auto"/>
        <w:rPr>
          <w:rFonts w:ascii="宋体" w:hAnsi="宋体"/>
          <w:sz w:val="21"/>
          <w:szCs w:val="21"/>
        </w:rPr>
      </w:pPr>
      <w:r>
        <w:rPr>
          <w:rFonts w:hint="eastAsia" w:ascii="宋体" w:hAnsi="宋体"/>
          <w:sz w:val="21"/>
          <w:szCs w:val="21"/>
        </w:rPr>
        <w:t xml:space="preserve">电话：                    </w:t>
      </w:r>
      <w:r/>
    </w:p>
    <w:p>
      <w:pPr>
        <w:ind w:left="0"/>
        <w:jc w:val="left"/>
        <w:spacing w:line="360" w:lineRule="auto"/>
        <w:rPr>
          <w:rFonts w:ascii="宋体" w:hAnsi="宋体"/>
          <w:sz w:val="21"/>
          <w:szCs w:val="21"/>
        </w:rPr>
      </w:pPr>
      <w:r>
        <w:rPr>
          <w:rFonts w:hint="eastAsia" w:ascii="宋体" w:hAnsi="宋体"/>
          <w:sz w:val="21"/>
          <w:szCs w:val="21"/>
        </w:rPr>
        <w:t xml:space="preserve">传真：</w:t>
      </w:r>
      <w:r/>
    </w:p>
    <w:p>
      <w:pPr>
        <w:ind w:left="0"/>
        <w:jc w:val="left"/>
        <w:spacing w:line="360" w:lineRule="auto"/>
        <w:rPr>
          <w:rFonts w:ascii="宋体" w:hAnsi="宋体"/>
          <w:sz w:val="21"/>
          <w:szCs w:val="21"/>
        </w:rPr>
      </w:pPr>
      <w:r>
        <w:rPr>
          <w:rFonts w:hint="eastAsia" w:ascii="宋体" w:hAnsi="宋体"/>
          <w:sz w:val="21"/>
          <w:szCs w:val="21"/>
        </w:rPr>
        <w:t xml:space="preserve">电子邮件：                    </w:t>
      </w:r>
      <w:r/>
    </w:p>
    <w:p>
      <w:pPr>
        <w:ind w:left="0"/>
        <w:jc w:val="left"/>
        <w:spacing w:line="360" w:lineRule="auto"/>
        <w:rPr>
          <w:rFonts w:ascii="宋体" w:hAnsi="宋体"/>
          <w:sz w:val="21"/>
          <w:szCs w:val="21"/>
        </w:rPr>
      </w:pPr>
      <w:r>
        <w:rPr>
          <w:rFonts w:hint="eastAsia" w:ascii="宋体" w:hAnsi="宋体"/>
          <w:sz w:val="21"/>
          <w:szCs w:val="21"/>
        </w:rPr>
        <w:t xml:space="preserve">邮编：</w:t>
      </w:r>
      <w:r/>
    </w:p>
    <w:p>
      <w:pPr>
        <w:ind w:left="0"/>
        <w:jc w:val="left"/>
        <w:spacing w:line="360" w:lineRule="auto"/>
        <w:rPr>
          <w:rFonts w:ascii="宋体" w:hAnsi="宋体"/>
          <w:sz w:val="21"/>
          <w:szCs w:val="21"/>
        </w:rPr>
      </w:pPr>
      <w:r>
        <w:rPr>
          <w:rFonts w:hint="eastAsia" w:ascii="宋体" w:hAnsi="宋体"/>
          <w:sz w:val="21"/>
          <w:szCs w:val="21"/>
        </w:rPr>
        <w:t xml:space="preserve">法定代表人或委托代理人(签字或签章)：</w:t>
      </w:r>
      <w:r/>
    </w:p>
    <w:p>
      <w:pPr>
        <w:ind w:left="0" w:firstLine="420"/>
        <w:rPr>
          <w:rFonts w:ascii="宋体" w:hAnsi="宋体" w:cs="Times New Roman"/>
          <w:sz w:val="21"/>
          <w:szCs w:val="22"/>
        </w:rPr>
      </w:pPr>
      <w:r>
        <w:rPr>
          <w:rFonts w:ascii="宋体" w:hAnsi="宋体" w:cs="Times New Roman"/>
          <w:sz w:val="21"/>
          <w:szCs w:val="22"/>
        </w:rPr>
      </w:r>
      <w:r/>
    </w:p>
    <w:p>
      <w:pPr>
        <w:ind w:left="0"/>
        <w:jc w:val="left"/>
        <w:spacing w:line="360" w:lineRule="auto"/>
        <w:rPr>
          <w:rFonts w:ascii="宋体" w:hAnsi="宋体"/>
          <w:sz w:val="21"/>
          <w:szCs w:val="21"/>
        </w:rPr>
      </w:pPr>
      <w:r>
        <w:rPr>
          <w:rFonts w:hint="eastAsia" w:ascii="宋体" w:hAnsi="宋体"/>
          <w:sz w:val="21"/>
          <w:szCs w:val="21"/>
        </w:rPr>
        <w:t xml:space="preserve">日期：</w:t>
      </w:r>
      <w:r/>
    </w:p>
    <w:p>
      <w:pPr>
        <w:pStyle w:val="878"/>
        <w:rPr>
          <w:rFonts w:ascii="宋体" w:hAnsi="宋体"/>
        </w:rPr>
      </w:pPr>
      <w:r>
        <w:rPr>
          <w:rFonts w:ascii="宋体" w:hAnsi="宋体"/>
        </w:rPr>
        <w:br w:type="page" w:clear="all"/>
      </w:r>
      <w:r/>
    </w:p>
    <w:p>
      <w:pPr>
        <w:contextualSpacing/>
        <w:ind w:left="0"/>
        <w:spacing w:line="276" w:lineRule="auto"/>
        <w:widowControl w:val="off"/>
        <w:rPr>
          <w:rFonts w:ascii="宋体" w:hAnsi="宋体"/>
          <w:b/>
          <w:bCs/>
          <w:sz w:val="21"/>
          <w:szCs w:val="21"/>
        </w:rPr>
      </w:pPr>
      <w:r>
        <w:rPr>
          <w:rFonts w:hint="eastAsia" w:ascii="宋体" w:hAnsi="宋体"/>
          <w:b/>
          <w:bCs/>
          <w:sz w:val="21"/>
          <w:szCs w:val="21"/>
        </w:rPr>
        <w:t xml:space="preserve">附件1</w:t>
      </w:r>
      <w:r>
        <w:rPr>
          <w:rFonts w:ascii="宋体" w:hAnsi="宋体"/>
          <w:b/>
          <w:bCs/>
          <w:sz w:val="21"/>
          <w:szCs w:val="21"/>
        </w:rPr>
        <w:t xml:space="preserve">5</w:t>
      </w:r>
      <w:r>
        <w:rPr>
          <w:rFonts w:hint="eastAsia" w:ascii="宋体" w:hAnsi="宋体"/>
          <w:b/>
          <w:bCs/>
          <w:sz w:val="21"/>
          <w:szCs w:val="21"/>
        </w:rPr>
        <w:t xml:space="preserve">：关于符合本国产品标准的声明函</w:t>
      </w:r>
      <w:r/>
    </w:p>
    <w:p>
      <w:pPr>
        <w:ind w:left="0"/>
        <w:jc w:val="center"/>
        <w:spacing w:line="360" w:lineRule="auto"/>
        <w:widowControl w:val="off"/>
        <w:rPr>
          <w:rFonts w:ascii="宋体" w:hAnsi="宋体"/>
          <w:b/>
          <w:sz w:val="28"/>
          <w:szCs w:val="28"/>
        </w:rPr>
      </w:pPr>
      <w:r>
        <w:rPr>
          <w:rFonts w:ascii="宋体" w:hAnsi="宋体"/>
          <w:b/>
          <w:sz w:val="28"/>
          <w:szCs w:val="28"/>
        </w:rPr>
      </w:r>
      <w:r/>
    </w:p>
    <w:p>
      <w:pPr>
        <w:ind w:left="0"/>
        <w:jc w:val="center"/>
        <w:spacing w:line="360" w:lineRule="auto"/>
        <w:widowControl w:val="off"/>
        <w:rPr>
          <w:rFonts w:ascii="宋体" w:hAnsi="宋体"/>
          <w:b/>
          <w:sz w:val="28"/>
          <w:szCs w:val="28"/>
        </w:rPr>
      </w:pPr>
      <w:r>
        <w:rPr>
          <w:rFonts w:hint="eastAsia" w:ascii="宋体" w:hAnsi="宋体"/>
          <w:b/>
          <w:sz w:val="28"/>
          <w:szCs w:val="28"/>
        </w:rPr>
        <w:t xml:space="preserve">关于符合本国产品标准的声明函</w:t>
      </w:r>
      <w:r/>
    </w:p>
    <w:p>
      <w:pPr>
        <w:ind w:left="0" w:firstLine="480"/>
        <w:jc w:val="left"/>
        <w:spacing w:line="480" w:lineRule="atLeast"/>
        <w:shd w:val="clear" w:color="auto" w:fill="ffffff"/>
        <w:rPr>
          <w:rFonts w:ascii="宋体" w:hAnsi="宋体"/>
          <w:sz w:val="24"/>
          <w:szCs w:val="24"/>
        </w:rPr>
      </w:pPr>
      <w:r>
        <w:rPr>
          <w:rFonts w:hint="eastAsia" w:ascii="宋体" w:hAnsi="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firstLine="480"/>
        <w:jc w:val="left"/>
        <w:spacing w:line="480" w:lineRule="atLeast"/>
        <w:shd w:val="clear" w:color="auto" w:fill="ffffff"/>
        <w:rPr>
          <w:rFonts w:ascii="宋体" w:hAnsi="宋体"/>
          <w:sz w:val="24"/>
          <w:szCs w:val="24"/>
        </w:rPr>
      </w:pPr>
      <w:r>
        <w:rPr>
          <w:rFonts w:hint="eastAsia" w:ascii="宋体" w:hAnsi="宋体"/>
          <w:sz w:val="24"/>
          <w:szCs w:val="24"/>
        </w:rPr>
        <w:t xml:space="preserve">1.（产品名称1）</w:t>
      </w:r>
      <w:r>
        <w:rPr>
          <w:rFonts w:hint="eastAsia" w:ascii="宋体" w:hAnsi="宋体"/>
          <w:sz w:val="24"/>
          <w:szCs w:val="24"/>
          <w:vertAlign w:val="superscript"/>
        </w:rPr>
        <w:t xml:space="preserve">1</w:t>
      </w:r>
      <w:r>
        <w:rPr>
          <w:rFonts w:hint="eastAsia" w:ascii="宋体" w:hAnsi="宋体"/>
          <w:sz w:val="24"/>
          <w:szCs w:val="24"/>
        </w:rPr>
        <w:t xml:space="preserve">，生产厂为（厂名）</w:t>
      </w:r>
      <w:r>
        <w:rPr>
          <w:rFonts w:hint="eastAsia" w:ascii="宋体" w:hAnsi="宋体"/>
          <w:sz w:val="24"/>
          <w:szCs w:val="24"/>
          <w:vertAlign w:val="superscript"/>
        </w:rPr>
        <w:t xml:space="preserve">2</w:t>
      </w:r>
      <w:r>
        <w:rPr>
          <w:rFonts w:hint="eastAsia" w:ascii="宋体" w:hAnsi="宋体"/>
          <w:sz w:val="24"/>
          <w:szCs w:val="24"/>
        </w:rPr>
        <w:t xml:space="preserve">，厂址为（生产厂址）。（产品名称1）的中国境内生产的组件成本占比≥（规定比例）</w:t>
      </w:r>
      <w:r>
        <w:rPr>
          <w:rFonts w:hint="eastAsia" w:ascii="宋体" w:hAnsi="宋体"/>
          <w:sz w:val="24"/>
          <w:szCs w:val="24"/>
          <w:vertAlign w:val="superscript"/>
        </w:rPr>
        <w:t xml:space="preserve">3</w:t>
      </w:r>
      <w:r>
        <w:rPr>
          <w:rFonts w:hint="eastAsia" w:ascii="宋体" w:hAnsi="宋体"/>
          <w:sz w:val="24"/>
          <w:szCs w:val="24"/>
        </w:rPr>
        <w:t xml:space="preserve">。（产品名称1）的（关键组件）</w:t>
      </w:r>
      <w:r>
        <w:rPr>
          <w:rFonts w:hint="eastAsia" w:ascii="宋体" w:hAnsi="宋体"/>
          <w:sz w:val="24"/>
          <w:szCs w:val="24"/>
          <w:vertAlign w:val="superscript"/>
        </w:rPr>
        <w:t xml:space="preserve">4</w:t>
      </w:r>
      <w:r>
        <w:rPr>
          <w:rFonts w:hint="eastAsia" w:ascii="宋体" w:hAnsi="宋体"/>
          <w:sz w:val="24"/>
          <w:szCs w:val="24"/>
        </w:rPr>
        <w:t xml:space="preserve">在中国境内生产。（产品名称1）的（关键工序）</w:t>
      </w:r>
      <w:r>
        <w:rPr>
          <w:rFonts w:hint="eastAsia" w:ascii="宋体" w:hAnsi="宋体"/>
          <w:sz w:val="24"/>
          <w:szCs w:val="24"/>
          <w:vertAlign w:val="superscript"/>
        </w:rPr>
        <w:t xml:space="preserve">5</w:t>
      </w:r>
      <w:r>
        <w:rPr>
          <w:rFonts w:hint="eastAsia" w:ascii="宋体" w:hAnsi="宋体"/>
          <w:sz w:val="24"/>
          <w:szCs w:val="24"/>
        </w:rPr>
        <w:t xml:space="preserve">在中国境内完成。</w:t>
      </w:r>
      <w:r/>
    </w:p>
    <w:p>
      <w:pPr>
        <w:ind w:left="0" w:firstLine="480"/>
        <w:jc w:val="left"/>
        <w:spacing w:line="480" w:lineRule="atLeast"/>
        <w:shd w:val="clear" w:color="auto" w:fill="ffffff"/>
        <w:rPr>
          <w:rFonts w:ascii="宋体" w:hAnsi="宋体"/>
          <w:sz w:val="24"/>
          <w:szCs w:val="24"/>
        </w:rPr>
      </w:pPr>
      <w:r>
        <w:rPr>
          <w:rFonts w:hint="eastAsia" w:ascii="宋体" w:hAnsi="宋体"/>
          <w:sz w:val="24"/>
          <w:szCs w:val="24"/>
        </w:rPr>
        <w:t xml:space="preserve">2.（产品名称2），生产厂为（厂名），厂址为（生产厂址）。（产品名称2）的中国境内生产的组件成本占比≥（规定比例）。（产品名称2）的（关键组件）在中国境内生产。（产品名称2）的（关键工序）在中国境内完成。</w:t>
      </w:r>
      <w:r/>
    </w:p>
    <w:p>
      <w:pPr>
        <w:ind w:left="0" w:firstLine="480"/>
        <w:jc w:val="left"/>
        <w:spacing w:line="480" w:lineRule="atLeast"/>
        <w:shd w:val="clear" w:color="auto" w:fill="ffffff"/>
        <w:rPr>
          <w:rFonts w:ascii="宋体" w:hAnsi="宋体"/>
          <w:sz w:val="24"/>
          <w:szCs w:val="24"/>
        </w:rPr>
      </w:pPr>
      <w:r>
        <w:rPr>
          <w:rFonts w:hint="eastAsia" w:ascii="宋体" w:hAnsi="宋体"/>
          <w:sz w:val="24"/>
          <w:szCs w:val="24"/>
        </w:rPr>
        <w:t xml:space="preserve">……</w:t>
      </w:r>
      <w:r/>
    </w:p>
    <w:p>
      <w:pPr>
        <w:ind w:left="0" w:firstLine="480"/>
        <w:jc w:val="left"/>
        <w:spacing w:line="480" w:lineRule="atLeast"/>
        <w:shd w:val="clear" w:color="auto" w:fill="ffffff"/>
        <w:rPr>
          <w:rFonts w:ascii="宋体" w:hAnsi="宋体"/>
          <w:sz w:val="24"/>
          <w:szCs w:val="24"/>
        </w:rPr>
      </w:pPr>
      <w:r>
        <w:rPr>
          <w:rFonts w:hint="eastAsia" w:ascii="宋体" w:hAnsi="宋体"/>
          <w:sz w:val="24"/>
          <w:szCs w:val="24"/>
        </w:rPr>
        <w:t xml:space="preserve">本公司（单位）对上述声明内容的真实性负责。如有虚假，愿承担相应法律责任。</w:t>
      </w:r>
      <w:r/>
    </w:p>
    <w:p>
      <w:pPr>
        <w:ind w:left="0"/>
        <w:jc w:val="left"/>
        <w:spacing w:line="480" w:lineRule="atLeast"/>
        <w:shd w:val="clear" w:color="auto" w:fill="ffffff"/>
        <w:rPr>
          <w:rFonts w:ascii="宋体" w:hAnsi="宋体"/>
          <w:sz w:val="24"/>
          <w:szCs w:val="24"/>
        </w:rPr>
      </w:pPr>
      <w:r>
        <w:rPr>
          <w:rFonts w:ascii="宋体" w:hAnsi="宋体"/>
          <w:sz w:val="24"/>
          <w:szCs w:val="24"/>
        </w:rPr>
      </w:r>
      <w:r/>
    </w:p>
    <w:p>
      <w:pPr>
        <w:ind w:left="0"/>
        <w:jc w:val="right"/>
        <w:spacing w:line="480" w:lineRule="atLeast"/>
        <w:shd w:val="clear" w:color="auto" w:fill="ffffff"/>
        <w:rPr>
          <w:rFonts w:ascii="宋体" w:hAnsi="宋体"/>
          <w:sz w:val="24"/>
          <w:szCs w:val="24"/>
        </w:rPr>
      </w:pPr>
      <w:r>
        <w:rPr>
          <w:rFonts w:hint="eastAsia" w:ascii="宋体" w:hAnsi="宋体"/>
          <w:sz w:val="24"/>
          <w:szCs w:val="24"/>
        </w:rPr>
        <w:t xml:space="preserve">公司（单位）名称（盖章）：　</w:t>
      </w:r>
      <w:r/>
    </w:p>
    <w:p>
      <w:pPr>
        <w:ind w:left="0"/>
        <w:jc w:val="right"/>
        <w:spacing w:line="480" w:lineRule="atLeast"/>
        <w:shd w:val="clear" w:color="auto" w:fill="ffffff"/>
        <w:rPr>
          <w:rFonts w:ascii="宋体" w:hAnsi="宋体"/>
          <w:sz w:val="24"/>
          <w:szCs w:val="24"/>
        </w:rPr>
      </w:pPr>
      <w:r>
        <w:rPr>
          <w:rFonts w:hint="eastAsia" w:ascii="宋体" w:hAnsi="宋体"/>
          <w:sz w:val="24"/>
          <w:szCs w:val="24"/>
        </w:rPr>
        <w:t xml:space="preserve">日期：　年　月　日</w:t>
      </w:r>
      <w:r/>
    </w:p>
    <w:p>
      <w:pPr>
        <w:ind w:left="0"/>
        <w:jc w:val="right"/>
        <w:spacing w:line="480" w:lineRule="atLeast"/>
        <w:shd w:val="clear" w:color="auto" w:fill="ffffff"/>
        <w:rPr>
          <w:rFonts w:ascii="宋体" w:hAnsi="宋体"/>
          <w:sz w:val="24"/>
          <w:szCs w:val="24"/>
        </w:rPr>
      </w:pPr>
      <w:r>
        <w:rPr>
          <w:rFonts w:ascii="宋体" w:hAnsi="宋体"/>
          <w:sz w:val="24"/>
          <w:szCs w:val="24"/>
        </w:rPr>
      </w:r>
      <w:r/>
    </w:p>
    <w:p>
      <w:pPr>
        <w:ind w:left="0"/>
        <w:jc w:val="left"/>
        <w:spacing w:line="480" w:lineRule="atLeast"/>
        <w:shd w:val="clear" w:color="auto" w:fill="ffffff"/>
        <w:rPr>
          <w:rFonts w:ascii="宋体" w:hAnsi="宋体"/>
          <w:sz w:val="24"/>
          <w:szCs w:val="24"/>
        </w:rPr>
      </w:pPr>
      <w:r>
        <w:rPr>
          <w:rFonts w:hint="eastAsia" w:ascii="宋体" w:hAnsi="宋体"/>
          <w:sz w:val="24"/>
          <w:szCs w:val="24"/>
        </w:rPr>
        <w:t xml:space="preserve">说明：</w:t>
      </w:r>
      <w:r/>
    </w:p>
    <w:p>
      <w:pPr>
        <w:ind w:left="0" w:firstLine="480"/>
        <w:jc w:val="left"/>
        <w:spacing w:line="480" w:lineRule="atLeast"/>
        <w:shd w:val="clear" w:color="auto" w:fill="ffffff"/>
        <w:rPr>
          <w:rFonts w:ascii="宋体" w:hAnsi="宋体"/>
          <w:sz w:val="24"/>
          <w:szCs w:val="24"/>
        </w:rPr>
      </w:pPr>
      <w:r>
        <w:rPr>
          <w:rFonts w:hint="eastAsia" w:ascii="宋体" w:hAnsi="宋体"/>
          <w:sz w:val="24"/>
          <w:szCs w:val="24"/>
        </w:rPr>
        <w:t xml:space="preserve">1.产品如有型号，请在“产品名称”栏一并填写。</w:t>
      </w:r>
      <w:r/>
    </w:p>
    <w:p>
      <w:pPr>
        <w:ind w:left="0" w:firstLine="480"/>
        <w:jc w:val="left"/>
        <w:spacing w:line="480" w:lineRule="atLeast"/>
        <w:shd w:val="clear" w:color="auto" w:fill="ffffff"/>
        <w:rPr>
          <w:rFonts w:ascii="宋体" w:hAnsi="宋体"/>
          <w:sz w:val="24"/>
          <w:szCs w:val="24"/>
        </w:rPr>
      </w:pPr>
      <w:r>
        <w:rPr>
          <w:rFonts w:hint="eastAsia" w:ascii="宋体" w:hAnsi="宋体"/>
          <w:sz w:val="24"/>
          <w:szCs w:val="24"/>
        </w:rPr>
        <w:t xml:space="preserve">2.生产厂名与厂址应与生产厂营业执照载明的相关信息保持一致。</w:t>
      </w:r>
      <w:r/>
    </w:p>
    <w:p>
      <w:pPr>
        <w:ind w:left="0" w:firstLine="480"/>
        <w:jc w:val="left"/>
        <w:spacing w:line="480" w:lineRule="atLeast"/>
        <w:shd w:val="clear" w:color="auto" w:fill="ffffff"/>
        <w:rPr>
          <w:rFonts w:ascii="宋体" w:hAnsi="宋体"/>
          <w:sz w:val="24"/>
          <w:szCs w:val="24"/>
        </w:rPr>
      </w:pPr>
      <w:r>
        <w:rPr>
          <w:rFonts w:hint="eastAsia" w:ascii="宋体" w:hAnsi="宋体"/>
          <w:sz w:val="24"/>
          <w:szCs w:val="24"/>
        </w:rPr>
        <w:t xml:space="preserve">3.该产品的中国境内生产的组件成本占比相关要求实施前，“规定比例”栏可不填，下同。</w:t>
      </w:r>
      <w:r/>
    </w:p>
    <w:p>
      <w:pPr>
        <w:ind w:left="0" w:firstLine="480"/>
        <w:jc w:val="left"/>
        <w:spacing w:line="480" w:lineRule="atLeast"/>
        <w:shd w:val="clear" w:color="auto" w:fill="ffffff"/>
        <w:rPr>
          <w:rFonts w:ascii="宋体" w:hAnsi="宋体"/>
          <w:sz w:val="24"/>
          <w:szCs w:val="24"/>
        </w:rPr>
      </w:pPr>
      <w:r>
        <w:rPr>
          <w:rFonts w:hint="eastAsia" w:ascii="宋体" w:hAnsi="宋体"/>
          <w:sz w:val="24"/>
          <w:szCs w:val="24"/>
        </w:rPr>
        <w:t xml:space="preserve">4.该产品的关键组件要求实施前，“关键组件”栏可不填，下同。</w:t>
      </w:r>
      <w:r/>
    </w:p>
    <w:p>
      <w:pPr>
        <w:ind w:left="0" w:firstLine="480"/>
        <w:jc w:val="left"/>
        <w:spacing w:line="480" w:lineRule="atLeast"/>
        <w:shd w:val="clear" w:color="auto" w:fill="ffffff"/>
        <w:rPr>
          <w:rFonts w:ascii="宋体" w:hAnsi="宋体"/>
          <w:sz w:val="24"/>
          <w:szCs w:val="24"/>
        </w:rPr>
      </w:pPr>
      <w:r>
        <w:rPr>
          <w:rFonts w:hint="eastAsia" w:ascii="宋体" w:hAnsi="宋体"/>
          <w:sz w:val="24"/>
          <w:szCs w:val="24"/>
        </w:rPr>
        <w:t xml:space="preserve">5.该产品的关键工序要求实施前，“关键工序”栏可不填，下同。</w:t>
      </w:r>
      <w:r/>
    </w:p>
    <w:p>
      <w:pPr>
        <w:pStyle w:val="878"/>
        <w:rPr>
          <w:rFonts w:ascii="宋体" w:hAnsi="宋体"/>
        </w:rPr>
      </w:pPr>
      <w:r>
        <w:rPr>
          <w:rFonts w:ascii="宋体" w:hAnsi="宋体"/>
        </w:rPr>
        <w:br w:type="page" w:clear="all"/>
      </w:r>
      <w:r/>
    </w:p>
    <w:p>
      <w:pPr>
        <w:pStyle w:val="866"/>
        <w:ind w:left="0" w:firstLine="0"/>
        <w:jc w:val="center"/>
        <w:spacing w:line="276" w:lineRule="auto"/>
        <w:rPr>
          <w:rFonts w:ascii="宋体" w:hAnsi="宋体"/>
          <w:b/>
          <w:sz w:val="44"/>
          <w:szCs w:val="22"/>
        </w:rPr>
      </w:pPr>
      <w:r/>
      <w:bookmarkStart w:id="90" w:name="_Toc159146128"/>
      <w:r/>
      <w:bookmarkStart w:id="91" w:name="_Toc23660"/>
      <w:r/>
      <w:bookmarkStart w:id="92" w:name="_Toc4098"/>
      <w:r>
        <w:rPr>
          <w:rFonts w:hint="eastAsia" w:ascii="宋体" w:hAnsi="宋体"/>
          <w:b/>
          <w:sz w:val="44"/>
          <w:szCs w:val="22"/>
        </w:rPr>
        <w:t xml:space="preserve">第四章  </w:t>
      </w:r>
      <w:bookmarkStart w:id="93" w:name="招标书"/>
      <w:r/>
      <w:bookmarkEnd w:id="93"/>
      <w:r>
        <w:rPr>
          <w:rFonts w:hint="eastAsia" w:ascii="宋体" w:hAnsi="宋体"/>
          <w:b/>
          <w:sz w:val="44"/>
          <w:szCs w:val="22"/>
        </w:rPr>
        <w:t xml:space="preserve">招标书</w:t>
      </w:r>
      <w:bookmarkEnd w:id="90"/>
      <w:r/>
      <w:bookmarkEnd w:id="91"/>
      <w:r/>
      <w:bookmarkEnd w:id="92"/>
      <w:r/>
      <w:r/>
    </w:p>
    <w:p>
      <w:pPr>
        <w:ind w:left="0" w:firstLine="420"/>
        <w:spacing w:line="360" w:lineRule="auto"/>
        <w:tabs>
          <w:tab w:val="left" w:pos="0" w:leader="none"/>
        </w:tabs>
        <w:rPr>
          <w:rFonts w:ascii="宋体" w:hAnsi="宋体"/>
          <w:sz w:val="21"/>
        </w:rPr>
      </w:pPr>
      <w:r>
        <w:rPr>
          <w:rFonts w:hint="eastAsia" w:ascii="宋体" w:hAnsi="宋体"/>
          <w:sz w:val="21"/>
        </w:rPr>
        <w:t xml:space="preserve">苏州公正建设咨询房地产评估有限公司</w:t>
      </w:r>
      <w:r>
        <w:rPr>
          <w:rFonts w:ascii="宋体" w:hAnsi="宋体"/>
          <w:sz w:val="21"/>
        </w:rPr>
        <w:t xml:space="preserve">受</w:t>
      </w:r>
      <w:r>
        <w:rPr>
          <w:rFonts w:hint="eastAsia" w:ascii="宋体" w:hAnsi="宋体"/>
          <w:sz w:val="21"/>
          <w:szCs w:val="21"/>
          <w:u w:val="single"/>
        </w:rPr>
        <w:t xml:space="preserve"> 苏州市相城区人民政府元和街道办事处 </w:t>
      </w:r>
      <w:r>
        <w:rPr>
          <w:rFonts w:ascii="宋体" w:hAnsi="宋体"/>
          <w:sz w:val="21"/>
        </w:rPr>
        <w:t xml:space="preserve">的委托，就</w:t>
      </w:r>
      <w:r>
        <w:rPr>
          <w:rFonts w:hint="eastAsia" w:ascii="宋体" w:hAnsi="宋体"/>
          <w:sz w:val="21"/>
          <w:u w:val="single"/>
        </w:rPr>
        <w:t xml:space="preserve"> 元和街道卫星消防站消防装备及车辆采购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投标单位参与</w:t>
      </w:r>
      <w:r>
        <w:rPr>
          <w:rFonts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b/>
          <w:sz w:val="21"/>
        </w:rPr>
        <w:t xml:space="preserve">一、项目编号：</w:t>
      </w:r>
      <w:r>
        <w:rPr>
          <w:rFonts w:ascii="宋体" w:hAnsi="宋体"/>
          <w:sz w:val="21"/>
        </w:rPr>
        <w:t xml:space="preserve">JSZC-320507-SZGZ-G2026-0049</w:t>
      </w:r>
      <w:r/>
    </w:p>
    <w:p>
      <w:pPr>
        <w:ind w:left="0" w:firstLine="420"/>
        <w:spacing w:line="360" w:lineRule="auto"/>
        <w:tabs>
          <w:tab w:val="left" w:pos="0" w:leader="none"/>
        </w:tabs>
        <w:rPr>
          <w:rFonts w:ascii="宋体" w:hAnsi="宋体"/>
          <w:sz w:val="21"/>
        </w:rPr>
      </w:pPr>
      <w:r>
        <w:rPr>
          <w:rFonts w:hint="eastAsia" w:ascii="宋体" w:hAnsi="宋体"/>
          <w:b/>
          <w:sz w:val="21"/>
        </w:rPr>
        <w:t xml:space="preserve">二、项目名称：</w:t>
      </w:r>
      <w:r>
        <w:rPr>
          <w:rFonts w:hint="eastAsia" w:ascii="宋体" w:hAnsi="宋体"/>
          <w:sz w:val="21"/>
        </w:rPr>
        <w:t xml:space="preserve">元和街道卫星消防站消防装备及车辆采购</w:t>
      </w:r>
      <w:r/>
    </w:p>
    <w:p>
      <w:pPr>
        <w:ind w:left="0" w:firstLine="420"/>
        <w:spacing w:line="360" w:lineRule="auto"/>
        <w:tabs>
          <w:tab w:val="left" w:pos="0" w:leader="none"/>
        </w:tabs>
        <w:rPr>
          <w:rFonts w:ascii="宋体" w:hAnsi="宋体"/>
          <w:sz w:val="21"/>
        </w:rPr>
      </w:pPr>
      <w:r>
        <w:rPr>
          <w:rFonts w:hint="eastAsia" w:ascii="宋体" w:hAnsi="宋体"/>
          <w:b/>
          <w:sz w:val="21"/>
        </w:rPr>
        <w:t xml:space="preserve">三、采购预算：</w:t>
      </w:r>
      <w:r>
        <w:rPr>
          <w:rFonts w:hint="eastAsia" w:ascii="宋体" w:hAnsi="宋体"/>
          <w:sz w:val="21"/>
          <w:szCs w:val="21"/>
        </w:rPr>
        <w:t xml:space="preserve">人民币壹佰肆拾万元整（¥</w:t>
      </w:r>
      <w:r>
        <w:rPr>
          <w:rFonts w:ascii="宋体" w:hAnsi="宋体"/>
          <w:sz w:val="21"/>
          <w:szCs w:val="21"/>
        </w:rPr>
        <w:t xml:space="preserve">1400000.00</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rPr>
      </w:pPr>
      <w:r>
        <w:rPr>
          <w:rFonts w:hint="eastAsia" w:ascii="宋体" w:hAnsi="宋体"/>
          <w:b/>
          <w:sz w:val="21"/>
        </w:rPr>
        <w:t xml:space="preserve">四、最高限价：</w:t>
      </w:r>
      <w:r>
        <w:rPr>
          <w:rFonts w:hint="eastAsia" w:ascii="宋体" w:hAnsi="宋体"/>
          <w:sz w:val="21"/>
          <w:szCs w:val="21"/>
        </w:rPr>
        <w:t xml:space="preserve">人民币壹佰肆拾万元整（¥</w:t>
      </w:r>
      <w:r>
        <w:rPr>
          <w:rFonts w:ascii="宋体" w:hAnsi="宋体"/>
          <w:sz w:val="21"/>
          <w:szCs w:val="21"/>
        </w:rPr>
        <w:t xml:space="preserve">1400000.00</w:t>
      </w:r>
      <w:r>
        <w:rPr>
          <w:rFonts w:hint="eastAsia" w:ascii="宋体" w:hAnsi="宋体"/>
          <w:sz w:val="21"/>
          <w:szCs w:val="21"/>
        </w:rPr>
        <w:t xml:space="preserve">）</w:t>
      </w:r>
      <w:r/>
    </w:p>
    <w:p>
      <w:pPr>
        <w:ind w:left="0" w:firstLine="420"/>
        <w:spacing w:line="360" w:lineRule="auto"/>
        <w:tabs>
          <w:tab w:val="left" w:pos="420" w:leader="none"/>
        </w:tabs>
        <w:rPr>
          <w:rFonts w:ascii="宋体" w:hAnsi="宋体"/>
          <w:bCs/>
          <w:sz w:val="21"/>
          <w:szCs w:val="21"/>
        </w:rPr>
      </w:pPr>
      <w:r>
        <w:rPr>
          <w:rFonts w:hint="eastAsia" w:ascii="宋体" w:hAnsi="宋体"/>
          <w:b/>
          <w:sz w:val="21"/>
          <w:szCs w:val="21"/>
        </w:rPr>
        <w:t xml:space="preserve">五、供货</w:t>
      </w:r>
      <w:r>
        <w:rPr>
          <w:rFonts w:hint="eastAsia" w:ascii="宋体" w:hAnsi="宋体"/>
          <w:b/>
          <w:bCs/>
          <w:sz w:val="21"/>
          <w:szCs w:val="21"/>
        </w:rPr>
        <w:t xml:space="preserve">期限：</w:t>
      </w:r>
      <w:r>
        <w:rPr>
          <w:rFonts w:hint="eastAsia" w:ascii="宋体" w:hAnsi="宋体"/>
          <w:bCs/>
          <w:sz w:val="21"/>
          <w:szCs w:val="21"/>
        </w:rPr>
        <w:t xml:space="preserve">自合同签订之日起三个月内完成。</w:t>
      </w:r>
      <w:r/>
    </w:p>
    <w:p>
      <w:pPr>
        <w:ind w:left="0" w:firstLine="843"/>
        <w:spacing w:line="360" w:lineRule="auto"/>
        <w:tabs>
          <w:tab w:val="left" w:pos="420" w:leader="none"/>
        </w:tabs>
        <w:rPr>
          <w:rFonts w:ascii="宋体" w:hAnsi="宋体"/>
          <w:sz w:val="21"/>
          <w:szCs w:val="21"/>
        </w:rPr>
      </w:pPr>
      <w:r>
        <w:rPr>
          <w:rFonts w:hint="eastAsia" w:ascii="宋体" w:hAnsi="宋体"/>
          <w:b/>
          <w:sz w:val="21"/>
          <w:szCs w:val="21"/>
        </w:rPr>
        <w:t xml:space="preserve">项目交货地点：</w:t>
      </w:r>
      <w:r>
        <w:rPr>
          <w:rFonts w:hint="eastAsia" w:ascii="宋体" w:hAnsi="宋体"/>
          <w:sz w:val="21"/>
          <w:szCs w:val="21"/>
        </w:rPr>
        <w:t xml:space="preserve">根据甲方要求送达指定地点。</w:t>
      </w:r>
      <w:r/>
    </w:p>
    <w:p>
      <w:pPr>
        <w:numPr>
          <w:ilvl w:val="0"/>
          <w:numId w:val="2"/>
        </w:numPr>
        <w:ind w:left="0" w:firstLine="420"/>
        <w:spacing w:line="360" w:lineRule="auto"/>
        <w:tabs>
          <w:tab w:val="left" w:pos="420" w:leader="none"/>
        </w:tabs>
        <w:rPr>
          <w:rFonts w:ascii="宋体" w:hAnsi="宋体"/>
          <w:b/>
          <w:sz w:val="21"/>
          <w:szCs w:val="21"/>
        </w:rPr>
      </w:pPr>
      <w:r>
        <w:rPr>
          <w:rFonts w:hint="eastAsia" w:ascii="宋体" w:hAnsi="宋体"/>
          <w:b/>
          <w:sz w:val="21"/>
          <w:szCs w:val="21"/>
        </w:rPr>
        <w:t xml:space="preserve">清单</w:t>
      </w:r>
      <w:r/>
    </w:p>
    <w:tbl>
      <w:tblPr>
        <w:tblpPr w:horzAnchor="text" w:tblpXSpec="center" w:vertAnchor="text" w:tblpY="1" w:leftFromText="180" w:topFromText="0" w:rightFromText="180" w:bottomFromText="0"/>
        <w:tblW w:w="102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4"/>
        <w:gridCol w:w="951"/>
        <w:gridCol w:w="649"/>
        <w:gridCol w:w="683"/>
        <w:gridCol w:w="510"/>
        <w:gridCol w:w="1843"/>
        <w:gridCol w:w="2640"/>
        <w:gridCol w:w="12"/>
        <w:gridCol w:w="2309"/>
      </w:tblGrid>
      <w:tr>
        <w:trPr/>
        <w:tc>
          <w:tcPr>
            <w:shd w:val="clear" w:color="000000" w:fill="ffffff"/>
            <w:tcW w:w="604" w:type="dxa"/>
            <w:vAlign w:val="center"/>
            <w:textDirection w:val="lrTb"/>
            <w:noWrap/>
          </w:tcPr>
          <w:p>
            <w:pPr>
              <w:contextualSpacing/>
              <w:ind w:left="0"/>
              <w:jc w:val="center"/>
              <w:keepNext/>
              <w:widowControl w:val="off"/>
              <w:rPr>
                <w:rFonts w:ascii="宋体" w:hAnsi="宋体"/>
                <w:b/>
                <w:sz w:val="21"/>
                <w:szCs w:val="21"/>
              </w:rPr>
            </w:pPr>
            <w:r>
              <w:rPr>
                <w:rFonts w:hint="eastAsia" w:ascii="宋体" w:hAnsi="宋体"/>
                <w:b/>
                <w:sz w:val="21"/>
                <w:szCs w:val="21"/>
              </w:rPr>
              <w:t xml:space="preserve">序号</w:t>
            </w:r>
            <w:r/>
          </w:p>
        </w:tc>
        <w:tc>
          <w:tcPr>
            <w:shd w:val="clear" w:color="000000" w:fill="ffffff"/>
            <w:tcW w:w="951" w:type="dxa"/>
            <w:vAlign w:val="center"/>
            <w:textDirection w:val="lrTb"/>
            <w:noWrap w:val="false"/>
          </w:tcPr>
          <w:p>
            <w:pPr>
              <w:contextualSpacing/>
              <w:ind w:left="0"/>
              <w:jc w:val="center"/>
              <w:keepNext/>
              <w:widowControl w:val="off"/>
              <w:rPr>
                <w:rFonts w:ascii="宋体" w:hAnsi="宋体"/>
                <w:b/>
                <w:sz w:val="21"/>
                <w:szCs w:val="21"/>
              </w:rPr>
            </w:pPr>
            <w:r>
              <w:rPr>
                <w:rFonts w:hint="eastAsia" w:ascii="宋体" w:hAnsi="宋体"/>
                <w:b/>
                <w:sz w:val="21"/>
                <w:szCs w:val="21"/>
              </w:rPr>
              <w:t xml:space="preserve">名称</w:t>
            </w:r>
            <w:r/>
          </w:p>
        </w:tc>
        <w:tc>
          <w:tcPr>
            <w:shd w:val="clear" w:color="000000" w:fill="ffffff"/>
            <w:tcW w:w="649" w:type="dxa"/>
            <w:vAlign w:val="center"/>
            <w:textDirection w:val="lrTb"/>
            <w:noWrap/>
          </w:tcPr>
          <w:p>
            <w:pPr>
              <w:contextualSpacing/>
              <w:ind w:left="0"/>
              <w:jc w:val="center"/>
              <w:keepNext/>
              <w:widowControl w:val="off"/>
              <w:rPr>
                <w:rFonts w:ascii="宋体" w:hAnsi="宋体"/>
                <w:b/>
                <w:sz w:val="21"/>
                <w:szCs w:val="21"/>
              </w:rPr>
            </w:pPr>
            <w:r>
              <w:rPr>
                <w:rFonts w:hint="eastAsia" w:ascii="宋体" w:hAnsi="宋体"/>
                <w:b/>
                <w:sz w:val="21"/>
                <w:szCs w:val="21"/>
              </w:rPr>
              <w:t xml:space="preserve">单位</w:t>
            </w:r>
            <w:r/>
          </w:p>
        </w:tc>
        <w:tc>
          <w:tcPr>
            <w:shd w:val="clear" w:color="000000" w:fill="ffffff"/>
            <w:tcW w:w="683" w:type="dxa"/>
            <w:vAlign w:val="center"/>
            <w:textDirection w:val="lrTb"/>
            <w:noWrap/>
          </w:tcPr>
          <w:p>
            <w:pPr>
              <w:contextualSpacing/>
              <w:ind w:left="0"/>
              <w:jc w:val="center"/>
              <w:keepNext/>
              <w:widowControl w:val="off"/>
              <w:rPr>
                <w:rFonts w:ascii="宋体" w:hAnsi="宋体"/>
                <w:b/>
                <w:sz w:val="21"/>
                <w:szCs w:val="21"/>
              </w:rPr>
            </w:pPr>
            <w:r>
              <w:rPr>
                <w:rFonts w:hint="eastAsia" w:ascii="宋体" w:hAnsi="宋体"/>
                <w:b/>
                <w:sz w:val="21"/>
                <w:szCs w:val="21"/>
              </w:rPr>
              <w:t xml:space="preserve">数量</w:t>
            </w:r>
            <w:r/>
          </w:p>
        </w:tc>
        <w:tc>
          <w:tcPr>
            <w:gridSpan w:val="5"/>
            <w:shd w:val="clear" w:color="000000" w:fill="ffffff"/>
            <w:tcW w:w="7314" w:type="dxa"/>
            <w:vAlign w:val="center"/>
            <w:textDirection w:val="lrTb"/>
            <w:noWrap w:val="false"/>
          </w:tcPr>
          <w:p>
            <w:pPr>
              <w:contextualSpacing/>
              <w:ind w:left="0"/>
              <w:jc w:val="center"/>
              <w:keepNext/>
              <w:widowControl w:val="off"/>
              <w:rPr>
                <w:rFonts w:ascii="宋体" w:hAnsi="宋体"/>
                <w:b/>
                <w:sz w:val="21"/>
                <w:szCs w:val="21"/>
              </w:rPr>
            </w:pPr>
            <w:r>
              <w:rPr>
                <w:rFonts w:hint="eastAsia" w:ascii="宋体" w:hAnsi="宋体"/>
                <w:b/>
                <w:sz w:val="21"/>
                <w:szCs w:val="21"/>
              </w:rPr>
              <w:t xml:space="preserve">技术性能及要求</w:t>
            </w:r>
            <w:r/>
          </w:p>
        </w:tc>
      </w:tr>
      <w:tr>
        <w:trPr>
          <w:trHeight w:val="238"/>
        </w:trPr>
        <w:tc>
          <w:tcPr>
            <w:shd w:val="clear" w:color="000000" w:fill="ffffff"/>
            <w:tcW w:w="604" w:type="dxa"/>
            <w:vAlign w:val="center"/>
            <w:vMerge w:val="restart"/>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1</w:t>
            </w:r>
            <w:r/>
          </w:p>
        </w:tc>
        <w:tc>
          <w:tcPr>
            <w:shd w:val="clear" w:color="000000" w:fill="ffffff"/>
            <w:tcW w:w="951" w:type="dxa"/>
            <w:vAlign w:val="center"/>
            <w:vMerge w:val="restart"/>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水罐泡沫消防车</w:t>
            </w:r>
            <w:r/>
          </w:p>
        </w:tc>
        <w:tc>
          <w:tcPr>
            <w:shd w:val="clear" w:color="000000" w:fill="ffffff"/>
            <w:tcW w:w="649" w:type="dxa"/>
            <w:vAlign w:val="center"/>
            <w:vMerge w:val="restart"/>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台</w:t>
            </w:r>
            <w:r/>
          </w:p>
        </w:tc>
        <w:tc>
          <w:tcPr>
            <w:shd w:val="clear" w:color="000000" w:fill="ffffff"/>
            <w:tcW w:w="683" w:type="dxa"/>
            <w:vAlign w:val="center"/>
            <w:vMerge w:val="restart"/>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1</w:t>
            </w:r>
            <w:r/>
          </w:p>
        </w:tc>
        <w:tc>
          <w:tcPr>
            <w:gridSpan w:val="5"/>
            <w:shd w:val="clear" w:color="000000" w:fill="ffffff"/>
            <w:tcW w:w="7314" w:type="dxa"/>
            <w:vAlign w:val="center"/>
            <w:textDirection w:val="lrTb"/>
            <w:noWrap w:val="false"/>
          </w:tcPr>
          <w:p>
            <w:pPr>
              <w:contextualSpacing/>
              <w:ind w:left="0"/>
              <w:jc w:val="center"/>
              <w:keepNext/>
              <w:widowControl w:val="off"/>
              <w:rPr>
                <w:rFonts w:ascii="宋体" w:hAnsi="宋体"/>
                <w:b/>
                <w:sz w:val="21"/>
                <w:szCs w:val="21"/>
              </w:rPr>
            </w:pPr>
            <w:r>
              <w:rPr>
                <w:rFonts w:ascii="宋体" w:hAnsi="宋体"/>
                <w:b/>
                <w:sz w:val="21"/>
                <w:szCs w:val="21"/>
              </w:rPr>
              <w:t xml:space="preserve">（一）整车</w:t>
            </w:r>
            <w:r/>
          </w:p>
        </w:tc>
      </w:tr>
      <w:tr>
        <w:trPr>
          <w:trHeight w:val="2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t xml:space="preserve">1</w:t>
            </w:r>
            <w:r/>
          </w:p>
        </w:tc>
        <w:tc>
          <w:tcPr>
            <w:gridSpan w:val="4"/>
            <w:shd w:val="clear" w:color="000000" w:fill="ffffff"/>
            <w:tcW w:w="6804" w:type="dxa"/>
            <w:vAlign w:val="center"/>
            <w:textDirection w:val="lrTb"/>
            <w:noWrap w:val="false"/>
          </w:tcPr>
          <w:p>
            <w:pPr>
              <w:contextualSpacing/>
              <w:ind w:left="0"/>
              <w:keepNext/>
              <w:widowControl w:val="off"/>
              <w:rPr>
                <w:rFonts w:ascii="宋体" w:hAnsi="宋体"/>
                <w:sz w:val="21"/>
                <w:szCs w:val="21"/>
              </w:rPr>
            </w:pPr>
            <w:r>
              <w:rPr>
                <w:rFonts w:ascii="宋体" w:hAnsi="宋体"/>
                <w:spacing w:val="-1"/>
                <w:sz w:val="21"/>
                <w:szCs w:val="21"/>
              </w:rPr>
              <w:t xml:space="preserve">满载质量：≤1</w:t>
            </w:r>
            <w:r>
              <w:rPr>
                <w:rFonts w:hint="eastAsia" w:ascii="宋体" w:hAnsi="宋体"/>
                <w:spacing w:val="-1"/>
                <w:sz w:val="21"/>
                <w:szCs w:val="21"/>
              </w:rPr>
              <w:t xml:space="preserve">200</w:t>
            </w:r>
            <w:r>
              <w:rPr>
                <w:rFonts w:ascii="宋体" w:hAnsi="宋体"/>
                <w:spacing w:val="-1"/>
                <w:sz w:val="21"/>
                <w:szCs w:val="21"/>
              </w:rPr>
              <w:t xml:space="preserve">0kg。</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t xml:space="preserve">2</w:t>
            </w:r>
            <w:r/>
          </w:p>
        </w:tc>
        <w:tc>
          <w:tcPr>
            <w:gridSpan w:val="4"/>
            <w:shd w:val="clear" w:color="000000" w:fill="ffffff"/>
            <w:tcW w:w="6804" w:type="dxa"/>
            <w:vAlign w:val="center"/>
            <w:textDirection w:val="lrTb"/>
            <w:noWrap w:val="false"/>
          </w:tcPr>
          <w:p>
            <w:pPr>
              <w:contextualSpacing/>
              <w:ind w:left="0"/>
              <w:keepNext/>
              <w:widowControl w:val="off"/>
              <w:rPr>
                <w:rFonts w:ascii="宋体" w:hAnsi="宋体"/>
                <w:sz w:val="21"/>
                <w:szCs w:val="21"/>
              </w:rPr>
            </w:pPr>
            <w:r>
              <w:rPr>
                <w:rFonts w:ascii="宋体" w:hAnsi="宋体" w:cs="Arial"/>
                <w:spacing w:val="-1"/>
                <w:sz w:val="21"/>
                <w:szCs w:val="21"/>
              </w:rPr>
              <w:t xml:space="preserve">▲</w:t>
            </w:r>
            <w:r>
              <w:rPr>
                <w:rFonts w:ascii="宋体" w:hAnsi="宋体"/>
                <w:spacing w:val="-1"/>
                <w:sz w:val="21"/>
                <w:szCs w:val="21"/>
              </w:rPr>
              <w:t xml:space="preserve">外廓尺寸：≤7</w:t>
            </w:r>
            <w:r>
              <w:rPr>
                <w:rFonts w:hint="eastAsia" w:ascii="宋体" w:hAnsi="宋体"/>
                <w:spacing w:val="-1"/>
                <w:sz w:val="21"/>
                <w:szCs w:val="21"/>
              </w:rPr>
              <w:t xml:space="preserve">00</w:t>
            </w:r>
            <w:r>
              <w:rPr>
                <w:rFonts w:ascii="宋体" w:hAnsi="宋体"/>
                <w:spacing w:val="-1"/>
                <w:sz w:val="21"/>
                <w:szCs w:val="21"/>
              </w:rPr>
              <w:t xml:space="preserve">0×2500×3</w:t>
            </w:r>
            <w:r>
              <w:rPr>
                <w:rFonts w:hint="eastAsia" w:ascii="宋体" w:hAnsi="宋体"/>
                <w:spacing w:val="-1"/>
                <w:sz w:val="21"/>
                <w:szCs w:val="21"/>
              </w:rPr>
              <w:t xml:space="preserve">4</w:t>
            </w:r>
            <w:r>
              <w:rPr>
                <w:rFonts w:ascii="宋体" w:hAnsi="宋体"/>
                <w:spacing w:val="-1"/>
                <w:sz w:val="21"/>
                <w:szCs w:val="21"/>
              </w:rPr>
              <w:t xml:space="preserve">00</w:t>
            </w:r>
            <w:r>
              <w:rPr>
                <w:rFonts w:ascii="宋体" w:hAnsi="宋体"/>
                <w:spacing w:val="-2"/>
                <w:sz w:val="21"/>
                <w:szCs w:val="21"/>
              </w:rPr>
              <w:t xml:space="preserve">（mm）。</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gridSpan w:val="5"/>
            <w:shd w:val="clear" w:color="000000" w:fill="ffffff"/>
            <w:tcW w:w="7314" w:type="dxa"/>
            <w:vAlign w:val="center"/>
            <w:textDirection w:val="lrTb"/>
            <w:noWrap w:val="false"/>
          </w:tcPr>
          <w:p>
            <w:pPr>
              <w:contextualSpacing/>
              <w:ind w:left="0"/>
              <w:jc w:val="center"/>
              <w:keepNext/>
              <w:widowControl w:val="off"/>
              <w:rPr>
                <w:rFonts w:ascii="宋体" w:hAnsi="宋体"/>
                <w:b/>
                <w:sz w:val="21"/>
                <w:szCs w:val="21"/>
              </w:rPr>
            </w:pPr>
            <w:r>
              <w:rPr>
                <w:rFonts w:ascii="宋体" w:hAnsi="宋体"/>
                <w:b/>
                <w:sz w:val="21"/>
                <w:szCs w:val="21"/>
              </w:rPr>
              <w:t xml:space="preserve">（二）底盘</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t xml:space="preserve">1</w:t>
            </w:r>
            <w:r/>
          </w:p>
        </w:tc>
        <w:tc>
          <w:tcPr>
            <w:gridSpan w:val="4"/>
            <w:shd w:val="clear" w:color="000000" w:fill="ffffff"/>
            <w:tcW w:w="6804" w:type="dxa"/>
            <w:textDirection w:val="lrTb"/>
            <w:noWrap w:val="false"/>
          </w:tcPr>
          <w:p>
            <w:pPr>
              <w:contextualSpacing/>
              <w:ind w:left="0"/>
              <w:keepNext/>
              <w:widowControl w:val="off"/>
              <w:rPr>
                <w:rFonts w:ascii="宋体" w:hAnsi="宋体"/>
                <w:sz w:val="21"/>
                <w:szCs w:val="21"/>
              </w:rPr>
            </w:pPr>
            <w:r>
              <w:rPr>
                <w:rFonts w:ascii="宋体" w:hAnsi="宋体" w:cs="Arial"/>
                <w:spacing w:val="-1"/>
                <w:sz w:val="21"/>
                <w:szCs w:val="21"/>
              </w:rPr>
              <w:t xml:space="preserve">▲</w:t>
            </w:r>
            <w:r>
              <w:rPr>
                <w:rFonts w:ascii="宋体" w:hAnsi="宋体"/>
                <w:spacing w:val="-7"/>
                <w:sz w:val="21"/>
                <w:szCs w:val="21"/>
              </w:rPr>
              <w:t xml:space="preserve">发动机额定功率： ≥1</w:t>
            </w:r>
            <w:r>
              <w:rPr>
                <w:rFonts w:hint="eastAsia" w:ascii="宋体" w:hAnsi="宋体"/>
                <w:spacing w:val="-7"/>
                <w:sz w:val="21"/>
                <w:szCs w:val="21"/>
              </w:rPr>
              <w:t xml:space="preserve">60</w:t>
            </w:r>
            <w:r>
              <w:rPr>
                <w:rFonts w:ascii="宋体" w:hAnsi="宋体"/>
                <w:spacing w:val="-7"/>
                <w:sz w:val="21"/>
                <w:szCs w:val="21"/>
              </w:rPr>
              <w:t xml:space="preserve">kW。</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t xml:space="preserve">2</w:t>
            </w:r>
            <w:r/>
          </w:p>
        </w:tc>
        <w:tc>
          <w:tcPr>
            <w:gridSpan w:val="4"/>
            <w:shd w:val="clear" w:color="000000" w:fill="ffffff"/>
            <w:tcW w:w="6804" w:type="dxa"/>
            <w:textDirection w:val="lrTb"/>
            <w:noWrap w:val="false"/>
          </w:tcPr>
          <w:p>
            <w:pPr>
              <w:contextualSpacing/>
              <w:ind w:left="0"/>
              <w:keepNext/>
              <w:widowControl w:val="off"/>
              <w:rPr>
                <w:rFonts w:ascii="宋体" w:hAnsi="宋体"/>
                <w:sz w:val="21"/>
                <w:szCs w:val="21"/>
              </w:rPr>
            </w:pPr>
            <w:r>
              <w:rPr>
                <w:rFonts w:ascii="宋体" w:hAnsi="宋体"/>
                <w:spacing w:val="-5"/>
                <w:sz w:val="21"/>
                <w:szCs w:val="21"/>
              </w:rPr>
              <w:t xml:space="preserve">排放标准：符合国</w:t>
            </w:r>
            <w:r>
              <w:rPr>
                <w:rFonts w:hint="eastAsia" w:ascii="宋体" w:hAnsi="宋体" w:cs="微软雅黑"/>
                <w:spacing w:val="-5"/>
                <w:sz w:val="21"/>
                <w:szCs w:val="21"/>
              </w:rPr>
              <w:t xml:space="preserve">Ⅵ</w:t>
            </w:r>
            <w:r>
              <w:rPr>
                <w:rFonts w:ascii="宋体" w:hAnsi="宋体"/>
                <w:spacing w:val="-5"/>
                <w:sz w:val="21"/>
                <w:szCs w:val="21"/>
              </w:rPr>
              <w:t xml:space="preserve">排放标准； 驱动形式：4×2。</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t xml:space="preserve">3</w:t>
            </w:r>
            <w:r/>
          </w:p>
        </w:tc>
        <w:tc>
          <w:tcPr>
            <w:gridSpan w:val="4"/>
            <w:shd w:val="clear" w:color="000000" w:fill="ffffff"/>
            <w:tcW w:w="6804" w:type="dxa"/>
            <w:textDirection w:val="lrTb"/>
            <w:noWrap w:val="false"/>
          </w:tcPr>
          <w:p>
            <w:pPr>
              <w:contextualSpacing/>
              <w:ind w:left="0"/>
              <w:keepNext/>
              <w:widowControl w:val="off"/>
              <w:rPr>
                <w:rFonts w:ascii="宋体" w:hAnsi="宋体"/>
                <w:sz w:val="21"/>
                <w:szCs w:val="21"/>
              </w:rPr>
            </w:pPr>
            <w:r>
              <w:rPr>
                <w:rFonts w:ascii="宋体" w:hAnsi="宋体" w:cs="Arial"/>
                <w:spacing w:val="-3"/>
                <w:sz w:val="21"/>
                <w:szCs w:val="21"/>
              </w:rPr>
              <w:t xml:space="preserve">▲</w:t>
            </w:r>
            <w:r>
              <w:rPr>
                <w:rFonts w:ascii="宋体" w:hAnsi="宋体"/>
                <w:spacing w:val="-3"/>
                <w:sz w:val="21"/>
                <w:szCs w:val="21"/>
              </w:rPr>
              <w:t xml:space="preserve">座位设置：驾乘员人数</w:t>
            </w:r>
            <w:r>
              <w:rPr>
                <w:rFonts w:ascii="宋体" w:hAnsi="宋体"/>
                <w:spacing w:val="-3"/>
                <w:sz w:val="21"/>
                <w:szCs w:val="21"/>
                <w:shd w:val="clear" w:color="auto" w:fill="f9fbfa"/>
              </w:rPr>
              <w:t xml:space="preserve">≥</w:t>
            </w:r>
            <w:r>
              <w:rPr>
                <w:rFonts w:hint="eastAsia" w:ascii="宋体" w:hAnsi="宋体"/>
                <w:spacing w:val="-3"/>
                <w:sz w:val="21"/>
                <w:szCs w:val="21"/>
                <w:shd w:val="clear" w:color="auto" w:fill="f9fbfa"/>
              </w:rPr>
              <w:t xml:space="preserve">7</w:t>
            </w:r>
            <w:r>
              <w:rPr>
                <w:rFonts w:ascii="宋体" w:hAnsi="宋体"/>
                <w:spacing w:val="-31"/>
                <w:sz w:val="21"/>
                <w:szCs w:val="21"/>
                <w:shd w:val="clear" w:color="auto" w:fill="f9fbfa"/>
              </w:rPr>
              <w:t xml:space="preserve"> </w:t>
            </w:r>
            <w:r>
              <w:rPr>
                <w:rFonts w:ascii="宋体" w:hAnsi="宋体"/>
                <w:spacing w:val="-3"/>
                <w:sz w:val="21"/>
                <w:szCs w:val="21"/>
                <w:shd w:val="clear" w:color="auto" w:fill="f9fbfa"/>
              </w:rPr>
              <w:t xml:space="preserve">人</w:t>
            </w:r>
            <w:r>
              <w:rPr>
                <w:rFonts w:ascii="宋体" w:hAnsi="宋体"/>
                <w:spacing w:val="-3"/>
                <w:sz w:val="21"/>
                <w:szCs w:val="21"/>
              </w:rPr>
              <w:t xml:space="preserve">。</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t xml:space="preserve">4</w:t>
            </w:r>
            <w:r/>
          </w:p>
        </w:tc>
        <w:tc>
          <w:tcPr>
            <w:gridSpan w:val="4"/>
            <w:shd w:val="clear" w:color="000000" w:fill="ffffff"/>
            <w:tcW w:w="6804" w:type="dxa"/>
            <w:textDirection w:val="lrTb"/>
            <w:noWrap w:val="false"/>
          </w:tcPr>
          <w:p>
            <w:pPr>
              <w:contextualSpacing/>
              <w:ind w:left="0"/>
              <w:keepNext/>
              <w:widowControl w:val="off"/>
              <w:rPr>
                <w:rFonts w:ascii="宋体" w:hAnsi="宋体"/>
                <w:sz w:val="21"/>
                <w:szCs w:val="21"/>
              </w:rPr>
            </w:pPr>
            <w:r>
              <w:rPr>
                <w:rFonts w:ascii="宋体" w:hAnsi="宋体"/>
                <w:spacing w:val="-1"/>
                <w:sz w:val="21"/>
                <w:szCs w:val="21"/>
              </w:rPr>
              <w:t xml:space="preserve">后排加装≥</w:t>
            </w:r>
            <w:r>
              <w:rPr>
                <w:rFonts w:hint="eastAsia" w:ascii="宋体" w:hAnsi="宋体"/>
                <w:spacing w:val="-1"/>
                <w:sz w:val="21"/>
                <w:szCs w:val="21"/>
              </w:rPr>
              <w:t xml:space="preserve">4</w:t>
            </w:r>
            <w:r>
              <w:rPr>
                <w:rFonts w:ascii="宋体" w:hAnsi="宋体"/>
                <w:spacing w:val="-27"/>
                <w:sz w:val="21"/>
                <w:szCs w:val="21"/>
              </w:rPr>
              <w:t xml:space="preserve"> </w:t>
            </w:r>
            <w:r>
              <w:rPr>
                <w:rFonts w:ascii="宋体" w:hAnsi="宋体"/>
                <w:spacing w:val="-1"/>
                <w:sz w:val="21"/>
                <w:szCs w:val="21"/>
              </w:rPr>
              <w:t xml:space="preserve">具空气呼吸器（6.8L）支架，座椅均配备安全带。</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t xml:space="preserve">5</w:t>
            </w:r>
            <w:r/>
          </w:p>
        </w:tc>
        <w:tc>
          <w:tcPr>
            <w:gridSpan w:val="4"/>
            <w:shd w:val="clear" w:color="000000" w:fill="ffffff"/>
            <w:tcW w:w="6804" w:type="dxa"/>
            <w:textDirection w:val="lrTb"/>
            <w:noWrap w:val="false"/>
          </w:tcPr>
          <w:p>
            <w:pPr>
              <w:contextualSpacing/>
              <w:ind w:left="0"/>
              <w:keepNext/>
              <w:widowControl w:val="off"/>
              <w:rPr>
                <w:rFonts w:ascii="宋体" w:hAnsi="宋体"/>
                <w:sz w:val="21"/>
                <w:szCs w:val="21"/>
              </w:rPr>
            </w:pPr>
            <w:r>
              <w:rPr>
                <w:rFonts w:ascii="宋体" w:hAnsi="宋体"/>
                <w:spacing w:val="-4"/>
                <w:sz w:val="21"/>
                <w:szCs w:val="21"/>
              </w:rPr>
              <w:t xml:space="preserve">最小转弯直径：左转（轮</w:t>
            </w:r>
            <w:r>
              <w:rPr>
                <w:rFonts w:ascii="宋体" w:hAnsi="宋体"/>
                <w:spacing w:val="-9"/>
                <w:sz w:val="21"/>
                <w:szCs w:val="21"/>
              </w:rPr>
              <w:t xml:space="preserve">）：</w:t>
            </w:r>
            <w:r>
              <w:rPr>
                <w:rFonts w:ascii="宋体" w:hAnsi="宋体"/>
                <w:spacing w:val="33"/>
                <w:sz w:val="21"/>
                <w:szCs w:val="21"/>
              </w:rPr>
              <w:t xml:space="preserve"> </w:t>
            </w:r>
            <w:r>
              <w:rPr>
                <w:rFonts w:ascii="宋体" w:hAnsi="宋体"/>
                <w:spacing w:val="-4"/>
                <w:sz w:val="21"/>
                <w:szCs w:val="21"/>
              </w:rPr>
              <w:t xml:space="preserve">≤1</w:t>
            </w:r>
            <w:r>
              <w:rPr>
                <w:rFonts w:hint="eastAsia" w:ascii="宋体" w:hAnsi="宋体"/>
                <w:spacing w:val="-4"/>
                <w:sz w:val="21"/>
                <w:szCs w:val="21"/>
              </w:rPr>
              <w:t xml:space="preserve">6</w:t>
            </w:r>
            <w:r>
              <w:rPr>
                <w:rFonts w:ascii="宋体" w:hAnsi="宋体"/>
                <w:spacing w:val="-4"/>
                <w:sz w:val="21"/>
                <w:szCs w:val="21"/>
              </w:rPr>
              <w:t xml:space="preserve">m、右转（轮</w:t>
            </w:r>
            <w:r>
              <w:rPr>
                <w:rFonts w:ascii="宋体" w:hAnsi="宋体"/>
                <w:spacing w:val="-9"/>
                <w:sz w:val="21"/>
                <w:szCs w:val="21"/>
              </w:rPr>
              <w:t xml:space="preserve">）：</w:t>
            </w:r>
            <w:r>
              <w:rPr>
                <w:rFonts w:ascii="宋体" w:hAnsi="宋体"/>
                <w:spacing w:val="-4"/>
                <w:sz w:val="21"/>
                <w:szCs w:val="21"/>
              </w:rPr>
              <w:t xml:space="preserve">≤1</w:t>
            </w:r>
            <w:r>
              <w:rPr>
                <w:rFonts w:hint="eastAsia" w:ascii="宋体" w:hAnsi="宋体"/>
                <w:spacing w:val="-4"/>
                <w:sz w:val="21"/>
                <w:szCs w:val="21"/>
              </w:rPr>
              <w:t xml:space="preserve">6</w:t>
            </w:r>
            <w:r>
              <w:rPr>
                <w:rFonts w:ascii="宋体" w:hAnsi="宋体"/>
                <w:spacing w:val="-5"/>
                <w:sz w:val="21"/>
                <w:szCs w:val="21"/>
              </w:rPr>
              <w:t xml:space="preserve">m。</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t xml:space="preserve">6</w:t>
            </w:r>
            <w:r/>
          </w:p>
        </w:tc>
        <w:tc>
          <w:tcPr>
            <w:gridSpan w:val="4"/>
            <w:shd w:val="clear" w:color="000000" w:fill="ffffff"/>
            <w:tcW w:w="6804" w:type="dxa"/>
            <w:textDirection w:val="lrTb"/>
            <w:noWrap w:val="false"/>
          </w:tcPr>
          <w:p>
            <w:pPr>
              <w:contextualSpacing/>
              <w:ind w:left="0"/>
              <w:keepNext/>
              <w:widowControl w:val="off"/>
              <w:rPr>
                <w:rFonts w:ascii="宋体" w:hAnsi="宋体"/>
                <w:sz w:val="21"/>
                <w:szCs w:val="21"/>
              </w:rPr>
            </w:pPr>
            <w:r>
              <w:rPr>
                <w:rFonts w:ascii="宋体" w:hAnsi="宋体"/>
                <w:spacing w:val="-9"/>
                <w:sz w:val="21"/>
                <w:szCs w:val="21"/>
              </w:rPr>
              <w:t xml:space="preserve">接近角/离去角： ≥</w:t>
            </w:r>
            <w:r>
              <w:rPr>
                <w:rFonts w:hint="eastAsia" w:ascii="宋体" w:hAnsi="宋体"/>
                <w:spacing w:val="-9"/>
                <w:sz w:val="21"/>
                <w:szCs w:val="21"/>
              </w:rPr>
              <w:t xml:space="preserve">20</w:t>
            </w:r>
            <w:r>
              <w:rPr>
                <w:rFonts w:ascii="宋体" w:hAnsi="宋体"/>
                <w:spacing w:val="-70"/>
                <w:sz w:val="21"/>
                <w:szCs w:val="21"/>
              </w:rPr>
              <w:t xml:space="preserve"> </w:t>
            </w:r>
            <w:r>
              <w:rPr>
                <w:rFonts w:ascii="宋体" w:hAnsi="宋体"/>
                <w:spacing w:val="-9"/>
                <w:sz w:val="21"/>
                <w:szCs w:val="21"/>
              </w:rPr>
              <w:t xml:space="preserve">°/11°。</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t xml:space="preserve">7</w:t>
            </w:r>
            <w:r/>
          </w:p>
        </w:tc>
        <w:tc>
          <w:tcPr>
            <w:gridSpan w:val="4"/>
            <w:shd w:val="clear" w:color="000000" w:fill="ffffff"/>
            <w:tcW w:w="6804" w:type="dxa"/>
            <w:textDirection w:val="lrTb"/>
            <w:noWrap w:val="false"/>
          </w:tcPr>
          <w:p>
            <w:pPr>
              <w:contextualSpacing/>
              <w:ind w:left="0"/>
              <w:keepNext/>
              <w:widowControl w:val="off"/>
              <w:rPr>
                <w:rFonts w:ascii="宋体" w:hAnsi="宋体"/>
                <w:sz w:val="21"/>
                <w:szCs w:val="21"/>
              </w:rPr>
            </w:pPr>
            <w:r>
              <w:rPr>
                <w:rFonts w:ascii="宋体" w:hAnsi="宋体"/>
                <w:spacing w:val="-8"/>
                <w:sz w:val="21"/>
                <w:szCs w:val="21"/>
              </w:rPr>
              <w:t xml:space="preserve">质心高度： ≤1700mm。</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gridSpan w:val="5"/>
            <w:shd w:val="clear" w:color="000000" w:fill="ffffff"/>
            <w:tcW w:w="7314" w:type="dxa"/>
            <w:vAlign w:val="center"/>
            <w:textDirection w:val="lrTb"/>
            <w:noWrap w:val="false"/>
          </w:tcPr>
          <w:p>
            <w:pPr>
              <w:contextualSpacing/>
              <w:ind w:left="0"/>
              <w:jc w:val="center"/>
              <w:keepNext/>
              <w:widowControl w:val="off"/>
              <w:rPr>
                <w:rFonts w:ascii="宋体" w:hAnsi="宋体"/>
                <w:b/>
                <w:sz w:val="21"/>
                <w:szCs w:val="21"/>
              </w:rPr>
            </w:pPr>
            <w:r>
              <w:rPr>
                <w:rFonts w:hint="eastAsia" w:ascii="宋体" w:hAnsi="宋体"/>
                <w:b/>
                <w:sz w:val="21"/>
                <w:szCs w:val="21"/>
              </w:rPr>
              <w:t xml:space="preserve">（三）</w:t>
            </w:r>
            <w:r>
              <w:rPr>
                <w:rFonts w:ascii="宋体" w:hAnsi="宋体"/>
                <w:b/>
                <w:sz w:val="21"/>
                <w:szCs w:val="21"/>
              </w:rPr>
              <w:t xml:space="preserve">上装</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t xml:space="preserve">1</w:t>
            </w:r>
            <w:r/>
          </w:p>
        </w:tc>
        <w:tc>
          <w:tcPr>
            <w:gridSpan w:val="4"/>
            <w:shd w:val="clear" w:color="000000" w:fill="ffffff"/>
            <w:tcW w:w="6804" w:type="dxa"/>
            <w:textDirection w:val="lrTb"/>
            <w:noWrap w:val="false"/>
          </w:tcPr>
          <w:p>
            <w:pPr>
              <w:contextualSpacing/>
              <w:ind w:left="0"/>
              <w:keepNext/>
              <w:widowControl w:val="off"/>
              <w:rPr>
                <w:rFonts w:ascii="宋体" w:hAnsi="宋体"/>
                <w:sz w:val="21"/>
                <w:szCs w:val="21"/>
              </w:rPr>
            </w:pPr>
            <w:r>
              <w:rPr>
                <w:rFonts w:ascii="宋体" w:hAnsi="宋体"/>
                <w:spacing w:val="-3"/>
                <w:sz w:val="21"/>
                <w:szCs w:val="21"/>
              </w:rPr>
              <w:t xml:space="preserve">器 材 箱：</w:t>
            </w:r>
            <w:r>
              <w:rPr>
                <w:rFonts w:hint="eastAsia" w:ascii="宋体" w:hAnsi="宋体"/>
                <w:spacing w:val="-3"/>
                <w:sz w:val="21"/>
                <w:szCs w:val="21"/>
              </w:rPr>
              <w:t xml:space="preserve">铝合金</w:t>
            </w:r>
            <w:r>
              <w:rPr>
                <w:rFonts w:ascii="宋体" w:hAnsi="宋体"/>
                <w:spacing w:val="-3"/>
                <w:sz w:val="21"/>
                <w:szCs w:val="21"/>
              </w:rPr>
              <w:t xml:space="preserve">防腐蚀性材料</w:t>
            </w:r>
            <w:r>
              <w:rPr>
                <w:rFonts w:hint="eastAsia" w:ascii="宋体" w:hAnsi="宋体"/>
                <w:spacing w:val="-3"/>
                <w:sz w:val="21"/>
                <w:szCs w:val="21"/>
              </w:rPr>
              <w:t xml:space="preserve">制作而成</w:t>
            </w:r>
            <w:r>
              <w:rPr>
                <w:rFonts w:ascii="宋体" w:hAnsi="宋体"/>
                <w:spacing w:val="-3"/>
                <w:sz w:val="21"/>
                <w:szCs w:val="21"/>
              </w:rPr>
              <w:t xml:space="preserve">；卷 帘</w:t>
            </w:r>
            <w:r>
              <w:rPr>
                <w:rFonts w:ascii="宋体" w:hAnsi="宋体"/>
                <w:spacing w:val="47"/>
                <w:sz w:val="21"/>
                <w:szCs w:val="21"/>
              </w:rPr>
              <w:t xml:space="preserve"> </w:t>
            </w:r>
            <w:r>
              <w:rPr>
                <w:rFonts w:ascii="宋体" w:hAnsi="宋体"/>
                <w:spacing w:val="-3"/>
                <w:sz w:val="21"/>
                <w:szCs w:val="21"/>
              </w:rPr>
              <w:t xml:space="preserve">门：拉杆式，所有卷帘门均可采用</w:t>
            </w:r>
            <w:r>
              <w:rPr>
                <w:rFonts w:ascii="宋体" w:hAnsi="宋体"/>
                <w:sz w:val="21"/>
                <w:szCs w:val="21"/>
              </w:rPr>
              <w:t xml:space="preserve"> </w:t>
            </w:r>
            <w:r>
              <w:rPr>
                <w:rFonts w:ascii="宋体" w:hAnsi="宋体"/>
                <w:spacing w:val="-7"/>
                <w:sz w:val="21"/>
                <w:szCs w:val="21"/>
              </w:rPr>
              <w:t xml:space="preserve">同一把钥匙开启；内部照明：</w:t>
            </w:r>
            <w:r>
              <w:rPr>
                <w:rFonts w:ascii="宋体" w:hAnsi="宋体"/>
                <w:spacing w:val="-14"/>
                <w:sz w:val="21"/>
                <w:szCs w:val="21"/>
              </w:rPr>
              <w:t xml:space="preserve"> </w:t>
            </w:r>
            <w:r>
              <w:rPr>
                <w:rFonts w:ascii="宋体" w:hAnsi="宋体"/>
                <w:spacing w:val="-7"/>
                <w:sz w:val="21"/>
                <w:szCs w:val="21"/>
              </w:rPr>
              <w:t xml:space="preserve">LED</w:t>
            </w:r>
            <w:r>
              <w:rPr>
                <w:rFonts w:ascii="宋体" w:hAnsi="宋体"/>
                <w:spacing w:val="-37"/>
                <w:sz w:val="21"/>
                <w:szCs w:val="21"/>
              </w:rPr>
              <w:t xml:space="preserve"> </w:t>
            </w:r>
            <w:r>
              <w:rPr>
                <w:rFonts w:ascii="宋体" w:hAnsi="宋体"/>
                <w:spacing w:val="-7"/>
                <w:sz w:val="21"/>
                <w:szCs w:val="21"/>
              </w:rPr>
              <w:t xml:space="preserve">照明灯带。</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t xml:space="preserve">2</w:t>
            </w:r>
            <w:r/>
          </w:p>
        </w:tc>
        <w:tc>
          <w:tcPr>
            <w:gridSpan w:val="4"/>
            <w:shd w:val="clear" w:color="000000" w:fill="ffffff"/>
            <w:tcW w:w="6804" w:type="dxa"/>
            <w:textDirection w:val="lrTb"/>
            <w:noWrap w:val="false"/>
          </w:tcPr>
          <w:p>
            <w:pPr>
              <w:contextualSpacing/>
              <w:ind w:left="0"/>
              <w:keepNext/>
              <w:widowControl w:val="off"/>
              <w:rPr>
                <w:rFonts w:ascii="宋体" w:hAnsi="宋体"/>
                <w:sz w:val="21"/>
                <w:szCs w:val="21"/>
              </w:rPr>
            </w:pPr>
            <w:r>
              <w:rPr>
                <w:rFonts w:ascii="宋体" w:hAnsi="宋体"/>
                <w:spacing w:val="-2"/>
                <w:sz w:val="21"/>
                <w:szCs w:val="21"/>
              </w:rPr>
              <w:t xml:space="preserve">后 爬 梯：</w:t>
            </w:r>
            <w:r>
              <w:rPr>
                <w:rFonts w:ascii="宋体" w:hAnsi="宋体"/>
                <w:spacing w:val="-22"/>
                <w:sz w:val="21"/>
                <w:szCs w:val="21"/>
              </w:rPr>
              <w:t xml:space="preserve"> </w:t>
            </w:r>
            <w:r>
              <w:rPr>
                <w:rFonts w:ascii="宋体" w:hAnsi="宋体"/>
                <w:spacing w:val="-2"/>
                <w:sz w:val="21"/>
                <w:szCs w:val="21"/>
              </w:rPr>
              <w:t xml:space="preserve">最高梯蹬距车顶</w:t>
            </w:r>
            <w:r>
              <w:rPr>
                <w:rFonts w:ascii="宋体" w:hAnsi="宋体"/>
                <w:b/>
                <w:bCs/>
                <w:spacing w:val="-2"/>
                <w:sz w:val="21"/>
                <w:szCs w:val="21"/>
              </w:rPr>
              <w:t xml:space="preserve">＜</w:t>
            </w:r>
            <w:r>
              <w:rPr>
                <w:rFonts w:ascii="宋体" w:hAnsi="宋体"/>
                <w:spacing w:val="-2"/>
                <w:sz w:val="21"/>
                <w:szCs w:val="21"/>
              </w:rPr>
              <w:t xml:space="preserve">300mm，扶手顶端距车</w:t>
            </w:r>
            <w:r>
              <w:rPr>
                <w:rFonts w:ascii="宋体" w:hAnsi="宋体"/>
                <w:spacing w:val="-3"/>
                <w:sz w:val="21"/>
                <w:szCs w:val="21"/>
              </w:rPr>
              <w:t xml:space="preserve">顶踏脚处高度≥300mm。</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gridSpan w:val="5"/>
            <w:shd w:val="clear" w:color="000000" w:fill="ffffff"/>
            <w:tcW w:w="7314" w:type="dxa"/>
            <w:vAlign w:val="center"/>
            <w:textDirection w:val="lrTb"/>
            <w:noWrap w:val="false"/>
          </w:tcPr>
          <w:p>
            <w:pPr>
              <w:contextualSpacing/>
              <w:ind w:left="0"/>
              <w:jc w:val="center"/>
              <w:keepNext/>
              <w:widowControl w:val="off"/>
              <w:rPr>
                <w:rFonts w:ascii="宋体" w:hAnsi="宋体"/>
                <w:b/>
                <w:sz w:val="21"/>
                <w:szCs w:val="21"/>
              </w:rPr>
            </w:pPr>
            <w:r>
              <w:rPr>
                <w:rFonts w:ascii="宋体" w:hAnsi="宋体"/>
                <w:b/>
                <w:sz w:val="21"/>
                <w:szCs w:val="21"/>
              </w:rPr>
              <w:t xml:space="preserve">（四） 罐体</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t xml:space="preserve">1</w:t>
            </w:r>
            <w:r/>
          </w:p>
        </w:tc>
        <w:tc>
          <w:tcPr>
            <w:gridSpan w:val="4"/>
            <w:shd w:val="clear" w:color="000000" w:fill="ffffff"/>
            <w:tcW w:w="6804" w:type="dxa"/>
            <w:vAlign w:val="center"/>
            <w:textDirection w:val="lrTb"/>
            <w:noWrap w:val="false"/>
          </w:tcPr>
          <w:p>
            <w:pPr>
              <w:contextualSpacing/>
              <w:ind w:left="0"/>
              <w:keepNext/>
              <w:widowControl w:val="off"/>
              <w:rPr>
                <w:rFonts w:ascii="宋体" w:hAnsi="宋体"/>
                <w:sz w:val="21"/>
                <w:szCs w:val="21"/>
              </w:rPr>
            </w:pPr>
            <w:r>
              <w:rPr>
                <w:rFonts w:ascii="宋体" w:hAnsi="宋体"/>
                <w:spacing w:val="1"/>
                <w:sz w:val="21"/>
                <w:szCs w:val="21"/>
              </w:rPr>
              <w:t xml:space="preserve">罐容积／载液量（泡沫液和水</w:t>
            </w:r>
            <w:r>
              <w:rPr>
                <w:rFonts w:ascii="宋体" w:hAnsi="宋体"/>
                <w:spacing w:val="11"/>
                <w:sz w:val="21"/>
                <w:szCs w:val="21"/>
              </w:rPr>
              <w:t xml:space="preserve">）：</w:t>
            </w:r>
            <w:r>
              <w:rPr>
                <w:rFonts w:hint="eastAsia" w:ascii="宋体" w:hAnsi="宋体"/>
                <w:spacing w:val="1"/>
                <w:sz w:val="21"/>
                <w:szCs w:val="21"/>
              </w:rPr>
              <w:t xml:space="preserve">水≥3000kg,泡沫≥1000kg</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t xml:space="preserve">2</w:t>
            </w:r>
            <w:r/>
          </w:p>
        </w:tc>
        <w:tc>
          <w:tcPr>
            <w:gridSpan w:val="4"/>
            <w:shd w:val="clear" w:color="000000" w:fill="ffffff"/>
            <w:tcW w:w="6804" w:type="dxa"/>
            <w:vAlign w:val="center"/>
            <w:textDirection w:val="lrTb"/>
            <w:noWrap w:val="false"/>
          </w:tcPr>
          <w:p>
            <w:pPr>
              <w:pStyle w:val="1580"/>
              <w:jc w:val="both"/>
              <w:spacing w:before="70" w:line="220" w:lineRule="auto"/>
              <w:rPr>
                <w:lang w:eastAsia="zh-CN"/>
              </w:rPr>
            </w:pPr>
            <w:r>
              <w:rPr>
                <w:spacing w:val="-8"/>
                <w:lang w:eastAsia="zh-CN"/>
              </w:rPr>
              <w:t xml:space="preserve">材 质：</w:t>
            </w:r>
            <w:r>
              <w:rPr>
                <w:spacing w:val="-38"/>
                <w:lang w:eastAsia="zh-CN"/>
              </w:rPr>
              <w:t xml:space="preserve"> </w:t>
            </w:r>
            <w:r>
              <w:rPr>
                <w:spacing w:val="-8"/>
                <w:lang w:eastAsia="zh-CN"/>
              </w:rPr>
              <w:t xml:space="preserve">采用</w:t>
            </w:r>
            <w:r>
              <w:rPr>
                <w:rFonts w:hint="eastAsia"/>
                <w:spacing w:val="-8"/>
                <w:lang w:eastAsia="zh-CN"/>
              </w:rPr>
              <w:t xml:space="preserve">优质铝合金或304不锈钢</w:t>
            </w:r>
            <w:r>
              <w:rPr>
                <w:spacing w:val="-8"/>
                <w:lang w:eastAsia="zh-CN"/>
              </w:rPr>
              <w:t xml:space="preserve">防腐蚀材料，</w:t>
            </w:r>
            <w:r>
              <w:rPr>
                <w:spacing w:val="-51"/>
                <w:lang w:eastAsia="zh-CN"/>
              </w:rPr>
              <w:t xml:space="preserve"> </w:t>
            </w:r>
            <w:r>
              <w:rPr>
                <w:spacing w:val="-8"/>
                <w:lang w:eastAsia="zh-CN"/>
              </w:rPr>
              <w:t xml:space="preserve">底板≥4mm，前后封板、侧板、顶板及隔板≥3mm；</w:t>
            </w:r>
            <w:r/>
          </w:p>
          <w:p>
            <w:pPr>
              <w:contextualSpacing/>
              <w:ind w:left="0"/>
              <w:keepNext/>
              <w:widowControl w:val="off"/>
              <w:rPr>
                <w:rFonts w:ascii="宋体" w:hAnsi="宋体"/>
                <w:sz w:val="21"/>
                <w:szCs w:val="21"/>
              </w:rPr>
            </w:pPr>
            <w:r>
              <w:rPr>
                <w:rFonts w:ascii="宋体" w:hAnsi="宋体"/>
                <w:spacing w:val="-8"/>
                <w:sz w:val="21"/>
                <w:szCs w:val="21"/>
              </w:rPr>
              <w:t xml:space="preserve">结   构： 内部设有纵、横隔板， 底部设有</w:t>
            </w:r>
            <w:r>
              <w:rPr>
                <w:rFonts w:ascii="宋体" w:hAnsi="宋体"/>
                <w:spacing w:val="-9"/>
                <w:sz w:val="21"/>
                <w:szCs w:val="21"/>
              </w:rPr>
              <w:t xml:space="preserve">纵向托梁。</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t xml:space="preserve">3</w:t>
            </w:r>
            <w:r/>
          </w:p>
        </w:tc>
        <w:tc>
          <w:tcPr>
            <w:gridSpan w:val="4"/>
            <w:shd w:val="clear" w:color="000000" w:fill="ffffff"/>
            <w:tcW w:w="6804" w:type="dxa"/>
            <w:vAlign w:val="center"/>
            <w:textDirection w:val="lrTb"/>
            <w:noWrap w:val="false"/>
          </w:tcPr>
          <w:p>
            <w:pPr>
              <w:contextualSpacing/>
              <w:ind w:left="0"/>
              <w:keepNext/>
              <w:widowControl w:val="off"/>
              <w:rPr>
                <w:rFonts w:ascii="宋体" w:hAnsi="宋体"/>
                <w:sz w:val="21"/>
                <w:szCs w:val="21"/>
              </w:rPr>
            </w:pPr>
            <w:r>
              <w:rPr>
                <w:rFonts w:ascii="宋体" w:hAnsi="宋体"/>
                <w:spacing w:val="-5"/>
                <w:sz w:val="21"/>
                <w:szCs w:val="21"/>
              </w:rPr>
              <w:t xml:space="preserve">泡沫管路： 具备泡沫液自动冲洗和外吸泡沫液功能。</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gridSpan w:val="5"/>
            <w:shd w:val="clear" w:color="000000" w:fill="ffffff"/>
            <w:tcW w:w="7314" w:type="dxa"/>
            <w:vAlign w:val="center"/>
            <w:textDirection w:val="lrTb"/>
            <w:noWrap w:val="false"/>
          </w:tcPr>
          <w:p>
            <w:pPr>
              <w:contextualSpacing/>
              <w:ind w:left="0"/>
              <w:jc w:val="center"/>
              <w:keepNext/>
              <w:widowControl w:val="off"/>
              <w:rPr>
                <w:rFonts w:ascii="宋体" w:hAnsi="宋体"/>
                <w:b/>
                <w:sz w:val="21"/>
                <w:szCs w:val="21"/>
              </w:rPr>
            </w:pPr>
            <w:r>
              <w:rPr>
                <w:rFonts w:hint="eastAsia" w:ascii="宋体" w:hAnsi="宋体"/>
                <w:b/>
                <w:sz w:val="21"/>
                <w:szCs w:val="21"/>
              </w:rPr>
              <w:t xml:space="preserve">（五） 消防泵</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t xml:space="preserve">1</w:t>
            </w:r>
            <w:r/>
          </w:p>
        </w:tc>
        <w:tc>
          <w:tcPr>
            <w:gridSpan w:val="4"/>
            <w:shd w:val="clear" w:color="000000" w:fill="ffffff"/>
            <w:tcW w:w="6804" w:type="dxa"/>
            <w:textDirection w:val="lrTb"/>
            <w:noWrap w:val="false"/>
          </w:tcPr>
          <w:p>
            <w:pPr>
              <w:contextualSpacing/>
              <w:ind w:left="0"/>
              <w:keepNext/>
              <w:widowControl w:val="off"/>
              <w:rPr>
                <w:rFonts w:ascii="宋体" w:hAnsi="宋体"/>
                <w:sz w:val="21"/>
                <w:szCs w:val="21"/>
              </w:rPr>
            </w:pPr>
            <w:r>
              <w:rPr>
                <w:rFonts w:ascii="宋体" w:hAnsi="宋体"/>
                <w:sz w:val="21"/>
                <w:szCs w:val="21"/>
              </w:rPr>
              <w:t xml:space="preserve">▲连续运转额定工况试验流量、试验出口压力≥</w:t>
            </w:r>
            <w:r>
              <w:rPr>
                <w:rFonts w:hint="eastAsia" w:ascii="宋体" w:hAnsi="宋体"/>
                <w:sz w:val="21"/>
                <w:szCs w:val="21"/>
              </w:rPr>
              <w:t xml:space="preserve">6</w:t>
            </w:r>
            <w:r>
              <w:rPr>
                <w:rFonts w:ascii="宋体" w:hAnsi="宋体"/>
                <w:spacing w:val="-1"/>
                <w:sz w:val="21"/>
                <w:szCs w:val="21"/>
              </w:rPr>
              <w:t xml:space="preserve">0L/s@≥1.0MPa。</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t xml:space="preserve">2</w:t>
            </w:r>
            <w:r/>
          </w:p>
        </w:tc>
        <w:tc>
          <w:tcPr>
            <w:gridSpan w:val="4"/>
            <w:shd w:val="clear" w:color="000000" w:fill="ffffff"/>
            <w:tcW w:w="6804" w:type="dxa"/>
            <w:textDirection w:val="lrTb"/>
            <w:noWrap w:val="false"/>
          </w:tcPr>
          <w:p>
            <w:pPr>
              <w:contextualSpacing/>
              <w:ind w:left="0"/>
              <w:keepNext/>
              <w:widowControl w:val="off"/>
              <w:rPr>
                <w:rFonts w:ascii="宋体" w:hAnsi="宋体"/>
                <w:sz w:val="21"/>
                <w:szCs w:val="21"/>
              </w:rPr>
            </w:pPr>
            <w:r>
              <w:rPr>
                <w:rFonts w:ascii="宋体" w:hAnsi="宋体"/>
                <w:sz w:val="21"/>
                <w:szCs w:val="21"/>
              </w:rPr>
              <w:t xml:space="preserve">引水器型式</w:t>
            </w:r>
            <w:r>
              <w:rPr>
                <w:rFonts w:ascii="宋体" w:hAnsi="宋体"/>
                <w:spacing w:val="-10"/>
                <w:sz w:val="21"/>
                <w:szCs w:val="21"/>
              </w:rPr>
              <w:t xml:space="preserve">：（</w:t>
            </w:r>
            <w:r>
              <w:rPr>
                <w:rFonts w:ascii="宋体" w:hAnsi="宋体"/>
                <w:sz w:val="21"/>
                <w:szCs w:val="21"/>
              </w:rPr>
              <w:t xml:space="preserve">活塞或刮片）真空泵。</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t xml:space="preserve">3</w:t>
            </w:r>
            <w:r/>
          </w:p>
        </w:tc>
        <w:tc>
          <w:tcPr>
            <w:gridSpan w:val="4"/>
            <w:shd w:val="clear" w:color="000000" w:fill="ffffff"/>
            <w:tcW w:w="6804" w:type="dxa"/>
            <w:textDirection w:val="lrTb"/>
            <w:noWrap w:val="false"/>
          </w:tcPr>
          <w:p>
            <w:pPr>
              <w:contextualSpacing/>
              <w:ind w:left="0"/>
              <w:keepNext/>
              <w:widowControl w:val="off"/>
              <w:rPr>
                <w:rFonts w:ascii="宋体" w:hAnsi="宋体"/>
                <w:sz w:val="21"/>
                <w:szCs w:val="21"/>
              </w:rPr>
            </w:pPr>
            <w:r>
              <w:rPr>
                <w:rFonts w:ascii="宋体" w:hAnsi="宋体"/>
                <w:spacing w:val="-7"/>
                <w:sz w:val="21"/>
                <w:szCs w:val="21"/>
              </w:rPr>
              <w:t xml:space="preserve">引水装置最大真空度： ≥85kPa。</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t xml:space="preserve">4</w:t>
            </w:r>
            <w:r/>
          </w:p>
        </w:tc>
        <w:tc>
          <w:tcPr>
            <w:gridSpan w:val="4"/>
            <w:shd w:val="clear" w:color="000000" w:fill="ffffff"/>
            <w:tcW w:w="6804" w:type="dxa"/>
            <w:textDirection w:val="lrTb"/>
            <w:noWrap w:val="false"/>
          </w:tcPr>
          <w:p>
            <w:pPr>
              <w:contextualSpacing/>
              <w:ind w:left="0"/>
              <w:keepNext/>
              <w:widowControl w:val="off"/>
              <w:rPr>
                <w:rFonts w:ascii="宋体" w:hAnsi="宋体"/>
                <w:sz w:val="21"/>
                <w:szCs w:val="21"/>
              </w:rPr>
            </w:pPr>
            <w:r>
              <w:rPr>
                <w:rFonts w:ascii="宋体" w:hAnsi="宋体"/>
                <w:spacing w:val="-1"/>
                <w:sz w:val="21"/>
                <w:szCs w:val="21"/>
              </w:rPr>
              <w:t xml:space="preserve">引水装置引水时间：≤</w:t>
            </w:r>
            <w:r>
              <w:rPr>
                <w:rFonts w:hint="eastAsia" w:ascii="宋体" w:hAnsi="宋体"/>
                <w:spacing w:val="-1"/>
                <w:sz w:val="21"/>
                <w:szCs w:val="21"/>
              </w:rPr>
              <w:t xml:space="preserve">30</w:t>
            </w:r>
            <w:r>
              <w:rPr>
                <w:rFonts w:ascii="宋体" w:hAnsi="宋体"/>
                <w:spacing w:val="-1"/>
                <w:sz w:val="21"/>
                <w:szCs w:val="21"/>
              </w:rPr>
              <w:t xml:space="preserve">s。</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t xml:space="preserve">5</w:t>
            </w:r>
            <w:r/>
          </w:p>
        </w:tc>
        <w:tc>
          <w:tcPr>
            <w:gridSpan w:val="4"/>
            <w:shd w:val="clear" w:color="000000" w:fill="ffffff"/>
            <w:tcW w:w="6804" w:type="dxa"/>
            <w:textDirection w:val="lrTb"/>
            <w:noWrap w:val="false"/>
          </w:tcPr>
          <w:p>
            <w:pPr>
              <w:contextualSpacing/>
              <w:ind w:left="0"/>
              <w:keepNext/>
              <w:widowControl w:val="off"/>
              <w:rPr>
                <w:rFonts w:ascii="宋体" w:hAnsi="宋体"/>
                <w:sz w:val="21"/>
                <w:szCs w:val="21"/>
              </w:rPr>
            </w:pPr>
            <w:r>
              <w:rPr>
                <w:rFonts w:ascii="宋体" w:hAnsi="宋体"/>
                <w:spacing w:val="-5"/>
                <w:sz w:val="21"/>
                <w:szCs w:val="21"/>
              </w:rPr>
              <w:t xml:space="preserve">泡沫比例混合器：泡沫混合比例</w:t>
            </w:r>
            <w:r>
              <w:rPr>
                <w:rFonts w:ascii="宋体" w:hAnsi="宋体"/>
                <w:spacing w:val="-27"/>
                <w:sz w:val="21"/>
                <w:szCs w:val="21"/>
              </w:rPr>
              <w:t xml:space="preserve"> </w:t>
            </w:r>
            <w:r>
              <w:rPr>
                <w:rFonts w:ascii="宋体" w:hAnsi="宋体"/>
                <w:spacing w:val="-5"/>
                <w:sz w:val="21"/>
                <w:szCs w:val="21"/>
              </w:rPr>
              <w:t xml:space="preserve">3％、</w:t>
            </w:r>
            <w:r>
              <w:rPr>
                <w:rFonts w:ascii="宋体" w:hAnsi="宋体"/>
                <w:spacing w:val="-27"/>
                <w:sz w:val="21"/>
                <w:szCs w:val="21"/>
              </w:rPr>
              <w:t xml:space="preserve"> </w:t>
            </w:r>
            <w:r>
              <w:rPr>
                <w:rFonts w:ascii="宋体" w:hAnsi="宋体"/>
                <w:spacing w:val="-5"/>
                <w:sz w:val="21"/>
                <w:szCs w:val="21"/>
              </w:rPr>
              <w:t xml:space="preserve">6%可调。</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t xml:space="preserve">6</w:t>
            </w:r>
            <w:r/>
          </w:p>
        </w:tc>
        <w:tc>
          <w:tcPr>
            <w:gridSpan w:val="4"/>
            <w:shd w:val="clear" w:color="000000" w:fill="ffffff"/>
            <w:tcW w:w="6804" w:type="dxa"/>
            <w:textDirection w:val="lrTb"/>
            <w:noWrap w:val="false"/>
          </w:tcPr>
          <w:p>
            <w:pPr>
              <w:contextualSpacing/>
              <w:ind w:left="0"/>
              <w:keepNext/>
              <w:widowControl w:val="off"/>
              <w:rPr>
                <w:rFonts w:ascii="宋体" w:hAnsi="宋体"/>
                <w:sz w:val="21"/>
                <w:szCs w:val="21"/>
              </w:rPr>
            </w:pPr>
            <w:r>
              <w:rPr>
                <w:rFonts w:ascii="宋体" w:hAnsi="宋体"/>
                <w:spacing w:val="-3"/>
                <w:sz w:val="21"/>
                <w:szCs w:val="21"/>
              </w:rPr>
              <w:t xml:space="preserve">吸水口：设置满足水泵最大流量要求的吸水口接口、吸水管， 同</w:t>
            </w:r>
            <w:r>
              <w:rPr>
                <w:rFonts w:ascii="宋体" w:hAnsi="宋体"/>
                <w:spacing w:val="-4"/>
                <w:sz w:val="21"/>
                <w:szCs w:val="21"/>
              </w:rPr>
              <w:t xml:space="preserve">时</w:t>
            </w:r>
            <w:r>
              <w:rPr>
                <w:rFonts w:hint="eastAsia" w:ascii="宋体" w:hAnsi="宋体"/>
                <w:spacing w:val="-4"/>
                <w:sz w:val="21"/>
                <w:szCs w:val="21"/>
              </w:rPr>
              <w:t xml:space="preserve">配φ150×2米4根吸水</w:t>
            </w:r>
            <w:r>
              <w:rPr>
                <w:rFonts w:ascii="宋体" w:hAnsi="宋体"/>
                <w:spacing w:val="-9"/>
                <w:sz w:val="21"/>
                <w:szCs w:val="21"/>
              </w:rPr>
              <w:t xml:space="preserve">软管。</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t xml:space="preserve">7</w:t>
            </w:r>
            <w:r/>
          </w:p>
        </w:tc>
        <w:tc>
          <w:tcPr>
            <w:gridSpan w:val="4"/>
            <w:shd w:val="clear" w:color="000000" w:fill="ffffff"/>
            <w:tcW w:w="6804" w:type="dxa"/>
            <w:textDirection w:val="lrTb"/>
            <w:noWrap w:val="false"/>
          </w:tcPr>
          <w:p>
            <w:pPr>
              <w:contextualSpacing/>
              <w:ind w:left="0"/>
              <w:keepNext/>
              <w:widowControl w:val="off"/>
              <w:rPr>
                <w:rFonts w:ascii="宋体" w:hAnsi="宋体"/>
                <w:sz w:val="21"/>
                <w:szCs w:val="21"/>
              </w:rPr>
            </w:pPr>
            <w:r>
              <w:rPr>
                <w:rFonts w:ascii="宋体" w:hAnsi="宋体"/>
                <w:spacing w:val="-4"/>
                <w:sz w:val="21"/>
                <w:szCs w:val="21"/>
              </w:rPr>
              <w:t xml:space="preserve">注水口：左右侧</w:t>
            </w:r>
            <w:r>
              <w:rPr>
                <w:rFonts w:ascii="宋体" w:hAnsi="宋体"/>
                <w:spacing w:val="-37"/>
                <w:sz w:val="21"/>
                <w:szCs w:val="21"/>
              </w:rPr>
              <w:t xml:space="preserve"> </w:t>
            </w:r>
            <w:r>
              <w:rPr>
                <w:rFonts w:ascii="宋体" w:hAnsi="宋体"/>
                <w:spacing w:val="-4"/>
                <w:sz w:val="21"/>
                <w:szCs w:val="21"/>
              </w:rPr>
              <w:t xml:space="preserve">DN80</w:t>
            </w:r>
            <w:r>
              <w:rPr>
                <w:rFonts w:ascii="宋体" w:hAnsi="宋体"/>
                <w:spacing w:val="-41"/>
                <w:sz w:val="21"/>
                <w:szCs w:val="21"/>
              </w:rPr>
              <w:t xml:space="preserve"> </w:t>
            </w:r>
            <w:r>
              <w:rPr>
                <w:rFonts w:ascii="宋体" w:hAnsi="宋体"/>
                <w:spacing w:val="-4"/>
                <w:sz w:val="21"/>
                <w:szCs w:val="21"/>
              </w:rPr>
              <w:t xml:space="preserve">各≥</w:t>
            </w:r>
            <w:r>
              <w:rPr>
                <w:rFonts w:hint="eastAsia" w:ascii="宋体" w:hAnsi="宋体"/>
                <w:spacing w:val="-4"/>
                <w:sz w:val="21"/>
                <w:szCs w:val="21"/>
              </w:rPr>
              <w:t xml:space="preserve">1</w:t>
            </w:r>
            <w:r>
              <w:rPr>
                <w:rFonts w:ascii="宋体" w:hAnsi="宋体"/>
                <w:spacing w:val="-4"/>
                <w:sz w:val="21"/>
                <w:szCs w:val="21"/>
              </w:rPr>
              <w:t xml:space="preserve">个；</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t xml:space="preserve">8</w:t>
            </w:r>
            <w:r/>
          </w:p>
        </w:tc>
        <w:tc>
          <w:tcPr>
            <w:gridSpan w:val="4"/>
            <w:shd w:val="clear" w:color="000000" w:fill="ffffff"/>
            <w:tcW w:w="6804" w:type="dxa"/>
            <w:textDirection w:val="lrTb"/>
            <w:noWrap w:val="false"/>
          </w:tcPr>
          <w:p>
            <w:pPr>
              <w:contextualSpacing/>
              <w:ind w:left="0"/>
              <w:keepNext/>
              <w:widowControl w:val="off"/>
              <w:rPr>
                <w:rFonts w:ascii="宋体" w:hAnsi="宋体"/>
                <w:sz w:val="21"/>
                <w:szCs w:val="21"/>
              </w:rPr>
            </w:pPr>
            <w:r>
              <w:rPr>
                <w:rFonts w:ascii="宋体" w:hAnsi="宋体"/>
                <w:spacing w:val="-4"/>
                <w:sz w:val="21"/>
                <w:szCs w:val="21"/>
              </w:rPr>
              <w:t xml:space="preserve">出水口：左右侧</w:t>
            </w:r>
            <w:r>
              <w:rPr>
                <w:rFonts w:ascii="宋体" w:hAnsi="宋体"/>
                <w:spacing w:val="-34"/>
                <w:sz w:val="21"/>
                <w:szCs w:val="21"/>
              </w:rPr>
              <w:t xml:space="preserve"> </w:t>
            </w:r>
            <w:r>
              <w:rPr>
                <w:rFonts w:ascii="宋体" w:hAnsi="宋体"/>
                <w:spacing w:val="-4"/>
                <w:sz w:val="21"/>
                <w:szCs w:val="21"/>
              </w:rPr>
              <w:t xml:space="preserve">DN80</w:t>
            </w:r>
            <w:r>
              <w:rPr>
                <w:rFonts w:ascii="宋体" w:hAnsi="宋体"/>
                <w:spacing w:val="-41"/>
                <w:sz w:val="21"/>
                <w:szCs w:val="21"/>
              </w:rPr>
              <w:t xml:space="preserve"> </w:t>
            </w:r>
            <w:r>
              <w:rPr>
                <w:rFonts w:ascii="宋体" w:hAnsi="宋体"/>
                <w:spacing w:val="-4"/>
                <w:sz w:val="21"/>
                <w:szCs w:val="21"/>
              </w:rPr>
              <w:t xml:space="preserve">各≥2</w:t>
            </w:r>
            <w:r>
              <w:rPr>
                <w:rFonts w:ascii="宋体" w:hAnsi="宋体"/>
                <w:spacing w:val="-44"/>
                <w:sz w:val="21"/>
                <w:szCs w:val="21"/>
              </w:rPr>
              <w:t xml:space="preserve"> </w:t>
            </w:r>
            <w:r>
              <w:rPr>
                <w:rFonts w:ascii="宋体" w:hAnsi="宋体"/>
                <w:spacing w:val="-4"/>
                <w:sz w:val="21"/>
                <w:szCs w:val="21"/>
              </w:rPr>
              <w:t xml:space="preserve">个。</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t xml:space="preserve">9</w:t>
            </w:r>
            <w:r/>
          </w:p>
        </w:tc>
        <w:tc>
          <w:tcPr>
            <w:gridSpan w:val="4"/>
            <w:shd w:val="clear" w:color="000000" w:fill="ffffff"/>
            <w:tcW w:w="6804" w:type="dxa"/>
            <w:textDirection w:val="lrTb"/>
            <w:noWrap w:val="false"/>
          </w:tcPr>
          <w:p>
            <w:pPr>
              <w:contextualSpacing/>
              <w:ind w:left="0"/>
              <w:keepNext/>
              <w:widowControl w:val="off"/>
              <w:rPr>
                <w:rFonts w:ascii="宋体" w:hAnsi="宋体"/>
                <w:sz w:val="21"/>
                <w:szCs w:val="21"/>
              </w:rPr>
            </w:pPr>
            <w:r>
              <w:rPr>
                <w:rFonts w:ascii="宋体" w:hAnsi="宋体"/>
                <w:spacing w:val="-4"/>
                <w:sz w:val="21"/>
                <w:szCs w:val="21"/>
              </w:rPr>
              <w:t xml:space="preserve">出水管路中没有压力时，</w:t>
            </w:r>
            <w:r>
              <w:rPr>
                <w:rFonts w:ascii="宋体" w:hAnsi="宋体"/>
                <w:spacing w:val="-8"/>
                <w:sz w:val="21"/>
                <w:szCs w:val="21"/>
              </w:rPr>
              <w:t xml:space="preserve"> </w:t>
            </w:r>
            <w:r>
              <w:rPr>
                <w:rFonts w:ascii="宋体" w:hAnsi="宋体"/>
                <w:spacing w:val="-4"/>
                <w:sz w:val="21"/>
                <w:szCs w:val="21"/>
              </w:rPr>
              <w:t xml:space="preserve">手动启闭的出水阀开启和关闭力≤50N。</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gridSpan w:val="5"/>
            <w:shd w:val="clear" w:color="000000" w:fill="ffffff"/>
            <w:tcW w:w="7314" w:type="dxa"/>
            <w:vAlign w:val="center"/>
            <w:textDirection w:val="lrTb"/>
            <w:noWrap w:val="false"/>
          </w:tcPr>
          <w:p>
            <w:pPr>
              <w:contextualSpacing/>
              <w:ind w:left="0"/>
              <w:jc w:val="center"/>
              <w:keepNext/>
              <w:widowControl w:val="off"/>
              <w:rPr>
                <w:rFonts w:ascii="宋体" w:hAnsi="宋体"/>
                <w:b/>
                <w:sz w:val="21"/>
                <w:szCs w:val="21"/>
              </w:rPr>
            </w:pPr>
            <w:r>
              <w:rPr>
                <w:rFonts w:hint="eastAsia" w:ascii="宋体" w:hAnsi="宋体"/>
                <w:b/>
                <w:sz w:val="21"/>
                <w:szCs w:val="21"/>
              </w:rPr>
              <w:t xml:space="preserve">（六）消防炮</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t xml:space="preserve">1</w:t>
            </w:r>
            <w:r/>
          </w:p>
        </w:tc>
        <w:tc>
          <w:tcPr>
            <w:gridSpan w:val="4"/>
            <w:shd w:val="clear" w:color="000000" w:fill="ffffff"/>
            <w:tcW w:w="6804" w:type="dxa"/>
            <w:textDirection w:val="lrTb"/>
            <w:noWrap w:val="false"/>
          </w:tcPr>
          <w:p>
            <w:pPr>
              <w:contextualSpacing/>
              <w:ind w:left="0"/>
              <w:keepNext/>
              <w:widowControl w:val="off"/>
              <w:rPr>
                <w:rFonts w:ascii="宋体" w:hAnsi="宋体"/>
                <w:sz w:val="21"/>
                <w:szCs w:val="21"/>
              </w:rPr>
            </w:pPr>
            <w:r>
              <w:rPr>
                <w:rFonts w:ascii="宋体" w:hAnsi="宋体"/>
                <w:spacing w:val="-11"/>
                <w:sz w:val="21"/>
                <w:szCs w:val="21"/>
              </w:rPr>
              <w:t xml:space="preserve">功能： 水、泡沫两用炮；</w:t>
            </w:r>
            <w:r>
              <w:rPr>
                <w:rFonts w:ascii="宋体" w:hAnsi="宋体"/>
                <w:spacing w:val="-13"/>
                <w:sz w:val="21"/>
                <w:szCs w:val="21"/>
              </w:rPr>
              <w:t xml:space="preserve"> </w:t>
            </w:r>
            <w:r>
              <w:rPr>
                <w:rFonts w:ascii="宋体" w:hAnsi="宋体"/>
                <w:spacing w:val="-11"/>
                <w:sz w:val="21"/>
                <w:szCs w:val="21"/>
              </w:rPr>
              <w:t xml:space="preserve">控制方式： 手动控制或无线遥控。</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t xml:space="preserve">2</w:t>
            </w:r>
            <w:r/>
          </w:p>
        </w:tc>
        <w:tc>
          <w:tcPr>
            <w:gridSpan w:val="4"/>
            <w:shd w:val="clear" w:color="000000" w:fill="ffffff"/>
            <w:tcW w:w="6804" w:type="dxa"/>
            <w:textDirection w:val="lrTb"/>
            <w:noWrap w:val="false"/>
          </w:tcPr>
          <w:p>
            <w:pPr>
              <w:contextualSpacing/>
              <w:ind w:left="0"/>
              <w:keepNext/>
              <w:widowControl w:val="off"/>
              <w:rPr>
                <w:rFonts w:ascii="宋体" w:hAnsi="宋体"/>
                <w:sz w:val="21"/>
                <w:szCs w:val="21"/>
              </w:rPr>
            </w:pPr>
            <w:r>
              <w:rPr>
                <w:rFonts w:ascii="宋体" w:hAnsi="宋体"/>
                <w:spacing w:val="-6"/>
                <w:sz w:val="21"/>
                <w:szCs w:val="21"/>
              </w:rPr>
              <w:t xml:space="preserve">▲水流量： ≥</w:t>
            </w:r>
            <w:r>
              <w:rPr>
                <w:rFonts w:hint="eastAsia" w:ascii="宋体" w:hAnsi="宋体"/>
                <w:spacing w:val="-6"/>
                <w:sz w:val="21"/>
                <w:szCs w:val="21"/>
              </w:rPr>
              <w:t xml:space="preserve">60</w:t>
            </w:r>
            <w:r>
              <w:rPr>
                <w:rFonts w:ascii="宋体" w:hAnsi="宋体"/>
                <w:spacing w:val="-6"/>
                <w:sz w:val="21"/>
                <w:szCs w:val="21"/>
              </w:rPr>
              <w:t xml:space="preserve">L/s@≤1.0MPa。</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t xml:space="preserve">3</w:t>
            </w:r>
            <w:r/>
          </w:p>
        </w:tc>
        <w:tc>
          <w:tcPr>
            <w:gridSpan w:val="4"/>
            <w:shd w:val="clear" w:color="000000" w:fill="ffffff"/>
            <w:tcW w:w="6804" w:type="dxa"/>
            <w:textDirection w:val="lrTb"/>
            <w:noWrap w:val="false"/>
          </w:tcPr>
          <w:p>
            <w:pPr>
              <w:contextualSpacing/>
              <w:ind w:left="0"/>
              <w:keepNext/>
              <w:widowControl w:val="off"/>
              <w:rPr>
                <w:rFonts w:ascii="宋体" w:hAnsi="宋体"/>
                <w:sz w:val="21"/>
                <w:szCs w:val="21"/>
              </w:rPr>
            </w:pPr>
            <w:r>
              <w:rPr>
                <w:rFonts w:ascii="宋体" w:hAnsi="宋体"/>
                <w:spacing w:val="-1"/>
                <w:sz w:val="21"/>
                <w:szCs w:val="21"/>
              </w:rPr>
              <w:t xml:space="preserve">射程：水≥</w:t>
            </w:r>
            <w:r>
              <w:rPr>
                <w:rFonts w:hint="eastAsia" w:ascii="宋体" w:hAnsi="宋体"/>
                <w:spacing w:val="-1"/>
                <w:sz w:val="21"/>
                <w:szCs w:val="21"/>
              </w:rPr>
              <w:t xml:space="preserve">75</w:t>
            </w:r>
            <w:r>
              <w:rPr>
                <w:rFonts w:ascii="宋体" w:hAnsi="宋体"/>
                <w:spacing w:val="-1"/>
                <w:sz w:val="21"/>
                <w:szCs w:val="21"/>
              </w:rPr>
              <w:t xml:space="preserve">m 、B</w:t>
            </w:r>
            <w:r>
              <w:rPr>
                <w:rFonts w:ascii="宋体" w:hAnsi="宋体"/>
                <w:spacing w:val="-44"/>
                <w:sz w:val="21"/>
                <w:szCs w:val="21"/>
              </w:rPr>
              <w:t xml:space="preserve"> </w:t>
            </w:r>
            <w:r>
              <w:rPr>
                <w:rFonts w:ascii="宋体" w:hAnsi="宋体"/>
                <w:spacing w:val="-1"/>
                <w:sz w:val="21"/>
                <w:szCs w:val="21"/>
              </w:rPr>
              <w:t xml:space="preserve">类泡沫≥</w:t>
            </w:r>
            <w:r>
              <w:rPr>
                <w:rFonts w:hint="eastAsia" w:ascii="宋体" w:hAnsi="宋体"/>
                <w:spacing w:val="-1"/>
                <w:sz w:val="21"/>
                <w:szCs w:val="21"/>
              </w:rPr>
              <w:t xml:space="preserve">70</w:t>
            </w:r>
            <w:r>
              <w:rPr>
                <w:rFonts w:ascii="宋体" w:hAnsi="宋体"/>
                <w:spacing w:val="-1"/>
                <w:sz w:val="21"/>
                <w:szCs w:val="21"/>
              </w:rPr>
              <w:t xml:space="preserve">m。</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t xml:space="preserve">4</w:t>
            </w:r>
            <w:r/>
          </w:p>
        </w:tc>
        <w:tc>
          <w:tcPr>
            <w:gridSpan w:val="4"/>
            <w:shd w:val="clear" w:color="000000" w:fill="ffffff"/>
            <w:tcW w:w="6804" w:type="dxa"/>
            <w:textDirection w:val="lrTb"/>
            <w:noWrap w:val="false"/>
          </w:tcPr>
          <w:p>
            <w:pPr>
              <w:contextualSpacing/>
              <w:ind w:left="0"/>
              <w:keepNext/>
              <w:widowControl w:val="off"/>
              <w:rPr>
                <w:rFonts w:ascii="宋体" w:hAnsi="宋体"/>
                <w:sz w:val="21"/>
                <w:szCs w:val="21"/>
              </w:rPr>
            </w:pPr>
            <w:r>
              <w:rPr>
                <w:rFonts w:ascii="宋体" w:hAnsi="宋体"/>
                <w:spacing w:val="-11"/>
                <w:sz w:val="21"/>
                <w:szCs w:val="21"/>
              </w:rPr>
              <w:t xml:space="preserve">水平回转角： ≥350</w:t>
            </w:r>
            <w:r>
              <w:rPr>
                <w:rFonts w:ascii="宋体" w:hAnsi="宋体"/>
                <w:spacing w:val="-70"/>
                <w:sz w:val="21"/>
                <w:szCs w:val="21"/>
              </w:rPr>
              <w:t xml:space="preserve"> </w:t>
            </w:r>
            <w:r>
              <w:rPr>
                <w:rFonts w:ascii="宋体" w:hAnsi="宋体"/>
                <w:spacing w:val="-11"/>
                <w:sz w:val="21"/>
                <w:szCs w:val="21"/>
              </w:rPr>
              <w:t xml:space="preserve">°。</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t xml:space="preserve">5</w:t>
            </w:r>
            <w:r/>
          </w:p>
        </w:tc>
        <w:tc>
          <w:tcPr>
            <w:gridSpan w:val="4"/>
            <w:shd w:val="clear" w:color="000000" w:fill="ffffff"/>
            <w:tcW w:w="6804" w:type="dxa"/>
            <w:textDirection w:val="lrTb"/>
            <w:noWrap w:val="false"/>
          </w:tcPr>
          <w:p>
            <w:pPr>
              <w:contextualSpacing/>
              <w:ind w:left="0"/>
              <w:keepNext/>
              <w:widowControl w:val="off"/>
              <w:rPr>
                <w:rFonts w:ascii="宋体" w:hAnsi="宋体"/>
                <w:sz w:val="21"/>
                <w:szCs w:val="21"/>
              </w:rPr>
            </w:pPr>
            <w:r>
              <w:rPr>
                <w:rFonts w:ascii="宋体" w:hAnsi="宋体"/>
                <w:spacing w:val="-1"/>
                <w:sz w:val="21"/>
                <w:szCs w:val="21"/>
              </w:rPr>
              <w:t xml:space="preserve">俯仰回转角 ：最小俯角≤-</w:t>
            </w:r>
            <w:r>
              <w:rPr>
                <w:rFonts w:hint="eastAsia" w:ascii="宋体" w:hAnsi="宋体"/>
                <w:spacing w:val="-1"/>
                <w:sz w:val="21"/>
                <w:szCs w:val="21"/>
              </w:rPr>
              <w:t xml:space="preserve">20</w:t>
            </w:r>
            <w:r>
              <w:rPr>
                <w:rFonts w:ascii="宋体" w:hAnsi="宋体"/>
                <w:spacing w:val="-1"/>
                <w:sz w:val="21"/>
                <w:szCs w:val="21"/>
              </w:rPr>
              <w:t xml:space="preserve">°、最大仰角≥</w:t>
            </w:r>
            <w:r>
              <w:rPr>
                <w:rFonts w:ascii="宋体" w:hAnsi="宋体"/>
                <w:spacing w:val="-2"/>
                <w:sz w:val="21"/>
                <w:szCs w:val="21"/>
              </w:rPr>
              <w:t xml:space="preserve">7</w:t>
            </w:r>
            <w:r>
              <w:rPr>
                <w:rFonts w:hint="eastAsia" w:ascii="宋体" w:hAnsi="宋体"/>
                <w:spacing w:val="-2"/>
                <w:sz w:val="21"/>
                <w:szCs w:val="21"/>
              </w:rPr>
              <w:t xml:space="preserve">0</w:t>
            </w:r>
            <w:r>
              <w:rPr>
                <w:rFonts w:ascii="宋体" w:hAnsi="宋体"/>
                <w:spacing w:val="-2"/>
                <w:sz w:val="21"/>
                <w:szCs w:val="21"/>
              </w:rPr>
              <w:t xml:space="preserve">°。</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gridSpan w:val="5"/>
            <w:shd w:val="clear" w:color="000000" w:fill="ffffff"/>
            <w:tcW w:w="7314" w:type="dxa"/>
            <w:vAlign w:val="center"/>
            <w:textDirection w:val="lrTb"/>
            <w:noWrap w:val="false"/>
          </w:tcPr>
          <w:p>
            <w:pPr>
              <w:contextualSpacing/>
              <w:ind w:left="0"/>
              <w:jc w:val="center"/>
              <w:keepNext/>
              <w:widowControl w:val="off"/>
              <w:rPr>
                <w:rFonts w:ascii="宋体" w:hAnsi="宋体"/>
                <w:b/>
                <w:sz w:val="21"/>
                <w:szCs w:val="21"/>
              </w:rPr>
            </w:pPr>
            <w:r>
              <w:rPr>
                <w:rFonts w:hint="eastAsia" w:ascii="宋体" w:hAnsi="宋体"/>
                <w:b/>
                <w:sz w:val="21"/>
                <w:szCs w:val="21"/>
              </w:rPr>
              <w:t xml:space="preserve">（七） 副大梁</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t xml:space="preserve">1</w:t>
            </w:r>
            <w:r/>
          </w:p>
        </w:tc>
        <w:tc>
          <w:tcPr>
            <w:gridSpan w:val="4"/>
            <w:shd w:val="clear" w:color="000000" w:fill="ffffff"/>
            <w:tcW w:w="6804" w:type="dxa"/>
            <w:textDirection w:val="lrTb"/>
            <w:noWrap w:val="false"/>
          </w:tcPr>
          <w:p>
            <w:pPr>
              <w:contextualSpacing/>
              <w:ind w:left="0"/>
              <w:keepNext/>
              <w:widowControl w:val="off"/>
              <w:rPr>
                <w:rFonts w:ascii="宋体" w:hAnsi="宋体"/>
                <w:sz w:val="21"/>
                <w:szCs w:val="21"/>
              </w:rPr>
            </w:pPr>
            <w:r>
              <w:rPr>
                <w:rFonts w:ascii="宋体" w:hAnsi="宋体"/>
                <w:spacing w:val="-1"/>
                <w:sz w:val="21"/>
                <w:szCs w:val="21"/>
              </w:rPr>
              <w:t xml:space="preserve">副大梁与上装间采用支座高强度螺栓</w:t>
            </w:r>
            <w:r>
              <w:rPr>
                <w:rFonts w:hint="eastAsia" w:ascii="宋体" w:hAnsi="宋体"/>
                <w:spacing w:val="-1"/>
                <w:sz w:val="21"/>
                <w:szCs w:val="21"/>
              </w:rPr>
              <w:t xml:space="preserve">连接</w:t>
            </w:r>
            <w:r>
              <w:rPr>
                <w:rFonts w:ascii="宋体" w:hAnsi="宋体"/>
                <w:spacing w:val="-1"/>
                <w:sz w:val="21"/>
                <w:szCs w:val="21"/>
              </w:rPr>
              <w:t xml:space="preserve">。</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gridSpan w:val="5"/>
            <w:shd w:val="clear" w:color="000000" w:fill="ffffff"/>
            <w:tcW w:w="7314" w:type="dxa"/>
            <w:vAlign w:val="center"/>
            <w:textDirection w:val="lrTb"/>
            <w:noWrap w:val="false"/>
          </w:tcPr>
          <w:p>
            <w:pPr>
              <w:contextualSpacing/>
              <w:ind w:left="0"/>
              <w:jc w:val="center"/>
              <w:keepNext/>
              <w:widowControl w:val="off"/>
              <w:rPr>
                <w:rFonts w:ascii="宋体" w:hAnsi="宋体"/>
                <w:b/>
                <w:sz w:val="21"/>
                <w:szCs w:val="21"/>
              </w:rPr>
            </w:pPr>
            <w:r>
              <w:rPr>
                <w:rFonts w:hint="eastAsia" w:ascii="宋体" w:hAnsi="宋体"/>
                <w:b/>
                <w:sz w:val="21"/>
                <w:szCs w:val="21"/>
              </w:rPr>
              <w:t xml:space="preserve">（八） 其他</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t xml:space="preserve">1</w:t>
            </w:r>
            <w:r/>
          </w:p>
        </w:tc>
        <w:tc>
          <w:tcPr>
            <w:gridSpan w:val="4"/>
            <w:shd w:val="clear" w:color="000000" w:fill="ffffff"/>
            <w:tcW w:w="6804" w:type="dxa"/>
            <w:vAlign w:val="center"/>
            <w:textDirection w:val="lrTb"/>
            <w:noWrap w:val="false"/>
          </w:tcPr>
          <w:p>
            <w:pPr>
              <w:pStyle w:val="1580"/>
              <w:ind w:left="21"/>
              <w:jc w:val="both"/>
              <w:spacing w:before="56" w:line="221" w:lineRule="auto"/>
              <w:rPr>
                <w:lang w:eastAsia="zh-CN"/>
              </w:rPr>
            </w:pPr>
            <w:r>
              <w:rPr>
                <w:spacing w:val="-2"/>
                <w:lang w:eastAsia="zh-CN"/>
              </w:rPr>
              <w:t xml:space="preserve">（1）交车时应符合用户单位上牌的有关要求。</w:t>
            </w:r>
            <w:r/>
          </w:p>
          <w:p>
            <w:pPr>
              <w:contextualSpacing/>
              <w:ind w:left="0"/>
              <w:keepNext/>
              <w:widowControl w:val="off"/>
              <w:rPr>
                <w:rFonts w:ascii="宋体" w:hAnsi="宋体"/>
                <w:sz w:val="21"/>
                <w:szCs w:val="21"/>
              </w:rPr>
            </w:pPr>
            <w:r>
              <w:rPr>
                <w:rFonts w:ascii="宋体" w:hAnsi="宋体"/>
                <w:sz w:val="21"/>
                <w:szCs w:val="21"/>
              </w:rPr>
              <w:t xml:space="preserve">（2）按照应急管理部消防局最新车辆喷涂标</w:t>
            </w:r>
            <w:r>
              <w:rPr>
                <w:rFonts w:ascii="宋体" w:hAnsi="宋体"/>
                <w:spacing w:val="-1"/>
                <w:sz w:val="21"/>
                <w:szCs w:val="21"/>
              </w:rPr>
              <w:t xml:space="preserve">识规定对车身进行喷涂。</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t xml:space="preserve">2</w:t>
            </w:r>
            <w:r/>
          </w:p>
        </w:tc>
        <w:tc>
          <w:tcPr>
            <w:gridSpan w:val="4"/>
            <w:shd w:val="clear" w:color="000000" w:fill="ffffff"/>
            <w:tcW w:w="6804" w:type="dxa"/>
            <w:textDirection w:val="lrTb"/>
            <w:noWrap w:val="false"/>
          </w:tcPr>
          <w:p>
            <w:pPr>
              <w:contextualSpacing/>
              <w:ind w:left="0"/>
              <w:keepNext/>
              <w:widowControl w:val="off"/>
              <w:rPr>
                <w:rFonts w:ascii="宋体" w:hAnsi="宋体"/>
                <w:sz w:val="21"/>
                <w:szCs w:val="21"/>
              </w:rPr>
            </w:pPr>
            <w:r>
              <w:rPr>
                <w:rFonts w:ascii="宋体" w:hAnsi="宋体"/>
                <w:spacing w:val="-2"/>
                <w:sz w:val="21"/>
                <w:szCs w:val="21"/>
              </w:rPr>
              <w:t xml:space="preserve">轮胎配有原装、原尺寸备胎。</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3</w:t>
            </w:r>
            <w:r/>
          </w:p>
        </w:tc>
        <w:tc>
          <w:tcPr>
            <w:gridSpan w:val="4"/>
            <w:shd w:val="clear" w:color="000000" w:fill="ffffff"/>
            <w:tcW w:w="6804" w:type="dxa"/>
            <w:textDirection w:val="lrTb"/>
            <w:noWrap w:val="false"/>
          </w:tcPr>
          <w:p>
            <w:pPr>
              <w:contextualSpacing/>
              <w:ind w:left="0"/>
              <w:keepNext/>
              <w:widowControl w:val="off"/>
              <w:rPr>
                <w:rFonts w:ascii="宋体" w:hAnsi="宋体"/>
                <w:sz w:val="21"/>
                <w:szCs w:val="21"/>
              </w:rPr>
            </w:pPr>
            <w:r>
              <w:rPr>
                <w:rFonts w:ascii="宋体" w:hAnsi="宋体"/>
                <w:spacing w:val="-3"/>
                <w:sz w:val="21"/>
                <w:szCs w:val="21"/>
              </w:rPr>
              <w:t xml:space="preserve">科学设置器材放置空间，</w:t>
            </w:r>
            <w:r>
              <w:rPr>
                <w:rFonts w:ascii="宋体" w:hAnsi="宋体"/>
                <w:spacing w:val="-58"/>
                <w:sz w:val="21"/>
                <w:szCs w:val="21"/>
              </w:rPr>
              <w:t xml:space="preserve"> </w:t>
            </w:r>
            <w:r>
              <w:rPr>
                <w:rFonts w:ascii="宋体" w:hAnsi="宋体"/>
                <w:spacing w:val="-3"/>
                <w:sz w:val="21"/>
                <w:szCs w:val="21"/>
              </w:rPr>
              <w:t xml:space="preserve">满足随车器材及增加器材的放置要求。车顶左侧放置二节拉梯及挂</w:t>
            </w:r>
            <w:r>
              <w:rPr>
                <w:rFonts w:ascii="宋体" w:hAnsi="宋体"/>
                <w:spacing w:val="-4"/>
                <w:sz w:val="21"/>
                <w:szCs w:val="21"/>
              </w:rPr>
              <w:t xml:space="preserve">钩梯。</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gridSpan w:val="5"/>
            <w:shd w:val="clear" w:color="000000" w:fill="ffffff"/>
            <w:tcW w:w="7314" w:type="dxa"/>
            <w:vAlign w:val="center"/>
            <w:textDirection w:val="lrTb"/>
            <w:noWrap w:val="false"/>
          </w:tcPr>
          <w:p>
            <w:pPr>
              <w:contextualSpacing/>
              <w:ind w:left="0"/>
              <w:jc w:val="center"/>
              <w:keepNext/>
              <w:widowControl w:val="off"/>
              <w:rPr>
                <w:rFonts w:ascii="宋体" w:hAnsi="宋体"/>
                <w:b/>
                <w:sz w:val="21"/>
                <w:szCs w:val="21"/>
              </w:rPr>
            </w:pPr>
            <w:r>
              <w:rPr>
                <w:rFonts w:hint="eastAsia" w:ascii="宋体" w:hAnsi="宋体"/>
                <w:b/>
                <w:sz w:val="21"/>
                <w:szCs w:val="21"/>
              </w:rPr>
              <w:t xml:space="preserve">（九） 随车文件</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jc w:val="center"/>
              <w:spacing w:line="320" w:lineRule="auto"/>
              <w:rPr>
                <w:rFonts w:ascii="宋体" w:hAnsi="宋体"/>
                <w:sz w:val="21"/>
                <w:szCs w:val="21"/>
              </w:rPr>
            </w:pPr>
            <w:r>
              <w:rPr>
                <w:rFonts w:ascii="宋体" w:hAnsi="宋体"/>
                <w:sz w:val="21"/>
                <w:szCs w:val="21"/>
              </w:rPr>
            </w:r>
            <w:r/>
          </w:p>
          <w:p>
            <w:pPr>
              <w:jc w:val="center"/>
              <w:spacing w:line="320" w:lineRule="auto"/>
              <w:rPr>
                <w:rFonts w:ascii="宋体" w:hAnsi="宋体"/>
                <w:sz w:val="21"/>
                <w:szCs w:val="21"/>
              </w:rPr>
            </w:pPr>
            <w:r>
              <w:rPr>
                <w:rFonts w:ascii="宋体" w:hAnsi="宋体"/>
                <w:sz w:val="21"/>
                <w:szCs w:val="21"/>
              </w:rPr>
            </w:r>
            <w:r/>
          </w:p>
          <w:p>
            <w:pPr>
              <w:contextualSpacing/>
              <w:ind w:left="0"/>
              <w:jc w:val="center"/>
              <w:keepNext/>
              <w:widowControl w:val="off"/>
              <w:rPr>
                <w:rFonts w:ascii="宋体" w:hAnsi="宋体"/>
                <w:sz w:val="21"/>
                <w:szCs w:val="21"/>
              </w:rPr>
            </w:pPr>
            <w:r>
              <w:rPr>
                <w:rFonts w:ascii="宋体" w:hAnsi="宋体"/>
                <w:sz w:val="21"/>
                <w:szCs w:val="21"/>
              </w:rPr>
              <w:t xml:space="preserve">1</w:t>
            </w:r>
            <w:r/>
          </w:p>
        </w:tc>
        <w:tc>
          <w:tcPr>
            <w:gridSpan w:val="4"/>
            <w:shd w:val="clear" w:color="000000" w:fill="ffffff"/>
            <w:tcW w:w="6804" w:type="dxa"/>
            <w:textDirection w:val="lrTb"/>
            <w:noWrap w:val="false"/>
          </w:tcPr>
          <w:p>
            <w:pPr>
              <w:contextualSpacing/>
              <w:ind w:left="0"/>
              <w:keepNext/>
              <w:widowControl w:val="off"/>
              <w:rPr>
                <w:rFonts w:ascii="宋体" w:hAnsi="宋体"/>
                <w:sz w:val="21"/>
                <w:szCs w:val="21"/>
              </w:rPr>
            </w:pPr>
            <w:r>
              <w:rPr>
                <w:rFonts w:ascii="宋体" w:hAnsi="宋体"/>
                <w:spacing w:val="-5"/>
                <w:sz w:val="21"/>
                <w:szCs w:val="21"/>
              </w:rPr>
              <w:t xml:space="preserve">整车操作使用说明书及光盘（中文）</w:t>
            </w:r>
            <w:r>
              <w:rPr>
                <w:rFonts w:ascii="宋体" w:hAnsi="宋体"/>
                <w:spacing w:val="-36"/>
                <w:sz w:val="21"/>
                <w:szCs w:val="21"/>
              </w:rPr>
              <w:t xml:space="preserve"> </w:t>
            </w:r>
            <w:r>
              <w:rPr>
                <w:rFonts w:ascii="宋体" w:hAnsi="宋体"/>
                <w:spacing w:val="-5"/>
                <w:sz w:val="21"/>
                <w:szCs w:val="21"/>
              </w:rPr>
              <w:t xml:space="preserve">、底盘操作使用说明书及光盘（中文）</w:t>
            </w:r>
            <w:r>
              <w:rPr>
                <w:rFonts w:ascii="宋体" w:hAnsi="宋体"/>
                <w:spacing w:val="-48"/>
                <w:sz w:val="21"/>
                <w:szCs w:val="21"/>
              </w:rPr>
              <w:t xml:space="preserve"> </w:t>
            </w:r>
            <w:r>
              <w:rPr>
                <w:rFonts w:ascii="宋体" w:hAnsi="宋体"/>
                <w:spacing w:val="-5"/>
                <w:sz w:val="21"/>
                <w:szCs w:val="21"/>
              </w:rPr>
              <w:t xml:space="preserve">、整车操作维修</w:t>
            </w:r>
            <w:r>
              <w:rPr>
                <w:rFonts w:ascii="宋体" w:hAnsi="宋体"/>
                <w:sz w:val="21"/>
                <w:szCs w:val="21"/>
              </w:rPr>
              <w:t xml:space="preserve"> </w:t>
            </w:r>
            <w:r>
              <w:rPr>
                <w:rFonts w:ascii="宋体" w:hAnsi="宋体"/>
                <w:spacing w:val="-7"/>
                <w:sz w:val="21"/>
                <w:szCs w:val="21"/>
              </w:rPr>
              <w:t xml:space="preserve">手册（中文） 、底盘操作维修手册（中文） 、底盘质量保修卡、底盘合格证、发动机号码拓</w:t>
            </w:r>
            <w:r>
              <w:rPr>
                <w:rFonts w:ascii="宋体" w:hAnsi="宋体"/>
                <w:spacing w:val="11"/>
                <w:sz w:val="21"/>
                <w:szCs w:val="21"/>
              </w:rPr>
              <w:t xml:space="preserve"> </w:t>
            </w:r>
            <w:r>
              <w:rPr>
                <w:rFonts w:ascii="宋体" w:hAnsi="宋体"/>
                <w:spacing w:val="-3"/>
                <w:sz w:val="21"/>
                <w:szCs w:val="21"/>
              </w:rPr>
              <w:t xml:space="preserve">印件</w:t>
            </w:r>
            <w:r>
              <w:rPr>
                <w:rFonts w:ascii="宋体" w:hAnsi="宋体"/>
                <w:spacing w:val="-32"/>
                <w:sz w:val="21"/>
                <w:szCs w:val="21"/>
              </w:rPr>
              <w:t xml:space="preserve"> </w:t>
            </w:r>
            <w:r>
              <w:rPr>
                <w:rFonts w:ascii="宋体" w:hAnsi="宋体"/>
                <w:spacing w:val="-3"/>
                <w:sz w:val="21"/>
                <w:szCs w:val="21"/>
              </w:rPr>
              <w:t xml:space="preserve">2</w:t>
            </w:r>
            <w:r>
              <w:rPr>
                <w:rFonts w:ascii="宋体" w:hAnsi="宋体"/>
                <w:spacing w:val="-47"/>
                <w:sz w:val="21"/>
                <w:szCs w:val="21"/>
              </w:rPr>
              <w:t xml:space="preserve"> </w:t>
            </w:r>
            <w:r>
              <w:rPr>
                <w:rFonts w:ascii="宋体" w:hAnsi="宋体"/>
                <w:spacing w:val="-3"/>
                <w:sz w:val="21"/>
                <w:szCs w:val="21"/>
              </w:rPr>
              <w:t xml:space="preserve">份、底盘号码拓印件</w:t>
            </w:r>
            <w:r>
              <w:rPr>
                <w:rFonts w:ascii="宋体" w:hAnsi="宋体"/>
                <w:spacing w:val="-41"/>
                <w:sz w:val="21"/>
                <w:szCs w:val="21"/>
              </w:rPr>
              <w:t xml:space="preserve"> </w:t>
            </w:r>
            <w:r>
              <w:rPr>
                <w:rFonts w:ascii="宋体" w:hAnsi="宋体"/>
                <w:spacing w:val="-3"/>
                <w:sz w:val="21"/>
                <w:szCs w:val="21"/>
              </w:rPr>
              <w:t xml:space="preserve">2</w:t>
            </w:r>
            <w:r>
              <w:rPr>
                <w:rFonts w:ascii="宋体" w:hAnsi="宋体"/>
                <w:spacing w:val="-43"/>
                <w:sz w:val="21"/>
                <w:szCs w:val="21"/>
              </w:rPr>
              <w:t xml:space="preserve"> </w:t>
            </w:r>
            <w:r>
              <w:rPr>
                <w:rFonts w:ascii="宋体" w:hAnsi="宋体"/>
                <w:spacing w:val="-3"/>
                <w:sz w:val="21"/>
                <w:szCs w:val="21"/>
              </w:rPr>
              <w:t xml:space="preserve">份、随车器材清单、消防车合格证、消防车跟踪服务卡、消防</w:t>
            </w:r>
            <w:r>
              <w:rPr>
                <w:rFonts w:ascii="宋体" w:hAnsi="宋体"/>
                <w:sz w:val="21"/>
                <w:szCs w:val="21"/>
              </w:rPr>
              <w:t xml:space="preserve"> </w:t>
            </w:r>
            <w:r>
              <w:rPr>
                <w:rFonts w:ascii="宋体" w:hAnsi="宋体"/>
                <w:spacing w:val="-2"/>
                <w:sz w:val="21"/>
                <w:szCs w:val="21"/>
              </w:rPr>
              <w:t xml:space="preserve">车交接清单、车上阀门、开关、按钮等指示、铭牌应标注中文、零部件目录、各类装置平面</w:t>
            </w:r>
            <w:r>
              <w:rPr>
                <w:rFonts w:ascii="宋体" w:hAnsi="宋体"/>
                <w:spacing w:val="7"/>
                <w:sz w:val="21"/>
                <w:szCs w:val="21"/>
              </w:rPr>
              <w:t xml:space="preserve"> </w:t>
            </w:r>
            <w:r>
              <w:rPr>
                <w:rFonts w:ascii="宋体" w:hAnsi="宋体"/>
                <w:spacing w:val="-5"/>
                <w:sz w:val="21"/>
                <w:szCs w:val="21"/>
              </w:rPr>
              <w:t xml:space="preserve">图、全图、水路图、电路图（各附中文）</w:t>
            </w:r>
            <w:r>
              <w:rPr>
                <w:rFonts w:ascii="宋体" w:hAnsi="宋体"/>
                <w:spacing w:val="-24"/>
                <w:sz w:val="21"/>
                <w:szCs w:val="21"/>
              </w:rPr>
              <w:t xml:space="preserve"> </w:t>
            </w:r>
            <w:r>
              <w:rPr>
                <w:rFonts w:ascii="宋体" w:hAnsi="宋体"/>
                <w:spacing w:val="-5"/>
                <w:sz w:val="21"/>
                <w:szCs w:val="21"/>
              </w:rPr>
              <w:t xml:space="preserve">、其他： 整车</w:t>
            </w:r>
            <w:r>
              <w:rPr>
                <w:rFonts w:ascii="宋体" w:hAnsi="宋体"/>
                <w:spacing w:val="-6"/>
                <w:sz w:val="21"/>
                <w:szCs w:val="21"/>
              </w:rPr>
              <w:t xml:space="preserve">参考外形图、结构图、效果图。</w:t>
            </w:r>
            <w:r/>
          </w:p>
        </w:tc>
      </w:tr>
      <w:tr>
        <w:trPr>
          <w:trHeight w:val="150"/>
        </w:trPr>
        <w:tc>
          <w:tcPr>
            <w:shd w:val="clear" w:color="000000" w:fill="ffffff"/>
            <w:tcW w:w="604" w:type="dxa"/>
            <w:vAlign w:val="center"/>
            <w:vMerge w:val="restart"/>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2</w:t>
            </w:r>
            <w:r/>
          </w:p>
        </w:tc>
        <w:tc>
          <w:tcPr>
            <w:shd w:val="clear" w:color="000000" w:fill="ffffff"/>
            <w:tcW w:w="951" w:type="dxa"/>
            <w:vAlign w:val="center"/>
            <w:vMerge w:val="restart"/>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水罐消防车</w:t>
            </w:r>
            <w:r/>
          </w:p>
        </w:tc>
        <w:tc>
          <w:tcPr>
            <w:shd w:val="clear" w:color="000000" w:fill="ffffff"/>
            <w:tcW w:w="649" w:type="dxa"/>
            <w:vAlign w:val="center"/>
            <w:vMerge w:val="restart"/>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台</w:t>
            </w:r>
            <w:r/>
          </w:p>
        </w:tc>
        <w:tc>
          <w:tcPr>
            <w:shd w:val="clear" w:color="000000" w:fill="ffffff"/>
            <w:tcW w:w="683" w:type="dxa"/>
            <w:vAlign w:val="center"/>
            <w:vMerge w:val="restart"/>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1</w:t>
            </w:r>
            <w:r/>
          </w:p>
        </w:tc>
        <w:tc>
          <w:tcPr>
            <w:gridSpan w:val="5"/>
            <w:shd w:val="clear" w:color="000000" w:fill="ffffff"/>
            <w:tcW w:w="7314" w:type="dxa"/>
            <w:vAlign w:val="center"/>
            <w:textDirection w:val="lrTb"/>
            <w:noWrap w:val="false"/>
          </w:tcPr>
          <w:p>
            <w:pPr>
              <w:contextualSpacing/>
              <w:ind w:left="0"/>
              <w:jc w:val="center"/>
              <w:keepNext/>
              <w:widowControl w:val="off"/>
              <w:rPr>
                <w:rFonts w:ascii="宋体" w:hAnsi="宋体"/>
                <w:b/>
                <w:sz w:val="21"/>
                <w:szCs w:val="21"/>
              </w:rPr>
            </w:pPr>
            <w:r>
              <w:rPr>
                <w:rFonts w:hint="eastAsia" w:ascii="宋体" w:hAnsi="宋体"/>
                <w:b/>
                <w:sz w:val="21"/>
                <w:szCs w:val="21"/>
              </w:rPr>
              <w:t xml:space="preserve">（一）基本要求</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1</w:t>
            </w:r>
            <w:r/>
          </w:p>
        </w:tc>
        <w:tc>
          <w:tcPr>
            <w:gridSpan w:val="4"/>
            <w:shd w:val="clear" w:color="000000" w:fill="ffffff"/>
            <w:tcW w:w="6804" w:type="dxa"/>
            <w:textDirection w:val="lrTb"/>
            <w:noWrap w:val="false"/>
          </w:tcPr>
          <w:p>
            <w:pPr>
              <w:contextualSpacing/>
              <w:ind w:left="0"/>
              <w:keepNext/>
              <w:widowControl w:val="off"/>
              <w:rPr>
                <w:rFonts w:ascii="宋体" w:hAnsi="宋体"/>
                <w:sz w:val="21"/>
                <w:szCs w:val="21"/>
              </w:rPr>
            </w:pPr>
            <w:r>
              <w:rPr>
                <w:rFonts w:hint="eastAsia" w:ascii="宋体" w:hAnsi="宋体"/>
                <w:spacing w:val="-1"/>
                <w:sz w:val="21"/>
                <w:szCs w:val="21"/>
              </w:rPr>
              <w:t xml:space="preserve">▲</w:t>
            </w:r>
            <w:r>
              <w:rPr>
                <w:rFonts w:ascii="宋体" w:hAnsi="宋体"/>
                <w:sz w:val="21"/>
                <w:szCs w:val="21"/>
              </w:rPr>
              <w:t xml:space="preserve">外形尺寸</w:t>
            </w:r>
            <w:r>
              <w:rPr>
                <w:rFonts w:hint="eastAsia" w:ascii="宋体" w:hAnsi="宋体"/>
                <w:sz w:val="21"/>
                <w:szCs w:val="21"/>
              </w:rPr>
              <w:t xml:space="preserve">：</w:t>
            </w:r>
            <w:r>
              <w:rPr>
                <w:rFonts w:ascii="宋体" w:hAnsi="宋体"/>
                <w:sz w:val="21"/>
                <w:szCs w:val="21"/>
              </w:rPr>
              <w:t xml:space="preserve">长×宽×高</w:t>
            </w:r>
            <w:r>
              <w:rPr>
                <w:rFonts w:hint="eastAsia" w:ascii="宋体" w:hAnsi="宋体"/>
                <w:sz w:val="21"/>
                <w:szCs w:val="21"/>
              </w:rPr>
              <w:t xml:space="preserve">≤</w:t>
            </w:r>
            <w:r>
              <w:rPr>
                <w:rFonts w:ascii="宋体" w:hAnsi="宋体"/>
                <w:sz w:val="21"/>
                <w:szCs w:val="21"/>
              </w:rPr>
              <w:t xml:space="preserve">60</w:t>
            </w:r>
            <w:r>
              <w:rPr>
                <w:rFonts w:hint="eastAsia" w:ascii="宋体" w:hAnsi="宋体"/>
                <w:sz w:val="21"/>
                <w:szCs w:val="21"/>
              </w:rPr>
              <w:t xml:space="preserve">00</w:t>
            </w:r>
            <w:r>
              <w:rPr>
                <w:rFonts w:ascii="宋体" w:hAnsi="宋体"/>
                <w:sz w:val="21"/>
                <w:szCs w:val="21"/>
              </w:rPr>
              <w:t xml:space="preserve">×</w:t>
            </w:r>
            <w:r>
              <w:rPr>
                <w:rFonts w:hint="eastAsia" w:ascii="宋体" w:hAnsi="宋体"/>
                <w:sz w:val="21"/>
                <w:szCs w:val="21"/>
              </w:rPr>
              <w:t xml:space="preserve">2</w:t>
            </w:r>
            <w:r>
              <w:rPr>
                <w:rFonts w:ascii="宋体" w:hAnsi="宋体"/>
                <w:sz w:val="21"/>
                <w:szCs w:val="21"/>
              </w:rPr>
              <w:t xml:space="preserve">10</w:t>
            </w:r>
            <w:r>
              <w:rPr>
                <w:rFonts w:hint="eastAsia" w:ascii="宋体" w:hAnsi="宋体"/>
                <w:sz w:val="21"/>
                <w:szCs w:val="21"/>
              </w:rPr>
              <w:t xml:space="preserve">0</w:t>
            </w:r>
            <w:r>
              <w:rPr>
                <w:rFonts w:ascii="宋体" w:hAnsi="宋体"/>
                <w:sz w:val="21"/>
                <w:szCs w:val="21"/>
              </w:rPr>
              <w:t xml:space="preserve">×290</w:t>
            </w:r>
            <w:r>
              <w:rPr>
                <w:rFonts w:hint="eastAsia" w:ascii="宋体" w:hAnsi="宋体"/>
                <w:sz w:val="21"/>
                <w:szCs w:val="21"/>
              </w:rPr>
              <w:t xml:space="preserve">0</w:t>
            </w:r>
            <w:r>
              <w:rPr>
                <w:rFonts w:ascii="宋体" w:hAnsi="宋体"/>
                <w:sz w:val="21"/>
                <w:szCs w:val="21"/>
              </w:rPr>
              <w:t xml:space="preserve">mm</w:t>
            </w:r>
            <w:r>
              <w:rPr>
                <w:rFonts w:hint="eastAsia" w:ascii="宋体" w:hAnsi="宋体"/>
                <w:sz w:val="21"/>
                <w:szCs w:val="21"/>
              </w:rPr>
              <w:t xml:space="preserve">；</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2</w:t>
            </w:r>
            <w:r/>
          </w:p>
        </w:tc>
        <w:tc>
          <w:tcPr>
            <w:gridSpan w:val="4"/>
            <w:shd w:val="clear" w:color="000000" w:fill="ffffff"/>
            <w:tcW w:w="6804" w:type="dxa"/>
            <w:textDirection w:val="lrTb"/>
            <w:noWrap w:val="false"/>
          </w:tcPr>
          <w:p>
            <w:pPr>
              <w:contextualSpacing/>
              <w:ind w:left="0"/>
              <w:keepNext/>
              <w:widowControl w:val="off"/>
              <w:rPr>
                <w:rFonts w:ascii="宋体" w:hAnsi="宋体"/>
                <w:sz w:val="21"/>
                <w:szCs w:val="21"/>
              </w:rPr>
            </w:pPr>
            <w:r>
              <w:rPr>
                <w:rFonts w:hint="eastAsia" w:ascii="宋体" w:hAnsi="宋体"/>
                <w:spacing w:val="-1"/>
                <w:sz w:val="21"/>
                <w:szCs w:val="21"/>
              </w:rPr>
              <w:t xml:space="preserve">满载质量：≤7500kg</w:t>
            </w:r>
            <w:r>
              <w:rPr>
                <w:rFonts w:hint="eastAsia" w:ascii="宋体" w:hAnsi="宋体"/>
                <w:sz w:val="21"/>
                <w:szCs w:val="21"/>
              </w:rPr>
              <w:t xml:space="preserve">；</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3</w:t>
            </w:r>
            <w:r/>
          </w:p>
        </w:tc>
        <w:tc>
          <w:tcPr>
            <w:gridSpan w:val="4"/>
            <w:shd w:val="clear" w:color="000000" w:fill="ffffff"/>
            <w:tcW w:w="6804" w:type="dxa"/>
            <w:textDirection w:val="lrTb"/>
            <w:noWrap w:val="false"/>
          </w:tcPr>
          <w:p>
            <w:pPr>
              <w:contextualSpacing/>
              <w:ind w:left="0"/>
              <w:keepNext/>
              <w:widowControl w:val="off"/>
              <w:rPr>
                <w:rFonts w:ascii="宋体" w:hAnsi="宋体"/>
                <w:sz w:val="21"/>
                <w:szCs w:val="21"/>
              </w:rPr>
            </w:pPr>
            <w:r>
              <w:rPr>
                <w:rFonts w:hint="eastAsia" w:ascii="宋体" w:hAnsi="宋体"/>
                <w:bCs/>
                <w:sz w:val="21"/>
                <w:szCs w:val="21"/>
              </w:rPr>
              <w:t xml:space="preserve">车辆应符合国家相关标准及上牌要求。</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gridSpan w:val="5"/>
            <w:shd w:val="clear" w:color="000000" w:fill="ffffff"/>
            <w:tcW w:w="7314" w:type="dxa"/>
            <w:vAlign w:val="center"/>
            <w:textDirection w:val="lrTb"/>
            <w:noWrap w:val="false"/>
          </w:tcPr>
          <w:p>
            <w:pPr>
              <w:contextualSpacing/>
              <w:ind w:left="0"/>
              <w:jc w:val="center"/>
              <w:keepNext/>
              <w:widowControl w:val="off"/>
              <w:rPr>
                <w:rFonts w:ascii="宋体" w:hAnsi="宋体"/>
                <w:b/>
                <w:sz w:val="21"/>
                <w:szCs w:val="21"/>
              </w:rPr>
            </w:pPr>
            <w:r>
              <w:rPr>
                <w:rFonts w:hint="eastAsia" w:ascii="宋体" w:hAnsi="宋体"/>
                <w:b/>
                <w:sz w:val="21"/>
                <w:szCs w:val="21"/>
              </w:rPr>
              <w:t xml:space="preserve">（二）底盘及驾驶室</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1</w:t>
            </w:r>
            <w:r/>
          </w:p>
        </w:tc>
        <w:tc>
          <w:tcPr>
            <w:gridSpan w:val="4"/>
            <w:shd w:val="clear" w:color="000000" w:fill="ffffff"/>
            <w:tcW w:w="6804" w:type="dxa"/>
            <w:textDirection w:val="lrTb"/>
            <w:noWrap w:val="false"/>
          </w:tcPr>
          <w:p>
            <w:pPr>
              <w:contextualSpacing/>
              <w:ind w:left="0"/>
              <w:keepNext/>
              <w:widowControl w:val="off"/>
              <w:rPr>
                <w:rFonts w:ascii="宋体" w:hAnsi="宋体"/>
                <w:sz w:val="21"/>
                <w:szCs w:val="21"/>
              </w:rPr>
            </w:pPr>
            <w:r>
              <w:rPr>
                <w:rFonts w:hint="eastAsia" w:ascii="宋体" w:hAnsi="宋体"/>
                <w:bCs/>
                <w:sz w:val="21"/>
                <w:szCs w:val="21"/>
              </w:rPr>
              <w:t xml:space="preserve">▲</w:t>
            </w:r>
            <w:r>
              <w:rPr>
                <w:rFonts w:hint="eastAsia" w:ascii="宋体" w:hAnsi="宋体"/>
                <w:b/>
                <w:bCs/>
                <w:sz w:val="21"/>
                <w:szCs w:val="21"/>
              </w:rPr>
              <w:t xml:space="preserve">发动机功率≥</w:t>
            </w:r>
            <w:r>
              <w:rPr>
                <w:rFonts w:ascii="宋体" w:hAnsi="宋体"/>
                <w:b/>
                <w:bCs/>
                <w:sz w:val="21"/>
                <w:szCs w:val="21"/>
              </w:rPr>
              <w:t xml:space="preserve">80</w:t>
            </w:r>
            <w:r>
              <w:rPr>
                <w:rFonts w:hint="eastAsia" w:ascii="宋体" w:hAnsi="宋体"/>
                <w:b/>
                <w:bCs/>
                <w:sz w:val="21"/>
                <w:szCs w:val="21"/>
              </w:rPr>
              <w:t xml:space="preserve">KW</w:t>
            </w:r>
            <w:r>
              <w:rPr>
                <w:rFonts w:hint="eastAsia" w:ascii="宋体" w:hAnsi="宋体"/>
                <w:bCs/>
                <w:sz w:val="21"/>
                <w:szCs w:val="21"/>
              </w:rPr>
              <w:t xml:space="preserve">；</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2</w:t>
            </w:r>
            <w:r/>
          </w:p>
        </w:tc>
        <w:tc>
          <w:tcPr>
            <w:gridSpan w:val="4"/>
            <w:shd w:val="clear" w:color="000000" w:fill="ffffff"/>
            <w:tcW w:w="6804" w:type="dxa"/>
            <w:textDirection w:val="lrTb"/>
            <w:noWrap w:val="false"/>
          </w:tcPr>
          <w:p>
            <w:pPr>
              <w:contextualSpacing/>
              <w:ind w:left="0"/>
              <w:keepNext/>
              <w:widowControl w:val="off"/>
              <w:rPr>
                <w:rFonts w:ascii="宋体" w:hAnsi="宋体"/>
                <w:sz w:val="21"/>
                <w:szCs w:val="21"/>
              </w:rPr>
            </w:pPr>
            <w:r>
              <w:rPr>
                <w:rFonts w:hint="eastAsia" w:ascii="宋体" w:hAnsi="宋体"/>
                <w:bCs/>
                <w:sz w:val="21"/>
                <w:szCs w:val="21"/>
              </w:rPr>
              <w:t xml:space="preserve">排放标准：</w:t>
            </w:r>
            <w:r>
              <w:rPr>
                <w:rFonts w:hint="eastAsia" w:ascii="宋体" w:hAnsi="宋体"/>
                <w:spacing w:val="-5"/>
                <w:sz w:val="21"/>
                <w:szCs w:val="21"/>
              </w:rPr>
              <w:t xml:space="preserve">符合国Ⅵ排放标准</w:t>
            </w:r>
            <w:r>
              <w:rPr>
                <w:rFonts w:hint="eastAsia" w:ascii="宋体" w:hAnsi="宋体"/>
                <w:bCs/>
                <w:sz w:val="21"/>
                <w:szCs w:val="21"/>
              </w:rPr>
              <w:t xml:space="preserve">；</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3</w:t>
            </w:r>
            <w:r/>
          </w:p>
        </w:tc>
        <w:tc>
          <w:tcPr>
            <w:gridSpan w:val="4"/>
            <w:shd w:val="clear" w:color="000000" w:fill="ffffff"/>
            <w:tcW w:w="6804" w:type="dxa"/>
            <w:textDirection w:val="lrTb"/>
            <w:noWrap w:val="false"/>
          </w:tcPr>
          <w:p>
            <w:pPr>
              <w:contextualSpacing/>
              <w:ind w:left="0"/>
              <w:keepNext/>
              <w:widowControl w:val="off"/>
              <w:rPr>
                <w:rFonts w:ascii="宋体" w:hAnsi="宋体"/>
                <w:sz w:val="21"/>
                <w:szCs w:val="21"/>
              </w:rPr>
            </w:pPr>
            <w:r>
              <w:rPr>
                <w:rFonts w:hint="eastAsia" w:ascii="宋体" w:hAnsi="宋体"/>
                <w:spacing w:val="-5"/>
                <w:sz w:val="21"/>
                <w:szCs w:val="21"/>
              </w:rPr>
              <w:t xml:space="preserve">驱动形式：4×2。</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4</w:t>
            </w:r>
            <w:r/>
          </w:p>
        </w:tc>
        <w:tc>
          <w:tcPr>
            <w:gridSpan w:val="4"/>
            <w:shd w:val="clear" w:color="000000" w:fill="ffffff"/>
            <w:tcW w:w="6804" w:type="dxa"/>
            <w:textDirection w:val="lrTb"/>
            <w:noWrap w:val="false"/>
          </w:tcPr>
          <w:p>
            <w:pPr>
              <w:contextualSpacing/>
              <w:ind w:left="0"/>
              <w:keepNext/>
              <w:widowControl w:val="off"/>
              <w:rPr>
                <w:rFonts w:ascii="宋体" w:hAnsi="宋体"/>
                <w:sz w:val="21"/>
                <w:szCs w:val="21"/>
              </w:rPr>
            </w:pPr>
            <w:r>
              <w:rPr>
                <w:rFonts w:hint="eastAsia" w:ascii="宋体" w:hAnsi="宋体"/>
                <w:spacing w:val="-3"/>
                <w:sz w:val="21"/>
                <w:szCs w:val="21"/>
              </w:rPr>
              <w:t xml:space="preserve">▲座位设置：驾乘员人数≥5人。</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5</w:t>
            </w:r>
            <w:r/>
          </w:p>
        </w:tc>
        <w:tc>
          <w:tcPr>
            <w:gridSpan w:val="4"/>
            <w:shd w:val="clear" w:color="000000" w:fill="ffffff"/>
            <w:tcW w:w="6804" w:type="dxa"/>
            <w:textDirection w:val="lrTb"/>
            <w:noWrap w:val="false"/>
          </w:tcPr>
          <w:p>
            <w:pPr>
              <w:contextualSpacing/>
              <w:ind w:left="0"/>
              <w:keepNext/>
              <w:widowControl w:val="off"/>
              <w:rPr>
                <w:rFonts w:ascii="宋体" w:hAnsi="宋体"/>
                <w:sz w:val="21"/>
                <w:szCs w:val="21"/>
              </w:rPr>
            </w:pPr>
            <w:r>
              <w:rPr>
                <w:rFonts w:hint="eastAsia" w:ascii="宋体" w:hAnsi="宋体"/>
                <w:bCs/>
                <w:sz w:val="21"/>
                <w:szCs w:val="21"/>
              </w:rPr>
              <w:t xml:space="preserve">轴距：</w:t>
            </w:r>
            <w:r>
              <w:rPr>
                <w:rFonts w:hint="eastAsia" w:ascii="宋体" w:hAnsi="宋体"/>
                <w:spacing w:val="-8"/>
                <w:sz w:val="21"/>
                <w:szCs w:val="21"/>
              </w:rPr>
              <w:t xml:space="preserve">≤3350mm</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6</w:t>
            </w:r>
            <w:r/>
          </w:p>
        </w:tc>
        <w:tc>
          <w:tcPr>
            <w:gridSpan w:val="4"/>
            <w:shd w:val="clear" w:color="000000" w:fill="ffffff"/>
            <w:tcW w:w="6804" w:type="dxa"/>
            <w:textDirection w:val="lrTb"/>
            <w:noWrap w:val="false"/>
          </w:tcPr>
          <w:p>
            <w:pPr>
              <w:contextualSpacing/>
              <w:ind w:left="0"/>
              <w:keepNext/>
              <w:widowControl w:val="off"/>
              <w:rPr>
                <w:rFonts w:ascii="宋体" w:hAnsi="宋体"/>
                <w:sz w:val="21"/>
                <w:szCs w:val="21"/>
              </w:rPr>
            </w:pPr>
            <w:r>
              <w:rPr>
                <w:rFonts w:hint="eastAsia" w:ascii="宋体" w:hAnsi="宋体"/>
                <w:bCs/>
                <w:sz w:val="21"/>
                <w:szCs w:val="21"/>
              </w:rPr>
              <w:t xml:space="preserve">驾驶室：</w:t>
            </w:r>
            <w:r>
              <w:rPr>
                <w:rFonts w:hint="eastAsia" w:ascii="宋体" w:hAnsi="宋体"/>
                <w:sz w:val="21"/>
                <w:szCs w:val="21"/>
              </w:rPr>
              <w:t xml:space="preserve">四开门前翻驾驶室 ，驾驶室人数：</w:t>
            </w:r>
            <w:r>
              <w:rPr>
                <w:rFonts w:ascii="宋体" w:hAnsi="宋体"/>
                <w:sz w:val="21"/>
                <w:szCs w:val="21"/>
              </w:rPr>
              <w:t xml:space="preserve">2</w:t>
            </w:r>
            <w:r>
              <w:rPr>
                <w:rFonts w:hint="eastAsia" w:ascii="宋体" w:hAnsi="宋体"/>
                <w:sz w:val="21"/>
                <w:szCs w:val="21"/>
              </w:rPr>
              <w:t xml:space="preserve">+3，中控门锁+钥匙控制、带前下视</w:t>
            </w:r>
            <w:r>
              <w:rPr>
                <w:rFonts w:ascii="宋体" w:hAnsi="宋体"/>
                <w:sz w:val="21"/>
                <w:szCs w:val="21"/>
              </w:rPr>
              <w:t xml:space="preserve">镜</w:t>
            </w:r>
            <w:r>
              <w:rPr>
                <w:rFonts w:hint="eastAsia" w:ascii="宋体" w:hAnsi="宋体"/>
                <w:sz w:val="21"/>
                <w:szCs w:val="21"/>
              </w:rPr>
              <w:t xml:space="preserve">，手动空调。</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7</w:t>
            </w:r>
            <w:r/>
          </w:p>
        </w:tc>
        <w:tc>
          <w:tcPr>
            <w:gridSpan w:val="4"/>
            <w:shd w:val="clear" w:color="000000" w:fill="ffffff"/>
            <w:tcW w:w="6804" w:type="dxa"/>
            <w:textDirection w:val="lrTb"/>
            <w:noWrap w:val="false"/>
          </w:tcPr>
          <w:p>
            <w:pPr>
              <w:contextualSpacing/>
              <w:ind w:left="0"/>
              <w:keepNext/>
              <w:widowControl w:val="off"/>
              <w:rPr>
                <w:rFonts w:ascii="宋体" w:hAnsi="宋体"/>
                <w:sz w:val="21"/>
                <w:szCs w:val="21"/>
              </w:rPr>
            </w:pPr>
            <w:r>
              <w:rPr>
                <w:rFonts w:ascii="宋体" w:hAnsi="宋体"/>
                <w:color w:val="000000"/>
                <w:sz w:val="21"/>
                <w:szCs w:val="21"/>
              </w:rPr>
              <w:t xml:space="preserve">仪表仪器</w:t>
            </w:r>
            <w:r>
              <w:rPr>
                <w:rFonts w:hint="eastAsia" w:ascii="宋体" w:hAnsi="宋体"/>
                <w:color w:val="000000"/>
                <w:sz w:val="21"/>
                <w:szCs w:val="21"/>
              </w:rPr>
              <w:t xml:space="preserve">：</w:t>
            </w:r>
            <w:r>
              <w:rPr>
                <w:rFonts w:ascii="宋体" w:hAnsi="宋体"/>
                <w:color w:val="000000"/>
                <w:sz w:val="21"/>
                <w:szCs w:val="21"/>
              </w:rPr>
              <w:t xml:space="preserve">底盘原装仪表盘上安装有标准仪表、指示灯及开关，包括里程表、转速表、油压表及警报、油箱及尿素液位表、</w:t>
            </w:r>
            <w:r>
              <w:rPr>
                <w:rFonts w:ascii="宋体" w:hAnsi="宋体"/>
                <w:sz w:val="21"/>
                <w:szCs w:val="21"/>
              </w:rPr>
              <w:t xml:space="preserve">方向指示灯、刹车系统警告</w:t>
            </w:r>
            <w:r>
              <w:rPr>
                <w:rFonts w:hint="eastAsia" w:ascii="宋体" w:hAnsi="宋体"/>
                <w:sz w:val="21"/>
                <w:szCs w:val="21"/>
              </w:rPr>
              <w:t xml:space="preserve">，</w:t>
            </w:r>
            <w:r>
              <w:rPr>
                <w:rFonts w:ascii="宋体" w:hAnsi="宋体"/>
                <w:sz w:val="21"/>
                <w:szCs w:val="21"/>
              </w:rPr>
              <w:t xml:space="preserve">加装仪表板</w:t>
            </w:r>
            <w:r>
              <w:rPr>
                <w:rFonts w:hint="eastAsia" w:ascii="宋体" w:hAnsi="宋体"/>
                <w:sz w:val="21"/>
                <w:szCs w:val="21"/>
              </w:rPr>
              <w:t xml:space="preserve">、警报器</w:t>
            </w:r>
            <w:r>
              <w:rPr>
                <w:rFonts w:ascii="宋体" w:hAnsi="宋体"/>
                <w:sz w:val="21"/>
                <w:szCs w:val="21"/>
              </w:rPr>
              <w:t xml:space="preserve">开关、</w:t>
            </w:r>
            <w:r>
              <w:rPr>
                <w:rFonts w:hint="eastAsia" w:ascii="宋体" w:hAnsi="宋体"/>
                <w:sz w:val="21"/>
                <w:szCs w:val="21"/>
              </w:rPr>
              <w:t xml:space="preserve">360全景影像、</w:t>
            </w:r>
            <w:r>
              <w:rPr>
                <w:rFonts w:ascii="宋体" w:hAnsi="宋体"/>
                <w:sz w:val="21"/>
                <w:szCs w:val="21"/>
              </w:rPr>
              <w:t xml:space="preserve">上装电源开关等</w:t>
            </w:r>
            <w:r>
              <w:rPr>
                <w:rFonts w:hint="eastAsia" w:ascii="宋体" w:hAnsi="宋体"/>
                <w:sz w:val="21"/>
                <w:szCs w:val="21"/>
              </w:rPr>
              <w:t xml:space="preserve">。</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gridSpan w:val="5"/>
            <w:shd w:val="clear" w:color="000000" w:fill="ffffff"/>
            <w:tcW w:w="7314" w:type="dxa"/>
            <w:vAlign w:val="center"/>
            <w:textDirection w:val="lrTb"/>
            <w:noWrap w:val="false"/>
          </w:tcPr>
          <w:p>
            <w:pPr>
              <w:contextualSpacing/>
              <w:ind w:left="0"/>
              <w:jc w:val="center"/>
              <w:keepNext/>
              <w:widowControl w:val="off"/>
              <w:rPr>
                <w:rFonts w:ascii="宋体" w:hAnsi="宋体"/>
                <w:b/>
                <w:sz w:val="21"/>
                <w:szCs w:val="21"/>
              </w:rPr>
            </w:pPr>
            <w:r>
              <w:rPr>
                <w:rFonts w:hint="eastAsia" w:ascii="宋体" w:hAnsi="宋体"/>
                <w:b/>
                <w:sz w:val="21"/>
                <w:szCs w:val="21"/>
              </w:rPr>
              <w:t xml:space="preserve">（三）车身结构</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1</w:t>
            </w:r>
            <w:r/>
          </w:p>
        </w:tc>
        <w:tc>
          <w:tcPr>
            <w:gridSpan w:val="4"/>
            <w:shd w:val="clear" w:color="000000" w:fill="ffffff"/>
            <w:tcW w:w="6804" w:type="dxa"/>
            <w:textDirection w:val="lrTb"/>
            <w:noWrap w:val="false"/>
          </w:tcPr>
          <w:p>
            <w:pPr>
              <w:contextualSpacing/>
              <w:ind w:left="0"/>
              <w:keepNext/>
              <w:widowControl w:val="off"/>
              <w:rPr>
                <w:rFonts w:ascii="宋体" w:hAnsi="宋体"/>
                <w:sz w:val="21"/>
                <w:szCs w:val="21"/>
              </w:rPr>
            </w:pPr>
            <w:r>
              <w:rPr>
                <w:rFonts w:hint="eastAsia" w:ascii="宋体" w:hAnsi="宋体"/>
                <w:bCs/>
                <w:sz w:val="21"/>
                <w:szCs w:val="21"/>
              </w:rPr>
              <w:t xml:space="preserve">▲车身箱体</w:t>
            </w:r>
            <w:r>
              <w:rPr>
                <w:rFonts w:ascii="宋体" w:hAnsi="宋体"/>
                <w:bCs/>
                <w:sz w:val="21"/>
                <w:szCs w:val="21"/>
              </w:rPr>
              <w:t xml:space="preserve">应采用铝合金型材板搭接模块化结构</w:t>
            </w:r>
            <w:r>
              <w:rPr>
                <w:rFonts w:hint="eastAsia" w:ascii="宋体" w:hAnsi="宋体"/>
                <w:bCs/>
                <w:sz w:val="21"/>
                <w:szCs w:val="21"/>
              </w:rPr>
              <w:t xml:space="preserve">、无焊接，型材板外表面为车身表面，主</w:t>
            </w:r>
            <w:r>
              <w:rPr>
                <w:rFonts w:ascii="宋体" w:hAnsi="宋体"/>
                <w:bCs/>
                <w:sz w:val="21"/>
                <w:szCs w:val="21"/>
              </w:rPr>
              <w:t xml:space="preserve">线路应布置在</w:t>
            </w:r>
            <w:r>
              <w:rPr>
                <w:rFonts w:hint="eastAsia" w:ascii="宋体" w:hAnsi="宋体"/>
                <w:bCs/>
                <w:sz w:val="21"/>
                <w:szCs w:val="21"/>
              </w:rPr>
              <w:t xml:space="preserve">骨架型材板</w:t>
            </w:r>
            <w:r>
              <w:rPr>
                <w:rFonts w:ascii="宋体" w:hAnsi="宋体"/>
                <w:bCs/>
                <w:sz w:val="21"/>
                <w:szCs w:val="21"/>
              </w:rPr>
              <w:t xml:space="preserve">内</w:t>
            </w:r>
            <w:r>
              <w:rPr>
                <w:rFonts w:hint="eastAsia" w:ascii="宋体" w:hAnsi="宋体"/>
                <w:bCs/>
                <w:sz w:val="21"/>
                <w:szCs w:val="21"/>
              </w:rPr>
              <w:t xml:space="preserve">、具有</w:t>
            </w:r>
            <w:r>
              <w:rPr>
                <w:rFonts w:ascii="宋体" w:hAnsi="宋体"/>
                <w:bCs/>
                <w:sz w:val="21"/>
                <w:szCs w:val="21"/>
              </w:rPr>
              <w:t xml:space="preserve">可安全保护</w:t>
            </w:r>
            <w:r>
              <w:rPr>
                <w:rFonts w:hint="eastAsia" w:ascii="宋体" w:hAnsi="宋体"/>
                <w:bCs/>
                <w:sz w:val="21"/>
                <w:szCs w:val="21"/>
              </w:rPr>
              <w:t xml:space="preserve">、</w:t>
            </w:r>
            <w:r>
              <w:rPr>
                <w:rFonts w:ascii="宋体" w:hAnsi="宋体"/>
                <w:bCs/>
                <w:sz w:val="21"/>
                <w:szCs w:val="21"/>
              </w:rPr>
              <w:t xml:space="preserve"> 防止损坏作用</w:t>
            </w:r>
            <w:r>
              <w:rPr>
                <w:rFonts w:hint="eastAsia" w:ascii="宋体" w:hAnsi="宋体"/>
                <w:bCs/>
                <w:sz w:val="21"/>
                <w:szCs w:val="21"/>
              </w:rPr>
              <w:t xml:space="preserve">，</w:t>
            </w:r>
            <w:r>
              <w:rPr>
                <w:rFonts w:ascii="宋体" w:hAnsi="宋体"/>
                <w:bCs/>
                <w:sz w:val="21"/>
                <w:szCs w:val="21"/>
              </w:rPr>
              <w:t xml:space="preserve">应具有抗变形能力强</w:t>
            </w:r>
            <w:r>
              <w:rPr>
                <w:rFonts w:hint="eastAsia" w:ascii="宋体" w:hAnsi="宋体"/>
                <w:bCs/>
                <w:sz w:val="21"/>
                <w:szCs w:val="21"/>
              </w:rPr>
              <w:t xml:space="preserve">、强度高、耐腐蚀性好、外观平整美观、易改装、维护便捷等特点。</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2</w:t>
            </w:r>
            <w:r/>
          </w:p>
        </w:tc>
        <w:tc>
          <w:tcPr>
            <w:gridSpan w:val="4"/>
            <w:shd w:val="clear" w:color="000000" w:fill="ffffff"/>
            <w:tcW w:w="6804" w:type="dxa"/>
            <w:textDirection w:val="lrTb"/>
            <w:noWrap w:val="false"/>
          </w:tcPr>
          <w:p>
            <w:pPr>
              <w:contextualSpacing/>
              <w:ind w:left="0"/>
              <w:keepNext/>
              <w:widowControl w:val="off"/>
              <w:rPr>
                <w:rFonts w:ascii="宋体" w:hAnsi="宋体"/>
                <w:sz w:val="21"/>
                <w:szCs w:val="21"/>
              </w:rPr>
            </w:pPr>
            <w:r>
              <w:rPr>
                <w:rFonts w:hint="eastAsia" w:ascii="宋体" w:hAnsi="宋体"/>
                <w:sz w:val="21"/>
                <w:szCs w:val="21"/>
                <w:lang w:val="en-GB"/>
              </w:rPr>
              <w:t xml:space="preserve">储物箱：罐体左右两侧各应设有不少于3个防水、防尘、防锈的铝合金卷帘门，所有卷帘门应采用同一把钥匙开启，</w:t>
            </w:r>
            <w:r>
              <w:rPr>
                <w:rFonts w:hint="eastAsia" w:ascii="宋体" w:hAnsi="宋体"/>
                <w:sz w:val="21"/>
                <w:szCs w:val="21"/>
              </w:rPr>
              <w:t xml:space="preserve">卷帘门采用触发电磁传感器自动开关LED照明，泵室下方两侧应设置侧开门器材箱</w:t>
            </w:r>
            <w:r>
              <w:rPr>
                <w:rFonts w:hint="eastAsia" w:ascii="宋体" w:hAnsi="宋体"/>
                <w:sz w:val="21"/>
                <w:szCs w:val="21"/>
                <w:lang w:val="en-GB"/>
              </w:rPr>
              <w:t xml:space="preserve">。</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3</w:t>
            </w:r>
            <w:r/>
          </w:p>
        </w:tc>
        <w:tc>
          <w:tcPr>
            <w:gridSpan w:val="4"/>
            <w:shd w:val="clear" w:color="000000" w:fill="ffffff"/>
            <w:tcW w:w="6804" w:type="dxa"/>
            <w:textDirection w:val="lrTb"/>
            <w:noWrap w:val="false"/>
          </w:tcPr>
          <w:p>
            <w:pPr>
              <w:contextualSpacing/>
              <w:ind w:left="0"/>
              <w:keepNext/>
              <w:widowControl w:val="off"/>
              <w:rPr>
                <w:rFonts w:ascii="宋体" w:hAnsi="宋体"/>
                <w:sz w:val="21"/>
                <w:szCs w:val="21"/>
              </w:rPr>
            </w:pPr>
            <w:r>
              <w:rPr>
                <w:rFonts w:hint="eastAsia" w:ascii="宋体" w:hAnsi="宋体"/>
                <w:color w:val="000000"/>
                <w:sz w:val="21"/>
                <w:szCs w:val="21"/>
              </w:rPr>
              <w:t xml:space="preserve">车后部应设有登顶爬梯，能使消防人员迅速登上车顶，车顶铺设滑板以确保人员在车顶安全行走，梯子和踏板站立面均应采用防滑处理。</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gridSpan w:val="5"/>
            <w:shd w:val="clear" w:color="000000" w:fill="ffffff"/>
            <w:tcW w:w="7314" w:type="dxa"/>
            <w:vAlign w:val="center"/>
            <w:textDirection w:val="lrTb"/>
            <w:noWrap w:val="false"/>
          </w:tcPr>
          <w:p>
            <w:pPr>
              <w:contextualSpacing/>
              <w:ind w:left="0"/>
              <w:jc w:val="center"/>
              <w:keepNext/>
              <w:widowControl w:val="off"/>
              <w:rPr>
                <w:rFonts w:ascii="宋体" w:hAnsi="宋体"/>
                <w:b/>
                <w:sz w:val="21"/>
                <w:szCs w:val="21"/>
              </w:rPr>
            </w:pPr>
            <w:r>
              <w:rPr>
                <w:rFonts w:hint="eastAsia" w:ascii="宋体" w:hAnsi="宋体"/>
                <w:b/>
                <w:sz w:val="21"/>
                <w:szCs w:val="21"/>
              </w:rPr>
              <w:t xml:space="preserve">（四）罐体</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1</w:t>
            </w:r>
            <w:r/>
          </w:p>
        </w:tc>
        <w:tc>
          <w:tcPr>
            <w:gridSpan w:val="4"/>
            <w:shd w:val="clear" w:color="000000" w:fill="ffffff"/>
            <w:tcW w:w="6804" w:type="dxa"/>
            <w:textDirection w:val="lrTb"/>
            <w:noWrap w:val="false"/>
          </w:tcPr>
          <w:p>
            <w:pPr>
              <w:contextualSpacing/>
              <w:ind w:left="0"/>
              <w:keepNext/>
              <w:widowControl w:val="off"/>
              <w:rPr>
                <w:rFonts w:ascii="宋体" w:hAnsi="宋体"/>
                <w:sz w:val="21"/>
                <w:szCs w:val="21"/>
              </w:rPr>
            </w:pPr>
            <w:r>
              <w:rPr>
                <w:rFonts w:hint="eastAsia" w:ascii="宋体" w:hAnsi="宋体"/>
                <w:bCs/>
                <w:sz w:val="21"/>
                <w:szCs w:val="21"/>
              </w:rPr>
              <w:t xml:space="preserve">▲</w:t>
            </w:r>
            <w:r>
              <w:rPr>
                <w:rFonts w:ascii="宋体" w:hAnsi="宋体"/>
                <w:sz w:val="21"/>
                <w:szCs w:val="21"/>
              </w:rPr>
              <w:t xml:space="preserve">容积</w:t>
            </w:r>
            <w:r>
              <w:rPr>
                <w:rFonts w:hint="eastAsia" w:ascii="宋体" w:hAnsi="宋体"/>
                <w:sz w:val="21"/>
                <w:szCs w:val="21"/>
              </w:rPr>
              <w:t xml:space="preserve">：</w:t>
            </w:r>
            <w:r>
              <w:rPr>
                <w:rFonts w:ascii="宋体" w:hAnsi="宋体"/>
                <w:sz w:val="21"/>
                <w:szCs w:val="21"/>
              </w:rPr>
              <w:t xml:space="preserve">水罐</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200kg，内置罐；</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2</w:t>
            </w:r>
            <w:r/>
          </w:p>
        </w:tc>
        <w:tc>
          <w:tcPr>
            <w:gridSpan w:val="4"/>
            <w:shd w:val="clear" w:color="000000" w:fill="ffffff"/>
            <w:tcW w:w="6804" w:type="dxa"/>
            <w:textDirection w:val="lrTb"/>
            <w:noWrap w:val="false"/>
          </w:tcPr>
          <w:p>
            <w:pPr>
              <w:contextualSpacing/>
              <w:ind w:left="0"/>
              <w:keepNext/>
              <w:widowControl w:val="off"/>
              <w:rPr>
                <w:rFonts w:ascii="宋体" w:hAnsi="宋体"/>
                <w:sz w:val="21"/>
                <w:szCs w:val="21"/>
              </w:rPr>
            </w:pPr>
            <w:r>
              <w:rPr>
                <w:rFonts w:ascii="宋体" w:hAnsi="宋体"/>
                <w:sz w:val="21"/>
                <w:szCs w:val="21"/>
              </w:rPr>
              <w:t xml:space="preserve">材质</w:t>
            </w:r>
            <w:r>
              <w:rPr>
                <w:rFonts w:hint="eastAsia" w:ascii="宋体" w:hAnsi="宋体"/>
                <w:sz w:val="21"/>
                <w:szCs w:val="21"/>
              </w:rPr>
              <w:t xml:space="preserve">：</w:t>
            </w:r>
            <w:r>
              <w:rPr>
                <w:rFonts w:ascii="宋体" w:hAnsi="宋体"/>
                <w:sz w:val="21"/>
                <w:szCs w:val="21"/>
              </w:rPr>
              <w:t xml:space="preserve">应采用高强度耐腐蚀性PP</w:t>
            </w:r>
            <w:r>
              <w:rPr>
                <w:rFonts w:hint="eastAsia" w:ascii="宋体" w:hAnsi="宋体"/>
                <w:sz w:val="21"/>
                <w:szCs w:val="21"/>
              </w:rPr>
              <w:t xml:space="preserve">复合</w:t>
            </w:r>
            <w:r>
              <w:rPr>
                <w:rFonts w:ascii="宋体" w:hAnsi="宋体"/>
                <w:sz w:val="21"/>
                <w:szCs w:val="21"/>
              </w:rPr>
              <w:t xml:space="preserve">材料或</w:t>
            </w:r>
            <w:r>
              <w:rPr>
                <w:rFonts w:hint="eastAsia" w:ascii="宋体" w:hAnsi="宋体"/>
                <w:sz w:val="21"/>
                <w:szCs w:val="21"/>
              </w:rPr>
              <w:t xml:space="preserve">316</w:t>
            </w:r>
            <w:r>
              <w:rPr>
                <w:rFonts w:ascii="宋体" w:hAnsi="宋体"/>
                <w:sz w:val="21"/>
                <w:szCs w:val="21"/>
              </w:rPr>
              <w:t xml:space="preserve">不锈钢</w:t>
            </w:r>
            <w:r>
              <w:rPr>
                <w:rFonts w:hint="eastAsia" w:ascii="宋体" w:hAnsi="宋体"/>
                <w:sz w:val="21"/>
                <w:szCs w:val="21"/>
              </w:rPr>
              <w:t xml:space="preserve">；</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3</w:t>
            </w:r>
            <w:r/>
          </w:p>
        </w:tc>
        <w:tc>
          <w:tcPr>
            <w:gridSpan w:val="4"/>
            <w:shd w:val="clear" w:color="000000" w:fill="ffffff"/>
            <w:tcW w:w="6804" w:type="dxa"/>
            <w:textDirection w:val="lrTb"/>
            <w:noWrap w:val="false"/>
          </w:tcPr>
          <w:p>
            <w:pPr>
              <w:contextualSpacing/>
              <w:ind w:left="0"/>
              <w:keepNext/>
              <w:widowControl w:val="off"/>
              <w:rPr>
                <w:rFonts w:ascii="宋体" w:hAnsi="宋体"/>
                <w:sz w:val="21"/>
                <w:szCs w:val="21"/>
              </w:rPr>
            </w:pPr>
            <w:r>
              <w:rPr>
                <w:rFonts w:ascii="宋体" w:hAnsi="宋体"/>
                <w:sz w:val="21"/>
                <w:szCs w:val="21"/>
              </w:rPr>
              <w:t xml:space="preserve">结构</w:t>
            </w:r>
            <w:r>
              <w:rPr>
                <w:rFonts w:hint="eastAsia" w:ascii="宋体" w:hAnsi="宋体"/>
                <w:sz w:val="21"/>
                <w:szCs w:val="21"/>
              </w:rPr>
              <w:t xml:space="preserve">：</w:t>
            </w:r>
            <w:r>
              <w:rPr>
                <w:rFonts w:ascii="宋体" w:hAnsi="宋体"/>
                <w:sz w:val="21"/>
                <w:szCs w:val="21"/>
              </w:rPr>
              <w:t xml:space="preserve">罐体内部应设有放挡板</w:t>
            </w:r>
            <w:r>
              <w:rPr>
                <w:rFonts w:hint="eastAsia" w:ascii="宋体" w:hAnsi="宋体"/>
                <w:sz w:val="21"/>
                <w:szCs w:val="21"/>
              </w:rPr>
              <w:t xml:space="preserve">，与车架采用弹性支撑连接，顶部设有人维修孔，设有液位计，至少1个DN65外加注口。</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gridSpan w:val="5"/>
            <w:shd w:val="clear" w:color="000000" w:fill="ffffff"/>
            <w:tcW w:w="7314" w:type="dxa"/>
            <w:vAlign w:val="center"/>
            <w:textDirection w:val="lrTb"/>
            <w:noWrap w:val="false"/>
          </w:tcPr>
          <w:p>
            <w:pPr>
              <w:contextualSpacing/>
              <w:ind w:left="0"/>
              <w:jc w:val="center"/>
              <w:keepNext/>
              <w:widowControl w:val="off"/>
              <w:rPr>
                <w:rFonts w:ascii="宋体" w:hAnsi="宋体"/>
                <w:b/>
                <w:sz w:val="21"/>
                <w:szCs w:val="21"/>
              </w:rPr>
            </w:pPr>
            <w:r>
              <w:rPr>
                <w:rFonts w:hint="eastAsia" w:ascii="宋体" w:hAnsi="宋体"/>
                <w:b/>
                <w:sz w:val="21"/>
                <w:szCs w:val="21"/>
              </w:rPr>
              <w:t xml:space="preserve">（五）消防泵</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1</w:t>
            </w:r>
            <w:r/>
          </w:p>
        </w:tc>
        <w:tc>
          <w:tcPr>
            <w:gridSpan w:val="4"/>
            <w:shd w:val="clear" w:color="000000" w:fill="ffffff"/>
            <w:tcW w:w="6804" w:type="dxa"/>
            <w:textDirection w:val="lrTb"/>
            <w:noWrap w:val="false"/>
          </w:tcPr>
          <w:p>
            <w:pPr>
              <w:contextualSpacing/>
              <w:ind w:left="0"/>
              <w:keepNext/>
              <w:widowControl w:val="off"/>
              <w:rPr>
                <w:rFonts w:ascii="宋体" w:hAnsi="宋体"/>
                <w:sz w:val="21"/>
                <w:szCs w:val="21"/>
              </w:rPr>
            </w:pPr>
            <w:r>
              <w:rPr>
                <w:rFonts w:ascii="宋体" w:hAnsi="宋体"/>
                <w:bCs/>
                <w:sz w:val="21"/>
                <w:szCs w:val="21"/>
              </w:rPr>
              <w:t xml:space="preserve">离心式消防泵</w:t>
            </w:r>
            <w:r>
              <w:rPr>
                <w:rFonts w:hint="eastAsia" w:ascii="宋体" w:hAnsi="宋体"/>
                <w:bCs/>
                <w:sz w:val="21"/>
                <w:szCs w:val="21"/>
              </w:rPr>
              <w:t xml:space="preserve">；</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2</w:t>
            </w:r>
            <w:r/>
          </w:p>
        </w:tc>
        <w:tc>
          <w:tcPr>
            <w:gridSpan w:val="4"/>
            <w:shd w:val="clear" w:color="000000" w:fill="ffffff"/>
            <w:tcW w:w="6804" w:type="dxa"/>
            <w:textDirection w:val="lrTb"/>
            <w:noWrap w:val="false"/>
          </w:tcPr>
          <w:p>
            <w:pPr>
              <w:contextualSpacing/>
              <w:ind w:left="0"/>
              <w:keepNext/>
              <w:widowControl w:val="off"/>
              <w:rPr>
                <w:rFonts w:ascii="宋体" w:hAnsi="宋体"/>
                <w:sz w:val="21"/>
                <w:szCs w:val="21"/>
              </w:rPr>
            </w:pPr>
            <w:r>
              <w:rPr>
                <w:rFonts w:ascii="宋体" w:hAnsi="宋体"/>
                <w:bCs/>
                <w:sz w:val="21"/>
                <w:szCs w:val="21"/>
              </w:rPr>
              <w:t xml:space="preserve">材质</w:t>
            </w:r>
            <w:r>
              <w:rPr>
                <w:rFonts w:hint="eastAsia" w:ascii="宋体" w:hAnsi="宋体"/>
                <w:bCs/>
                <w:sz w:val="21"/>
                <w:szCs w:val="21"/>
              </w:rPr>
              <w:t xml:space="preserve">：</w:t>
            </w:r>
            <w:r>
              <w:rPr>
                <w:rFonts w:ascii="宋体" w:hAnsi="宋体"/>
                <w:sz w:val="21"/>
                <w:szCs w:val="21"/>
              </w:rPr>
              <w:t xml:space="preserve">泵体、叶轮应采用</w:t>
            </w:r>
            <w:r>
              <w:rPr>
                <w:rFonts w:hint="eastAsia" w:ascii="宋体" w:hAnsi="宋体"/>
                <w:sz w:val="21"/>
                <w:szCs w:val="21"/>
              </w:rPr>
              <w:t xml:space="preserve">优质</w:t>
            </w:r>
            <w:r>
              <w:rPr>
                <w:rFonts w:ascii="宋体" w:hAnsi="宋体"/>
                <w:sz w:val="21"/>
                <w:szCs w:val="21"/>
              </w:rPr>
              <w:t xml:space="preserve">防腐蚀材质，泵轴采用不锈钢</w:t>
            </w:r>
            <w:r>
              <w:rPr>
                <w:rFonts w:hint="eastAsia" w:ascii="宋体" w:hAnsi="宋体"/>
                <w:sz w:val="21"/>
                <w:szCs w:val="21"/>
              </w:rPr>
              <w:t xml:space="preserve">；</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3</w:t>
            </w:r>
            <w:r/>
          </w:p>
        </w:tc>
        <w:tc>
          <w:tcPr>
            <w:gridSpan w:val="4"/>
            <w:shd w:val="clear" w:color="000000" w:fill="ffffff"/>
            <w:tcW w:w="6804" w:type="dxa"/>
            <w:textDirection w:val="lrTb"/>
            <w:noWrap w:val="false"/>
          </w:tcPr>
          <w:p>
            <w:pPr>
              <w:contextualSpacing/>
              <w:ind w:left="0"/>
              <w:keepNext/>
              <w:widowControl w:val="off"/>
              <w:rPr>
                <w:rFonts w:ascii="宋体" w:hAnsi="宋体"/>
                <w:sz w:val="21"/>
                <w:szCs w:val="21"/>
              </w:rPr>
            </w:pPr>
            <w:r>
              <w:rPr>
                <w:rFonts w:hint="eastAsia" w:ascii="宋体" w:hAnsi="宋体"/>
                <w:bCs/>
                <w:sz w:val="21"/>
                <w:szCs w:val="21"/>
              </w:rPr>
              <w:t xml:space="preserve">▲</w:t>
            </w:r>
            <w:r>
              <w:rPr>
                <w:rFonts w:ascii="宋体" w:hAnsi="宋体"/>
                <w:bCs/>
                <w:sz w:val="21"/>
                <w:szCs w:val="21"/>
              </w:rPr>
              <w:t xml:space="preserve">流量</w:t>
            </w:r>
            <w:r>
              <w:rPr>
                <w:rFonts w:hint="eastAsia" w:ascii="宋体" w:hAnsi="宋体"/>
                <w:bCs/>
                <w:sz w:val="21"/>
                <w:szCs w:val="21"/>
              </w:rPr>
              <w:t xml:space="preserve">：1.0MPa压力下流量≥</w:t>
            </w:r>
            <w:r>
              <w:rPr>
                <w:rFonts w:ascii="宋体" w:hAnsi="宋体"/>
                <w:bCs/>
                <w:sz w:val="21"/>
                <w:szCs w:val="21"/>
              </w:rPr>
              <w:t xml:space="preserve">3</w:t>
            </w:r>
            <w:r>
              <w:rPr>
                <w:rFonts w:hint="eastAsia" w:ascii="宋体" w:hAnsi="宋体"/>
                <w:bCs/>
                <w:sz w:val="21"/>
                <w:szCs w:val="21"/>
              </w:rPr>
              <w:t xml:space="preserve">0L/s；</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4</w:t>
            </w:r>
            <w:r/>
          </w:p>
        </w:tc>
        <w:tc>
          <w:tcPr>
            <w:gridSpan w:val="4"/>
            <w:shd w:val="clear" w:color="000000" w:fill="ffffff"/>
            <w:tcW w:w="6804" w:type="dxa"/>
            <w:textDirection w:val="lrTb"/>
            <w:noWrap w:val="false"/>
          </w:tcPr>
          <w:p>
            <w:pPr>
              <w:contextualSpacing/>
              <w:ind w:left="0"/>
              <w:keepNext/>
              <w:widowControl w:val="off"/>
              <w:rPr>
                <w:rFonts w:ascii="宋体" w:hAnsi="宋体"/>
                <w:sz w:val="21"/>
                <w:szCs w:val="21"/>
              </w:rPr>
            </w:pPr>
            <w:r>
              <w:rPr>
                <w:rFonts w:ascii="宋体" w:hAnsi="宋体"/>
                <w:bCs/>
                <w:sz w:val="21"/>
                <w:szCs w:val="21"/>
              </w:rPr>
              <w:t xml:space="preserve">真空泵</w:t>
            </w:r>
            <w:r>
              <w:rPr>
                <w:rFonts w:hint="eastAsia" w:ascii="宋体" w:hAnsi="宋体"/>
                <w:bCs/>
                <w:sz w:val="21"/>
                <w:szCs w:val="21"/>
              </w:rPr>
              <w:t xml:space="preserve">：应采用活塞式真空泵，7m吸水下引水时间≤45s；</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5</w:t>
            </w:r>
            <w:r/>
          </w:p>
        </w:tc>
        <w:tc>
          <w:tcPr>
            <w:gridSpan w:val="4"/>
            <w:shd w:val="clear" w:color="000000" w:fill="ffffff"/>
            <w:tcW w:w="6804" w:type="dxa"/>
            <w:textDirection w:val="lrTb"/>
            <w:noWrap w:val="false"/>
          </w:tcPr>
          <w:p>
            <w:pPr>
              <w:contextualSpacing/>
              <w:ind w:left="0"/>
              <w:keepNext/>
              <w:widowControl w:val="off"/>
              <w:rPr>
                <w:rFonts w:ascii="宋体" w:hAnsi="宋体"/>
                <w:sz w:val="21"/>
                <w:szCs w:val="21"/>
              </w:rPr>
            </w:pPr>
            <w:r>
              <w:rPr>
                <w:rFonts w:ascii="宋体" w:hAnsi="宋体"/>
                <w:bCs/>
                <w:sz w:val="21"/>
                <w:szCs w:val="21"/>
              </w:rPr>
              <w:t xml:space="preserve">管路</w:t>
            </w:r>
            <w:r>
              <w:rPr>
                <w:rFonts w:hint="eastAsia" w:ascii="宋体" w:hAnsi="宋体"/>
                <w:bCs/>
                <w:sz w:val="21"/>
                <w:szCs w:val="21"/>
              </w:rPr>
              <w:t xml:space="preserve">：</w:t>
            </w:r>
            <w:r>
              <w:rPr>
                <w:rFonts w:hint="eastAsia" w:ascii="宋体" w:hAnsi="宋体"/>
                <w:sz w:val="21"/>
                <w:szCs w:val="21"/>
              </w:rPr>
              <w:t xml:space="preserve">车辆尾部应设有1个DN100内扣式外吸水口、2个DN80水出口（快插雌）、1条DN65罐内注水管路、一套排水管路；</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6</w:t>
            </w:r>
            <w:r/>
          </w:p>
        </w:tc>
        <w:tc>
          <w:tcPr>
            <w:gridSpan w:val="4"/>
            <w:shd w:val="clear" w:color="000000" w:fill="ffffff"/>
            <w:tcW w:w="6804" w:type="dxa"/>
            <w:textDirection w:val="lrTb"/>
            <w:noWrap w:val="false"/>
          </w:tcPr>
          <w:p>
            <w:pPr>
              <w:contextualSpacing/>
              <w:ind w:left="0"/>
              <w:keepNext/>
              <w:widowControl w:val="off"/>
              <w:rPr>
                <w:rFonts w:ascii="宋体" w:hAnsi="宋体"/>
                <w:sz w:val="21"/>
                <w:szCs w:val="21"/>
              </w:rPr>
            </w:pPr>
            <w:r>
              <w:rPr>
                <w:rFonts w:ascii="宋体" w:hAnsi="宋体"/>
                <w:bCs/>
                <w:sz w:val="21"/>
                <w:szCs w:val="21"/>
              </w:rPr>
              <w:t xml:space="preserve">控制面板</w:t>
            </w:r>
            <w:r>
              <w:rPr>
                <w:rFonts w:hint="eastAsia" w:ascii="宋体" w:hAnsi="宋体"/>
                <w:bCs/>
                <w:sz w:val="21"/>
                <w:szCs w:val="21"/>
              </w:rPr>
              <w:t xml:space="preserve">：</w:t>
            </w:r>
            <w:r>
              <w:rPr>
                <w:rFonts w:ascii="宋体" w:hAnsi="宋体"/>
                <w:bCs/>
                <w:sz w:val="21"/>
                <w:szCs w:val="21"/>
              </w:rPr>
              <w:t xml:space="preserve">车辆尾部设有消防系统控制面板</w:t>
            </w:r>
            <w:r>
              <w:rPr>
                <w:rFonts w:hint="eastAsia" w:ascii="宋体" w:hAnsi="宋体"/>
                <w:bCs/>
                <w:sz w:val="21"/>
                <w:szCs w:val="21"/>
              </w:rPr>
              <w:t xml:space="preserve">，至少应具有以下控制开关和显示：主电源开关、转速加减、急停，水泵转速、真空度、出水压力、液位等显示信息等。</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gridSpan w:val="5"/>
            <w:shd w:val="clear" w:color="000000" w:fill="ffffff"/>
            <w:tcW w:w="7314" w:type="dxa"/>
            <w:vAlign w:val="center"/>
            <w:textDirection w:val="lrTb"/>
            <w:noWrap w:val="false"/>
          </w:tcPr>
          <w:p>
            <w:pPr>
              <w:contextualSpacing/>
              <w:ind w:left="0"/>
              <w:jc w:val="center"/>
              <w:keepNext/>
              <w:widowControl w:val="off"/>
              <w:rPr>
                <w:rFonts w:ascii="宋体" w:hAnsi="宋体"/>
                <w:b/>
                <w:sz w:val="21"/>
                <w:szCs w:val="21"/>
              </w:rPr>
            </w:pPr>
            <w:r>
              <w:rPr>
                <w:rFonts w:hint="eastAsia" w:ascii="宋体" w:hAnsi="宋体"/>
                <w:b/>
                <w:sz w:val="21"/>
                <w:szCs w:val="21"/>
              </w:rPr>
              <w:t xml:space="preserve">（六）消防炮</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1</w:t>
            </w:r>
            <w:r/>
          </w:p>
        </w:tc>
        <w:tc>
          <w:tcPr>
            <w:gridSpan w:val="4"/>
            <w:shd w:val="clear" w:color="000000" w:fill="ffffff"/>
            <w:tcW w:w="6804" w:type="dxa"/>
            <w:textDirection w:val="lrTb"/>
            <w:noWrap w:val="false"/>
          </w:tcPr>
          <w:p>
            <w:pPr>
              <w:contextualSpacing/>
              <w:ind w:left="0"/>
              <w:keepNext/>
              <w:widowControl w:val="off"/>
              <w:rPr>
                <w:rFonts w:ascii="宋体" w:hAnsi="宋体"/>
                <w:sz w:val="21"/>
                <w:szCs w:val="21"/>
              </w:rPr>
            </w:pPr>
            <w:r>
              <w:rPr>
                <w:rFonts w:ascii="宋体" w:hAnsi="宋体"/>
                <w:sz w:val="21"/>
                <w:szCs w:val="21"/>
              </w:rPr>
              <w:t xml:space="preserve">消防炮</w:t>
            </w:r>
            <w:r>
              <w:rPr>
                <w:rFonts w:hint="eastAsia" w:ascii="宋体" w:hAnsi="宋体"/>
                <w:sz w:val="21"/>
                <w:szCs w:val="21"/>
              </w:rPr>
              <w:t xml:space="preserve">，可开花/直流喷射；</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2</w:t>
            </w:r>
            <w:r/>
          </w:p>
        </w:tc>
        <w:tc>
          <w:tcPr>
            <w:gridSpan w:val="4"/>
            <w:shd w:val="clear" w:color="000000" w:fill="ffffff"/>
            <w:tcW w:w="6804" w:type="dxa"/>
            <w:textDirection w:val="lrTb"/>
            <w:noWrap w:val="false"/>
          </w:tcPr>
          <w:p>
            <w:pPr>
              <w:contextualSpacing/>
              <w:ind w:left="0"/>
              <w:keepNext/>
              <w:widowControl w:val="off"/>
              <w:rPr>
                <w:rFonts w:ascii="宋体" w:hAnsi="宋体"/>
                <w:sz w:val="21"/>
                <w:szCs w:val="21"/>
              </w:rPr>
            </w:pPr>
            <w:r>
              <w:rPr>
                <w:rFonts w:hint="eastAsia" w:ascii="宋体" w:hAnsi="宋体"/>
                <w:bCs/>
                <w:sz w:val="21"/>
                <w:szCs w:val="21"/>
              </w:rPr>
              <w:t xml:space="preserve">▲</w:t>
            </w:r>
            <w:r>
              <w:rPr>
                <w:rFonts w:ascii="宋体" w:hAnsi="宋体"/>
                <w:sz w:val="21"/>
                <w:szCs w:val="21"/>
              </w:rPr>
              <w:t xml:space="preserve">性能参数</w:t>
            </w:r>
            <w:r>
              <w:rPr>
                <w:rFonts w:hint="eastAsia" w:ascii="宋体" w:hAnsi="宋体"/>
                <w:sz w:val="21"/>
                <w:szCs w:val="21"/>
              </w:rPr>
              <w:t xml:space="preserve">：流量≥30L/s，无风状态下水射程≥62m；</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3</w:t>
            </w:r>
            <w:r/>
          </w:p>
        </w:tc>
        <w:tc>
          <w:tcPr>
            <w:gridSpan w:val="4"/>
            <w:shd w:val="clear" w:color="000000" w:fill="ffffff"/>
            <w:tcW w:w="6804" w:type="dxa"/>
            <w:textDirection w:val="lrTb"/>
            <w:noWrap w:val="false"/>
          </w:tcPr>
          <w:p>
            <w:pPr>
              <w:contextualSpacing/>
              <w:ind w:left="0"/>
              <w:keepNext/>
              <w:widowControl w:val="off"/>
              <w:rPr>
                <w:rFonts w:ascii="宋体" w:hAnsi="宋体"/>
                <w:sz w:val="21"/>
                <w:szCs w:val="21"/>
              </w:rPr>
            </w:pPr>
            <w:r>
              <w:rPr>
                <w:rFonts w:ascii="宋体" w:hAnsi="宋体"/>
                <w:sz w:val="21"/>
                <w:szCs w:val="21"/>
              </w:rPr>
              <w:t xml:space="preserve">操作控制</w:t>
            </w:r>
            <w:r>
              <w:rPr>
                <w:rFonts w:hint="eastAsia" w:ascii="宋体" w:hAnsi="宋体"/>
                <w:sz w:val="21"/>
                <w:szCs w:val="21"/>
              </w:rPr>
              <w:t xml:space="preserve">：手动操作，水平回转角度≥360°、俯仰角≥-10~85°。</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gridSpan w:val="5"/>
            <w:shd w:val="clear" w:color="000000" w:fill="ffffff"/>
            <w:tcW w:w="7314" w:type="dxa"/>
            <w:vAlign w:val="center"/>
            <w:textDirection w:val="lrTb"/>
            <w:noWrap w:val="false"/>
          </w:tcPr>
          <w:p>
            <w:pPr>
              <w:contextualSpacing/>
              <w:ind w:left="0"/>
              <w:jc w:val="center"/>
              <w:keepNext/>
              <w:widowControl w:val="off"/>
              <w:rPr>
                <w:rFonts w:ascii="宋体" w:hAnsi="宋体"/>
                <w:b/>
                <w:sz w:val="21"/>
                <w:szCs w:val="21"/>
              </w:rPr>
            </w:pPr>
            <w:r>
              <w:rPr>
                <w:rFonts w:hint="eastAsia" w:ascii="宋体" w:hAnsi="宋体"/>
                <w:b/>
                <w:sz w:val="21"/>
                <w:szCs w:val="21"/>
              </w:rPr>
              <w:t xml:space="preserve">（七）电气及辅助系统</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1</w:t>
            </w:r>
            <w:r/>
          </w:p>
        </w:tc>
        <w:tc>
          <w:tcPr>
            <w:gridSpan w:val="4"/>
            <w:shd w:val="clear" w:color="000000" w:fill="ffffff"/>
            <w:tcW w:w="6804" w:type="dxa"/>
            <w:textDirection w:val="lrTb"/>
            <w:noWrap w:val="false"/>
          </w:tcPr>
          <w:p>
            <w:pPr>
              <w:contextualSpacing/>
              <w:ind w:left="0"/>
              <w:keepNext/>
              <w:widowControl w:val="off"/>
              <w:rPr>
                <w:rFonts w:ascii="宋体" w:hAnsi="宋体"/>
                <w:sz w:val="21"/>
                <w:szCs w:val="21"/>
              </w:rPr>
            </w:pPr>
            <w:r>
              <w:rPr>
                <w:rFonts w:ascii="宋体" w:hAnsi="宋体"/>
                <w:sz w:val="21"/>
                <w:szCs w:val="21"/>
              </w:rPr>
              <w:t xml:space="preserve">警灯警报器</w:t>
            </w:r>
            <w:r>
              <w:rPr>
                <w:rFonts w:hint="eastAsia" w:ascii="宋体" w:hAnsi="宋体"/>
                <w:sz w:val="21"/>
                <w:szCs w:val="21"/>
              </w:rPr>
              <w:t xml:space="preserve">：</w:t>
            </w:r>
            <w:r>
              <w:rPr>
                <w:rFonts w:ascii="宋体" w:hAnsi="宋体"/>
                <w:sz w:val="21"/>
                <w:szCs w:val="21"/>
                <w:lang w:val="en-GB"/>
              </w:rPr>
              <w:t xml:space="preserve">驾驶室顶部应设置</w:t>
            </w:r>
            <w:r>
              <w:rPr>
                <w:rFonts w:hint="eastAsia" w:ascii="宋体" w:hAnsi="宋体"/>
                <w:sz w:val="21"/>
                <w:szCs w:val="21"/>
                <w:lang w:val="en-GB"/>
              </w:rPr>
              <w:t xml:space="preserve">1个长排警灯，100W警报器，驾驶室内设有麦克风；</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2</w:t>
            </w:r>
            <w:r/>
          </w:p>
        </w:tc>
        <w:tc>
          <w:tcPr>
            <w:gridSpan w:val="4"/>
            <w:shd w:val="clear" w:color="000000" w:fill="ffffff"/>
            <w:tcW w:w="6804" w:type="dxa"/>
            <w:textDirection w:val="lrTb"/>
            <w:noWrap w:val="false"/>
          </w:tcPr>
          <w:p>
            <w:pPr>
              <w:contextualSpacing/>
              <w:ind w:left="0"/>
              <w:keepNext/>
              <w:widowControl w:val="off"/>
              <w:rPr>
                <w:rFonts w:ascii="宋体" w:hAnsi="宋体"/>
                <w:sz w:val="21"/>
                <w:szCs w:val="21"/>
              </w:rPr>
            </w:pPr>
            <w:r>
              <w:rPr>
                <w:rFonts w:hint="eastAsia" w:ascii="宋体" w:hAnsi="宋体"/>
                <w:sz w:val="21"/>
                <w:szCs w:val="21"/>
              </w:rPr>
              <w:t xml:space="preserve">充电装置：车辆应设置220V外接电源充电装置，当车辆启动时，充电插头自动弹出；</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3</w:t>
            </w:r>
            <w:r/>
          </w:p>
        </w:tc>
        <w:tc>
          <w:tcPr>
            <w:gridSpan w:val="4"/>
            <w:shd w:val="clear" w:color="000000" w:fill="ffffff"/>
            <w:tcW w:w="6804" w:type="dxa"/>
            <w:textDirection w:val="lrTb"/>
            <w:noWrap w:val="false"/>
          </w:tcPr>
          <w:p>
            <w:pPr>
              <w:contextualSpacing/>
              <w:ind w:left="0"/>
              <w:keepNext/>
              <w:widowControl w:val="off"/>
              <w:rPr>
                <w:rFonts w:ascii="宋体" w:hAnsi="宋体"/>
                <w:sz w:val="21"/>
                <w:szCs w:val="21"/>
              </w:rPr>
            </w:pPr>
            <w:r>
              <w:rPr>
                <w:rFonts w:ascii="宋体" w:hAnsi="宋体"/>
                <w:sz w:val="21"/>
                <w:szCs w:val="21"/>
              </w:rPr>
              <w:t xml:space="preserve">照明灯</w:t>
            </w:r>
            <w:r>
              <w:rPr>
                <w:rFonts w:hint="eastAsia" w:ascii="宋体" w:hAnsi="宋体"/>
                <w:sz w:val="21"/>
                <w:szCs w:val="21"/>
              </w:rPr>
              <w:t xml:space="preserve">：器材箱内均有</w:t>
            </w:r>
            <w:r>
              <w:rPr>
                <w:rFonts w:ascii="宋体" w:hAnsi="宋体"/>
                <w:sz w:val="21"/>
                <w:szCs w:val="21"/>
              </w:rPr>
              <w:t xml:space="preserve">LED照明灯</w:t>
            </w:r>
            <w:r>
              <w:rPr>
                <w:rFonts w:hint="eastAsia" w:ascii="宋体" w:hAnsi="宋体"/>
                <w:sz w:val="21"/>
                <w:szCs w:val="21"/>
              </w:rPr>
              <w:t xml:space="preserve">，</w:t>
            </w:r>
            <w:r>
              <w:rPr>
                <w:rFonts w:ascii="宋体" w:hAnsi="宋体"/>
                <w:sz w:val="21"/>
                <w:szCs w:val="21"/>
              </w:rPr>
              <w:t xml:space="preserve">两侧应设有环境照明灯</w:t>
            </w:r>
            <w:r>
              <w:rPr>
                <w:rFonts w:hint="eastAsia" w:ascii="宋体" w:hAnsi="宋体"/>
                <w:sz w:val="21"/>
                <w:szCs w:val="21"/>
              </w:rPr>
              <w:t xml:space="preserve">；</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4</w:t>
            </w:r>
            <w:r/>
          </w:p>
        </w:tc>
        <w:tc>
          <w:tcPr>
            <w:gridSpan w:val="4"/>
            <w:shd w:val="clear" w:color="000000" w:fill="ffffff"/>
            <w:tcW w:w="6804" w:type="dxa"/>
            <w:textDirection w:val="lrTb"/>
            <w:noWrap w:val="false"/>
          </w:tcPr>
          <w:p>
            <w:pPr>
              <w:contextualSpacing/>
              <w:ind w:left="0"/>
              <w:keepNext/>
              <w:widowControl w:val="off"/>
              <w:rPr>
                <w:rFonts w:ascii="宋体" w:hAnsi="宋体"/>
                <w:sz w:val="21"/>
                <w:szCs w:val="21"/>
              </w:rPr>
            </w:pPr>
            <w:r>
              <w:rPr>
                <w:rFonts w:ascii="宋体" w:hAnsi="宋体"/>
                <w:sz w:val="21"/>
                <w:szCs w:val="21"/>
              </w:rPr>
              <w:t xml:space="preserve">车顶尾部应设有</w:t>
            </w:r>
            <w:r>
              <w:rPr>
                <w:rFonts w:hint="eastAsia" w:ascii="宋体" w:hAnsi="宋体"/>
                <w:sz w:val="21"/>
                <w:szCs w:val="21"/>
              </w:rPr>
              <w:t xml:space="preserve">1只24V 60W LED照明灯，可无线操作俯仰、旋转；</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5</w:t>
            </w:r>
            <w:r/>
          </w:p>
        </w:tc>
        <w:tc>
          <w:tcPr>
            <w:gridSpan w:val="4"/>
            <w:shd w:val="clear" w:color="000000" w:fill="ffffff"/>
            <w:tcW w:w="6804" w:type="dxa"/>
            <w:textDirection w:val="lrTb"/>
            <w:noWrap w:val="false"/>
          </w:tcPr>
          <w:p>
            <w:pPr>
              <w:contextualSpacing/>
              <w:ind w:left="0"/>
              <w:keepNext/>
              <w:widowControl w:val="off"/>
              <w:rPr>
                <w:rFonts w:ascii="宋体" w:hAnsi="宋体"/>
                <w:sz w:val="21"/>
                <w:szCs w:val="21"/>
              </w:rPr>
            </w:pPr>
            <w:r>
              <w:rPr>
                <w:rFonts w:hint="eastAsia" w:ascii="宋体" w:hAnsi="宋体"/>
                <w:sz w:val="21"/>
                <w:szCs w:val="21"/>
              </w:rPr>
              <w:t xml:space="preserve">车辆应配置高清360度影像系统，集成行车记录仪、导航为一体、倒车雷达，驾驶室内设有不小于7寸的显示屏、主机存储大于128G。车载台1部。</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gridSpan w:val="5"/>
            <w:shd w:val="clear" w:color="000000" w:fill="ffffff"/>
            <w:tcW w:w="7314" w:type="dxa"/>
            <w:vAlign w:val="center"/>
            <w:textDirection w:val="lrTb"/>
            <w:noWrap w:val="false"/>
          </w:tcPr>
          <w:p>
            <w:pPr>
              <w:contextualSpacing/>
              <w:ind w:left="0"/>
              <w:jc w:val="center"/>
              <w:keepNext/>
              <w:widowControl w:val="off"/>
              <w:rPr>
                <w:rFonts w:ascii="宋体" w:hAnsi="宋体"/>
                <w:b/>
                <w:sz w:val="21"/>
                <w:szCs w:val="21"/>
              </w:rPr>
            </w:pPr>
            <w:r>
              <w:rPr>
                <w:rFonts w:hint="eastAsia" w:ascii="宋体" w:hAnsi="宋体"/>
                <w:b/>
                <w:sz w:val="21"/>
                <w:szCs w:val="21"/>
              </w:rPr>
              <w:t xml:space="preserve">（八）随车文件</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1</w:t>
            </w:r>
            <w:r/>
          </w:p>
        </w:tc>
        <w:tc>
          <w:tcPr>
            <w:gridSpan w:val="4"/>
            <w:shd w:val="clear" w:color="000000" w:fill="ffffff"/>
            <w:tcW w:w="6804" w:type="dxa"/>
            <w:vAlign w:val="center"/>
            <w:textDirection w:val="lrTb"/>
            <w:noWrap w:val="false"/>
          </w:tcPr>
          <w:p>
            <w:pPr>
              <w:contextualSpacing/>
              <w:ind w:left="0"/>
              <w:keepNext/>
              <w:widowControl w:val="off"/>
              <w:rPr>
                <w:rFonts w:ascii="宋体" w:hAnsi="宋体"/>
                <w:sz w:val="21"/>
                <w:szCs w:val="21"/>
              </w:rPr>
            </w:pPr>
            <w:r>
              <w:rPr>
                <w:rFonts w:hint="eastAsia" w:ascii="宋体" w:hAnsi="宋体"/>
                <w:sz w:val="21"/>
                <w:szCs w:val="21"/>
              </w:rPr>
              <w:t xml:space="preserve">整车操作使用维护说明书及维修手册（中文）</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2</w:t>
            </w:r>
            <w:r/>
          </w:p>
        </w:tc>
        <w:tc>
          <w:tcPr>
            <w:gridSpan w:val="4"/>
            <w:shd w:val="clear" w:color="000000" w:fill="ffffff"/>
            <w:tcW w:w="6804" w:type="dxa"/>
            <w:vAlign w:val="center"/>
            <w:textDirection w:val="lrTb"/>
            <w:noWrap w:val="false"/>
          </w:tcPr>
          <w:p>
            <w:pPr>
              <w:contextualSpacing/>
              <w:ind w:left="0"/>
              <w:keepNext/>
              <w:widowControl w:val="off"/>
              <w:rPr>
                <w:rFonts w:ascii="宋体" w:hAnsi="宋体"/>
                <w:sz w:val="21"/>
                <w:szCs w:val="21"/>
              </w:rPr>
            </w:pPr>
            <w:r>
              <w:rPr>
                <w:rFonts w:hint="eastAsia" w:ascii="宋体" w:hAnsi="宋体"/>
                <w:sz w:val="21"/>
                <w:szCs w:val="21"/>
              </w:rPr>
              <w:t xml:space="preserve">底盘使用说明书（中文）</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3</w:t>
            </w:r>
            <w:r/>
          </w:p>
        </w:tc>
        <w:tc>
          <w:tcPr>
            <w:gridSpan w:val="4"/>
            <w:shd w:val="clear" w:color="000000" w:fill="ffffff"/>
            <w:tcW w:w="6804" w:type="dxa"/>
            <w:vAlign w:val="center"/>
            <w:textDirection w:val="lrTb"/>
            <w:noWrap w:val="false"/>
          </w:tcPr>
          <w:p>
            <w:pPr>
              <w:contextualSpacing/>
              <w:ind w:left="0"/>
              <w:keepNext/>
              <w:widowControl w:val="off"/>
              <w:rPr>
                <w:rFonts w:ascii="宋体" w:hAnsi="宋体"/>
                <w:sz w:val="21"/>
                <w:szCs w:val="21"/>
              </w:rPr>
            </w:pPr>
            <w:r>
              <w:rPr>
                <w:rFonts w:hint="eastAsia" w:ascii="宋体" w:hAnsi="宋体"/>
                <w:sz w:val="21"/>
                <w:szCs w:val="21"/>
              </w:rPr>
              <w:t xml:space="preserve">发动机号码及底盘VIN拓印件</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4</w:t>
            </w:r>
            <w:r/>
          </w:p>
        </w:tc>
        <w:tc>
          <w:tcPr>
            <w:gridSpan w:val="4"/>
            <w:shd w:val="clear" w:color="000000" w:fill="ffffff"/>
            <w:tcW w:w="6804" w:type="dxa"/>
            <w:vAlign w:val="center"/>
            <w:textDirection w:val="lrTb"/>
            <w:noWrap w:val="false"/>
          </w:tcPr>
          <w:p>
            <w:pPr>
              <w:contextualSpacing/>
              <w:ind w:left="0"/>
              <w:keepNext/>
              <w:widowControl w:val="off"/>
              <w:rPr>
                <w:rFonts w:ascii="宋体" w:hAnsi="宋体"/>
                <w:sz w:val="21"/>
                <w:szCs w:val="21"/>
              </w:rPr>
            </w:pPr>
            <w:r>
              <w:rPr>
                <w:rFonts w:hint="eastAsia" w:ascii="宋体" w:hAnsi="宋体"/>
                <w:sz w:val="21"/>
                <w:szCs w:val="21"/>
              </w:rPr>
              <w:t xml:space="preserve">随车器材清单</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5</w:t>
            </w:r>
            <w:r/>
          </w:p>
        </w:tc>
        <w:tc>
          <w:tcPr>
            <w:gridSpan w:val="4"/>
            <w:shd w:val="clear" w:color="000000" w:fill="ffffff"/>
            <w:tcW w:w="6804" w:type="dxa"/>
            <w:vAlign w:val="center"/>
            <w:textDirection w:val="lrTb"/>
            <w:noWrap w:val="false"/>
          </w:tcPr>
          <w:p>
            <w:pPr>
              <w:contextualSpacing/>
              <w:ind w:left="0"/>
              <w:keepNext/>
              <w:widowControl w:val="off"/>
              <w:rPr>
                <w:rFonts w:ascii="宋体" w:hAnsi="宋体"/>
                <w:sz w:val="21"/>
                <w:szCs w:val="21"/>
              </w:rPr>
            </w:pPr>
            <w:r>
              <w:rPr>
                <w:rFonts w:hint="eastAsia" w:ascii="宋体" w:hAnsi="宋体"/>
                <w:sz w:val="21"/>
                <w:szCs w:val="21"/>
              </w:rPr>
              <w:t xml:space="preserve">消防车交接清单</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gridSpan w:val="5"/>
            <w:shd w:val="clear" w:color="000000" w:fill="ffffff"/>
            <w:tcW w:w="7314" w:type="dxa"/>
            <w:vAlign w:val="center"/>
            <w:textDirection w:val="lrTb"/>
            <w:noWrap w:val="false"/>
          </w:tcPr>
          <w:p>
            <w:pPr>
              <w:contextualSpacing/>
              <w:ind w:left="0"/>
              <w:jc w:val="center"/>
              <w:keepNext/>
              <w:widowControl w:val="off"/>
              <w:rPr>
                <w:rFonts w:ascii="宋体" w:hAnsi="宋体"/>
                <w:b/>
                <w:sz w:val="21"/>
                <w:szCs w:val="21"/>
              </w:rPr>
            </w:pPr>
            <w:r>
              <w:rPr>
                <w:rFonts w:hint="eastAsia" w:ascii="宋体" w:hAnsi="宋体"/>
                <w:b/>
                <w:sz w:val="21"/>
                <w:szCs w:val="21"/>
              </w:rPr>
              <w:t xml:space="preserve">（九）随车器材</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1</w:t>
            </w:r>
            <w:r/>
          </w:p>
        </w:tc>
        <w:tc>
          <w:tcPr>
            <w:shd w:val="clear" w:color="000000" w:fill="ffffff"/>
            <w:tcW w:w="1843"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cs="Arial"/>
                <w:color w:val="000000"/>
                <w:sz w:val="21"/>
                <w:szCs w:val="21"/>
                <w:lang w:val="en-GB"/>
              </w:rPr>
              <w:t xml:space="preserve">底盘随车工具</w:t>
            </w:r>
            <w:r/>
          </w:p>
        </w:tc>
        <w:tc>
          <w:tcPr>
            <w:shd w:val="clear" w:color="000000" w:fill="ffffff"/>
            <w:tcW w:w="264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cs="Arial"/>
                <w:color w:val="000000"/>
                <w:sz w:val="21"/>
                <w:szCs w:val="21"/>
                <w:lang w:val="en-GB"/>
              </w:rPr>
              <w:t xml:space="preserve">适配</w:t>
            </w:r>
            <w:r/>
          </w:p>
        </w:tc>
        <w:tc>
          <w:tcPr>
            <w:gridSpan w:val="2"/>
            <w:shd w:val="clear" w:color="000000" w:fill="ffffff"/>
            <w:tcW w:w="2321"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cs="Arial"/>
                <w:color w:val="000000"/>
                <w:sz w:val="21"/>
                <w:szCs w:val="21"/>
                <w:lang w:val="en-GB"/>
              </w:rPr>
              <w:t xml:space="preserve">1套</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2</w:t>
            </w:r>
            <w:r/>
          </w:p>
        </w:tc>
        <w:tc>
          <w:tcPr>
            <w:shd w:val="clear" w:color="000000" w:fill="ffffff"/>
            <w:tcW w:w="1843"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干粉灭火器</w:t>
            </w:r>
            <w:r/>
          </w:p>
        </w:tc>
        <w:tc>
          <w:tcPr>
            <w:shd w:val="clear" w:color="000000" w:fill="ffffff"/>
            <w:tcW w:w="264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cs="Arial"/>
                <w:color w:val="000000"/>
                <w:sz w:val="21"/>
                <w:szCs w:val="21"/>
                <w:lang w:val="en-GB"/>
              </w:rPr>
              <w:t xml:space="preserve">2kg  ABC型</w:t>
            </w:r>
            <w:r/>
          </w:p>
        </w:tc>
        <w:tc>
          <w:tcPr>
            <w:gridSpan w:val="2"/>
            <w:shd w:val="clear" w:color="000000" w:fill="ffffff"/>
            <w:tcW w:w="2321"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cs="Arial"/>
                <w:color w:val="000000"/>
                <w:sz w:val="21"/>
                <w:szCs w:val="21"/>
                <w:lang w:val="en-GB"/>
              </w:rPr>
              <w:t xml:space="preserve">1个</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3</w:t>
            </w:r>
            <w:r/>
          </w:p>
        </w:tc>
        <w:tc>
          <w:tcPr>
            <w:shd w:val="clear" w:color="000000" w:fill="ffffff"/>
            <w:tcW w:w="1843"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cs="Arial"/>
                <w:color w:val="000000"/>
                <w:sz w:val="21"/>
                <w:szCs w:val="21"/>
                <w:lang w:val="en-GB"/>
              </w:rPr>
              <w:t xml:space="preserve">备胎（包含轮毂）</w:t>
            </w:r>
            <w:r/>
          </w:p>
        </w:tc>
        <w:tc>
          <w:tcPr>
            <w:shd w:val="clear" w:color="000000" w:fill="ffffff"/>
            <w:tcW w:w="264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cs="Arial"/>
                <w:color w:val="000000"/>
                <w:sz w:val="21"/>
                <w:szCs w:val="21"/>
                <w:lang w:val="en-GB"/>
              </w:rPr>
              <w:t xml:space="preserve">适配</w:t>
            </w:r>
            <w:r/>
          </w:p>
        </w:tc>
        <w:tc>
          <w:tcPr>
            <w:gridSpan w:val="2"/>
            <w:shd w:val="clear" w:color="000000" w:fill="ffffff"/>
            <w:tcW w:w="2321"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cs="Arial"/>
                <w:color w:val="000000"/>
                <w:sz w:val="21"/>
                <w:szCs w:val="21"/>
                <w:lang w:val="en-GB"/>
              </w:rPr>
              <w:t xml:space="preserve">1个</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4</w:t>
            </w:r>
            <w:r/>
          </w:p>
        </w:tc>
        <w:tc>
          <w:tcPr>
            <w:shd w:val="clear" w:color="000000" w:fill="ffffff"/>
            <w:tcW w:w="1843"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cs="Arial"/>
                <w:color w:val="000000"/>
                <w:sz w:val="21"/>
                <w:szCs w:val="21"/>
                <w:lang w:val="en-GB"/>
              </w:rPr>
              <w:t xml:space="preserve">吸水管</w:t>
            </w:r>
            <w:r/>
          </w:p>
        </w:tc>
        <w:tc>
          <w:tcPr>
            <w:shd w:val="clear" w:color="000000" w:fill="ffffff"/>
            <w:tcW w:w="264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cs="Arial"/>
                <w:color w:val="000000"/>
                <w:sz w:val="21"/>
                <w:szCs w:val="21"/>
                <w:lang w:val="en-GB"/>
              </w:rPr>
              <w:t xml:space="preserve">DN100，长度2米</w:t>
            </w:r>
            <w:r/>
          </w:p>
        </w:tc>
        <w:tc>
          <w:tcPr>
            <w:gridSpan w:val="2"/>
            <w:shd w:val="clear" w:color="000000" w:fill="ffffff"/>
            <w:tcW w:w="2321"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cs="Arial"/>
                <w:color w:val="000000"/>
                <w:sz w:val="21"/>
                <w:szCs w:val="21"/>
                <w:lang w:val="en-GB"/>
              </w:rPr>
              <w:t xml:space="preserve">4根</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5</w:t>
            </w:r>
            <w:r/>
          </w:p>
        </w:tc>
        <w:tc>
          <w:tcPr>
            <w:shd w:val="clear" w:color="000000" w:fill="ffffff"/>
            <w:tcW w:w="1843"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cs="Arial"/>
                <w:color w:val="000000"/>
                <w:sz w:val="21"/>
                <w:szCs w:val="21"/>
                <w:lang w:val="en-GB"/>
              </w:rPr>
              <w:t xml:space="preserve">吸水管滤网</w:t>
            </w:r>
            <w:r/>
          </w:p>
        </w:tc>
        <w:tc>
          <w:tcPr>
            <w:shd w:val="clear" w:color="000000" w:fill="ffffff"/>
            <w:tcW w:w="264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cs="Arial"/>
                <w:color w:val="000000"/>
                <w:sz w:val="21"/>
                <w:szCs w:val="21"/>
                <w:lang w:val="en-GB"/>
              </w:rPr>
              <w:t xml:space="preserve">DN100型</w:t>
            </w:r>
            <w:r/>
          </w:p>
        </w:tc>
        <w:tc>
          <w:tcPr>
            <w:gridSpan w:val="2"/>
            <w:shd w:val="clear" w:color="000000" w:fill="ffffff"/>
            <w:tcW w:w="2321"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cs="Arial"/>
                <w:color w:val="000000"/>
                <w:sz w:val="21"/>
                <w:szCs w:val="21"/>
                <w:lang w:val="en-GB"/>
              </w:rPr>
              <w:t xml:space="preserve">1个</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6</w:t>
            </w:r>
            <w:r/>
          </w:p>
        </w:tc>
        <w:tc>
          <w:tcPr>
            <w:shd w:val="clear" w:color="000000" w:fill="ffffff"/>
            <w:tcW w:w="1843"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cs="Arial"/>
                <w:color w:val="000000"/>
                <w:sz w:val="21"/>
                <w:szCs w:val="21"/>
                <w:lang w:val="en-GB"/>
              </w:rPr>
              <w:t xml:space="preserve">吸水管扳手</w:t>
            </w:r>
            <w:r/>
          </w:p>
        </w:tc>
        <w:tc>
          <w:tcPr>
            <w:shd w:val="clear" w:color="000000" w:fill="ffffff"/>
            <w:tcW w:w="264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cs="Arial"/>
                <w:color w:val="000000"/>
                <w:sz w:val="21"/>
                <w:szCs w:val="21"/>
                <w:lang w:val="en-GB"/>
              </w:rPr>
              <w:t xml:space="preserve">FS100</w:t>
            </w:r>
            <w:r/>
          </w:p>
        </w:tc>
        <w:tc>
          <w:tcPr>
            <w:gridSpan w:val="2"/>
            <w:shd w:val="clear" w:color="000000" w:fill="ffffff"/>
            <w:tcW w:w="2321"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cs="Arial"/>
                <w:color w:val="000000"/>
                <w:sz w:val="21"/>
                <w:szCs w:val="21"/>
                <w:lang w:val="en-GB"/>
              </w:rPr>
              <w:t xml:space="preserve">2个</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7</w:t>
            </w:r>
            <w:r/>
          </w:p>
        </w:tc>
        <w:tc>
          <w:tcPr>
            <w:shd w:val="clear" w:color="000000" w:fill="ffffff"/>
            <w:tcW w:w="1843"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cs="Arial"/>
                <w:color w:val="000000"/>
                <w:sz w:val="21"/>
                <w:szCs w:val="21"/>
                <w:lang w:val="en-GB"/>
              </w:rPr>
              <w:t xml:space="preserve">消防水带</w:t>
            </w:r>
            <w:r/>
          </w:p>
        </w:tc>
        <w:tc>
          <w:tcPr>
            <w:shd w:val="clear" w:color="000000" w:fill="ffffff"/>
            <w:tcW w:w="264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20-65-20</w:t>
            </w:r>
            <w:r/>
          </w:p>
        </w:tc>
        <w:tc>
          <w:tcPr>
            <w:gridSpan w:val="2"/>
            <w:shd w:val="clear" w:color="000000" w:fill="ffffff"/>
            <w:tcW w:w="2321"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cs="Arial"/>
                <w:color w:val="000000"/>
                <w:sz w:val="21"/>
                <w:szCs w:val="21"/>
                <w:lang w:val="en-GB"/>
              </w:rPr>
              <w:t xml:space="preserve">5盘</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8</w:t>
            </w:r>
            <w:r/>
          </w:p>
        </w:tc>
        <w:tc>
          <w:tcPr>
            <w:shd w:val="clear" w:color="000000" w:fill="ffffff"/>
            <w:tcW w:w="1843"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cs="Arial"/>
                <w:color w:val="000000"/>
                <w:sz w:val="21"/>
                <w:szCs w:val="21"/>
                <w:lang w:val="en-GB"/>
              </w:rPr>
              <w:t xml:space="preserve">消防水带</w:t>
            </w:r>
            <w:r/>
          </w:p>
        </w:tc>
        <w:tc>
          <w:tcPr>
            <w:shd w:val="clear" w:color="000000" w:fill="ffffff"/>
            <w:tcW w:w="264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20-80-20</w:t>
            </w:r>
            <w:r/>
          </w:p>
        </w:tc>
        <w:tc>
          <w:tcPr>
            <w:gridSpan w:val="2"/>
            <w:shd w:val="clear" w:color="000000" w:fill="ffffff"/>
            <w:tcW w:w="2321"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cs="Arial"/>
                <w:color w:val="000000"/>
                <w:sz w:val="21"/>
                <w:szCs w:val="21"/>
                <w:lang w:val="en-GB"/>
              </w:rPr>
              <w:t xml:space="preserve">5盘</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9</w:t>
            </w:r>
            <w:r/>
          </w:p>
        </w:tc>
        <w:tc>
          <w:tcPr>
            <w:shd w:val="clear" w:color="000000" w:fill="ffffff"/>
            <w:tcW w:w="1843"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多功能水枪</w:t>
            </w:r>
            <w:r/>
          </w:p>
        </w:tc>
        <w:tc>
          <w:tcPr>
            <w:shd w:val="clear" w:color="000000" w:fill="ffffff"/>
            <w:tcW w:w="264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QLD6.0/8Ⅲ（KYKA65）</w:t>
            </w:r>
            <w:r/>
          </w:p>
        </w:tc>
        <w:tc>
          <w:tcPr>
            <w:gridSpan w:val="2"/>
            <w:shd w:val="clear" w:color="000000" w:fill="ffffff"/>
            <w:tcW w:w="2321"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cs="Arial"/>
                <w:color w:val="000000"/>
                <w:sz w:val="21"/>
                <w:szCs w:val="21"/>
                <w:lang w:val="en-GB"/>
              </w:rPr>
              <w:t xml:space="preserve">2只</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0</w:t>
            </w:r>
            <w:r/>
          </w:p>
        </w:tc>
        <w:tc>
          <w:tcPr>
            <w:shd w:val="clear" w:color="000000" w:fill="ffffff"/>
            <w:tcW w:w="1843"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集水器</w:t>
            </w:r>
            <w:r/>
          </w:p>
        </w:tc>
        <w:tc>
          <w:tcPr>
            <w:shd w:val="clear" w:color="000000" w:fill="ffffff"/>
            <w:tcW w:w="264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J</w:t>
            </w:r>
            <w:r>
              <w:rPr>
                <w:rFonts w:ascii="宋体" w:hAnsi="宋体"/>
                <w:sz w:val="21"/>
                <w:szCs w:val="21"/>
              </w:rPr>
              <w:t xml:space="preserve">Ⅱ</w:t>
            </w:r>
            <w:r>
              <w:rPr>
                <w:rFonts w:hint="eastAsia" w:ascii="宋体" w:hAnsi="宋体"/>
                <w:sz w:val="21"/>
                <w:szCs w:val="21"/>
              </w:rPr>
              <w:t xml:space="preserve">100/80×2 (KY/KYKA)</w:t>
            </w:r>
            <w:r/>
          </w:p>
        </w:tc>
        <w:tc>
          <w:tcPr>
            <w:gridSpan w:val="2"/>
            <w:shd w:val="clear" w:color="000000" w:fill="ffffff"/>
            <w:tcW w:w="2321"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cs="Arial"/>
                <w:color w:val="000000"/>
                <w:sz w:val="21"/>
                <w:szCs w:val="21"/>
                <w:lang w:val="en-GB"/>
              </w:rPr>
              <w:t xml:space="preserve">1个</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p>
        </w:tc>
        <w:tc>
          <w:tcPr>
            <w:shd w:val="clear" w:color="000000" w:fill="ffffff"/>
            <w:tcW w:w="1843"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分水器</w:t>
            </w:r>
            <w:r/>
          </w:p>
        </w:tc>
        <w:tc>
          <w:tcPr>
            <w:shd w:val="clear" w:color="000000" w:fill="ffffff"/>
            <w:tcW w:w="264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FⅢ</w:t>
            </w:r>
            <w:r>
              <w:rPr>
                <w:rFonts w:ascii="宋体" w:hAnsi="宋体"/>
                <w:sz w:val="21"/>
                <w:szCs w:val="21"/>
              </w:rPr>
              <w:t xml:space="preserve">80</w:t>
            </w:r>
            <w:r>
              <w:rPr>
                <w:rFonts w:hint="eastAsia" w:ascii="宋体" w:hAnsi="宋体"/>
                <w:sz w:val="21"/>
                <w:szCs w:val="21"/>
              </w:rPr>
              <w:t xml:space="preserve">/65×3（KYKA/KYK）</w:t>
            </w:r>
            <w:r/>
          </w:p>
        </w:tc>
        <w:tc>
          <w:tcPr>
            <w:gridSpan w:val="2"/>
            <w:shd w:val="clear" w:color="000000" w:fill="ffffff"/>
            <w:tcW w:w="2321"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cs="Arial"/>
                <w:color w:val="000000"/>
                <w:sz w:val="21"/>
                <w:szCs w:val="21"/>
                <w:lang w:val="en-GB"/>
              </w:rPr>
              <w:t xml:space="preserve">1个</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p>
        </w:tc>
        <w:tc>
          <w:tcPr>
            <w:shd w:val="clear" w:color="000000" w:fill="ffffff"/>
            <w:tcW w:w="1843" w:type="dxa"/>
            <w:vAlign w:val="center"/>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t xml:space="preserve">水带护桥</w:t>
            </w:r>
            <w:r/>
          </w:p>
        </w:tc>
        <w:tc>
          <w:tcPr>
            <w:shd w:val="clear" w:color="000000" w:fill="ffffff"/>
            <w:tcW w:w="2640" w:type="dxa"/>
            <w:vAlign w:val="center"/>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t xml:space="preserve">H</w:t>
            </w:r>
            <w:r>
              <w:rPr>
                <w:rFonts w:hint="eastAsia" w:ascii="宋体" w:hAnsi="宋体"/>
                <w:sz w:val="21"/>
                <w:szCs w:val="21"/>
              </w:rPr>
              <w:t xml:space="preserve">Q80，橡胶材质</w:t>
            </w:r>
            <w:r/>
          </w:p>
        </w:tc>
        <w:tc>
          <w:tcPr>
            <w:gridSpan w:val="2"/>
            <w:shd w:val="clear" w:color="000000" w:fill="ffffff"/>
            <w:tcW w:w="2321"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cs="Arial"/>
                <w:color w:val="000000"/>
                <w:sz w:val="21"/>
                <w:szCs w:val="21"/>
                <w:lang w:val="en-GB"/>
              </w:rPr>
              <w:t xml:space="preserve">1对</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3</w:t>
            </w:r>
            <w:r/>
          </w:p>
        </w:tc>
        <w:tc>
          <w:tcPr>
            <w:shd w:val="clear" w:color="000000" w:fill="ffffff"/>
            <w:tcW w:w="1843"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水带包布</w:t>
            </w:r>
            <w:r/>
          </w:p>
        </w:tc>
        <w:tc>
          <w:tcPr>
            <w:shd w:val="clear" w:color="000000" w:fill="ffffff"/>
            <w:tcW w:w="264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常规型号</w:t>
            </w:r>
            <w:r/>
          </w:p>
        </w:tc>
        <w:tc>
          <w:tcPr>
            <w:gridSpan w:val="2"/>
            <w:shd w:val="clear" w:color="000000" w:fill="ffffff"/>
            <w:tcW w:w="2321"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cs="Arial"/>
                <w:color w:val="000000"/>
                <w:sz w:val="21"/>
                <w:szCs w:val="21"/>
                <w:lang w:val="en-GB"/>
              </w:rPr>
              <w:t xml:space="preserve">4个</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4</w:t>
            </w:r>
            <w:r/>
          </w:p>
        </w:tc>
        <w:tc>
          <w:tcPr>
            <w:shd w:val="clear" w:color="000000" w:fill="ffffff"/>
            <w:tcW w:w="1843"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水带挂钩</w:t>
            </w:r>
            <w:r/>
          </w:p>
        </w:tc>
        <w:tc>
          <w:tcPr>
            <w:shd w:val="clear" w:color="000000" w:fill="ffffff"/>
            <w:tcW w:w="264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常规型号</w:t>
            </w:r>
            <w:r/>
          </w:p>
        </w:tc>
        <w:tc>
          <w:tcPr>
            <w:gridSpan w:val="2"/>
            <w:shd w:val="clear" w:color="000000" w:fill="ffffff"/>
            <w:tcW w:w="2321"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cs="Arial"/>
                <w:color w:val="000000"/>
                <w:sz w:val="21"/>
                <w:szCs w:val="21"/>
                <w:lang w:val="en-GB"/>
              </w:rPr>
              <w:t xml:space="preserve">4个</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15</w:t>
            </w:r>
            <w:r/>
          </w:p>
        </w:tc>
        <w:tc>
          <w:tcPr>
            <w:shd w:val="clear" w:color="000000" w:fill="ffffff"/>
            <w:tcW w:w="1843"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异径转换接口</w:t>
            </w:r>
            <w:r/>
          </w:p>
        </w:tc>
        <w:tc>
          <w:tcPr>
            <w:shd w:val="clear" w:color="000000" w:fill="ffffff"/>
            <w:tcW w:w="2640" w:type="dxa"/>
            <w:vAlign w:val="center"/>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t xml:space="preserve">KYKA</w:t>
            </w:r>
            <w:r>
              <w:rPr>
                <w:rFonts w:hint="eastAsia" w:ascii="宋体" w:hAnsi="宋体"/>
                <w:sz w:val="21"/>
                <w:szCs w:val="21"/>
              </w:rPr>
              <w:t xml:space="preserve">80/KYK65</w:t>
            </w:r>
            <w:r/>
          </w:p>
        </w:tc>
        <w:tc>
          <w:tcPr>
            <w:gridSpan w:val="2"/>
            <w:shd w:val="clear" w:color="000000" w:fill="ffffff"/>
            <w:tcW w:w="2321"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cs="Arial"/>
                <w:color w:val="000000"/>
                <w:sz w:val="21"/>
                <w:szCs w:val="21"/>
                <w:lang w:val="en-GB"/>
              </w:rPr>
              <w:t xml:space="preserve">2个</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p>
        </w:tc>
        <w:tc>
          <w:tcPr>
            <w:shd w:val="clear" w:color="000000" w:fill="ffffff"/>
            <w:tcW w:w="1843"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异型转换接口</w:t>
            </w:r>
            <w:r/>
          </w:p>
        </w:tc>
        <w:tc>
          <w:tcPr>
            <w:shd w:val="clear" w:color="000000" w:fill="ffffff"/>
            <w:tcW w:w="264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KY80/KYK80、KY65/KYK80</w:t>
            </w:r>
            <w:r/>
          </w:p>
        </w:tc>
        <w:tc>
          <w:tcPr>
            <w:gridSpan w:val="2"/>
            <w:shd w:val="clear" w:color="000000" w:fill="ffffff"/>
            <w:tcW w:w="2321"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cs="Arial"/>
                <w:color w:val="000000"/>
                <w:sz w:val="21"/>
                <w:szCs w:val="21"/>
                <w:lang w:val="en-GB"/>
              </w:rPr>
              <w:t xml:space="preserve">各1个</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7</w:t>
            </w:r>
            <w:r/>
          </w:p>
        </w:tc>
        <w:tc>
          <w:tcPr>
            <w:shd w:val="clear" w:color="000000" w:fill="ffffff"/>
            <w:tcW w:w="1843"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消火栓专用接口</w:t>
            </w:r>
            <w:r/>
          </w:p>
        </w:tc>
        <w:tc>
          <w:tcPr>
            <w:shd w:val="clear" w:color="000000" w:fill="ffffff"/>
            <w:tcW w:w="2640" w:type="dxa"/>
            <w:vAlign w:val="center"/>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t xml:space="preserve">KY</w:t>
            </w:r>
            <w:r>
              <w:rPr>
                <w:rFonts w:hint="eastAsia" w:ascii="宋体" w:hAnsi="宋体"/>
                <w:sz w:val="21"/>
                <w:szCs w:val="21"/>
              </w:rPr>
              <w:t xml:space="preserve">100/KT100</w:t>
            </w:r>
            <w:r/>
          </w:p>
        </w:tc>
        <w:tc>
          <w:tcPr>
            <w:gridSpan w:val="2"/>
            <w:shd w:val="clear" w:color="000000" w:fill="ffffff"/>
            <w:tcW w:w="2321"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cs="Arial"/>
                <w:color w:val="000000"/>
                <w:sz w:val="21"/>
                <w:szCs w:val="21"/>
                <w:lang w:val="en-GB"/>
              </w:rPr>
              <w:t xml:space="preserve">1个</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8</w:t>
            </w:r>
            <w:r/>
          </w:p>
        </w:tc>
        <w:tc>
          <w:tcPr>
            <w:shd w:val="clear" w:color="000000" w:fill="ffffff"/>
            <w:tcW w:w="1843"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地上消火栓扳手</w:t>
            </w:r>
            <w:r/>
          </w:p>
        </w:tc>
        <w:tc>
          <w:tcPr>
            <w:shd w:val="clear" w:color="000000" w:fill="ffffff"/>
            <w:tcW w:w="2640" w:type="dxa"/>
            <w:vAlign w:val="center"/>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t xml:space="preserve">FB</w:t>
            </w:r>
            <w:r>
              <w:rPr>
                <w:rFonts w:hint="eastAsia" w:ascii="宋体" w:hAnsi="宋体"/>
                <w:sz w:val="21"/>
                <w:szCs w:val="21"/>
              </w:rPr>
              <w:t xml:space="preserve"> 400</w:t>
            </w:r>
            <w:r/>
          </w:p>
        </w:tc>
        <w:tc>
          <w:tcPr>
            <w:gridSpan w:val="2"/>
            <w:shd w:val="clear" w:color="000000" w:fill="ffffff"/>
            <w:tcW w:w="2321"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cs="Arial"/>
                <w:color w:val="000000"/>
                <w:sz w:val="21"/>
                <w:szCs w:val="21"/>
                <w:lang w:val="en-GB"/>
              </w:rPr>
              <w:t xml:space="preserve">1个</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9</w:t>
            </w:r>
            <w:r/>
          </w:p>
        </w:tc>
        <w:tc>
          <w:tcPr>
            <w:shd w:val="clear" w:color="000000" w:fill="ffffff"/>
            <w:tcW w:w="1843"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地下消火栓扳手</w:t>
            </w:r>
            <w:r/>
          </w:p>
        </w:tc>
        <w:tc>
          <w:tcPr>
            <w:gridSpan w:val="2"/>
            <w:shd w:val="clear" w:color="000000" w:fill="ffffff"/>
            <w:tcW w:w="2652"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FBA 800</w:t>
            </w:r>
            <w:r/>
          </w:p>
        </w:tc>
        <w:tc>
          <w:tcPr>
            <w:shd w:val="clear" w:color="000000" w:fill="ffffff"/>
            <w:tcW w:w="2309"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cs="Arial"/>
                <w:color w:val="000000"/>
                <w:sz w:val="21"/>
                <w:szCs w:val="21"/>
                <w:lang w:val="en-GB"/>
              </w:rPr>
              <w:t xml:space="preserve">1个</w:t>
            </w:r>
            <w:r/>
          </w:p>
        </w:tc>
      </w:tr>
      <w:tr>
        <w:trPr>
          <w:trHeight w:val="150"/>
        </w:trPr>
        <w:tc>
          <w:tcPr>
            <w:shd w:val="clear" w:color="000000" w:fill="ffffff"/>
            <w:tcW w:w="604"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951" w:type="dxa"/>
            <w:vAlign w:val="center"/>
            <w:vMerge w:val="continue"/>
            <w:textDirection w:val="lrTb"/>
            <w:noWrap w:val="false"/>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49"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683" w:type="dxa"/>
            <w:vAlign w:val="center"/>
            <w:vMerge w:val="continue"/>
            <w:textDirection w:val="lrTb"/>
            <w:noWrap/>
          </w:tcPr>
          <w:p>
            <w:pPr>
              <w:contextualSpacing/>
              <w:ind w:left="0"/>
              <w:jc w:val="center"/>
              <w:keepNext/>
              <w:widowControl w:val="off"/>
              <w:rPr>
                <w:rFonts w:ascii="宋体" w:hAnsi="宋体"/>
                <w:sz w:val="21"/>
                <w:szCs w:val="21"/>
              </w:rPr>
            </w:pPr>
            <w:r>
              <w:rPr>
                <w:rFonts w:ascii="宋体" w:hAnsi="宋体"/>
                <w:sz w:val="21"/>
                <w:szCs w:val="21"/>
              </w:rPr>
            </w:r>
            <w:r/>
          </w:p>
        </w:tc>
        <w:tc>
          <w:tcPr>
            <w:shd w:val="clear" w:color="000000" w:fill="ffffff"/>
            <w:tcW w:w="510"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0</w:t>
            </w:r>
            <w:r/>
          </w:p>
        </w:tc>
        <w:tc>
          <w:tcPr>
            <w:shd w:val="clear" w:color="000000" w:fill="ffffff"/>
            <w:tcW w:w="1843"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ABC扳手</w:t>
            </w:r>
            <w:r/>
          </w:p>
        </w:tc>
        <w:tc>
          <w:tcPr>
            <w:gridSpan w:val="2"/>
            <w:shd w:val="clear" w:color="000000" w:fill="ffffff"/>
            <w:tcW w:w="2652"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FS50-100</w:t>
            </w:r>
            <w:r/>
          </w:p>
        </w:tc>
        <w:tc>
          <w:tcPr>
            <w:shd w:val="clear" w:color="000000" w:fill="ffffff"/>
            <w:tcW w:w="2309"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cs="Arial"/>
                <w:color w:val="000000"/>
                <w:sz w:val="21"/>
                <w:szCs w:val="21"/>
                <w:lang w:val="en-GB"/>
              </w:rPr>
              <w:t xml:space="preserve">1个</w:t>
            </w:r>
            <w:r/>
          </w:p>
        </w:tc>
      </w:tr>
      <w:tr>
        <w:trPr/>
        <w:tc>
          <w:tcPr>
            <w:shd w:val="clear" w:color="000000" w:fill="ffffff"/>
            <w:tcW w:w="604"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3</w:t>
            </w:r>
            <w:r/>
          </w:p>
        </w:tc>
        <w:tc>
          <w:tcPr>
            <w:shd w:val="clear" w:color="000000" w:fill="ffffff"/>
            <w:tcW w:w="951"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消防员灭火防护服</w:t>
            </w:r>
            <w:r/>
          </w:p>
        </w:tc>
        <w:tc>
          <w:tcPr>
            <w:shd w:val="clear" w:color="000000" w:fill="ffffff"/>
            <w:tcW w:w="649"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套</w:t>
            </w:r>
            <w:r/>
          </w:p>
        </w:tc>
        <w:tc>
          <w:tcPr>
            <w:shd w:val="clear" w:color="000000" w:fill="ffffff"/>
            <w:tcW w:w="683"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10</w:t>
            </w:r>
            <w:r/>
          </w:p>
        </w:tc>
        <w:tc>
          <w:tcPr>
            <w:gridSpan w:val="5"/>
            <w:shd w:val="clear" w:color="000000" w:fill="ffffff"/>
            <w:tcW w:w="7314" w:type="dxa"/>
            <w:vAlign w:val="center"/>
            <w:textDirection w:val="lrTb"/>
            <w:noWrap w:val="false"/>
          </w:tcPr>
          <w:p>
            <w:pPr>
              <w:contextualSpacing/>
              <w:ind w:left="0"/>
              <w:jc w:val="left"/>
              <w:keepNext/>
              <w:widowControl w:val="off"/>
              <w:rPr>
                <w:rFonts w:ascii="宋体" w:hAnsi="宋体"/>
                <w:sz w:val="21"/>
                <w:szCs w:val="21"/>
              </w:rPr>
            </w:pPr>
            <w:r>
              <w:rPr>
                <w:rFonts w:hint="eastAsia" w:ascii="宋体" w:hAnsi="宋体"/>
                <w:sz w:val="21"/>
                <w:szCs w:val="21"/>
              </w:rPr>
              <w:t xml:space="preserve">1.整体要求</w:t>
            </w:r>
            <w:r>
              <w:rPr>
                <w:rFonts w:hint="eastAsia" w:ascii="宋体" w:hAnsi="宋体"/>
                <w:sz w:val="21"/>
                <w:szCs w:val="21"/>
              </w:rPr>
              <w:br/>
              <w:t xml:space="preserve">1.1符合XF10-2014《消防员灭火防护服》标准要求。</w:t>
            </w:r>
            <w:r>
              <w:rPr>
                <w:rFonts w:hint="eastAsia" w:ascii="宋体" w:hAnsi="宋体"/>
                <w:sz w:val="21"/>
                <w:szCs w:val="21"/>
              </w:rPr>
              <w:br/>
              <w:t xml:space="preserve">2.外观要求</w:t>
            </w:r>
            <w:r>
              <w:rPr>
                <w:rFonts w:hint="eastAsia" w:ascii="宋体" w:hAnsi="宋体"/>
                <w:sz w:val="21"/>
                <w:szCs w:val="21"/>
              </w:rPr>
              <w:br/>
              <w:t xml:space="preserve">2.1外观为藏蓝色。颜色为藏蓝色，潘通色号为PANTONE 19-4013 TCX Dark Navy，色差≥3级。</w:t>
            </w:r>
            <w:r>
              <w:rPr>
                <w:rFonts w:hint="eastAsia" w:ascii="宋体" w:hAnsi="宋体"/>
                <w:sz w:val="21"/>
                <w:szCs w:val="21"/>
              </w:rPr>
              <w:br/>
              <w:t xml:space="preserve">2.2符合国家消防救援局最新统型要求,由外层、防水透气层、舒适层共三层面料组成，并带有救生拖拉带。</w:t>
            </w:r>
            <w:r>
              <w:rPr>
                <w:rFonts w:hint="eastAsia" w:ascii="宋体" w:hAnsi="宋体"/>
                <w:sz w:val="21"/>
                <w:szCs w:val="21"/>
              </w:rPr>
              <w:br/>
              <w:t xml:space="preserve">3.材料要求</w:t>
            </w:r>
            <w:r>
              <w:rPr>
                <w:rFonts w:hint="eastAsia" w:ascii="宋体" w:hAnsi="宋体"/>
                <w:sz w:val="21"/>
                <w:szCs w:val="21"/>
              </w:rPr>
              <w:br/>
              <w:t xml:space="preserve">3.1外层面料：芳纶阻燃面料，克重：≤（210±10）g/㎡。</w:t>
            </w:r>
            <w:r>
              <w:rPr>
                <w:rFonts w:hint="eastAsia" w:ascii="宋体" w:hAnsi="宋体"/>
                <w:sz w:val="21"/>
                <w:szCs w:val="21"/>
              </w:rPr>
              <w:br/>
              <w:t xml:space="preserve">3.2防水透气层：芳纶无纺布＋阻燃PTFE膜、克重：≤（130±6.5）g/㎡。</w:t>
            </w:r>
            <w:r>
              <w:rPr>
                <w:rFonts w:hint="eastAsia" w:ascii="宋体" w:hAnsi="宋体"/>
                <w:sz w:val="21"/>
                <w:szCs w:val="21"/>
              </w:rPr>
              <w:br/>
              <w:t xml:space="preserve">3.3舒适层：芳纶粘胶阻燃布舒适层，克重：≤（180±9）g/㎡。</w:t>
            </w:r>
            <w:r>
              <w:rPr>
                <w:rFonts w:hint="eastAsia" w:ascii="宋体" w:hAnsi="宋体"/>
                <w:sz w:val="21"/>
                <w:szCs w:val="21"/>
              </w:rPr>
              <w:br/>
              <w:t xml:space="preserve">3.4衣领贴肤面料：芳纶阻燃起绒面料，克重：≤（210±10）g/㎡。</w:t>
            </w:r>
            <w:r>
              <w:rPr>
                <w:rFonts w:hint="eastAsia" w:ascii="宋体" w:hAnsi="宋体"/>
                <w:sz w:val="21"/>
                <w:szCs w:val="21"/>
              </w:rPr>
              <w:br/>
              <w:t xml:space="preserve">3.5反光标志带：打孔反光带。</w:t>
            </w:r>
            <w:r>
              <w:rPr>
                <w:rFonts w:hint="eastAsia" w:ascii="宋体" w:hAnsi="宋体"/>
                <w:sz w:val="21"/>
                <w:szCs w:val="21"/>
              </w:rPr>
              <w:br/>
              <w:t xml:space="preserve">3.6补强布：芳纶阻燃面料，克重：≤（210±10）g/㎡。</w:t>
            </w:r>
            <w:r>
              <w:rPr>
                <w:rFonts w:hint="eastAsia" w:ascii="宋体" w:hAnsi="宋体"/>
                <w:sz w:val="21"/>
                <w:szCs w:val="21"/>
              </w:rPr>
              <w:br/>
              <w:t xml:space="preserve">4.技术要求</w:t>
            </w:r>
            <w:r>
              <w:rPr>
                <w:rFonts w:hint="eastAsia" w:ascii="宋体" w:hAnsi="宋体"/>
                <w:sz w:val="21"/>
                <w:szCs w:val="21"/>
              </w:rPr>
              <w:br/>
            </w:r>
            <w:bookmarkStart w:id="94" w:name="OLE_LINK3"/>
            <w:r>
              <w:rPr>
                <w:rFonts w:hint="eastAsia" w:ascii="宋体" w:hAnsi="宋体"/>
                <w:sz w:val="21"/>
                <w:szCs w:val="21"/>
              </w:rPr>
              <w:t xml:space="preserve">▲</w:t>
            </w:r>
            <w:bookmarkEnd w:id="94"/>
            <w:r>
              <w:rPr>
                <w:rFonts w:hint="eastAsia" w:ascii="宋体" w:hAnsi="宋体"/>
                <w:sz w:val="21"/>
                <w:szCs w:val="21"/>
              </w:rPr>
              <w:t xml:space="preserve">4.1阻燃性能（损毁长度）：</w:t>
            </w:r>
            <w:r>
              <w:rPr>
                <w:rFonts w:hint="eastAsia" w:ascii="宋体" w:hAnsi="宋体"/>
                <w:sz w:val="21"/>
                <w:szCs w:val="21"/>
              </w:rPr>
              <w:br/>
              <w:t xml:space="preserve">外层经向：≤40mm、纬向：≤40mm； 防水透气（隔热层）经向：≤45mm、纬向：≤40mm；舒适层经向：≤35mm、纬向：≤50mm；外层加强材料经向：≤37mm、纬向：≤37mm；所有试验续燃时间0s，且无熔融滴落现象。</w:t>
            </w:r>
            <w:r>
              <w:rPr>
                <w:rFonts w:hint="eastAsia" w:ascii="宋体" w:hAnsi="宋体"/>
                <w:sz w:val="21"/>
                <w:szCs w:val="21"/>
              </w:rPr>
              <w:br/>
              <w:t xml:space="preserve">4.2热稳定性能（变化率）：</w:t>
            </w:r>
            <w:r>
              <w:rPr>
                <w:rFonts w:hint="eastAsia" w:ascii="宋体" w:hAnsi="宋体"/>
                <w:sz w:val="21"/>
                <w:szCs w:val="21"/>
              </w:rPr>
              <w:br/>
              <w:t xml:space="preserve">外层：≤1.0%；防水透气层：≤1.0%；外层加强材料：≤1.0%；舒适层：≤3.0%；试样表面无明显变化。</w:t>
            </w:r>
            <w:r>
              <w:rPr>
                <w:rFonts w:hint="eastAsia" w:ascii="宋体" w:hAnsi="宋体"/>
                <w:sz w:val="21"/>
                <w:szCs w:val="21"/>
              </w:rPr>
              <w:br/>
              <w:t xml:space="preserve">4.3缩水率：</w:t>
            </w:r>
            <w:r>
              <w:rPr>
                <w:rFonts w:hint="eastAsia" w:ascii="宋体" w:hAnsi="宋体"/>
                <w:sz w:val="21"/>
                <w:szCs w:val="21"/>
              </w:rPr>
              <w:br/>
              <w:t xml:space="preserve">外层经纬向：≤1.5%、1.5%；防水透气层经纬向：≤2.0%、≤2.0%；舒适层经纬向：≤2.5%、≤2.5%。</w:t>
            </w:r>
            <w:r>
              <w:rPr>
                <w:rFonts w:hint="eastAsia" w:ascii="宋体" w:hAnsi="宋体"/>
                <w:sz w:val="21"/>
                <w:szCs w:val="21"/>
              </w:rPr>
              <w:br/>
              <w:t xml:space="preserve">4.4断裂强力：外层：经向≥1200N、纬向≥1200N；舒适层：经向≥450N、纬向≥640N；救生拖拉带≥9400N。</w:t>
            </w:r>
            <w:r>
              <w:rPr>
                <w:rFonts w:hint="eastAsia" w:ascii="宋体" w:hAnsi="宋体"/>
                <w:sz w:val="21"/>
                <w:szCs w:val="21"/>
              </w:rPr>
              <w:br/>
              <w:t xml:space="preserve">4.5外层撕破强力：经向≥380N、纬向≥400N；接缝断裂强力：经向≥840N、纬向≥750N。</w:t>
            </w:r>
            <w:r>
              <w:rPr>
                <w:rFonts w:hint="eastAsia" w:ascii="宋体" w:hAnsi="宋体"/>
                <w:sz w:val="21"/>
                <w:szCs w:val="21"/>
              </w:rPr>
              <w:br/>
              <w:t xml:space="preserve">4.6防水透气层耐静水压＞50kpa、透湿率≥6300（g/(㎡·24h)）、拒油性能3级。</w:t>
            </w:r>
            <w:r>
              <w:rPr>
                <w:rFonts w:hint="eastAsia" w:ascii="宋体" w:hAnsi="宋体"/>
                <w:sz w:val="21"/>
                <w:szCs w:val="21"/>
              </w:rPr>
              <w:br/>
              <w:t xml:space="preserve">4.7质量：≤ 2.75kg。</w:t>
            </w:r>
            <w:r>
              <w:rPr>
                <w:rFonts w:hint="eastAsia" w:ascii="宋体" w:hAnsi="宋体"/>
                <w:sz w:val="21"/>
                <w:szCs w:val="21"/>
              </w:rPr>
              <w:br/>
              <w:t xml:space="preserve">4.8拖拉带展开时间≤4S。</w:t>
            </w:r>
            <w:r>
              <w:rPr>
                <w:rFonts w:hint="eastAsia" w:ascii="宋体" w:hAnsi="宋体"/>
                <w:sz w:val="21"/>
                <w:szCs w:val="21"/>
              </w:rPr>
              <w:br/>
              <w:t xml:space="preserve">4.9整体热防护性能（TPP（cal/c㎡））：≥32。</w:t>
            </w:r>
            <w:r>
              <w:rPr>
                <w:rFonts w:hint="eastAsia" w:ascii="宋体" w:hAnsi="宋体"/>
                <w:sz w:val="21"/>
                <w:szCs w:val="21"/>
              </w:rPr>
              <w:br/>
              <w:t xml:space="preserve">5、提供国家级或国家认可的第三方检测检验机构出具的检测检验报告，且报告应完整有效。</w:t>
            </w:r>
            <w:r/>
          </w:p>
        </w:tc>
      </w:tr>
      <w:tr>
        <w:trPr/>
        <w:tc>
          <w:tcPr>
            <w:shd w:val="clear" w:color="000000" w:fill="ffffff"/>
            <w:tcW w:w="604"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4</w:t>
            </w:r>
            <w:r/>
          </w:p>
        </w:tc>
        <w:tc>
          <w:tcPr>
            <w:shd w:val="clear" w:color="000000" w:fill="ffffff"/>
            <w:tcW w:w="951"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消防员灭火头盔</w:t>
            </w:r>
            <w:r/>
          </w:p>
        </w:tc>
        <w:tc>
          <w:tcPr>
            <w:shd w:val="clear" w:color="000000" w:fill="ffffff"/>
            <w:tcW w:w="649"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顶</w:t>
            </w:r>
            <w:r/>
          </w:p>
        </w:tc>
        <w:tc>
          <w:tcPr>
            <w:shd w:val="clear" w:color="000000" w:fill="ffffff"/>
            <w:tcW w:w="683"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10</w:t>
            </w:r>
            <w:r/>
          </w:p>
        </w:tc>
        <w:tc>
          <w:tcPr>
            <w:gridSpan w:val="5"/>
            <w:shd w:val="clear" w:color="000000" w:fill="ffffff"/>
            <w:tcW w:w="7314" w:type="dxa"/>
            <w:vAlign w:val="center"/>
            <w:textDirection w:val="lrTb"/>
            <w:noWrap w:val="false"/>
          </w:tcPr>
          <w:p>
            <w:pPr>
              <w:contextualSpacing/>
              <w:ind w:left="0"/>
              <w:jc w:val="left"/>
              <w:keepNext/>
              <w:widowControl w:val="off"/>
              <w:rPr>
                <w:rFonts w:ascii="宋体" w:hAnsi="宋体"/>
                <w:sz w:val="21"/>
                <w:szCs w:val="21"/>
              </w:rPr>
            </w:pPr>
            <w:r>
              <w:rPr>
                <w:rFonts w:hint="eastAsia" w:ascii="宋体" w:hAnsi="宋体"/>
                <w:sz w:val="21"/>
                <w:szCs w:val="21"/>
              </w:rPr>
              <w:t xml:space="preserve">1.整体要求</w:t>
            </w:r>
            <w:r>
              <w:rPr>
                <w:rFonts w:hint="eastAsia" w:ascii="宋体" w:hAnsi="宋体"/>
                <w:sz w:val="21"/>
                <w:szCs w:val="21"/>
              </w:rPr>
              <w:br/>
              <w:t xml:space="preserve">1.1符合国家XF44-2015《消防头盔》标准要求。</w:t>
            </w:r>
            <w:r>
              <w:rPr>
                <w:rFonts w:hint="eastAsia" w:ascii="宋体" w:hAnsi="宋体"/>
                <w:sz w:val="21"/>
                <w:szCs w:val="21"/>
              </w:rPr>
              <w:br/>
              <w:t xml:space="preserve">2.外观及材质：</w:t>
            </w:r>
            <w:r>
              <w:rPr>
                <w:rFonts w:hint="eastAsia" w:ascii="宋体" w:hAnsi="宋体"/>
                <w:sz w:val="21"/>
                <w:szCs w:val="21"/>
              </w:rPr>
              <w:br/>
              <w:t xml:space="preserve">2.1为半盔式头盔，由帽壳、佩戴装置及附件（面罩、披肩）等构成，浅色透明面罩。颜色:黄色、红色。</w:t>
            </w:r>
            <w:r>
              <w:rPr>
                <w:rFonts w:hint="eastAsia" w:ascii="宋体" w:hAnsi="宋体"/>
                <w:sz w:val="21"/>
                <w:szCs w:val="21"/>
              </w:rPr>
              <w:br/>
              <w:t xml:space="preserve">2.2材质：帽壳材质为聚酰胺材料（PA66），缓冲层及下颏带材质为对人体无毒、无自然伤害的阻燃材料，面罩材质为聚亚苯基砜（PPSU）。帽壳为一次</w:t>
            </w:r>
            <w:r>
              <w:rPr>
                <w:rFonts w:hint="eastAsia" w:ascii="宋体" w:hAnsi="宋体"/>
                <w:sz w:val="21"/>
                <w:szCs w:val="21"/>
              </w:rPr>
              <w:t xml:space="preserve">性注塑成型。</w:t>
            </w:r>
            <w:r>
              <w:rPr>
                <w:rFonts w:hint="eastAsia" w:ascii="宋体" w:hAnsi="宋体"/>
                <w:sz w:val="21"/>
                <w:szCs w:val="21"/>
              </w:rPr>
              <w:br/>
              <w:t xml:space="preserve">2.3披肩：应为装卸式，采用芳纶阻燃面料复合的三层结构，颜色为藏蓝。</w:t>
            </w:r>
            <w:r>
              <w:rPr>
                <w:rFonts w:hint="eastAsia" w:ascii="宋体" w:hAnsi="宋体"/>
                <w:sz w:val="21"/>
                <w:szCs w:val="21"/>
              </w:rPr>
              <w:br/>
              <w:t xml:space="preserve">2.4滑轨：盔体两侧设黑色多功能模块化滑轨，耐高温阻燃材质。</w:t>
            </w:r>
            <w:r>
              <w:rPr>
                <w:rFonts w:hint="eastAsia" w:ascii="宋体" w:hAnsi="宋体"/>
                <w:sz w:val="21"/>
                <w:szCs w:val="21"/>
              </w:rPr>
              <w:br/>
              <w:t xml:space="preserve">2.5反光标识条：荧光黄色，荧光桔红色。</w:t>
            </w:r>
            <w:r>
              <w:rPr>
                <w:rFonts w:hint="eastAsia" w:ascii="宋体" w:hAnsi="宋体"/>
                <w:sz w:val="21"/>
                <w:szCs w:val="21"/>
              </w:rPr>
              <w:br/>
              <w:t xml:space="preserve">3.技术性能</w:t>
            </w:r>
            <w:r>
              <w:rPr>
                <w:rFonts w:hint="eastAsia" w:ascii="宋体" w:hAnsi="宋体"/>
                <w:sz w:val="21"/>
                <w:szCs w:val="21"/>
              </w:rPr>
              <w:br/>
              <w:t xml:space="preserve">▲3.1冲击吸收性能：高温预处理，最大冲击力≤2400N；低温热预处理，最大冲击力≤2600N；浸水预处理，最大冲击力≤2650N；辐射预处理，最大冲击力≤2500N。</w:t>
            </w:r>
            <w:r>
              <w:rPr>
                <w:rFonts w:hint="eastAsia" w:ascii="宋体" w:hAnsi="宋体"/>
                <w:sz w:val="21"/>
                <w:szCs w:val="21"/>
              </w:rPr>
              <w:br/>
              <w:t xml:space="preserve">3.2抗冲击加速度性能：帽壳顶部≤130gn；帽壳前部≤350gn；帽壳侧部≤350gn；帽壳后部≤355gn。</w:t>
            </w:r>
            <w:r>
              <w:rPr>
                <w:rFonts w:hint="eastAsia" w:ascii="宋体" w:hAnsi="宋体"/>
                <w:sz w:val="21"/>
                <w:szCs w:val="21"/>
              </w:rPr>
              <w:br/>
              <w:t xml:space="preserve">3.3阻燃性能：头盔经高温实验后，下颏带损毁长度≤5mm，续燃时间0s；披肩损毁长度≤25mm，续燃时间0s；面罩续燃时间 0s；各部分均无熔融、滴落现象。</w:t>
            </w:r>
            <w:r>
              <w:rPr>
                <w:rFonts w:hint="eastAsia" w:ascii="宋体" w:hAnsi="宋体"/>
                <w:sz w:val="21"/>
                <w:szCs w:val="21"/>
              </w:rPr>
              <w:br/>
              <w:t xml:space="preserve">3.4电绝缘性能：帽壳泄露电流≤1.0mA。</w:t>
            </w:r>
            <w:r>
              <w:rPr>
                <w:rFonts w:hint="eastAsia" w:ascii="宋体" w:hAnsi="宋体"/>
                <w:sz w:val="21"/>
                <w:szCs w:val="21"/>
              </w:rPr>
              <w:br/>
              <w:t xml:space="preserve">3.5下颏带抗拉强度：延伸长度≤16mm。</w:t>
            </w:r>
            <w:r>
              <w:rPr>
                <w:rFonts w:hint="eastAsia" w:ascii="宋体" w:hAnsi="宋体"/>
                <w:sz w:val="21"/>
                <w:szCs w:val="21"/>
              </w:rPr>
              <w:br/>
              <w:t xml:space="preserve">3.6侧向刚性：帽壳最大变形≤22mm，卸载后变形≤3.5mm，帽壳无碎片脱落。</w:t>
            </w:r>
            <w:r>
              <w:rPr>
                <w:rFonts w:hint="eastAsia" w:ascii="宋体" w:hAnsi="宋体"/>
                <w:sz w:val="21"/>
                <w:szCs w:val="21"/>
              </w:rPr>
              <w:br/>
              <w:t xml:space="preserve">3.7面罩光学性能：面罩透光率≥80%（浅色）。</w:t>
            </w:r>
            <w:r>
              <w:rPr>
                <w:rFonts w:hint="eastAsia" w:ascii="宋体" w:hAnsi="宋体"/>
                <w:sz w:val="21"/>
                <w:szCs w:val="21"/>
              </w:rPr>
              <w:br/>
              <w:t xml:space="preserve">3.8披肩防水性能 耐静水压＞17kPa。</w:t>
            </w:r>
            <w:r>
              <w:rPr>
                <w:rFonts w:hint="eastAsia" w:ascii="宋体" w:hAnsi="宋体"/>
                <w:sz w:val="21"/>
                <w:szCs w:val="21"/>
              </w:rPr>
              <w:br/>
              <w:t xml:space="preserve">3.9视野：左、右水平视野＞105°。</w:t>
            </w:r>
            <w:r>
              <w:rPr>
                <w:rFonts w:hint="eastAsia" w:ascii="宋体" w:hAnsi="宋体"/>
                <w:sz w:val="21"/>
                <w:szCs w:val="21"/>
              </w:rPr>
              <w:br/>
              <w:t xml:space="preserve">3.10质量：≤1100g。</w:t>
            </w:r>
            <w:r>
              <w:rPr>
                <w:rFonts w:hint="eastAsia" w:ascii="宋体" w:hAnsi="宋体"/>
                <w:sz w:val="21"/>
                <w:szCs w:val="21"/>
              </w:rPr>
              <w:br/>
              <w:t xml:space="preserve">4、提供国家级或国家认可的第三方检测检验机构出具的检测检验报告，且报告应完整有效。</w:t>
            </w:r>
            <w:r/>
          </w:p>
        </w:tc>
      </w:tr>
      <w:tr>
        <w:trPr/>
        <w:tc>
          <w:tcPr>
            <w:shd w:val="clear" w:color="000000" w:fill="ffffff"/>
            <w:tcW w:w="604"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5</w:t>
            </w:r>
            <w:r/>
          </w:p>
        </w:tc>
        <w:tc>
          <w:tcPr>
            <w:shd w:val="clear" w:color="000000" w:fill="ffffff"/>
            <w:tcW w:w="951"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消防员灭火防护靴</w:t>
            </w:r>
            <w:r/>
          </w:p>
        </w:tc>
        <w:tc>
          <w:tcPr>
            <w:shd w:val="clear" w:color="000000" w:fill="ffffff"/>
            <w:tcW w:w="649"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双</w:t>
            </w:r>
            <w:r/>
          </w:p>
        </w:tc>
        <w:tc>
          <w:tcPr>
            <w:shd w:val="clear" w:color="000000" w:fill="ffffff"/>
            <w:tcW w:w="683"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10</w:t>
            </w:r>
            <w:r/>
          </w:p>
        </w:tc>
        <w:tc>
          <w:tcPr>
            <w:gridSpan w:val="5"/>
            <w:shd w:val="clear" w:color="000000" w:fill="ffffff"/>
            <w:tcW w:w="7314" w:type="dxa"/>
            <w:vAlign w:val="center"/>
            <w:textDirection w:val="lrTb"/>
            <w:noWrap w:val="false"/>
          </w:tcPr>
          <w:p>
            <w:pPr>
              <w:contextualSpacing/>
              <w:ind w:left="0"/>
              <w:jc w:val="left"/>
              <w:keepNext/>
              <w:widowControl w:val="off"/>
              <w:rPr>
                <w:rFonts w:ascii="宋体" w:hAnsi="宋体"/>
                <w:sz w:val="21"/>
                <w:szCs w:val="21"/>
              </w:rPr>
            </w:pPr>
            <w:r>
              <w:rPr>
                <w:rFonts w:hint="eastAsia" w:ascii="宋体" w:hAnsi="宋体"/>
                <w:sz w:val="21"/>
                <w:szCs w:val="21"/>
              </w:rPr>
              <w:t xml:space="preserve">1.整体要求</w:t>
            </w:r>
            <w:r>
              <w:rPr>
                <w:rFonts w:hint="eastAsia" w:ascii="宋体" w:hAnsi="宋体"/>
                <w:sz w:val="21"/>
                <w:szCs w:val="21"/>
              </w:rPr>
              <w:br/>
              <w:t xml:space="preserve">1.1符合XF6-2004《消防员灭火防护靴》标准要求。</w:t>
            </w:r>
            <w:r>
              <w:rPr>
                <w:rFonts w:hint="eastAsia" w:ascii="宋体" w:hAnsi="宋体"/>
                <w:sz w:val="21"/>
                <w:szCs w:val="21"/>
              </w:rPr>
              <w:br/>
              <w:t xml:space="preserve">1.2主要用于消防员在灭火救援中脚部的防护。具有防刺穿、防砸、防滑、防酸碱等功能，脚码符合国家标准要求。</w:t>
            </w:r>
            <w:r>
              <w:rPr>
                <w:rFonts w:hint="eastAsia" w:ascii="宋体" w:hAnsi="宋体"/>
                <w:sz w:val="21"/>
                <w:szCs w:val="21"/>
              </w:rPr>
              <w:br/>
              <w:t xml:space="preserve">1.3采用优质进口橡胶高强力一次性挤压而成，靴面光滑，靴内采用凯夫拉防穿刺中底，靴头采用铝包头。靴底采用优质橡胶制成，靴底的防滑齿与靴底为一体，牢固耐用、耐磨。</w:t>
            </w:r>
            <w:r>
              <w:rPr>
                <w:rFonts w:hint="eastAsia" w:ascii="宋体" w:hAnsi="宋体"/>
                <w:sz w:val="21"/>
                <w:szCs w:val="21"/>
              </w:rPr>
              <w:br/>
              <w:t xml:space="preserve">2. 技术性能</w:t>
            </w:r>
            <w:r>
              <w:rPr>
                <w:rFonts w:hint="eastAsia" w:ascii="宋体" w:hAnsi="宋体"/>
                <w:sz w:val="21"/>
                <w:szCs w:val="21"/>
              </w:rPr>
              <w:br/>
              <w:t xml:space="preserve">2.1靴底耐油性能：-2-10%。</w:t>
            </w:r>
            <w:r>
              <w:rPr>
                <w:rFonts w:hint="eastAsia" w:ascii="宋体" w:hAnsi="宋体"/>
                <w:sz w:val="21"/>
                <w:szCs w:val="21"/>
              </w:rPr>
              <w:br/>
              <w:t xml:space="preserve">2.2防砸性能：静压力试验后靴头间间隙高度≥17mm,冲击试验后靴头间间隙高度≥19mm。</w:t>
            </w:r>
            <w:r>
              <w:rPr>
                <w:rFonts w:hint="eastAsia" w:ascii="宋体" w:hAnsi="宋体"/>
                <w:sz w:val="21"/>
                <w:szCs w:val="21"/>
              </w:rPr>
              <w:br/>
              <w:t xml:space="preserve">2.3抗刺穿性能：≥2500N。</w:t>
            </w:r>
            <w:r>
              <w:rPr>
                <w:rFonts w:hint="eastAsia" w:ascii="宋体" w:hAnsi="宋体"/>
                <w:sz w:val="21"/>
                <w:szCs w:val="21"/>
              </w:rPr>
              <w:br/>
              <w:t xml:space="preserve">2.4电绝缘性能：击穿电压≥5000V，泄漏电流≤0.5mA。</w:t>
            </w:r>
            <w:r>
              <w:rPr>
                <w:rFonts w:hint="eastAsia" w:ascii="宋体" w:hAnsi="宋体"/>
                <w:sz w:val="21"/>
                <w:szCs w:val="21"/>
              </w:rPr>
              <w:br/>
              <w:t xml:space="preserve">2.5隔热性能：≤10℃。</w:t>
            </w:r>
            <w:r>
              <w:rPr>
                <w:rFonts w:hint="eastAsia" w:ascii="宋体" w:hAnsi="宋体"/>
                <w:sz w:val="21"/>
                <w:szCs w:val="21"/>
              </w:rPr>
              <w:br/>
              <w:t xml:space="preserve">2.6抗辐射热渗透性能：≤8℃。</w:t>
            </w:r>
            <w:r>
              <w:rPr>
                <w:rFonts w:hint="eastAsia" w:ascii="宋体" w:hAnsi="宋体"/>
                <w:sz w:val="21"/>
                <w:szCs w:val="21"/>
              </w:rPr>
              <w:br/>
              <w:t xml:space="preserve">2.7防滑性能：≥15°。</w:t>
            </w:r>
            <w:r>
              <w:rPr>
                <w:rFonts w:hint="eastAsia" w:ascii="宋体" w:hAnsi="宋体"/>
                <w:sz w:val="21"/>
                <w:szCs w:val="21"/>
              </w:rPr>
              <w:br/>
              <w:t xml:space="preserve">2.8防水性能：不应出现渗水现象。</w:t>
            </w:r>
            <w:r>
              <w:rPr>
                <w:rFonts w:hint="eastAsia" w:ascii="宋体" w:hAnsi="宋体"/>
                <w:sz w:val="21"/>
                <w:szCs w:val="21"/>
              </w:rPr>
              <w:br/>
              <w:t xml:space="preserve">2.9质量：≤2.0kg。</w:t>
            </w:r>
            <w:r>
              <w:rPr>
                <w:rFonts w:hint="eastAsia" w:ascii="宋体" w:hAnsi="宋体"/>
                <w:sz w:val="21"/>
                <w:szCs w:val="21"/>
              </w:rPr>
              <w:br/>
              <w:t xml:space="preserve">2.10抗切割性能：靴面经抗切割试验，不应该被割穿。</w:t>
            </w:r>
            <w:r>
              <w:rPr>
                <w:rFonts w:hint="eastAsia" w:ascii="宋体" w:hAnsi="宋体"/>
                <w:sz w:val="21"/>
                <w:szCs w:val="21"/>
              </w:rPr>
              <w:br/>
              <w:t xml:space="preserve">3、提供国家级或国家认可的第三方检测检验机构出具的检测检验报告，且报告应完整有效。</w:t>
            </w:r>
            <w:r/>
          </w:p>
        </w:tc>
      </w:tr>
      <w:tr>
        <w:trPr/>
        <w:tc>
          <w:tcPr>
            <w:shd w:val="clear" w:color="000000" w:fill="ffffff"/>
            <w:tcW w:w="604"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6</w:t>
            </w:r>
            <w:r/>
          </w:p>
        </w:tc>
        <w:tc>
          <w:tcPr>
            <w:shd w:val="clear" w:color="000000" w:fill="ffffff"/>
            <w:tcW w:w="951"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消防员安全腰带</w:t>
            </w:r>
            <w:r/>
          </w:p>
        </w:tc>
        <w:tc>
          <w:tcPr>
            <w:shd w:val="clear" w:color="000000" w:fill="ffffff"/>
            <w:tcW w:w="649"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条</w:t>
            </w:r>
            <w:r/>
          </w:p>
        </w:tc>
        <w:tc>
          <w:tcPr>
            <w:shd w:val="clear" w:color="000000" w:fill="ffffff"/>
            <w:tcW w:w="683"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10</w:t>
            </w:r>
            <w:r/>
          </w:p>
        </w:tc>
        <w:tc>
          <w:tcPr>
            <w:gridSpan w:val="5"/>
            <w:shd w:val="clear" w:color="000000" w:fill="ffffff"/>
            <w:tcW w:w="7314" w:type="dxa"/>
            <w:vAlign w:val="center"/>
            <w:textDirection w:val="lrTb"/>
            <w:noWrap w:val="false"/>
          </w:tcPr>
          <w:p>
            <w:pPr>
              <w:contextualSpacing/>
              <w:ind w:left="0"/>
              <w:jc w:val="left"/>
              <w:keepNext/>
              <w:widowControl w:val="off"/>
              <w:rPr>
                <w:rFonts w:ascii="宋体" w:hAnsi="宋体"/>
                <w:sz w:val="21"/>
                <w:szCs w:val="21"/>
              </w:rPr>
            </w:pPr>
            <w:r>
              <w:rPr>
                <w:rFonts w:hint="eastAsia" w:ascii="宋体" w:hAnsi="宋体"/>
                <w:sz w:val="21"/>
                <w:szCs w:val="21"/>
              </w:rPr>
              <w:t xml:space="preserve">1.整体要求</w:t>
            </w:r>
            <w:r>
              <w:rPr>
                <w:rFonts w:hint="eastAsia" w:ascii="宋体" w:hAnsi="宋体"/>
                <w:sz w:val="21"/>
                <w:szCs w:val="21"/>
              </w:rPr>
              <w:br/>
              <w:t xml:space="preserve">1.1符合国家XF494-2023《消防用防坠落装备》标准要求。</w:t>
            </w:r>
            <w:r>
              <w:rPr>
                <w:rFonts w:hint="eastAsia" w:ascii="宋体" w:hAnsi="宋体"/>
                <w:sz w:val="21"/>
                <w:szCs w:val="21"/>
              </w:rPr>
              <w:br/>
              <w:t xml:space="preserve">1.2本产品由织带、2个D型环、双排插杆外带扣、带圆弧整烫的带尾等组成。织带由聚酰胺纤维制成，金属拉环材质为铝合金7075或更优材质。</w:t>
            </w:r>
            <w:r>
              <w:rPr>
                <w:rFonts w:hint="eastAsia" w:ascii="宋体" w:hAnsi="宋体"/>
                <w:sz w:val="21"/>
                <w:szCs w:val="21"/>
              </w:rPr>
              <w:br/>
              <w:t xml:space="preserve">2.外观</w:t>
            </w:r>
            <w:r>
              <w:rPr>
                <w:rFonts w:hint="eastAsia" w:ascii="宋体" w:hAnsi="宋体"/>
                <w:sz w:val="21"/>
                <w:szCs w:val="21"/>
              </w:rPr>
              <w:br/>
              <w:t xml:space="preserve">2.1本产品织带为一整根，没有接缝。</w:t>
            </w:r>
            <w:r>
              <w:rPr>
                <w:rFonts w:hint="eastAsia" w:ascii="宋体" w:hAnsi="宋体"/>
                <w:sz w:val="21"/>
                <w:szCs w:val="21"/>
              </w:rPr>
              <w:br/>
              <w:t xml:space="preserve">2.2拉环无焊接，拉环与带扣无棱角、毛刺。</w:t>
            </w:r>
            <w:r>
              <w:rPr>
                <w:rFonts w:hint="eastAsia" w:ascii="宋体" w:hAnsi="宋体"/>
                <w:sz w:val="21"/>
                <w:szCs w:val="21"/>
              </w:rPr>
              <w:br/>
            </w:r>
            <w:r>
              <w:rPr>
                <w:rFonts w:hint="eastAsia" w:ascii="宋体" w:hAnsi="宋体"/>
                <w:sz w:val="21"/>
                <w:szCs w:val="21"/>
              </w:rPr>
              <w:t xml:space="preserve">2.3设计负荷≥1.33 KN。</w:t>
            </w:r>
            <w:r>
              <w:rPr>
                <w:rFonts w:hint="eastAsia" w:ascii="宋体" w:hAnsi="宋体"/>
                <w:sz w:val="21"/>
                <w:szCs w:val="21"/>
              </w:rPr>
              <w:br/>
              <w:t xml:space="preserve">3.技术性能</w:t>
            </w:r>
            <w:r>
              <w:rPr>
                <w:rFonts w:hint="eastAsia" w:ascii="宋体" w:hAnsi="宋体"/>
                <w:sz w:val="21"/>
                <w:szCs w:val="21"/>
              </w:rPr>
              <w:br/>
              <w:t xml:space="preserve">3.1带宽69~70mm，织带厚度3.0±0.3mm，拉环最小厚度≥5mm，最大厚度≥9mm。</w:t>
            </w:r>
            <w:r>
              <w:rPr>
                <w:rFonts w:hint="eastAsia" w:ascii="宋体" w:hAnsi="宋体"/>
                <w:sz w:val="21"/>
                <w:szCs w:val="21"/>
              </w:rPr>
              <w:br/>
              <w:t xml:space="preserve">3.2正立和水平方向静负荷性能：安全腰带上所有拉环经正立方向静拉力试验和水平方向静拉力试验后，安全腰带不应从人体模型上松脱，安全腰带的织带在带扣和调节装置内的滑移距离应不超过25mm，而且安全腰带不应出现影响其安全性能的明显损伤</w:t>
            </w:r>
            <w:r>
              <w:rPr>
                <w:rFonts w:hint="eastAsia" w:ascii="宋体" w:hAnsi="宋体"/>
                <w:sz w:val="21"/>
                <w:szCs w:val="21"/>
              </w:rPr>
              <w:br/>
              <w:t xml:space="preserve">3.3抗冲击性能：安全带上所有承载连接部件应进行冲击试验。试验时，安全带不应从人体模型上松脱，而且安全带不应出现影响其安全性能的明显损伤。</w:t>
            </w:r>
            <w:r>
              <w:rPr>
                <w:rFonts w:hint="eastAsia" w:ascii="宋体" w:hAnsi="宋体"/>
                <w:sz w:val="21"/>
                <w:szCs w:val="21"/>
              </w:rPr>
              <w:br/>
              <w:t xml:space="preserve">3.4耐高温性能：经 204℃±5℃的耐高温性能试验后，安全带的织带和缝线不应出现熔融、焦化现象。</w:t>
            </w:r>
            <w:r>
              <w:rPr>
                <w:rFonts w:hint="eastAsia" w:ascii="宋体" w:hAnsi="宋体"/>
                <w:sz w:val="21"/>
                <w:szCs w:val="21"/>
              </w:rPr>
              <w:br/>
              <w:t xml:space="preserve">3.5金属零件的耐腐蚀性能：试样中的金属零件经 GB/T 10125 规定的 48h 中性盐雾试验后，外观应符合 GB/T 6461 外观等级评定轻微级的要求。</w:t>
            </w:r>
            <w:r>
              <w:rPr>
                <w:rFonts w:hint="eastAsia" w:ascii="宋体" w:hAnsi="宋体"/>
                <w:sz w:val="21"/>
                <w:szCs w:val="21"/>
              </w:rPr>
              <w:br/>
              <w:t xml:space="preserve">3.6质量：≤0.65 kg。</w:t>
            </w:r>
            <w:r>
              <w:rPr>
                <w:rFonts w:hint="eastAsia" w:ascii="宋体" w:hAnsi="宋体"/>
                <w:sz w:val="21"/>
                <w:szCs w:val="21"/>
              </w:rPr>
              <w:br/>
              <w:t xml:space="preserve">4、提供国家级或国家认可的第三方检测检验机构出具的检测检验报告，且报告应完整有效。</w:t>
            </w:r>
            <w:r/>
          </w:p>
        </w:tc>
      </w:tr>
      <w:tr>
        <w:trPr/>
        <w:tc>
          <w:tcPr>
            <w:shd w:val="clear" w:color="000000" w:fill="ffffff"/>
            <w:tcW w:w="604"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7</w:t>
            </w:r>
            <w:r/>
          </w:p>
        </w:tc>
        <w:tc>
          <w:tcPr>
            <w:shd w:val="clear" w:color="000000" w:fill="ffffff"/>
            <w:tcW w:w="951"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消防员灭火防护手套</w:t>
            </w:r>
            <w:r/>
          </w:p>
        </w:tc>
        <w:tc>
          <w:tcPr>
            <w:shd w:val="clear" w:color="000000" w:fill="ffffff"/>
            <w:tcW w:w="649"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双</w:t>
            </w:r>
            <w:r/>
          </w:p>
        </w:tc>
        <w:tc>
          <w:tcPr>
            <w:shd w:val="clear" w:color="000000" w:fill="ffffff"/>
            <w:tcW w:w="683"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20</w:t>
            </w:r>
            <w:r/>
          </w:p>
        </w:tc>
        <w:tc>
          <w:tcPr>
            <w:gridSpan w:val="5"/>
            <w:shd w:val="clear" w:color="000000" w:fill="ffffff"/>
            <w:tcW w:w="7314" w:type="dxa"/>
            <w:vAlign w:val="center"/>
            <w:textDirection w:val="lrTb"/>
            <w:noWrap w:val="false"/>
          </w:tcPr>
          <w:p>
            <w:pPr>
              <w:contextualSpacing/>
              <w:ind w:left="0"/>
              <w:jc w:val="left"/>
              <w:keepNext/>
              <w:widowControl w:val="off"/>
              <w:rPr>
                <w:rFonts w:ascii="宋体" w:hAnsi="宋体"/>
                <w:sz w:val="21"/>
                <w:szCs w:val="21"/>
              </w:rPr>
            </w:pPr>
            <w:r>
              <w:rPr>
                <w:rFonts w:hint="eastAsia" w:ascii="宋体" w:hAnsi="宋体"/>
                <w:sz w:val="21"/>
                <w:szCs w:val="21"/>
              </w:rPr>
              <w:t xml:space="preserve">1、符合XF7-2004《消防手套》标准要求；</w:t>
            </w:r>
            <w:r>
              <w:rPr>
                <w:rFonts w:hint="eastAsia" w:ascii="宋体" w:hAnsi="宋体"/>
                <w:sz w:val="21"/>
                <w:szCs w:val="21"/>
              </w:rPr>
              <w:br/>
              <w:t xml:space="preserve">2、消防用灭火防护手套形状手指部分自然弯曲，符合人体工程学。手套侧面带有D型环可挂于身上，方便携带。</w:t>
            </w:r>
            <w:r>
              <w:rPr>
                <w:rFonts w:hint="eastAsia" w:ascii="宋体" w:hAnsi="宋体"/>
                <w:sz w:val="21"/>
                <w:szCs w:val="21"/>
              </w:rPr>
              <w:br/>
              <w:t xml:space="preserve">3、外层手掌、手背材料均采用牛皮，防水材料采用防水透气膜，隔热层材料采用抗菌抗静电拉绒布。</w:t>
            </w:r>
            <w:r>
              <w:rPr>
                <w:rFonts w:hint="eastAsia" w:ascii="宋体" w:hAnsi="宋体"/>
                <w:sz w:val="21"/>
                <w:szCs w:val="21"/>
              </w:rPr>
              <w:br/>
              <w:t xml:space="preserve">4、拇指、食指、中指增加耐磨布补强，无名指和小拇指增加TPR防护，手背设有防护壳保护手背安全，手套袖筒有腕带可收紧。</w:t>
            </w:r>
            <w:r>
              <w:rPr>
                <w:rFonts w:hint="eastAsia" w:ascii="宋体" w:hAnsi="宋体"/>
                <w:sz w:val="21"/>
                <w:szCs w:val="21"/>
              </w:rPr>
              <w:br/>
              <w:t xml:space="preserve">5、整体热防护性能：≥45cal/c㎡； </w:t>
            </w:r>
            <w:r>
              <w:rPr>
                <w:rFonts w:hint="eastAsia" w:ascii="宋体" w:hAnsi="宋体"/>
                <w:sz w:val="21"/>
                <w:szCs w:val="21"/>
              </w:rPr>
              <w:br/>
              <w:t xml:space="preserve">6、▲阻燃性能手套掌心面、手套背面：经向续燃时间≤0s、阴燃时间≤0s，损毁长度≤10mm，试验现象应无熔融，无滴落；纬向续燃时间≤0s、阴燃时间≤0s，损毁长度≤10 mm，试验现象应无熔融，无滴落；隔热层手套掌心面、手套背面：经向续燃时间≤0s、阴燃时间≤0s，损毁长度≤5mm，试验现象应无熔融，无滴落；纬向续燃时间≤0s、阴燃时间≤0s，损毁长度≤5mm，试验现象应无熔融，无滴落；衬里：应无熔融滴落现象；</w:t>
            </w:r>
            <w:r>
              <w:rPr>
                <w:rFonts w:hint="eastAsia" w:ascii="宋体" w:hAnsi="宋体"/>
                <w:sz w:val="21"/>
                <w:szCs w:val="21"/>
              </w:rPr>
              <w:br/>
              <w:t xml:space="preserve">7、力学防护性能：撕破强力≥105N，手套穿刺力：≥100N，割破力(N)：≥15N；</w:t>
            </w:r>
            <w:r>
              <w:rPr>
                <w:rFonts w:hint="eastAsia" w:ascii="宋体" w:hAnsi="宋体"/>
                <w:sz w:val="21"/>
                <w:szCs w:val="21"/>
              </w:rPr>
              <w:br/>
              <w:t xml:space="preserve">8、耐热性能：手套收缩率≤2%；试验表面应无明显变化，且无熔融，脱离和燃烧试验现象；衬里收缩率≤1%；试验表面应无明显变化，且无熔融，脱离和燃烧试验现象；</w:t>
            </w:r>
            <w:r>
              <w:rPr>
                <w:rFonts w:hint="eastAsia" w:ascii="宋体" w:hAnsi="宋体"/>
                <w:sz w:val="21"/>
                <w:szCs w:val="21"/>
              </w:rPr>
              <w:br/>
              <w:t xml:space="preserve">9、耐静水压性能:手套防水层和其线缝在静水压7kPa下 ,试验5min后，无水滴；</w:t>
            </w:r>
            <w:r>
              <w:rPr>
                <w:rFonts w:hint="eastAsia" w:ascii="宋体" w:hAnsi="宋体"/>
                <w:sz w:val="21"/>
                <w:szCs w:val="21"/>
              </w:rPr>
              <w:br/>
              <w:t xml:space="preserve">10、握紧性能：拉重力比（%）≥80%；</w:t>
            </w:r>
            <w:r>
              <w:rPr>
                <w:rFonts w:hint="eastAsia" w:ascii="宋体" w:hAnsi="宋体"/>
                <w:sz w:val="21"/>
                <w:szCs w:val="21"/>
              </w:rPr>
              <w:br/>
              <w:t xml:space="preserve">11、穿戴性能：穿戴时间（s）≤2s；</w:t>
            </w:r>
            <w:r>
              <w:rPr>
                <w:rFonts w:hint="eastAsia" w:ascii="宋体" w:hAnsi="宋体"/>
                <w:sz w:val="21"/>
                <w:szCs w:val="21"/>
              </w:rPr>
              <w:br/>
              <w:t xml:space="preserve">12、提供国家级或国家认可的第三方检测检验机构出具的检测检验报告，且报告应完整有效。</w:t>
            </w:r>
            <w:r/>
          </w:p>
        </w:tc>
      </w:tr>
      <w:tr>
        <w:trPr/>
        <w:tc>
          <w:tcPr>
            <w:shd w:val="clear" w:color="000000" w:fill="ffffff"/>
            <w:tcW w:w="604"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8</w:t>
            </w:r>
            <w:r/>
          </w:p>
        </w:tc>
        <w:tc>
          <w:tcPr>
            <w:shd w:val="clear" w:color="000000" w:fill="ffffff"/>
            <w:tcW w:w="951"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消防腰斧</w:t>
            </w:r>
            <w:r/>
          </w:p>
        </w:tc>
        <w:tc>
          <w:tcPr>
            <w:shd w:val="clear" w:color="000000" w:fill="ffffff"/>
            <w:tcW w:w="649"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把</w:t>
            </w:r>
            <w:r/>
          </w:p>
        </w:tc>
        <w:tc>
          <w:tcPr>
            <w:shd w:val="clear" w:color="000000" w:fill="ffffff"/>
            <w:tcW w:w="683"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10</w:t>
            </w:r>
            <w:r/>
          </w:p>
        </w:tc>
        <w:tc>
          <w:tcPr>
            <w:gridSpan w:val="5"/>
            <w:shd w:val="clear" w:color="000000" w:fill="ffffff"/>
            <w:tcW w:w="7314" w:type="dxa"/>
            <w:vAlign w:val="center"/>
            <w:textDirection w:val="lrTb"/>
            <w:noWrap w:val="false"/>
          </w:tcPr>
          <w:p>
            <w:pPr>
              <w:contextualSpacing/>
              <w:ind w:left="0"/>
              <w:jc w:val="left"/>
              <w:keepNext/>
              <w:widowControl w:val="off"/>
              <w:rPr>
                <w:rFonts w:ascii="宋体" w:hAnsi="宋体"/>
                <w:sz w:val="21"/>
                <w:szCs w:val="21"/>
              </w:rPr>
            </w:pPr>
            <w:r>
              <w:rPr>
                <w:rFonts w:hint="eastAsia" w:ascii="宋体" w:hAnsi="宋体"/>
                <w:sz w:val="21"/>
                <w:szCs w:val="21"/>
              </w:rPr>
              <w:t xml:space="preserve">1.整体要求</w:t>
            </w:r>
            <w:r>
              <w:rPr>
                <w:rFonts w:hint="eastAsia" w:ascii="宋体" w:hAnsi="宋体"/>
                <w:sz w:val="21"/>
                <w:szCs w:val="21"/>
              </w:rPr>
              <w:br/>
              <w:t xml:space="preserve">1.1符合XF630-2023《消防腰斧》标准要求，需提供国家消防装备质量检验检测中心检验出具的检验报告复印件。</w:t>
            </w:r>
            <w:r>
              <w:rPr>
                <w:rFonts w:hint="eastAsia" w:ascii="宋体" w:hAnsi="宋体"/>
                <w:sz w:val="21"/>
                <w:szCs w:val="21"/>
              </w:rPr>
              <w:br/>
              <w:t xml:space="preserve">1.2本产品适用于消防员随身佩戴，是集砍、斧、锤、撬、锯等功能为一体的便携式手动工具。并配有与消防腰斧匹配的牛皮腰斧套。</w:t>
            </w:r>
            <w:r>
              <w:rPr>
                <w:rFonts w:hint="eastAsia" w:ascii="宋体" w:hAnsi="宋体"/>
                <w:sz w:val="21"/>
                <w:szCs w:val="21"/>
              </w:rPr>
              <w:br/>
              <w:t xml:space="preserve">1.3斧体采用不锈钢材料，斧柄套为:TPR热塑性弹性体。</w:t>
            </w:r>
            <w:r>
              <w:rPr>
                <w:rFonts w:hint="eastAsia" w:ascii="宋体" w:hAnsi="宋体"/>
                <w:sz w:val="21"/>
                <w:szCs w:val="21"/>
              </w:rPr>
              <w:br/>
              <w:t xml:space="preserve">2.技术性能</w:t>
            </w:r>
            <w:r>
              <w:rPr>
                <w:rFonts w:hint="eastAsia" w:ascii="宋体" w:hAnsi="宋体"/>
                <w:sz w:val="21"/>
                <w:szCs w:val="21"/>
              </w:rPr>
              <w:br/>
              <w:t xml:space="preserve">2.1消防腰斧全长285±2.5mm，斧头长：160±2.5mm mm。</w:t>
            </w:r>
            <w:r>
              <w:rPr>
                <w:rFonts w:hint="eastAsia" w:ascii="宋体" w:hAnsi="宋体"/>
                <w:sz w:val="21"/>
                <w:szCs w:val="21"/>
              </w:rPr>
              <w:br/>
            </w:r>
            <w:r>
              <w:rPr>
                <w:rFonts w:hint="eastAsia" w:ascii="宋体" w:hAnsi="宋体"/>
                <w:sz w:val="21"/>
                <w:szCs w:val="21"/>
              </w:rPr>
              <w:t xml:space="preserve">2.2质量：≤0.8Kg。</w:t>
            </w:r>
            <w:r>
              <w:rPr>
                <w:rFonts w:hint="eastAsia" w:ascii="宋体" w:hAnsi="宋体"/>
                <w:sz w:val="21"/>
                <w:szCs w:val="21"/>
              </w:rPr>
              <w:br/>
              <w:t xml:space="preserve">2.3电绝缘性能：斧柄抓握区域绝缘电阻≥10MΩ。</w:t>
            </w:r>
            <w:r>
              <w:rPr>
                <w:rFonts w:hint="eastAsia" w:ascii="宋体" w:hAnsi="宋体"/>
                <w:sz w:val="21"/>
                <w:szCs w:val="21"/>
              </w:rPr>
              <w:br/>
              <w:t xml:space="preserve">2.4刃部硬度为48-56HRC。</w:t>
            </w:r>
            <w:r>
              <w:rPr>
                <w:rFonts w:hint="eastAsia" w:ascii="宋体" w:hAnsi="宋体"/>
                <w:sz w:val="21"/>
                <w:szCs w:val="21"/>
              </w:rPr>
              <w:br/>
              <w:t xml:space="preserve">2.5抗冲击性能：各刃部经5Kg的重锤冲击后，无裂纹、变形等损伤。</w:t>
            </w:r>
            <w:r>
              <w:rPr>
                <w:rFonts w:hint="eastAsia" w:ascii="宋体" w:hAnsi="宋体"/>
                <w:sz w:val="21"/>
                <w:szCs w:val="21"/>
              </w:rPr>
              <w:br/>
              <w:t xml:space="preserve">2.6平刃砍断性能：能砍断直径5mm的Q235A圆钢，无明显缺刃、卷边和裂缝等损伤。</w:t>
            </w:r>
            <w:r>
              <w:rPr>
                <w:rFonts w:hint="eastAsia" w:ascii="宋体" w:hAnsi="宋体"/>
                <w:sz w:val="21"/>
                <w:szCs w:val="21"/>
              </w:rPr>
              <w:br/>
              <w:t xml:space="preserve">2.7尖刃和柄刃凿击性能：能凿击厚度1.5mm的Q235A钢平板，无明显缺刃、卷边和裂缝等损伤。</w:t>
            </w:r>
            <w:r>
              <w:rPr>
                <w:rFonts w:hint="eastAsia" w:ascii="宋体" w:hAnsi="宋体"/>
                <w:sz w:val="21"/>
                <w:szCs w:val="21"/>
              </w:rPr>
              <w:br/>
              <w:t xml:space="preserve">2.8耐腐蚀性能：经48h中性盐雾实验后，外观符合GB/T6461-2002外观等级评定轻微级的要求。</w:t>
            </w:r>
            <w:r>
              <w:rPr>
                <w:rFonts w:hint="eastAsia" w:ascii="宋体" w:hAnsi="宋体"/>
                <w:sz w:val="21"/>
                <w:szCs w:val="21"/>
              </w:rPr>
              <w:br/>
              <w:t xml:space="preserve">2.9消防腰斧各刃部应抛光，其表面粗糙度Ra值≤1.0μm。</w:t>
            </w:r>
            <w:r>
              <w:rPr>
                <w:rFonts w:hint="eastAsia" w:ascii="宋体" w:hAnsi="宋体"/>
                <w:sz w:val="21"/>
                <w:szCs w:val="21"/>
              </w:rPr>
              <w:br/>
              <w:t xml:space="preserve">3、整套腰斧含腰斧套。</w:t>
            </w:r>
            <w:r/>
          </w:p>
        </w:tc>
      </w:tr>
      <w:tr>
        <w:trPr/>
        <w:tc>
          <w:tcPr>
            <w:shd w:val="clear" w:color="000000" w:fill="ffffff"/>
            <w:tcW w:w="604"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9</w:t>
            </w:r>
            <w:r/>
          </w:p>
        </w:tc>
        <w:tc>
          <w:tcPr>
            <w:shd w:val="clear" w:color="000000" w:fill="ffffff"/>
            <w:tcW w:w="951"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消防员个人安全绳</w:t>
            </w:r>
            <w:r/>
          </w:p>
        </w:tc>
        <w:tc>
          <w:tcPr>
            <w:shd w:val="clear" w:color="000000" w:fill="ffffff"/>
            <w:tcW w:w="649"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根</w:t>
            </w:r>
            <w:r/>
          </w:p>
        </w:tc>
        <w:tc>
          <w:tcPr>
            <w:shd w:val="clear" w:color="000000" w:fill="ffffff"/>
            <w:tcW w:w="683"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10</w:t>
            </w:r>
            <w:r/>
          </w:p>
        </w:tc>
        <w:tc>
          <w:tcPr>
            <w:gridSpan w:val="5"/>
            <w:shd w:val="clear" w:color="000000" w:fill="ffffff"/>
            <w:tcW w:w="7314" w:type="dxa"/>
            <w:vAlign w:val="center"/>
            <w:textDirection w:val="lrTb"/>
            <w:noWrap w:val="false"/>
          </w:tcPr>
          <w:p>
            <w:pPr>
              <w:contextualSpacing/>
              <w:ind w:left="0"/>
              <w:jc w:val="left"/>
              <w:keepNext/>
              <w:widowControl w:val="off"/>
              <w:rPr>
                <w:rFonts w:ascii="宋体" w:hAnsi="宋体"/>
                <w:sz w:val="21"/>
                <w:szCs w:val="21"/>
              </w:rPr>
            </w:pPr>
            <w:r>
              <w:rPr>
                <w:rFonts w:hint="eastAsia" w:ascii="宋体" w:hAnsi="宋体"/>
                <w:sz w:val="21"/>
                <w:szCs w:val="21"/>
              </w:rPr>
              <w:t xml:space="preserve">1.整体要求</w:t>
            </w:r>
            <w:r>
              <w:rPr>
                <w:rFonts w:hint="eastAsia" w:ascii="宋体" w:hAnsi="宋体"/>
                <w:sz w:val="21"/>
                <w:szCs w:val="21"/>
              </w:rPr>
              <w:br/>
              <w:t xml:space="preserve">1.1符合国家XF494-2023《消防用防坠落装备》标准要求。</w:t>
            </w:r>
            <w:r>
              <w:rPr>
                <w:rFonts w:hint="eastAsia" w:ascii="宋体" w:hAnsi="宋体"/>
                <w:sz w:val="21"/>
                <w:szCs w:val="21"/>
              </w:rPr>
              <w:br/>
              <w:t xml:space="preserve">2.结构</w:t>
            </w:r>
            <w:r>
              <w:rPr>
                <w:rFonts w:hint="eastAsia" w:ascii="宋体" w:hAnsi="宋体"/>
                <w:sz w:val="21"/>
                <w:szCs w:val="21"/>
              </w:rPr>
              <w:br/>
              <w:t xml:space="preserve">2.1安全绳整体粗细均匀、结构一致，表面无任何机械损伤，并且绳两端妥善收尾。</w:t>
            </w:r>
            <w:r>
              <w:rPr>
                <w:rFonts w:hint="eastAsia" w:ascii="宋体" w:hAnsi="宋体"/>
                <w:sz w:val="21"/>
                <w:szCs w:val="21"/>
              </w:rPr>
              <w:br/>
              <w:t xml:space="preserve">2.2整绳由绳芯、绳皮连续组合而成，绳芯材料和绳皮材料均为高强涤纶长丝。</w:t>
            </w:r>
            <w:r>
              <w:rPr>
                <w:rFonts w:hint="eastAsia" w:ascii="宋体" w:hAnsi="宋体"/>
                <w:sz w:val="21"/>
                <w:szCs w:val="21"/>
              </w:rPr>
              <w:br/>
              <w:t xml:space="preserve"> 3.技术性能：</w:t>
            </w:r>
            <w:r>
              <w:rPr>
                <w:rFonts w:hint="eastAsia" w:ascii="宋体" w:hAnsi="宋体"/>
                <w:sz w:val="21"/>
                <w:szCs w:val="21"/>
              </w:rPr>
              <w:br/>
              <w:t xml:space="preserve">3.1直径：9.5±0.5mm，长度≥20米。</w:t>
            </w:r>
            <w:r>
              <w:rPr>
                <w:rFonts w:hint="eastAsia" w:ascii="宋体" w:hAnsi="宋体"/>
                <w:sz w:val="21"/>
                <w:szCs w:val="21"/>
              </w:rPr>
              <w:br/>
              <w:t xml:space="preserve">3.2破断强度：≥23KN。</w:t>
            </w:r>
            <w:r>
              <w:rPr>
                <w:rFonts w:hint="eastAsia" w:ascii="宋体" w:hAnsi="宋体"/>
                <w:sz w:val="21"/>
                <w:szCs w:val="21"/>
              </w:rPr>
              <w:br/>
              <w:t xml:space="preserve">3.3延伸率：当承重达到最小破断强度的10%时，安全绳的延伸率≤2%。</w:t>
            </w:r>
            <w:r>
              <w:rPr>
                <w:rFonts w:hint="eastAsia" w:ascii="宋体" w:hAnsi="宋体"/>
                <w:sz w:val="21"/>
                <w:szCs w:val="21"/>
              </w:rPr>
              <w:br/>
              <w:t xml:space="preserve">3.4经204±5℃的耐高温性能试验后，安全绳不应出现熔融、焦化现象。</w:t>
            </w:r>
            <w:r>
              <w:rPr>
                <w:rFonts w:hint="eastAsia" w:ascii="宋体" w:hAnsi="宋体"/>
                <w:sz w:val="21"/>
                <w:szCs w:val="21"/>
              </w:rPr>
              <w:br/>
              <w:t xml:space="preserve">4.其他</w:t>
            </w:r>
            <w:r>
              <w:rPr>
                <w:rFonts w:hint="eastAsia" w:ascii="宋体" w:hAnsi="宋体"/>
                <w:sz w:val="21"/>
                <w:szCs w:val="21"/>
              </w:rPr>
              <w:br/>
              <w:t xml:space="preserve">4.1在绳尾处采用透明套管热封方式标注永久性标签内容，包含产品型号、制造商名称、生产日期或批号等。</w:t>
            </w:r>
            <w:r>
              <w:rPr>
                <w:rFonts w:hint="eastAsia" w:ascii="宋体" w:hAnsi="宋体"/>
                <w:sz w:val="21"/>
                <w:szCs w:val="21"/>
              </w:rPr>
              <w:br/>
              <w:t xml:space="preserve">5、提供国家级或国家认可的第三方检测检验机构出具的检测检验报告，且报告应完整有效。</w:t>
            </w:r>
            <w:r/>
          </w:p>
        </w:tc>
      </w:tr>
      <w:tr>
        <w:trPr/>
        <w:tc>
          <w:tcPr>
            <w:shd w:val="clear" w:color="000000" w:fill="ffffff"/>
            <w:tcW w:w="604"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10</w:t>
            </w:r>
            <w:r/>
          </w:p>
        </w:tc>
        <w:tc>
          <w:tcPr>
            <w:shd w:val="clear" w:color="000000" w:fill="ffffff"/>
            <w:tcW w:w="951"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消防员呼救器</w:t>
            </w:r>
            <w:r/>
          </w:p>
        </w:tc>
        <w:tc>
          <w:tcPr>
            <w:shd w:val="clear" w:color="000000" w:fill="ffffff"/>
            <w:tcW w:w="649"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个</w:t>
            </w:r>
            <w:r/>
          </w:p>
        </w:tc>
        <w:tc>
          <w:tcPr>
            <w:shd w:val="clear" w:color="000000" w:fill="ffffff"/>
            <w:tcW w:w="683"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10</w:t>
            </w:r>
            <w:r/>
          </w:p>
        </w:tc>
        <w:tc>
          <w:tcPr>
            <w:gridSpan w:val="5"/>
            <w:shd w:val="clear" w:color="000000" w:fill="ffffff"/>
            <w:tcW w:w="7314" w:type="dxa"/>
            <w:vAlign w:val="center"/>
            <w:textDirection w:val="lrTb"/>
            <w:noWrap w:val="false"/>
          </w:tcPr>
          <w:p>
            <w:pPr>
              <w:contextualSpacing/>
              <w:ind w:left="0"/>
              <w:jc w:val="left"/>
              <w:keepNext/>
              <w:widowControl w:val="off"/>
              <w:rPr>
                <w:rFonts w:ascii="宋体" w:hAnsi="宋体"/>
                <w:sz w:val="21"/>
                <w:szCs w:val="21"/>
              </w:rPr>
            </w:pPr>
            <w:r>
              <w:rPr>
                <w:rFonts w:hint="eastAsia" w:ascii="宋体" w:hAnsi="宋体"/>
                <w:sz w:val="21"/>
                <w:szCs w:val="21"/>
              </w:rPr>
              <w:t xml:space="preserve">1、结构组成：主机、钥匙卡、充电器；</w:t>
            </w:r>
            <w:r>
              <w:rPr>
                <w:rFonts w:hint="eastAsia" w:ascii="宋体" w:hAnsi="宋体"/>
                <w:sz w:val="21"/>
                <w:szCs w:val="21"/>
              </w:rPr>
              <w:br/>
              <w:t xml:space="preserve">2、主要应用场景：用于消防员灭火救援作业中个人防护；</w:t>
            </w:r>
            <w:r>
              <w:rPr>
                <w:rFonts w:hint="eastAsia" w:ascii="宋体" w:hAnsi="宋体"/>
                <w:sz w:val="21"/>
                <w:szCs w:val="21"/>
              </w:rPr>
              <w:br/>
              <w:t xml:space="preserve">3、符合GB 27900-2011《消防员呼救器》标准；</w:t>
            </w:r>
            <w:r>
              <w:rPr>
                <w:rFonts w:hint="eastAsia" w:ascii="宋体" w:hAnsi="宋体"/>
                <w:sz w:val="21"/>
                <w:szCs w:val="21"/>
              </w:rPr>
              <w:br/>
              <w:t xml:space="preserve">4、报警功能：具备预报警功能、自动报警功能、手动报警功能；</w:t>
            </w:r>
            <w:r>
              <w:rPr>
                <w:rFonts w:hint="eastAsia" w:ascii="宋体" w:hAnsi="宋体"/>
                <w:sz w:val="21"/>
                <w:szCs w:val="21"/>
              </w:rPr>
              <w:br/>
              <w:t xml:space="preserve">5、低电压告警功能：当呼救器供电电池的电压低于额定电压的80%时，应发出区别于预报警声响信号的慢速断续告警声响信号或光信号。</w:t>
            </w:r>
            <w:r>
              <w:rPr>
                <w:rFonts w:hint="eastAsia" w:ascii="宋体" w:hAnsi="宋体"/>
                <w:sz w:val="21"/>
                <w:szCs w:val="21"/>
              </w:rPr>
              <w:br/>
              <w:t xml:space="preserve">6、通信功能：呼救器应能发射信号至接收终端予以识别，并能接收并识别来自接收终端发射的信号。</w:t>
            </w:r>
            <w:r>
              <w:rPr>
                <w:rFonts w:hint="eastAsia" w:ascii="宋体" w:hAnsi="宋体"/>
                <w:sz w:val="21"/>
                <w:szCs w:val="21"/>
              </w:rPr>
              <w:br/>
              <w:t xml:space="preserve">7、转换开关：应设置“关-手动-自动”转换开关。转换开关应灵活可靠、坚固耐用，并有防误动作结构。</w:t>
            </w:r>
            <w:r>
              <w:rPr>
                <w:rFonts w:hint="eastAsia" w:ascii="宋体" w:hAnsi="宋体"/>
                <w:sz w:val="21"/>
                <w:szCs w:val="21"/>
              </w:rPr>
              <w:br/>
              <w:t xml:space="preserve">8、允许静止时间：30±2S。</w:t>
            </w:r>
            <w:r>
              <w:rPr>
                <w:rFonts w:hint="eastAsia" w:ascii="宋体" w:hAnsi="宋体"/>
                <w:sz w:val="21"/>
                <w:szCs w:val="21"/>
              </w:rPr>
              <w:br/>
              <w:t xml:space="preserve">9、预报警时间：15±2S。</w:t>
            </w:r>
            <w:r>
              <w:rPr>
                <w:rFonts w:hint="eastAsia" w:ascii="宋体" w:hAnsi="宋体"/>
                <w:sz w:val="21"/>
                <w:szCs w:val="21"/>
              </w:rPr>
              <w:br/>
              <w:t xml:space="preserve">10、预报警声级强度：≥100dB。</w:t>
            </w:r>
            <w:r>
              <w:rPr>
                <w:rFonts w:hint="eastAsia" w:ascii="宋体" w:hAnsi="宋体"/>
                <w:sz w:val="21"/>
                <w:szCs w:val="21"/>
              </w:rPr>
              <w:br/>
              <w:t xml:space="preserve">11、报警声级强度：≥100dB。</w:t>
            </w:r>
            <w:r>
              <w:rPr>
                <w:rFonts w:hint="eastAsia" w:ascii="宋体" w:hAnsi="宋体"/>
                <w:sz w:val="21"/>
                <w:szCs w:val="21"/>
              </w:rPr>
              <w:br/>
              <w:t xml:space="preserve">12、低电压告警声级强度：≥65dB。</w:t>
            </w:r>
            <w:r>
              <w:rPr>
                <w:rFonts w:hint="eastAsia" w:ascii="宋体" w:hAnsi="宋体"/>
                <w:sz w:val="21"/>
                <w:szCs w:val="21"/>
              </w:rPr>
              <w:br/>
              <w:t xml:space="preserve">13、连续工作时间：</w:t>
            </w:r>
            <w:r>
              <w:rPr>
                <w:rFonts w:hint="eastAsia" w:ascii="宋体" w:hAnsi="宋体"/>
                <w:sz w:val="21"/>
                <w:szCs w:val="21"/>
              </w:rPr>
              <w:br/>
              <w:t xml:space="preserve">①连续开机时间：≥24h。</w:t>
            </w:r>
            <w:r>
              <w:rPr>
                <w:rFonts w:hint="eastAsia" w:ascii="宋体" w:hAnsi="宋体"/>
                <w:sz w:val="21"/>
                <w:szCs w:val="21"/>
              </w:rPr>
              <w:br/>
              <w:t xml:space="preserve">②连续报警时间：≥900min。</w:t>
            </w:r>
            <w:r>
              <w:rPr>
                <w:rFonts w:hint="eastAsia" w:ascii="宋体" w:hAnsi="宋体"/>
                <w:sz w:val="21"/>
                <w:szCs w:val="21"/>
              </w:rPr>
              <w:br/>
              <w:t xml:space="preserve">14、质量：≤230g。</w:t>
            </w:r>
            <w:r>
              <w:rPr>
                <w:rFonts w:hint="eastAsia" w:ascii="宋体" w:hAnsi="宋体"/>
                <w:sz w:val="21"/>
                <w:szCs w:val="21"/>
              </w:rPr>
              <w:br/>
              <w:t xml:space="preserve">15、通信距离，m≥2000。</w:t>
            </w:r>
            <w:r>
              <w:rPr>
                <w:rFonts w:hint="eastAsia" w:ascii="宋体" w:hAnsi="宋体"/>
                <w:sz w:val="21"/>
                <w:szCs w:val="21"/>
              </w:rPr>
              <w:br/>
              <w:t xml:space="preserve">16、发光亮度，cd/m2≥300。</w:t>
            </w:r>
            <w:r>
              <w:rPr>
                <w:rFonts w:hint="eastAsia" w:ascii="宋体" w:hAnsi="宋体"/>
                <w:sz w:val="21"/>
                <w:szCs w:val="21"/>
              </w:rPr>
              <w:br/>
              <w:t xml:space="preserve">17、外壳需采用防静电橡胶包胶工艺，具有较强的抗冲击、阻燃、耐高温性</w:t>
            </w:r>
            <w:r>
              <w:rPr>
                <w:rFonts w:hint="eastAsia" w:ascii="宋体" w:hAnsi="宋体"/>
                <w:sz w:val="21"/>
                <w:szCs w:val="21"/>
              </w:rPr>
              <w:t xml:space="preserve">能及可靠的防水、防尘功能，跌落抗摔性能要求。</w:t>
            </w:r>
            <w:r>
              <w:rPr>
                <w:rFonts w:hint="eastAsia" w:ascii="宋体" w:hAnsi="宋体"/>
                <w:sz w:val="21"/>
                <w:szCs w:val="21"/>
              </w:rPr>
              <w:br/>
              <w:t xml:space="preserve">18、使用带有姓名的钥匙开、关机，开机后姓名钥匙保存于后场，可代替现场身份登记。</w:t>
            </w:r>
            <w:r>
              <w:rPr>
                <w:rFonts w:hint="eastAsia" w:ascii="宋体" w:hAnsi="宋体"/>
                <w:sz w:val="21"/>
                <w:szCs w:val="21"/>
              </w:rPr>
              <w:br/>
              <w:t xml:space="preserve">19、个人信息黑匣子功能，所有报警事件均被记录，可供事后分析。</w:t>
            </w:r>
            <w:r>
              <w:rPr>
                <w:rFonts w:hint="eastAsia" w:ascii="宋体" w:hAnsi="宋体"/>
                <w:sz w:val="21"/>
                <w:szCs w:val="21"/>
              </w:rPr>
              <w:br/>
              <w:t xml:space="preserve">20、具备计时提醒功能。</w:t>
            </w:r>
            <w:r>
              <w:rPr>
                <w:rFonts w:hint="eastAsia" w:ascii="宋体" w:hAnsi="宋体"/>
                <w:sz w:val="21"/>
                <w:szCs w:val="21"/>
              </w:rPr>
              <w:br/>
              <w:t xml:space="preserve">21、具有联动报警响应功能，其中一具呼救器发出求救报警，同组呼救器可自动接收求救报警信号并发出搜救提示。</w:t>
            </w:r>
            <w:r>
              <w:rPr>
                <w:rFonts w:hint="eastAsia" w:ascii="宋体" w:hAnsi="宋体"/>
                <w:sz w:val="21"/>
                <w:szCs w:val="21"/>
              </w:rPr>
              <w:br/>
              <w:t xml:space="preserve">22、具有相对定位搜救功能，可根据同组报警呼救器的信号强度判断搜救方向以及与被搜救者的楼层高度信息，定位精度＜2.5m。</w:t>
            </w:r>
            <w:r>
              <w:rPr>
                <w:rFonts w:hint="eastAsia" w:ascii="宋体" w:hAnsi="宋体"/>
                <w:sz w:val="21"/>
                <w:szCs w:val="21"/>
              </w:rPr>
              <w:br/>
              <w:t xml:space="preserve">23、内置GPS/北斗定位功能，可将数据传至所属消防单位控制中心，同时支持呼救器场外指挥控制管理。</w:t>
            </w:r>
            <w:r>
              <w:rPr>
                <w:rFonts w:hint="eastAsia" w:ascii="宋体" w:hAnsi="宋体"/>
                <w:sz w:val="21"/>
                <w:szCs w:val="21"/>
              </w:rPr>
              <w:br/>
              <w:t xml:space="preserve">24、防爆等级：≥ExibⅡCT4Gb；</w:t>
            </w:r>
            <w:r>
              <w:rPr>
                <w:rFonts w:hint="eastAsia" w:ascii="宋体" w:hAnsi="宋体"/>
                <w:sz w:val="21"/>
                <w:szCs w:val="21"/>
              </w:rPr>
              <w:br/>
              <w:t xml:space="preserve">25、防护等级：≥IP68。</w:t>
            </w:r>
            <w:r>
              <w:rPr>
                <w:rFonts w:hint="eastAsia" w:ascii="宋体" w:hAnsi="宋体"/>
                <w:sz w:val="21"/>
                <w:szCs w:val="21"/>
              </w:rPr>
              <w:br/>
              <w:t xml:space="preserve">26、提供国家级或国家认可的第三方检测检验机构出具的检测检验报告，且报告应完整有效。</w:t>
            </w:r>
            <w:r/>
          </w:p>
        </w:tc>
      </w:tr>
      <w:tr>
        <w:trPr/>
        <w:tc>
          <w:tcPr>
            <w:shd w:val="clear" w:color="000000" w:fill="ffffff"/>
            <w:tcW w:w="604"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11</w:t>
            </w:r>
            <w:r/>
          </w:p>
        </w:tc>
        <w:tc>
          <w:tcPr>
            <w:shd w:val="clear" w:color="000000" w:fill="ffffff"/>
            <w:tcW w:w="951"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方位灯</w:t>
            </w:r>
            <w:r/>
          </w:p>
        </w:tc>
        <w:tc>
          <w:tcPr>
            <w:shd w:val="clear" w:color="000000" w:fill="ffffff"/>
            <w:tcW w:w="649"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个</w:t>
            </w:r>
            <w:r/>
          </w:p>
        </w:tc>
        <w:tc>
          <w:tcPr>
            <w:shd w:val="clear" w:color="000000" w:fill="ffffff"/>
            <w:tcW w:w="683"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10</w:t>
            </w:r>
            <w:r/>
          </w:p>
        </w:tc>
        <w:tc>
          <w:tcPr>
            <w:gridSpan w:val="5"/>
            <w:shd w:val="clear" w:color="000000" w:fill="ffffff"/>
            <w:tcW w:w="7314" w:type="dxa"/>
            <w:vAlign w:val="center"/>
            <w:textDirection w:val="lrTb"/>
            <w:noWrap w:val="false"/>
          </w:tcPr>
          <w:p>
            <w:pPr>
              <w:contextualSpacing/>
              <w:ind w:left="0"/>
              <w:jc w:val="left"/>
              <w:keepNext/>
              <w:widowControl w:val="off"/>
              <w:rPr>
                <w:rFonts w:ascii="宋体" w:hAnsi="宋体"/>
                <w:sz w:val="21"/>
                <w:szCs w:val="21"/>
              </w:rPr>
            </w:pPr>
            <w:r>
              <w:rPr>
                <w:rFonts w:hint="eastAsia" w:ascii="宋体" w:hAnsi="宋体"/>
                <w:sz w:val="21"/>
                <w:szCs w:val="21"/>
              </w:rPr>
              <w:t xml:space="preserve">1、符合GB27899-2011标准要求。</w:t>
            </w:r>
            <w:r>
              <w:rPr>
                <w:rFonts w:hint="eastAsia" w:ascii="宋体" w:hAnsi="宋体"/>
                <w:sz w:val="21"/>
                <w:szCs w:val="21"/>
              </w:rPr>
              <w:br/>
              <w:t xml:space="preserve">2、采用LED光源，对水及雨雾的穿透能力为300～500米。</w:t>
            </w:r>
            <w:r>
              <w:rPr>
                <w:rFonts w:hint="eastAsia" w:ascii="宋体" w:hAnsi="宋体"/>
                <w:sz w:val="21"/>
                <w:szCs w:val="21"/>
              </w:rPr>
              <w:br/>
              <w:t xml:space="preserve">3、配装两节7号高能电池，频闪连续工作时间达100小时以上，常亮≥40h。</w:t>
            </w:r>
            <w:r>
              <w:rPr>
                <w:rFonts w:hint="eastAsia" w:ascii="宋体" w:hAnsi="宋体"/>
                <w:sz w:val="21"/>
                <w:szCs w:val="21"/>
              </w:rPr>
              <w:br/>
              <w:t xml:space="preserve">4、以防弹胶材料精制，确保产品能经受强力碰撞和冲击。</w:t>
            </w:r>
            <w:r>
              <w:rPr>
                <w:rFonts w:hint="eastAsia" w:ascii="宋体" w:hAnsi="宋体"/>
                <w:sz w:val="21"/>
                <w:szCs w:val="21"/>
              </w:rPr>
              <w:br/>
              <w:t xml:space="preserve">5、发光亮度：≥300cd/㎡，闪光频率0.5Hz-2.5Hz。</w:t>
            </w:r>
            <w:r>
              <w:rPr>
                <w:rFonts w:hint="eastAsia" w:ascii="宋体" w:hAnsi="宋体"/>
                <w:sz w:val="21"/>
                <w:szCs w:val="21"/>
              </w:rPr>
              <w:br/>
              <w:t xml:space="preserve">6、额定电压≥DC3V，额定功率≥3W。</w:t>
            </w:r>
            <w:r>
              <w:rPr>
                <w:rFonts w:hint="eastAsia" w:ascii="宋体" w:hAnsi="宋体"/>
                <w:sz w:val="21"/>
                <w:szCs w:val="21"/>
              </w:rPr>
              <w:br/>
              <w:t xml:space="preserve">7、下限温度：≤-25℃，跌落高度≥ 2M，跌落次数：≥4。</w:t>
            </w:r>
            <w:r>
              <w:rPr>
                <w:rFonts w:hint="eastAsia" w:ascii="宋体" w:hAnsi="宋体"/>
                <w:sz w:val="21"/>
                <w:szCs w:val="21"/>
              </w:rPr>
              <w:br/>
              <w:t xml:space="preserve">8、火花点燃：任何一选定故障点均不会出现点燃；介电强度：未发生介电击穿；电池和电池组电解液：未发生电解液痕迹。</w:t>
            </w:r>
            <w:r>
              <w:rPr>
                <w:rFonts w:hint="eastAsia" w:ascii="宋体" w:hAnsi="宋体"/>
                <w:sz w:val="21"/>
                <w:szCs w:val="21"/>
              </w:rPr>
              <w:br/>
              <w:t xml:space="preserve">9、电池和电池组的火花点燃和表面温度：最高表面温度：≤130℃。</w:t>
            </w:r>
            <w:r>
              <w:rPr>
                <w:rFonts w:hint="eastAsia" w:ascii="宋体" w:hAnsi="宋体"/>
                <w:sz w:val="21"/>
                <w:szCs w:val="21"/>
              </w:rPr>
              <w:br/>
              <w:t xml:space="preserve">10、选用材料经过特殊的表面保护处理，可在强腐蚀环境下正常工作。</w:t>
            </w:r>
            <w:r>
              <w:rPr>
                <w:rFonts w:hint="eastAsia" w:ascii="宋体" w:hAnsi="宋体"/>
                <w:sz w:val="21"/>
                <w:szCs w:val="21"/>
              </w:rPr>
              <w:br/>
              <w:t xml:space="preserve">11、可在-20～＋50°C 温度下正常工作。</w:t>
            </w:r>
            <w:r>
              <w:rPr>
                <w:rFonts w:hint="eastAsia" w:ascii="宋体" w:hAnsi="宋体"/>
                <w:sz w:val="21"/>
                <w:szCs w:val="21"/>
              </w:rPr>
              <w:br/>
              <w:t xml:space="preserve">12、体积小，重量轻，操作简单，可采用吊挂、夹扣、捆绑和磁力吸附等多种携带方式。</w:t>
            </w:r>
            <w:r>
              <w:rPr>
                <w:rFonts w:hint="eastAsia" w:ascii="宋体" w:hAnsi="宋体"/>
                <w:sz w:val="21"/>
                <w:szCs w:val="21"/>
              </w:rPr>
              <w:br/>
              <w:t xml:space="preserve">13、防爆等级：≥EX ia IICT4Ga。</w:t>
            </w:r>
            <w:r/>
          </w:p>
        </w:tc>
      </w:tr>
      <w:tr>
        <w:trPr/>
        <w:tc>
          <w:tcPr>
            <w:shd w:val="clear" w:color="000000" w:fill="ffffff"/>
            <w:tcW w:w="604"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12</w:t>
            </w:r>
            <w:r/>
          </w:p>
        </w:tc>
        <w:tc>
          <w:tcPr>
            <w:shd w:val="clear" w:color="000000" w:fill="ffffff"/>
            <w:tcW w:w="951"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佩戴式防爆照明灯</w:t>
            </w:r>
            <w:r/>
          </w:p>
        </w:tc>
        <w:tc>
          <w:tcPr>
            <w:shd w:val="clear" w:color="000000" w:fill="ffffff"/>
            <w:tcW w:w="649"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个</w:t>
            </w:r>
            <w:r/>
          </w:p>
        </w:tc>
        <w:tc>
          <w:tcPr>
            <w:shd w:val="clear" w:color="000000" w:fill="ffffff"/>
            <w:tcW w:w="683"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10</w:t>
            </w:r>
            <w:r/>
          </w:p>
        </w:tc>
        <w:tc>
          <w:tcPr>
            <w:gridSpan w:val="5"/>
            <w:shd w:val="clear" w:color="000000" w:fill="ffffff"/>
            <w:tcW w:w="7314" w:type="dxa"/>
            <w:vAlign w:val="center"/>
            <w:textDirection w:val="lrTb"/>
            <w:noWrap w:val="false"/>
          </w:tcPr>
          <w:p>
            <w:pPr>
              <w:contextualSpacing/>
              <w:ind w:left="0"/>
              <w:jc w:val="left"/>
              <w:keepNext/>
              <w:widowControl w:val="off"/>
              <w:rPr>
                <w:rFonts w:ascii="宋体" w:hAnsi="宋体"/>
                <w:sz w:val="21"/>
                <w:szCs w:val="21"/>
              </w:rPr>
            </w:pPr>
            <w:r>
              <w:rPr>
                <w:rFonts w:hint="eastAsia" w:ascii="宋体" w:hAnsi="宋体"/>
                <w:sz w:val="21"/>
                <w:szCs w:val="21"/>
              </w:rPr>
              <w:t xml:space="preserve">1、符合：GB/T 3836.1-2021GB/T3836.4-2021，GB30734-2014消防员照明灯具国家标准要求</w:t>
            </w:r>
            <w:r>
              <w:rPr>
                <w:rFonts w:hint="eastAsia" w:ascii="宋体" w:hAnsi="宋体"/>
                <w:sz w:val="21"/>
                <w:szCs w:val="21"/>
              </w:rPr>
              <w:br/>
              <w:t xml:space="preserve">2.产品由外壳、灯圈、透明件、锂电池、电路板等组成;外壳材质为6063铝合金,透明件材质为钢化玻璃</w:t>
            </w:r>
            <w:r>
              <w:rPr>
                <w:rFonts w:hint="eastAsia" w:ascii="宋体" w:hAnsi="宋体"/>
                <w:sz w:val="21"/>
                <w:szCs w:val="21"/>
              </w:rPr>
              <w:br/>
              <w:t xml:space="preserve">3.功率≥5W，电压≥2.4Ah</w:t>
            </w:r>
            <w:r>
              <w:rPr>
                <w:rFonts w:hint="eastAsia" w:ascii="宋体" w:hAnsi="宋体"/>
                <w:sz w:val="21"/>
                <w:szCs w:val="21"/>
              </w:rPr>
              <w:br/>
              <w:t xml:space="preserve">4.照度：强光平均值（lx）：≥2100、弱光平均值（lx）：≥1100。</w:t>
            </w:r>
            <w:r>
              <w:rPr>
                <w:rFonts w:hint="eastAsia" w:ascii="宋体" w:hAnsi="宋体"/>
                <w:sz w:val="21"/>
                <w:szCs w:val="21"/>
              </w:rPr>
              <w:br/>
              <w:t xml:space="preserve">5.连续稳定工作时间，强光（min）：≥300，弱光（min）：≥600。</w:t>
            </w:r>
            <w:r>
              <w:rPr>
                <w:rFonts w:hint="eastAsia" w:ascii="宋体" w:hAnsi="宋体"/>
                <w:sz w:val="21"/>
                <w:szCs w:val="21"/>
              </w:rPr>
              <w:br/>
              <w:t xml:space="preserve">6.耐电压性能性能：灯具应能耐受频率为50 Hz±0.5 Hz，交流电压为500 v±50 v，</w:t>
            </w:r>
            <w:r>
              <w:rPr>
                <w:rFonts w:hint="eastAsia" w:ascii="宋体" w:hAnsi="宋体"/>
                <w:sz w:val="21"/>
                <w:szCs w:val="21"/>
              </w:rPr>
              <w:br/>
              <w:t xml:space="preserve">7.防爆等级：≥Ex ib lIC T4 Gb;Ex ib lIIC T130℃ Db</w:t>
            </w:r>
            <w:r>
              <w:rPr>
                <w:rFonts w:hint="eastAsia" w:ascii="宋体" w:hAnsi="宋体"/>
                <w:sz w:val="21"/>
                <w:szCs w:val="21"/>
              </w:rPr>
              <w:br/>
              <w:t xml:space="preserve">8.灯具的充电器应采用插头与交直流转换器分离式结构,灯具或充电器应设置充、放电保护电路。</w:t>
            </w:r>
            <w:r>
              <w:rPr>
                <w:rFonts w:hint="eastAsia" w:ascii="宋体" w:hAnsi="宋体"/>
                <w:sz w:val="21"/>
                <w:szCs w:val="21"/>
              </w:rPr>
              <w:br/>
              <w:t xml:space="preserve">9.外壳防护等级： IP66/IP68；在水深度2m时持续时间（h）≥2；</w:t>
            </w:r>
            <w:r>
              <w:rPr>
                <w:rFonts w:hint="eastAsia" w:ascii="宋体" w:hAnsi="宋体"/>
                <w:sz w:val="21"/>
                <w:szCs w:val="21"/>
              </w:rPr>
              <w:br/>
              <w:t xml:space="preserve">10.产品设计有通用电量显示单元窗孔，采用四段式电量显示设计，每段代表25%电量，可随时直观查询剩余电量</w:t>
            </w:r>
            <w:r>
              <w:rPr>
                <w:rFonts w:hint="eastAsia" w:ascii="宋体" w:hAnsi="宋体"/>
                <w:sz w:val="21"/>
                <w:szCs w:val="21"/>
              </w:rPr>
              <w:br/>
              <w:t xml:space="preserve">11、提供国家级或国家认可的第三方检测检验机构出具的检测检验报告，且报告应完整有效。</w:t>
            </w:r>
            <w:r/>
          </w:p>
        </w:tc>
      </w:tr>
      <w:tr>
        <w:trPr/>
        <w:tc>
          <w:tcPr>
            <w:shd w:val="clear" w:color="000000" w:fill="ffffff"/>
            <w:tcW w:w="604"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13</w:t>
            </w:r>
            <w:r/>
          </w:p>
        </w:tc>
        <w:tc>
          <w:tcPr>
            <w:shd w:val="clear" w:color="000000" w:fill="ffffff"/>
            <w:tcW w:w="951"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手提式防爆照明灯</w:t>
            </w:r>
            <w:r/>
          </w:p>
        </w:tc>
        <w:tc>
          <w:tcPr>
            <w:shd w:val="clear" w:color="000000" w:fill="ffffff"/>
            <w:tcW w:w="649"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个</w:t>
            </w:r>
            <w:r/>
          </w:p>
        </w:tc>
        <w:tc>
          <w:tcPr>
            <w:shd w:val="clear" w:color="000000" w:fill="ffffff"/>
            <w:tcW w:w="683"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5</w:t>
            </w:r>
            <w:r/>
          </w:p>
        </w:tc>
        <w:tc>
          <w:tcPr>
            <w:gridSpan w:val="5"/>
            <w:shd w:val="clear" w:color="000000" w:fill="ffffff"/>
            <w:tcW w:w="7314" w:type="dxa"/>
            <w:vAlign w:val="center"/>
            <w:textDirection w:val="lrTb"/>
            <w:noWrap w:val="false"/>
          </w:tcPr>
          <w:p>
            <w:pPr>
              <w:contextualSpacing/>
              <w:ind w:left="0"/>
              <w:jc w:val="left"/>
              <w:keepNext/>
              <w:widowControl w:val="off"/>
              <w:rPr>
                <w:rFonts w:ascii="宋体" w:hAnsi="宋体"/>
                <w:sz w:val="21"/>
                <w:szCs w:val="21"/>
              </w:rPr>
            </w:pPr>
            <w:r>
              <w:rPr>
                <w:rFonts w:hint="eastAsia" w:ascii="宋体" w:hAnsi="宋体"/>
                <w:sz w:val="21"/>
                <w:szCs w:val="21"/>
              </w:rPr>
              <w:t xml:space="preserve">1.隔爆+本安双重防爆处理，防爆执行标准符合GB/T3836.1-2021、GB/T3836.2-2021、GB/T3836.4-2021、GB/T3836.31-2021、GB30734-2014《消防员照明灯具》国家标准，防爆标志：≥</w:t>
            </w:r>
            <w:r>
              <w:rPr>
                <w:rFonts w:hint="eastAsia" w:ascii="宋体" w:hAnsi="宋体"/>
                <w:sz w:val="21"/>
                <w:szCs w:val="21"/>
              </w:rPr>
              <w:t xml:space="preserve">ExdbiaIICT6Gb;ExiatbIIICT80°CDb</w:t>
            </w:r>
            <w:r>
              <w:rPr>
                <w:rFonts w:hint="eastAsia" w:ascii="宋体" w:hAnsi="宋体"/>
                <w:sz w:val="21"/>
                <w:szCs w:val="21"/>
              </w:rPr>
              <w:br/>
              <w:t xml:space="preserve">2.采用2*12W进口LED光源，在传统白光的基础上增加了黄光功能，极大的提升了在雨雾环境下灯光的穿透性能。</w:t>
            </w:r>
            <w:r>
              <w:rPr>
                <w:rFonts w:hint="eastAsia" w:ascii="宋体" w:hAnsi="宋体"/>
                <w:sz w:val="21"/>
                <w:szCs w:val="21"/>
              </w:rPr>
              <w:br/>
              <w:t xml:space="preserve">3.具有聚光、泛光照明模式，搭配双开关操作设计，携带使用方便，操作简单直观。</w:t>
            </w:r>
            <w:r>
              <w:rPr>
                <w:rFonts w:hint="eastAsia" w:ascii="宋体" w:hAnsi="宋体"/>
                <w:sz w:val="21"/>
                <w:szCs w:val="21"/>
              </w:rPr>
              <w:br/>
              <w:t xml:space="preserve">4.泛光光源可实现红、蓝交替闪烁警示，尾部设计高穿透性的方位灯，在作业现场能够清晰的显示使用人员的位置，为救援现场提供安全警示及定位。</w:t>
            </w:r>
            <w:r>
              <w:rPr>
                <w:rFonts w:hint="eastAsia" w:ascii="宋体" w:hAnsi="宋体"/>
                <w:sz w:val="21"/>
                <w:szCs w:val="21"/>
              </w:rPr>
              <w:br/>
              <w:t xml:space="preserve">5.工作时间：强光照明时间≥5h,工作光≥10h</w:t>
            </w:r>
            <w:r>
              <w:rPr>
                <w:rFonts w:hint="eastAsia" w:ascii="宋体" w:hAnsi="宋体"/>
                <w:sz w:val="21"/>
                <w:szCs w:val="21"/>
              </w:rPr>
              <w:br/>
              <w:t xml:space="preserve">6.有4段式LED电量指示装置，可以随时清晰直观的呈现电量剩余状况，电量不足15%时，灯光爆闪15次后强光可以用15分钟，工作光可用30分钟，提示您进行充电</w:t>
            </w:r>
            <w:r>
              <w:rPr>
                <w:rFonts w:hint="eastAsia" w:ascii="宋体" w:hAnsi="宋体"/>
                <w:sz w:val="21"/>
                <w:szCs w:val="21"/>
              </w:rPr>
              <w:br/>
              <w:t xml:space="preserve">7.外壳防护等级IP66/IP68，防水防尘，可在各种恶劣环境中正常使用。</w:t>
            </w:r>
            <w:r>
              <w:rPr>
                <w:rFonts w:hint="eastAsia" w:ascii="宋体" w:hAnsi="宋体"/>
                <w:sz w:val="21"/>
                <w:szCs w:val="21"/>
              </w:rPr>
              <w:br/>
              <w:t xml:space="preserve">8.灯具体积小，重量轻， 配有专用背带，可肩挎携带实现解放双手作用。灯具尾部可选配专用磁力模块。</w:t>
            </w:r>
            <w:r>
              <w:rPr>
                <w:rFonts w:hint="eastAsia" w:ascii="宋体" w:hAnsi="宋体"/>
                <w:sz w:val="21"/>
                <w:szCs w:val="21"/>
              </w:rPr>
              <w:br/>
              <w:t xml:space="preserve">9.灯具强光平均照度应≥20001x;弱光照度应≥13001x;</w:t>
            </w:r>
            <w:r>
              <w:rPr>
                <w:rFonts w:hint="eastAsia" w:ascii="宋体" w:hAnsi="宋体"/>
                <w:sz w:val="21"/>
                <w:szCs w:val="21"/>
              </w:rPr>
              <w:br/>
              <w:t xml:space="preserve">10.电压为DC≥22.2V,容量≥2.5AH </w:t>
            </w:r>
            <w:r>
              <w:rPr>
                <w:rFonts w:hint="eastAsia" w:ascii="宋体" w:hAnsi="宋体"/>
                <w:sz w:val="21"/>
                <w:szCs w:val="21"/>
              </w:rPr>
              <w:br/>
              <w:t xml:space="preserve">11、提供国家级或国家认可的第三方检测检验机构出具的检测检验报告，且报告应完整有效。</w:t>
            </w:r>
            <w:r/>
          </w:p>
        </w:tc>
      </w:tr>
      <w:tr>
        <w:trPr/>
        <w:tc>
          <w:tcPr>
            <w:shd w:val="clear" w:color="000000" w:fill="ffffff"/>
            <w:tcW w:w="604"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14</w:t>
            </w:r>
            <w:r/>
          </w:p>
        </w:tc>
        <w:tc>
          <w:tcPr>
            <w:shd w:val="clear" w:color="000000" w:fill="ffffff"/>
            <w:tcW w:w="951"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消火栓扳手</w:t>
            </w:r>
            <w:r/>
          </w:p>
        </w:tc>
        <w:tc>
          <w:tcPr>
            <w:shd w:val="clear" w:color="000000" w:fill="ffffff"/>
            <w:tcW w:w="649"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把</w:t>
            </w:r>
            <w:r/>
          </w:p>
        </w:tc>
        <w:tc>
          <w:tcPr>
            <w:shd w:val="clear" w:color="000000" w:fill="ffffff"/>
            <w:tcW w:w="683"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6</w:t>
            </w:r>
            <w:r/>
          </w:p>
        </w:tc>
        <w:tc>
          <w:tcPr>
            <w:gridSpan w:val="5"/>
            <w:shd w:val="clear" w:color="000000" w:fill="ffffff"/>
            <w:tcW w:w="7314" w:type="dxa"/>
            <w:vAlign w:val="center"/>
            <w:textDirection w:val="lrTb"/>
            <w:noWrap w:val="false"/>
          </w:tcPr>
          <w:p>
            <w:pPr>
              <w:contextualSpacing/>
              <w:ind w:left="0"/>
              <w:jc w:val="left"/>
              <w:keepNext/>
              <w:widowControl w:val="off"/>
              <w:rPr>
                <w:rFonts w:ascii="宋体" w:hAnsi="宋体"/>
                <w:sz w:val="21"/>
                <w:szCs w:val="21"/>
              </w:rPr>
            </w:pPr>
            <w:r>
              <w:rPr>
                <w:rFonts w:hint="eastAsia" w:ascii="宋体" w:hAnsi="宋体"/>
                <w:sz w:val="21"/>
                <w:szCs w:val="21"/>
              </w:rPr>
              <w:t xml:space="preserve">1、地上消火扳手由高强度钢铸造制成，表面烤漆处理，防腐防裂加重加厚设计，厚重耐用，多用钳口加长设计，杠杆原理省力易用，</w:t>
            </w:r>
            <w:r>
              <w:rPr>
                <w:rFonts w:hint="eastAsia" w:ascii="宋体" w:hAnsi="宋体"/>
                <w:sz w:val="21"/>
                <w:szCs w:val="21"/>
              </w:rPr>
              <w:br/>
              <w:t xml:space="preserve">2、扳口内有防滑纹和加强平口增强筋设计，具有开启时不打滑；</w:t>
            </w:r>
            <w:r>
              <w:rPr>
                <w:rFonts w:hint="eastAsia" w:ascii="宋体" w:hAnsi="宋体"/>
                <w:sz w:val="21"/>
                <w:szCs w:val="21"/>
              </w:rPr>
              <w:br/>
              <w:t xml:space="preserve">3、尾部有凿击功能，能够凿击门窗、汽车玻璃等；</w:t>
            </w:r>
            <w:r>
              <w:rPr>
                <w:rFonts w:hint="eastAsia" w:ascii="宋体" w:hAnsi="宋体"/>
                <w:sz w:val="21"/>
                <w:szCs w:val="21"/>
              </w:rPr>
              <w:br/>
              <w:t xml:space="preserve">4、手柄部位有3个常用扳手功能，能够开启不同直径的螺栓； </w:t>
            </w:r>
            <w:r>
              <w:rPr>
                <w:rFonts w:hint="eastAsia" w:ascii="宋体" w:hAnsi="宋体"/>
                <w:sz w:val="21"/>
                <w:szCs w:val="21"/>
              </w:rPr>
              <w:br/>
              <w:t xml:space="preserve">5、扳手头部侧面两边有锤面设计，救援时能够敲击、打击破拆使用；</w:t>
            </w:r>
            <w:r>
              <w:rPr>
                <w:rFonts w:hint="eastAsia" w:ascii="宋体" w:hAnsi="宋体"/>
                <w:sz w:val="21"/>
                <w:szCs w:val="21"/>
              </w:rPr>
              <w:br/>
              <w:t xml:space="preserve">6、手柄后部外侧设计有电梯钥匙，在能够便于打开出现问题的电梯；</w:t>
            </w:r>
            <w:r>
              <w:rPr>
                <w:rFonts w:hint="eastAsia" w:ascii="宋体" w:hAnsi="宋体"/>
                <w:sz w:val="21"/>
                <w:szCs w:val="21"/>
              </w:rPr>
              <w:br/>
              <w:t xml:space="preserve">7、尾部设计有家用燃气阀门钥匙，能够便于将燃气阀门关闭</w:t>
            </w:r>
            <w:r/>
          </w:p>
        </w:tc>
      </w:tr>
      <w:tr>
        <w:trPr/>
        <w:tc>
          <w:tcPr>
            <w:shd w:val="clear" w:color="000000" w:fill="ffffff"/>
            <w:tcW w:w="604"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15</w:t>
            </w:r>
            <w:r/>
          </w:p>
        </w:tc>
        <w:tc>
          <w:tcPr>
            <w:shd w:val="clear" w:color="000000" w:fill="ffffff"/>
            <w:tcW w:w="951"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三分水器</w:t>
            </w:r>
            <w:r/>
          </w:p>
        </w:tc>
        <w:tc>
          <w:tcPr>
            <w:shd w:val="clear" w:color="000000" w:fill="ffffff"/>
            <w:tcW w:w="649"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只</w:t>
            </w:r>
            <w:r/>
          </w:p>
        </w:tc>
        <w:tc>
          <w:tcPr>
            <w:shd w:val="clear" w:color="000000" w:fill="ffffff"/>
            <w:tcW w:w="683"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3</w:t>
            </w:r>
            <w:r/>
          </w:p>
        </w:tc>
        <w:tc>
          <w:tcPr>
            <w:gridSpan w:val="5"/>
            <w:shd w:val="clear" w:color="000000" w:fill="ffffff"/>
            <w:tcW w:w="7314" w:type="dxa"/>
            <w:vAlign w:val="center"/>
            <w:textDirection w:val="lrTb"/>
            <w:noWrap w:val="false"/>
          </w:tcPr>
          <w:p>
            <w:pPr>
              <w:contextualSpacing/>
              <w:ind w:left="0"/>
              <w:jc w:val="left"/>
              <w:keepNext/>
              <w:widowControl w:val="off"/>
              <w:rPr>
                <w:rFonts w:ascii="宋体" w:hAnsi="宋体"/>
                <w:sz w:val="21"/>
                <w:szCs w:val="21"/>
              </w:rPr>
            </w:pPr>
            <w:r>
              <w:rPr>
                <w:rFonts w:hint="eastAsia" w:ascii="宋体" w:hAnsi="宋体"/>
                <w:sz w:val="21"/>
                <w:szCs w:val="21"/>
              </w:rPr>
              <w:t xml:space="preserve">1、符合XF868-2010《分水器和集水器》标准；</w:t>
            </w:r>
            <w:r>
              <w:rPr>
                <w:rFonts w:hint="eastAsia" w:ascii="宋体" w:hAnsi="宋体"/>
                <w:sz w:val="21"/>
                <w:szCs w:val="21"/>
              </w:rPr>
              <w:br/>
              <w:t xml:space="preserve">2、接口：采用锻造工艺，选用铝镁合金A6061材质，表面金色阳极氧化防腐处理。</w:t>
            </w:r>
            <w:r>
              <w:rPr>
                <w:rFonts w:hint="eastAsia" w:ascii="宋体" w:hAnsi="宋体"/>
                <w:sz w:val="21"/>
                <w:szCs w:val="21"/>
              </w:rPr>
              <w:br/>
              <w:t xml:space="preserve">3、阀体：采用压铸工艺，选用YL112材质，表面红色喷塑防腐处理。</w:t>
            </w:r>
            <w:r>
              <w:rPr>
                <w:rFonts w:hint="eastAsia" w:ascii="宋体" w:hAnsi="宋体"/>
                <w:sz w:val="21"/>
                <w:szCs w:val="21"/>
              </w:rPr>
              <w:br/>
              <w:t xml:space="preserve">4、手柄：采用锻造工艺，选用铝镁合金A6061材质，表面阳极氧化防腐处理。</w:t>
            </w:r>
            <w:r>
              <w:rPr>
                <w:rFonts w:hint="eastAsia" w:ascii="宋体" w:hAnsi="宋体"/>
                <w:sz w:val="21"/>
                <w:szCs w:val="21"/>
              </w:rPr>
              <w:br/>
              <w:t xml:space="preserve">5、球体：选用铝合金材质，减压式T型通孔球体，表面黑色阳极氧化防腐处理。</w:t>
            </w:r>
            <w:r>
              <w:rPr>
                <w:rFonts w:hint="eastAsia" w:ascii="宋体" w:hAnsi="宋体"/>
                <w:sz w:val="21"/>
                <w:szCs w:val="21"/>
              </w:rPr>
              <w:br/>
              <w:t xml:space="preserve">6、把手：蓝色T型浸塑把手。</w:t>
            </w:r>
            <w:r>
              <w:rPr>
                <w:rFonts w:hint="eastAsia" w:ascii="宋体" w:hAnsi="宋体"/>
                <w:sz w:val="21"/>
                <w:szCs w:val="21"/>
              </w:rPr>
              <w:br/>
              <w:t xml:space="preserve">7、密封圈：采用防脱结构设计，空排水时有效防止密封圈脱落。</w:t>
            </w:r>
            <w:r>
              <w:rPr>
                <w:rFonts w:hint="eastAsia" w:ascii="宋体" w:hAnsi="宋体"/>
                <w:sz w:val="21"/>
                <w:szCs w:val="21"/>
              </w:rPr>
              <w:br/>
              <w:t xml:space="preserve">8、分水器口径要求：进水口80mm卡式雄接口，出水口为3X65mm卡式雌接口，可根据要求定制。</w:t>
            </w:r>
            <w:r>
              <w:rPr>
                <w:rFonts w:hint="eastAsia" w:ascii="宋体" w:hAnsi="宋体"/>
                <w:sz w:val="21"/>
                <w:szCs w:val="21"/>
              </w:rPr>
              <w:br/>
              <w:t xml:space="preserve">9、工作压力强度：≥2.5MPa；</w:t>
            </w:r>
            <w:r>
              <w:rPr>
                <w:rFonts w:hint="eastAsia" w:ascii="宋体" w:hAnsi="宋体"/>
                <w:sz w:val="21"/>
                <w:szCs w:val="21"/>
              </w:rPr>
              <w:br/>
              <w:t xml:space="preserve">10、阀门开启力（N：≦87；</w:t>
            </w:r>
            <w:r>
              <w:rPr>
                <w:rFonts w:hint="eastAsia" w:ascii="宋体" w:hAnsi="宋体"/>
                <w:sz w:val="21"/>
                <w:szCs w:val="21"/>
              </w:rPr>
              <w:br/>
              <w:t xml:space="preserve">11、重量：≦4.5 kg；</w:t>
            </w:r>
            <w:r/>
          </w:p>
        </w:tc>
      </w:tr>
      <w:tr>
        <w:trPr/>
        <w:tc>
          <w:tcPr>
            <w:shd w:val="clear" w:color="000000" w:fill="ffffff"/>
            <w:tcW w:w="604"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16</w:t>
            </w:r>
            <w:r/>
          </w:p>
        </w:tc>
        <w:tc>
          <w:tcPr>
            <w:shd w:val="clear" w:color="000000" w:fill="ffffff"/>
            <w:tcW w:w="951"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绝缘剪</w:t>
            </w:r>
            <w:r/>
          </w:p>
        </w:tc>
        <w:tc>
          <w:tcPr>
            <w:shd w:val="clear" w:color="000000" w:fill="ffffff"/>
            <w:tcW w:w="649"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把</w:t>
            </w:r>
            <w:r/>
          </w:p>
        </w:tc>
        <w:tc>
          <w:tcPr>
            <w:shd w:val="clear" w:color="000000" w:fill="ffffff"/>
            <w:tcW w:w="683"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2</w:t>
            </w:r>
            <w:r/>
          </w:p>
        </w:tc>
        <w:tc>
          <w:tcPr>
            <w:gridSpan w:val="5"/>
            <w:shd w:val="clear" w:color="000000" w:fill="ffffff"/>
            <w:tcW w:w="7314" w:type="dxa"/>
            <w:vAlign w:val="center"/>
            <w:textDirection w:val="lrTb"/>
            <w:noWrap w:val="false"/>
          </w:tcPr>
          <w:p>
            <w:pPr>
              <w:contextualSpacing/>
              <w:ind w:left="0"/>
              <w:jc w:val="left"/>
              <w:keepNext/>
              <w:widowControl w:val="off"/>
              <w:rPr>
                <w:rFonts w:ascii="宋体" w:hAnsi="宋体"/>
                <w:sz w:val="21"/>
                <w:szCs w:val="21"/>
              </w:rPr>
            </w:pPr>
            <w:r>
              <w:rPr>
                <w:rFonts w:hint="eastAsia" w:ascii="宋体" w:hAnsi="宋体"/>
                <w:sz w:val="21"/>
                <w:szCs w:val="21"/>
              </w:rPr>
              <w:t xml:space="preserve">1.整体要求</w:t>
            </w:r>
            <w:r>
              <w:rPr>
                <w:rFonts w:hint="eastAsia" w:ascii="宋体" w:hAnsi="宋体"/>
                <w:sz w:val="21"/>
                <w:szCs w:val="21"/>
              </w:rPr>
              <w:br/>
              <w:t xml:space="preserve">1.1符合GB/T230.1-2018《金属材料 洛氏硬度试验 第1部分：试验方法》、DL/T1476-2023《电力安全工器具预防性试验规程》标准。</w:t>
            </w:r>
            <w:r>
              <w:rPr>
                <w:rFonts w:hint="eastAsia" w:ascii="宋体" w:hAnsi="宋体"/>
                <w:sz w:val="21"/>
                <w:szCs w:val="21"/>
              </w:rPr>
              <w:br/>
              <w:t xml:space="preserve">1.2用于事故现场电线电缆或其它带电体的剪切。</w:t>
            </w:r>
            <w:r>
              <w:rPr>
                <w:rFonts w:hint="eastAsia" w:ascii="宋体" w:hAnsi="宋体"/>
                <w:sz w:val="21"/>
                <w:szCs w:val="21"/>
              </w:rPr>
              <w:br/>
              <w:t xml:space="preserve">2.技术性能</w:t>
            </w:r>
            <w:r>
              <w:rPr>
                <w:rFonts w:hint="eastAsia" w:ascii="宋体" w:hAnsi="宋体"/>
                <w:sz w:val="21"/>
                <w:szCs w:val="21"/>
              </w:rPr>
              <w:br/>
              <w:t xml:space="preserve">2.1硬度：刃口≥57HRC、螺栓≥37HRC、压板≥37HRC。</w:t>
            </w:r>
            <w:r>
              <w:rPr>
                <w:rFonts w:hint="eastAsia" w:ascii="宋体" w:hAnsi="宋体"/>
                <w:sz w:val="21"/>
                <w:szCs w:val="21"/>
              </w:rPr>
              <w:br/>
              <w:t xml:space="preserve">2.2耐压试验：试样在10KV，1min耐压过程中，应无闪络、击穿，试验后应无放电、灼伤痕迹，无明显发热现象。</w:t>
            </w:r>
            <w:r>
              <w:rPr>
                <w:rFonts w:hint="eastAsia" w:ascii="宋体" w:hAnsi="宋体"/>
                <w:sz w:val="21"/>
                <w:szCs w:val="21"/>
              </w:rPr>
              <w:br/>
              <w:t xml:space="preserve">2.3尺寸为36寸。</w:t>
            </w:r>
            <w:r/>
          </w:p>
        </w:tc>
      </w:tr>
      <w:tr>
        <w:trPr/>
        <w:tc>
          <w:tcPr>
            <w:shd w:val="clear" w:color="000000" w:fill="ffffff"/>
            <w:tcW w:w="604"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17</w:t>
            </w:r>
            <w:r/>
          </w:p>
        </w:tc>
        <w:tc>
          <w:tcPr>
            <w:shd w:val="clear" w:color="000000" w:fill="ffffff"/>
            <w:tcW w:w="951" w:type="dxa"/>
            <w:vAlign w:val="center"/>
            <w:textDirection w:val="lrTb"/>
            <w:noWrap w:val="false"/>
          </w:tcPr>
          <w:p>
            <w:pPr>
              <w:contextualSpacing/>
              <w:ind w:left="0"/>
              <w:jc w:val="center"/>
              <w:keepNext/>
              <w:widowControl w:val="off"/>
              <w:rPr>
                <w:rFonts w:ascii="宋体" w:hAnsi="宋体"/>
                <w:b/>
                <w:sz w:val="21"/>
                <w:szCs w:val="21"/>
              </w:rPr>
            </w:pPr>
            <w:r>
              <w:rPr>
                <w:rFonts w:ascii="宋体" w:hAnsi="宋体"/>
                <w:b/>
                <w:sz w:val="21"/>
                <w:szCs w:val="21"/>
              </w:rPr>
            </w:r>
            <w:r/>
          </w:p>
          <w:p>
            <w:pPr>
              <w:contextualSpacing/>
              <w:ind w:left="0"/>
              <w:jc w:val="center"/>
              <w:keepNext/>
              <w:widowControl w:val="off"/>
              <w:rPr>
                <w:rFonts w:ascii="宋体" w:hAnsi="宋体"/>
                <w:b/>
                <w:sz w:val="21"/>
                <w:szCs w:val="21"/>
              </w:rPr>
            </w:pPr>
            <w:r>
              <w:rPr>
                <w:rFonts w:ascii="宋体" w:hAnsi="宋体"/>
                <w:b/>
                <w:sz w:val="21"/>
                <w:szCs w:val="21"/>
              </w:rPr>
            </w:r>
            <w:r/>
          </w:p>
          <w:p>
            <w:pPr>
              <w:contextualSpacing/>
              <w:ind w:left="0"/>
              <w:jc w:val="center"/>
              <w:keepNext/>
              <w:widowControl w:val="off"/>
              <w:rPr>
                <w:rFonts w:ascii="宋体" w:hAnsi="宋体"/>
                <w:b/>
                <w:sz w:val="21"/>
                <w:szCs w:val="21"/>
              </w:rPr>
            </w:pPr>
            <w:r>
              <w:rPr>
                <w:rFonts w:ascii="宋体" w:hAnsi="宋体"/>
                <w:b/>
                <w:sz w:val="21"/>
                <w:szCs w:val="21"/>
              </w:rPr>
            </w:r>
            <w:r/>
          </w:p>
          <w:p>
            <w:pPr>
              <w:contextualSpacing/>
              <w:ind w:left="0"/>
              <w:jc w:val="center"/>
              <w:keepNext/>
              <w:widowControl w:val="off"/>
              <w:rPr>
                <w:rFonts w:ascii="宋体" w:hAnsi="宋体"/>
                <w:b/>
                <w:sz w:val="21"/>
                <w:szCs w:val="21"/>
              </w:rPr>
            </w:pPr>
            <w:r>
              <w:rPr>
                <w:rFonts w:ascii="宋体" w:hAnsi="宋体"/>
                <w:b/>
                <w:sz w:val="21"/>
                <w:szCs w:val="21"/>
              </w:rPr>
            </w:r>
            <w:r/>
          </w:p>
          <w:p>
            <w:pPr>
              <w:contextualSpacing/>
              <w:ind w:left="0"/>
              <w:jc w:val="center"/>
              <w:keepNext/>
              <w:widowControl w:val="off"/>
              <w:rPr>
                <w:rFonts w:ascii="宋体" w:hAnsi="宋体"/>
                <w:b/>
                <w:sz w:val="21"/>
                <w:szCs w:val="21"/>
              </w:rPr>
            </w:pPr>
            <w:r>
              <w:rPr>
                <w:rFonts w:hint="eastAsia" w:ascii="宋体" w:hAnsi="宋体"/>
                <w:b/>
                <w:sz w:val="21"/>
                <w:szCs w:val="21"/>
              </w:rPr>
              <w:t xml:space="preserve">※正压式空气呼吸器</w:t>
            </w:r>
            <w:r/>
          </w:p>
        </w:tc>
        <w:tc>
          <w:tcPr>
            <w:shd w:val="clear" w:color="000000" w:fill="ffffff"/>
            <w:tcW w:w="649"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具</w:t>
            </w:r>
            <w:r/>
          </w:p>
        </w:tc>
        <w:tc>
          <w:tcPr>
            <w:shd w:val="clear" w:color="000000" w:fill="ffffff"/>
            <w:tcW w:w="683"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8</w:t>
            </w:r>
            <w:r/>
          </w:p>
        </w:tc>
        <w:tc>
          <w:tcPr>
            <w:gridSpan w:val="5"/>
            <w:shd w:val="clear" w:color="000000" w:fill="ffffff"/>
            <w:tcW w:w="7314" w:type="dxa"/>
            <w:vAlign w:val="center"/>
            <w:textDirection w:val="lrTb"/>
            <w:noWrap w:val="false"/>
          </w:tcPr>
          <w:p>
            <w:pPr>
              <w:contextualSpacing/>
              <w:ind w:left="0"/>
              <w:jc w:val="left"/>
              <w:keepNext/>
              <w:widowControl w:val="off"/>
              <w:rPr>
                <w:rFonts w:ascii="宋体" w:hAnsi="宋体"/>
                <w:sz w:val="21"/>
                <w:szCs w:val="21"/>
              </w:rPr>
            </w:pPr>
            <w:r>
              <w:rPr>
                <w:rFonts w:hint="eastAsia" w:ascii="宋体" w:hAnsi="宋体"/>
                <w:sz w:val="21"/>
                <w:szCs w:val="21"/>
              </w:rPr>
              <w:t xml:space="preserve">一、整套空气呼吸器有气瓶、全面罩、供气阀、减压阀、导气管、警报器、</w:t>
            </w:r>
            <w:r>
              <w:rPr>
                <w:rFonts w:hint="eastAsia" w:ascii="宋体" w:hAnsi="宋体"/>
                <w:sz w:val="21"/>
                <w:szCs w:val="21"/>
              </w:rPr>
              <w:t xml:space="preserve">背架、压力平视装置等组成。应用于缺氧或有毒现场作业时的呼吸防护。</w:t>
            </w:r>
            <w:r>
              <w:rPr>
                <w:rFonts w:hint="eastAsia" w:ascii="宋体" w:hAnsi="宋体"/>
                <w:sz w:val="21"/>
                <w:szCs w:val="21"/>
              </w:rPr>
              <w:br/>
              <w:t xml:space="preserve">二、符合国家XF124-2013《正压式消防空气呼吸器》标准。</w:t>
            </w:r>
            <w:r>
              <w:rPr>
                <w:rFonts w:hint="eastAsia" w:ascii="宋体" w:hAnsi="宋体"/>
                <w:sz w:val="21"/>
                <w:szCs w:val="21"/>
              </w:rPr>
              <w:br/>
              <w:t xml:space="preserve">三、性能要求:</w:t>
            </w:r>
            <w:r>
              <w:rPr>
                <w:rFonts w:hint="eastAsia" w:ascii="宋体" w:hAnsi="宋体"/>
                <w:sz w:val="21"/>
                <w:szCs w:val="21"/>
              </w:rPr>
              <w:br/>
              <w:t xml:space="preserve">1、背具、背具带、搭扣、全面罩、中压导气管、供气阀等部件均为高性能阻燃材料。在阻燃性能试验后无熔融，续然时间为0s。</w:t>
            </w:r>
            <w:r>
              <w:rPr>
                <w:rFonts w:hint="eastAsia" w:ascii="宋体" w:hAnsi="宋体"/>
                <w:sz w:val="21"/>
                <w:szCs w:val="21"/>
              </w:rPr>
              <w:br/>
              <w:t xml:space="preserve">2、动态呼吸阻力：在（30~2）MPa范围内，以呼吸频率40次/min，呼吸流量100L/min呼吸，吸气阻力＜270Pa；呼气阻力＜670Pa；在（2~1）MPa范围内，以呼吸频率25次/min，呼吸流量50L/min呼吸，吸气阻力＜130Pa；呼气阻力＜580Pa。</w:t>
            </w:r>
            <w:r>
              <w:rPr>
                <w:rFonts w:hint="eastAsia" w:ascii="宋体" w:hAnsi="宋体"/>
                <w:sz w:val="21"/>
                <w:szCs w:val="21"/>
              </w:rPr>
              <w:br/>
              <w:t xml:space="preserve">3、耐高温性能测试:呼气阻力＜685Pa；耐低温性能测试：呼气阻力＜580Pa。</w:t>
            </w:r>
            <w:r>
              <w:rPr>
                <w:rFonts w:hint="eastAsia" w:ascii="宋体" w:hAnsi="宋体"/>
                <w:sz w:val="21"/>
                <w:szCs w:val="21"/>
              </w:rPr>
              <w:br/>
              <w:t xml:space="preserve">▲4、耐辐射热性能测试:气密性试验后压力表指示值在1min内的下降为0MPa；吸气阻力＜175Pa；呼气阻力＜445Pa。</w:t>
            </w:r>
            <w:r>
              <w:rPr>
                <w:rFonts w:hint="eastAsia" w:ascii="宋体" w:hAnsi="宋体"/>
                <w:sz w:val="21"/>
                <w:szCs w:val="21"/>
              </w:rPr>
              <w:br/>
              <w:t xml:space="preserve">5、全面罩总视野保留率&gt;82%,双目视保留率&gt;70%,下方视野&gt;35,镜片透光率&gt;90%，吸入二氧化碳含量＜0.9%。</w:t>
            </w:r>
            <w:r>
              <w:rPr>
                <w:rFonts w:hint="eastAsia" w:ascii="宋体" w:hAnsi="宋体"/>
                <w:sz w:val="21"/>
                <w:szCs w:val="21"/>
              </w:rPr>
              <w:br/>
              <w:t xml:space="preserve">6、中压导气管挤压试验后，空气流量的降低为0.0%。</w:t>
            </w:r>
            <w:r>
              <w:rPr>
                <w:rFonts w:hint="eastAsia" w:ascii="宋体" w:hAnsi="宋体"/>
                <w:sz w:val="21"/>
                <w:szCs w:val="21"/>
              </w:rPr>
              <w:br/>
              <w:t xml:space="preserve">四、其它要求  </w:t>
            </w:r>
            <w:r>
              <w:rPr>
                <w:rFonts w:hint="eastAsia" w:ascii="宋体" w:hAnsi="宋体"/>
                <w:sz w:val="21"/>
                <w:szCs w:val="21"/>
              </w:rPr>
              <w:br/>
              <w:t xml:space="preserve">1、气瓶阀带有双面显示压力表，防误关棘轮手轮；气瓶阀带有限流阀，防止气瓶阀意外断裂时充满高压气的气瓶被气体反冲，造成气瓶在空中飞撞而产生事故。</w:t>
            </w:r>
            <w:r>
              <w:rPr>
                <w:rFonts w:hint="eastAsia" w:ascii="宋体" w:hAnsi="宋体"/>
                <w:sz w:val="21"/>
                <w:szCs w:val="21"/>
              </w:rPr>
              <w:br/>
              <w:t xml:space="preserve">2、供气阀口与面罩口360°任意插拔，插接面罩即自动给气、无需吸气激活，拔开面罩即自动停气、无需按钮；供气阀与中压管通过全方向接头360°万向旋转式连接。</w:t>
            </w:r>
            <w:r>
              <w:rPr>
                <w:rFonts w:hint="eastAsia" w:ascii="宋体" w:hAnsi="宋体"/>
                <w:sz w:val="21"/>
                <w:szCs w:val="21"/>
              </w:rPr>
              <w:br/>
              <w:t xml:space="preserve">3、5点式凯夫拉Kevlar®阻燃网状头带；面罩具有振动报警功能；面屏采用高强度材料制成，经过光学校正无视觉扭曲，防雾、防刮擦涂层，平放地面时，面屏不会接触地面以免刮花；耐冲击防护性能可抵御不低于190米/秒的高速粒子冲击；面罩具有振动报警功能；可内置专用眼镜架，以解决眼睛近视、散光人员的佩戴困扰。</w:t>
            </w:r>
            <w:r>
              <w:rPr>
                <w:rFonts w:hint="eastAsia" w:ascii="宋体" w:hAnsi="宋体"/>
                <w:sz w:val="21"/>
                <w:szCs w:val="21"/>
              </w:rPr>
              <w:br/>
              <w:t xml:space="preserve">▲4、压力平视显示装置由发射模块和接收模块两部分组成，防爆等级（爆炸性气体）≥Ex ia IIC T4 Ga、（爆炸性粉尘）≥Ex ia ⅢC T200 130℃ Da、防水防尘等级均不低于IP67,提供防爆合格证扫描件。</w:t>
            </w:r>
            <w:r>
              <w:rPr>
                <w:rFonts w:hint="eastAsia" w:ascii="宋体" w:hAnsi="宋体"/>
                <w:sz w:val="21"/>
                <w:szCs w:val="21"/>
              </w:rPr>
              <w:br/>
              <w:t xml:space="preserve">5、发射模块为机械、电子双表结构，内置位移报警功能可侦测人体运动状态，一旦发生跌倒或类似伤害造成人员长时间停止移动，即自动开启声光报警、紧急提示救援。接收模块为内置式设计、嵌入面罩体；符合人体工学最佳观测位置LED指示灯，可连续≥80小时长工作时间；低气压报警灯、低电量指示灯、开机指示灯均内外双面显示，在警示佩戴者同时同伴亦可看见。</w:t>
            </w:r>
            <w:r>
              <w:rPr>
                <w:rFonts w:hint="eastAsia" w:ascii="宋体" w:hAnsi="宋体"/>
                <w:sz w:val="21"/>
                <w:szCs w:val="21"/>
              </w:rPr>
              <w:br/>
              <w:t xml:space="preserve">6、气动和电子报警器均置于肩部前方，电子报警器同时具有声、光两种报警模式。机械和电子压力表一体化显示设计，与中压管活动式连接、可360°旋转角度。</w:t>
            </w:r>
            <w:r>
              <w:rPr>
                <w:rFonts w:hint="eastAsia" w:ascii="宋体" w:hAnsi="宋体"/>
                <w:sz w:val="21"/>
                <w:szCs w:val="21"/>
              </w:rPr>
              <w:br/>
              <w:t xml:space="preserve">7、他救装置配有自锁式快速救援接口，置于使用者前胸部。中压导气管通过三通输出接头与供气阀连接管上的输入接头相连接;输出接头应能自行密封。</w:t>
            </w:r>
            <w:r>
              <w:rPr>
                <w:rFonts w:hint="eastAsia" w:ascii="宋体" w:hAnsi="宋体"/>
                <w:sz w:val="21"/>
                <w:szCs w:val="21"/>
              </w:rPr>
              <w:br/>
              <w:t xml:space="preserve">8、整机包装需采用硬质工程塑料轮式拉杆箱。</w:t>
            </w:r>
            <w:r>
              <w:rPr>
                <w:rFonts w:hint="eastAsia" w:ascii="宋体" w:hAnsi="宋体"/>
                <w:sz w:val="21"/>
                <w:szCs w:val="21"/>
              </w:rPr>
              <w:br/>
              <w:t xml:space="preserve">五、整套呼吸器提供国家级或国家认可的第三方检测检验机构出具的检测检验报告，且报告应完整有效。</w:t>
            </w:r>
            <w:r/>
          </w:p>
        </w:tc>
      </w:tr>
      <w:tr>
        <w:trPr/>
        <w:tc>
          <w:tcPr>
            <w:shd w:val="clear" w:color="000000" w:fill="ffffff"/>
            <w:tcW w:w="604"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18</w:t>
            </w:r>
            <w:r/>
          </w:p>
        </w:tc>
        <w:tc>
          <w:tcPr>
            <w:shd w:val="clear" w:color="000000" w:fill="ffffff"/>
            <w:tcW w:w="951"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单杠梯</w:t>
            </w:r>
            <w:r/>
          </w:p>
        </w:tc>
        <w:tc>
          <w:tcPr>
            <w:shd w:val="clear" w:color="000000" w:fill="ffffff"/>
            <w:tcW w:w="649"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把</w:t>
            </w:r>
            <w:r/>
          </w:p>
        </w:tc>
        <w:tc>
          <w:tcPr>
            <w:shd w:val="clear" w:color="000000" w:fill="ffffff"/>
            <w:tcW w:w="683"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2</w:t>
            </w:r>
            <w:r/>
          </w:p>
        </w:tc>
        <w:tc>
          <w:tcPr>
            <w:gridSpan w:val="5"/>
            <w:shd w:val="clear" w:color="000000" w:fill="ffffff"/>
            <w:tcW w:w="7314" w:type="dxa"/>
            <w:vAlign w:val="center"/>
            <w:textDirection w:val="lrTb"/>
            <w:noWrap w:val="false"/>
          </w:tcPr>
          <w:p>
            <w:pPr>
              <w:contextualSpacing/>
              <w:ind w:left="0"/>
              <w:jc w:val="left"/>
              <w:keepNext/>
              <w:widowControl w:val="off"/>
              <w:rPr>
                <w:rFonts w:ascii="宋体" w:hAnsi="宋体"/>
                <w:sz w:val="21"/>
                <w:szCs w:val="21"/>
              </w:rPr>
            </w:pPr>
            <w:r>
              <w:rPr>
                <w:rFonts w:hint="eastAsia" w:ascii="宋体" w:hAnsi="宋体"/>
                <w:sz w:val="21"/>
                <w:szCs w:val="21"/>
              </w:rPr>
              <w:t xml:space="preserve">1.整体要求</w:t>
            </w:r>
            <w:r>
              <w:rPr>
                <w:rFonts w:hint="eastAsia" w:ascii="宋体" w:hAnsi="宋体"/>
                <w:sz w:val="21"/>
                <w:szCs w:val="21"/>
              </w:rPr>
              <w:br/>
              <w:t xml:space="preserve">1.1符合XF137-2007《消防梯》标准要求。</w:t>
            </w:r>
            <w:r>
              <w:rPr>
                <w:rFonts w:hint="eastAsia" w:ascii="宋体" w:hAnsi="宋体"/>
                <w:sz w:val="21"/>
                <w:szCs w:val="21"/>
              </w:rPr>
              <w:br/>
              <w:t xml:space="preserve">2.材料</w:t>
            </w:r>
            <w:r>
              <w:rPr>
                <w:rFonts w:hint="eastAsia" w:ascii="宋体" w:hAnsi="宋体"/>
                <w:sz w:val="21"/>
                <w:szCs w:val="21"/>
              </w:rPr>
              <w:br/>
              <w:t xml:space="preserve">2.1侧板、梯蹬材质为生长期四年以上的竹料并经防腐、防蛀、干燥处理。</w:t>
            </w:r>
            <w:r>
              <w:rPr>
                <w:rFonts w:hint="eastAsia" w:ascii="宋体" w:hAnsi="宋体"/>
                <w:sz w:val="21"/>
                <w:szCs w:val="21"/>
              </w:rPr>
              <w:br/>
              <w:t xml:space="preserve">3. 技术性能</w:t>
            </w:r>
            <w:r>
              <w:rPr>
                <w:rFonts w:hint="eastAsia" w:ascii="宋体" w:hAnsi="宋体"/>
                <w:sz w:val="21"/>
                <w:szCs w:val="21"/>
              </w:rPr>
              <w:br/>
              <w:t xml:space="preserve">3.1工作长度3±0.1m。</w:t>
            </w:r>
            <w:r>
              <w:rPr>
                <w:rFonts w:hint="eastAsia" w:ascii="宋体" w:hAnsi="宋体"/>
                <w:sz w:val="21"/>
                <w:szCs w:val="21"/>
              </w:rPr>
              <w:br/>
              <w:t xml:space="preserve">3.2最小梯宽250±2mm。</w:t>
            </w:r>
            <w:r>
              <w:rPr>
                <w:rFonts w:hint="eastAsia" w:ascii="宋体" w:hAnsi="宋体"/>
                <w:sz w:val="21"/>
                <w:szCs w:val="21"/>
              </w:rPr>
              <w:br/>
            </w:r>
            <w:r>
              <w:rPr>
                <w:rFonts w:hint="eastAsia" w:ascii="宋体" w:hAnsi="宋体"/>
                <w:sz w:val="21"/>
                <w:szCs w:val="21"/>
              </w:rPr>
              <w:t xml:space="preserve">3.3梯蹬间距340±2mm。</w:t>
            </w:r>
            <w:r>
              <w:rPr>
                <w:rFonts w:hint="eastAsia" w:ascii="宋体" w:hAnsi="宋体"/>
                <w:sz w:val="21"/>
                <w:szCs w:val="21"/>
              </w:rPr>
              <w:br/>
              <w:t xml:space="preserve">3.4整梯质量≤9.0kg。 </w:t>
            </w:r>
            <w:r>
              <w:rPr>
                <w:rFonts w:hint="eastAsia" w:ascii="宋体" w:hAnsi="宋体"/>
                <w:sz w:val="21"/>
                <w:szCs w:val="21"/>
              </w:rPr>
              <w:br/>
              <w:t xml:space="preserve">3.5水平弯曲残余变形比值≤0.10%。</w:t>
            </w:r>
            <w:r>
              <w:rPr>
                <w:rFonts w:hint="eastAsia" w:ascii="宋体" w:hAnsi="宋体"/>
                <w:sz w:val="21"/>
                <w:szCs w:val="21"/>
              </w:rPr>
              <w:br/>
              <w:t xml:space="preserve">3.6梯蹬弯曲残余变形比值≤0.20%。</w:t>
            </w:r>
            <w:r>
              <w:rPr>
                <w:rFonts w:hint="eastAsia" w:ascii="宋体" w:hAnsi="宋体"/>
                <w:sz w:val="21"/>
                <w:szCs w:val="21"/>
              </w:rPr>
              <w:br/>
              <w:t xml:space="preserve">3.7梯节扭转角为：α顺：≤10°、α逆：≤10.5°。</w:t>
            </w:r>
            <w:r>
              <w:rPr>
                <w:rFonts w:hint="eastAsia" w:ascii="宋体" w:hAnsi="宋体"/>
                <w:sz w:val="21"/>
                <w:szCs w:val="21"/>
              </w:rPr>
              <w:br/>
              <w:t xml:space="preserve">3.8侧板悬臂弯曲最大变形值：内弯曲≤1.1mm、外弯曲≤1.1mm。</w:t>
            </w:r>
            <w:r>
              <w:rPr>
                <w:rFonts w:hint="eastAsia" w:ascii="宋体" w:hAnsi="宋体"/>
                <w:sz w:val="21"/>
                <w:szCs w:val="21"/>
              </w:rPr>
              <w:br/>
              <w:t xml:space="preserve">3.9侧摇摆试验残余变形比值≤0.10%。</w:t>
            </w:r>
            <w:r>
              <w:rPr>
                <w:rFonts w:hint="eastAsia" w:ascii="宋体" w:hAnsi="宋体"/>
                <w:sz w:val="21"/>
                <w:szCs w:val="21"/>
              </w:rPr>
              <w:br/>
              <w:t xml:space="preserve">3.10粘牢合度试验时，通过浸泡、恒温、低温试验后无脱胶现象。</w:t>
            </w:r>
            <w:r/>
          </w:p>
        </w:tc>
      </w:tr>
      <w:tr>
        <w:trPr/>
        <w:tc>
          <w:tcPr>
            <w:shd w:val="clear" w:color="000000" w:fill="ffffff"/>
            <w:tcW w:w="604"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19</w:t>
            </w:r>
            <w:r/>
          </w:p>
        </w:tc>
        <w:tc>
          <w:tcPr>
            <w:shd w:val="clear" w:color="000000" w:fill="ffffff"/>
            <w:tcW w:w="951"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支线水带</w:t>
            </w:r>
            <w:r/>
          </w:p>
        </w:tc>
        <w:tc>
          <w:tcPr>
            <w:shd w:val="clear" w:color="000000" w:fill="ffffff"/>
            <w:tcW w:w="649"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盘</w:t>
            </w:r>
            <w:r/>
          </w:p>
        </w:tc>
        <w:tc>
          <w:tcPr>
            <w:shd w:val="clear" w:color="000000" w:fill="ffffff"/>
            <w:tcW w:w="683"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40</w:t>
            </w:r>
            <w:r/>
          </w:p>
        </w:tc>
        <w:tc>
          <w:tcPr>
            <w:gridSpan w:val="5"/>
            <w:shd w:val="clear" w:color="000000" w:fill="ffffff"/>
            <w:tcW w:w="7314" w:type="dxa"/>
            <w:vAlign w:val="center"/>
            <w:textDirection w:val="lrTb"/>
            <w:noWrap w:val="false"/>
          </w:tcPr>
          <w:p>
            <w:pPr>
              <w:contextualSpacing/>
              <w:ind w:left="0"/>
              <w:jc w:val="left"/>
              <w:keepNext/>
              <w:widowControl w:val="off"/>
              <w:rPr>
                <w:rFonts w:ascii="宋体" w:hAnsi="宋体"/>
                <w:sz w:val="21"/>
                <w:szCs w:val="21"/>
              </w:rPr>
            </w:pPr>
            <w:r>
              <w:rPr>
                <w:rFonts w:hint="eastAsia" w:ascii="宋体" w:hAnsi="宋体"/>
                <w:sz w:val="21"/>
                <w:szCs w:val="21"/>
              </w:rPr>
              <w:t xml:space="preserve">1、符合 GB6246-2011《消防水带》标准。</w:t>
            </w:r>
            <w:r>
              <w:rPr>
                <w:rFonts w:hint="eastAsia" w:ascii="宋体" w:hAnsi="宋体"/>
                <w:sz w:val="21"/>
                <w:szCs w:val="21"/>
              </w:rPr>
              <w:br/>
              <w:t xml:space="preserve">2、水带外层采用高强涤纶长丝材料编织而成，织物层应均匀，表面整洁；无跳双经、断双经、跳纬及划伤。内衬聚氨酯材料（又名 TPU），衬里的厚度应均匀，表面应光滑平整、无折皱或其他缺陷，重量轻，易收卷，出水快；</w:t>
            </w:r>
            <w:r>
              <w:rPr>
                <w:rFonts w:hint="eastAsia" w:ascii="宋体" w:hAnsi="宋体"/>
                <w:sz w:val="21"/>
                <w:szCs w:val="21"/>
              </w:rPr>
              <w:br/>
              <w:t xml:space="preserve">3、水带内径：（63.5-65.5）mm，标准工作压力：1.6MPa，爆破压力≥6.0MPa；</w:t>
            </w:r>
            <w:r>
              <w:rPr>
                <w:rFonts w:hint="eastAsia" w:ascii="宋体" w:hAnsi="宋体"/>
                <w:sz w:val="21"/>
                <w:szCs w:val="21"/>
              </w:rPr>
              <w:br/>
              <w:t xml:space="preserve">4、每盘长度 20 米，整盘水带的重量轻便，便于消防战士使用；</w:t>
            </w:r>
            <w:r>
              <w:rPr>
                <w:rFonts w:hint="eastAsia" w:ascii="宋体" w:hAnsi="宋体"/>
                <w:sz w:val="21"/>
                <w:szCs w:val="21"/>
              </w:rPr>
              <w:br/>
              <w:t xml:space="preserve">5、单位长度重量≤280g/m。水带在高压水流的作用下，抗形变能力良好，轴向延伸率≤1.5％，直径膨胀率≤3.5％，附着强度≥40N/25mm；扯断伸长率≥290%；扯断强度≥60MPa</w:t>
            </w:r>
            <w:r>
              <w:rPr>
                <w:rFonts w:hint="eastAsia" w:ascii="宋体" w:hAnsi="宋体"/>
                <w:sz w:val="21"/>
                <w:szCs w:val="21"/>
              </w:rPr>
              <w:br/>
              <w:t xml:space="preserve">6、水带端部注明：厂名、编号、原料、公称内径、长度、生产日期、设计工作压力；</w:t>
            </w:r>
            <w:r>
              <w:rPr>
                <w:rFonts w:hint="eastAsia" w:ascii="宋体" w:hAnsi="宋体"/>
                <w:sz w:val="21"/>
                <w:szCs w:val="21"/>
              </w:rPr>
              <w:br/>
              <w:t xml:space="preserve">7、水带两端绑扎锻造卡式接口，公称压力不小于1.6MPa。接口外观质量：表面平整、光洁，表面应进行阳极氧化处理；加工表面应无损伤，无结疤、裂痕、砂眼。配专用橡胶水带护套。</w:t>
            </w:r>
            <w:r>
              <w:rPr>
                <w:rFonts w:hint="eastAsia" w:ascii="宋体" w:hAnsi="宋体"/>
                <w:sz w:val="21"/>
                <w:szCs w:val="21"/>
              </w:rPr>
              <w:br/>
              <w:t xml:space="preserve">8、提供国家级或国家认可的第三方检测检验机构出具的检测检验报告，且报告应完整有效。</w:t>
            </w:r>
            <w:r/>
          </w:p>
        </w:tc>
      </w:tr>
      <w:tr>
        <w:trPr/>
        <w:tc>
          <w:tcPr>
            <w:shd w:val="clear" w:color="000000" w:fill="ffffff"/>
            <w:tcW w:w="604"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20</w:t>
            </w:r>
            <w:r/>
          </w:p>
        </w:tc>
        <w:tc>
          <w:tcPr>
            <w:shd w:val="clear" w:color="000000" w:fill="ffffff"/>
            <w:tcW w:w="951"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干线水带</w:t>
            </w:r>
            <w:r/>
          </w:p>
        </w:tc>
        <w:tc>
          <w:tcPr>
            <w:shd w:val="clear" w:color="000000" w:fill="ffffff"/>
            <w:tcW w:w="649"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盘</w:t>
            </w:r>
            <w:r/>
          </w:p>
        </w:tc>
        <w:tc>
          <w:tcPr>
            <w:shd w:val="clear" w:color="000000" w:fill="ffffff"/>
            <w:tcW w:w="683"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20</w:t>
            </w:r>
            <w:r/>
          </w:p>
        </w:tc>
        <w:tc>
          <w:tcPr>
            <w:gridSpan w:val="5"/>
            <w:shd w:val="clear" w:color="000000" w:fill="ffffff"/>
            <w:tcW w:w="7314" w:type="dxa"/>
            <w:vAlign w:val="center"/>
            <w:textDirection w:val="lrTb"/>
            <w:noWrap w:val="false"/>
          </w:tcPr>
          <w:p>
            <w:pPr>
              <w:contextualSpacing/>
              <w:ind w:left="0"/>
              <w:jc w:val="left"/>
              <w:keepNext/>
              <w:widowControl w:val="off"/>
              <w:rPr>
                <w:rFonts w:ascii="宋体" w:hAnsi="宋体"/>
                <w:sz w:val="21"/>
                <w:szCs w:val="21"/>
              </w:rPr>
            </w:pPr>
            <w:r>
              <w:rPr>
                <w:rFonts w:hint="eastAsia" w:ascii="宋体" w:hAnsi="宋体"/>
                <w:sz w:val="21"/>
                <w:szCs w:val="21"/>
              </w:rPr>
              <w:t xml:space="preserve">1、符合 GB6246-2011《消防水带》标准。</w:t>
            </w:r>
            <w:r>
              <w:rPr>
                <w:rFonts w:hint="eastAsia" w:ascii="宋体" w:hAnsi="宋体"/>
                <w:sz w:val="21"/>
                <w:szCs w:val="21"/>
              </w:rPr>
              <w:br/>
              <w:t xml:space="preserve">2、水带外层采用高强涤纶长丝材料编织而成，织物层应均匀，表面整洁；无跳双经、断双经、跳纬及划伤。内衬聚氨酯材料（又名 TPU），衬里的厚度应均匀，表面应光滑平整、无折皱或其他缺陷，重量轻，易收卷，出水快；</w:t>
            </w:r>
            <w:r>
              <w:rPr>
                <w:rFonts w:hint="eastAsia" w:ascii="宋体" w:hAnsi="宋体"/>
                <w:sz w:val="21"/>
                <w:szCs w:val="21"/>
              </w:rPr>
              <w:br/>
              <w:t xml:space="preserve">3、水带内径：（76.0-78.0）mm，标准工作压力：1.6MPa，爆破压力≥5.5MPa；</w:t>
            </w:r>
            <w:r>
              <w:rPr>
                <w:rFonts w:hint="eastAsia" w:ascii="宋体" w:hAnsi="宋体"/>
                <w:sz w:val="21"/>
                <w:szCs w:val="21"/>
              </w:rPr>
              <w:br/>
              <w:t xml:space="preserve">4、每盘长度 20 米，整盘水带的重量轻便，便于消防战士使用；</w:t>
            </w:r>
            <w:r>
              <w:rPr>
                <w:rFonts w:hint="eastAsia" w:ascii="宋体" w:hAnsi="宋体"/>
                <w:sz w:val="21"/>
                <w:szCs w:val="21"/>
              </w:rPr>
              <w:br/>
              <w:t xml:space="preserve">5、单位长度重量≤320g/m。水带在高压水流的作用下，抗形变能力良好，轴向延伸率≤1.8％，直径膨胀率≤3.5％，附着强度≥40N/25mm；扯断伸长率≥290%；扯断强度≥60MPa；</w:t>
            </w:r>
            <w:r>
              <w:rPr>
                <w:rFonts w:hint="eastAsia" w:ascii="宋体" w:hAnsi="宋体"/>
                <w:sz w:val="21"/>
                <w:szCs w:val="21"/>
              </w:rPr>
              <w:br/>
              <w:t xml:space="preserve">6、水带端部注明：厂名、编号、原料、公称内径、长度、生产日期、设计工作压力；</w:t>
            </w:r>
            <w:r>
              <w:rPr>
                <w:rFonts w:hint="eastAsia" w:ascii="宋体" w:hAnsi="宋体"/>
                <w:sz w:val="21"/>
                <w:szCs w:val="21"/>
              </w:rPr>
              <w:br/>
              <w:t xml:space="preserve">7、水带两端绑扎锻造卡式接口，公称压力不小于1.6MPa。接口外观质量：表面平整、光洁，表面应进行阳极氧化处理；加工表面应无损伤，无结疤、裂痕、</w:t>
            </w:r>
            <w:r>
              <w:rPr>
                <w:rFonts w:hint="eastAsia" w:ascii="宋体" w:hAnsi="宋体"/>
                <w:sz w:val="21"/>
                <w:szCs w:val="21"/>
              </w:rPr>
              <w:br/>
              <w:t xml:space="preserve">砂眼。配专用橡胶水带护套。</w:t>
            </w:r>
            <w:r>
              <w:rPr>
                <w:rFonts w:hint="eastAsia" w:ascii="宋体" w:hAnsi="宋体"/>
                <w:sz w:val="21"/>
                <w:szCs w:val="21"/>
              </w:rPr>
              <w:br/>
              <w:t xml:space="preserve">8、提供国家级或国家认可的第三方检测检验机构出具的检测检验报告，且报告应完整有效。</w:t>
            </w:r>
            <w:r/>
          </w:p>
        </w:tc>
      </w:tr>
      <w:tr>
        <w:trPr/>
        <w:tc>
          <w:tcPr>
            <w:shd w:val="clear" w:color="000000" w:fill="ffffff"/>
            <w:tcW w:w="604"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21</w:t>
            </w:r>
            <w:r/>
          </w:p>
        </w:tc>
        <w:tc>
          <w:tcPr>
            <w:shd w:val="clear" w:color="000000" w:fill="ffffff"/>
            <w:tcW w:w="951"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水带包布</w:t>
            </w:r>
            <w:r/>
          </w:p>
        </w:tc>
        <w:tc>
          <w:tcPr>
            <w:shd w:val="clear" w:color="000000" w:fill="ffffff"/>
            <w:tcW w:w="649"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个</w:t>
            </w:r>
            <w:r/>
          </w:p>
        </w:tc>
        <w:tc>
          <w:tcPr>
            <w:shd w:val="clear" w:color="000000" w:fill="ffffff"/>
            <w:tcW w:w="683"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8</w:t>
            </w:r>
            <w:r/>
          </w:p>
        </w:tc>
        <w:tc>
          <w:tcPr>
            <w:gridSpan w:val="5"/>
            <w:shd w:val="clear" w:color="000000" w:fill="ffffff"/>
            <w:tcW w:w="7314" w:type="dxa"/>
            <w:vAlign w:val="center"/>
            <w:textDirection w:val="lrTb"/>
            <w:noWrap w:val="false"/>
          </w:tcPr>
          <w:p>
            <w:pPr>
              <w:contextualSpacing/>
              <w:ind w:left="0"/>
              <w:jc w:val="left"/>
              <w:keepNext/>
              <w:widowControl w:val="off"/>
              <w:rPr>
                <w:rFonts w:ascii="宋体" w:hAnsi="宋体"/>
                <w:sz w:val="21"/>
                <w:szCs w:val="21"/>
              </w:rPr>
            </w:pPr>
            <w:r>
              <w:rPr>
                <w:rFonts w:hint="eastAsia" w:ascii="宋体" w:hAnsi="宋体"/>
                <w:sz w:val="21"/>
                <w:szCs w:val="21"/>
              </w:rPr>
              <w:t xml:space="preserve">1.产品材质：高强度涤纶长丝。</w:t>
            </w:r>
            <w:r>
              <w:rPr>
                <w:rFonts w:hint="eastAsia" w:ascii="宋体" w:hAnsi="宋体"/>
                <w:sz w:val="21"/>
                <w:szCs w:val="21"/>
              </w:rPr>
              <w:br/>
              <w:t xml:space="preserve">2.水带包布是消防器材的一种，用于包裹消防水带破漏处，是消防车上必备的附件之一。</w:t>
            </w:r>
            <w:r>
              <w:rPr>
                <w:rFonts w:hint="eastAsia" w:ascii="宋体" w:hAnsi="宋体"/>
                <w:sz w:val="21"/>
                <w:szCs w:val="21"/>
              </w:rPr>
              <w:br/>
              <w:t xml:space="preserve">3.由帆布带和金属夹钳等零件组成。使用时只要将包布一端穿入夹钳中，夹牢即可。</w:t>
            </w:r>
            <w:r/>
          </w:p>
        </w:tc>
      </w:tr>
      <w:tr>
        <w:trPr/>
        <w:tc>
          <w:tcPr>
            <w:shd w:val="clear" w:color="000000" w:fill="ffffff"/>
            <w:tcW w:w="604"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22</w:t>
            </w:r>
            <w:r/>
          </w:p>
        </w:tc>
        <w:tc>
          <w:tcPr>
            <w:shd w:val="clear" w:color="000000" w:fill="ffffff"/>
            <w:tcW w:w="951"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转换接口</w:t>
            </w:r>
            <w:r/>
          </w:p>
        </w:tc>
        <w:tc>
          <w:tcPr>
            <w:shd w:val="clear" w:color="000000" w:fill="ffffff"/>
            <w:tcW w:w="649"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个</w:t>
            </w:r>
            <w:r/>
          </w:p>
        </w:tc>
        <w:tc>
          <w:tcPr>
            <w:shd w:val="clear" w:color="000000" w:fill="ffffff"/>
            <w:tcW w:w="683"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6</w:t>
            </w:r>
            <w:r/>
          </w:p>
        </w:tc>
        <w:tc>
          <w:tcPr>
            <w:gridSpan w:val="5"/>
            <w:shd w:val="clear" w:color="000000" w:fill="ffffff"/>
            <w:tcW w:w="7314" w:type="dxa"/>
            <w:vAlign w:val="center"/>
            <w:textDirection w:val="lrTb"/>
            <w:noWrap w:val="false"/>
          </w:tcPr>
          <w:p>
            <w:pPr>
              <w:contextualSpacing/>
              <w:ind w:left="0"/>
              <w:jc w:val="left"/>
              <w:keepNext/>
              <w:widowControl w:val="off"/>
              <w:rPr>
                <w:rFonts w:ascii="宋体" w:hAnsi="宋体"/>
                <w:sz w:val="21"/>
                <w:szCs w:val="21"/>
              </w:rPr>
            </w:pPr>
            <w:r>
              <w:rPr>
                <w:rFonts w:hint="eastAsia" w:ascii="宋体" w:hAnsi="宋体"/>
                <w:sz w:val="21"/>
                <w:szCs w:val="21"/>
              </w:rPr>
              <w:t xml:space="preserve">符合GB12514《消防接口》标准，接口采用锻造工艺及氧化处理。</w:t>
            </w:r>
            <w:r/>
          </w:p>
        </w:tc>
      </w:tr>
      <w:tr>
        <w:trPr/>
        <w:tc>
          <w:tcPr>
            <w:shd w:val="clear" w:color="000000" w:fill="ffffff"/>
            <w:tcW w:w="604"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23</w:t>
            </w:r>
            <w:r/>
          </w:p>
        </w:tc>
        <w:tc>
          <w:tcPr>
            <w:shd w:val="clear" w:color="000000" w:fill="ffffff"/>
            <w:tcW w:w="951"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消防砍</w:t>
            </w:r>
            <w:r>
              <w:rPr>
                <w:rFonts w:hint="eastAsia" w:ascii="宋体" w:hAnsi="宋体"/>
                <w:sz w:val="21"/>
                <w:szCs w:val="21"/>
              </w:rPr>
              <w:t xml:space="preserve">斧</w:t>
            </w:r>
            <w:r/>
          </w:p>
        </w:tc>
        <w:tc>
          <w:tcPr>
            <w:shd w:val="clear" w:color="000000" w:fill="ffffff"/>
            <w:tcW w:w="649"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把</w:t>
            </w:r>
            <w:r/>
          </w:p>
        </w:tc>
        <w:tc>
          <w:tcPr>
            <w:shd w:val="clear" w:color="000000" w:fill="ffffff"/>
            <w:tcW w:w="683"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2</w:t>
            </w:r>
            <w:r/>
          </w:p>
        </w:tc>
        <w:tc>
          <w:tcPr>
            <w:gridSpan w:val="5"/>
            <w:shd w:val="clear" w:color="000000" w:fill="ffffff"/>
            <w:tcW w:w="7314" w:type="dxa"/>
            <w:vAlign w:val="center"/>
            <w:textDirection w:val="lrTb"/>
            <w:noWrap w:val="false"/>
          </w:tcPr>
          <w:p>
            <w:pPr>
              <w:contextualSpacing/>
              <w:ind w:left="0"/>
              <w:jc w:val="left"/>
              <w:keepNext/>
              <w:widowControl w:val="off"/>
              <w:rPr>
                <w:rFonts w:ascii="宋体" w:hAnsi="宋体"/>
                <w:sz w:val="21"/>
                <w:szCs w:val="21"/>
              </w:rPr>
            </w:pPr>
            <w:r>
              <w:rPr>
                <w:rFonts w:hint="eastAsia" w:ascii="宋体" w:hAnsi="宋体"/>
                <w:sz w:val="21"/>
                <w:szCs w:val="21"/>
              </w:rPr>
              <w:t xml:space="preserve">1.PVC绝缘柄防滑减震，握持舒适，能有效降低握持斧柄的劳动疲劳强度。手</w:t>
            </w:r>
            <w:r>
              <w:rPr>
                <w:rFonts w:hint="eastAsia" w:ascii="宋体" w:hAnsi="宋体"/>
                <w:sz w:val="21"/>
                <w:szCs w:val="21"/>
              </w:rPr>
              <w:t xml:space="preserve">柄总长≥90cm，头重重量≥1.58kg。末端带有穿绳孔方便穿绳，挂起来更方便。</w:t>
            </w:r>
            <w:r>
              <w:rPr>
                <w:rFonts w:hint="eastAsia" w:ascii="宋体" w:hAnsi="宋体"/>
                <w:sz w:val="21"/>
                <w:szCs w:val="21"/>
              </w:rPr>
              <w:br/>
              <w:t xml:space="preserve">2. 斧头45#碳钢锻打，刃口热处理，硬度48-55之间，可一次性砍断12mmQ235A热轧圆钢。斧头和手柄的连接处经过灌胶处理，压力机注入专业胶防止掉头，大大增加使用者安全系数。</w:t>
            </w:r>
            <w:r>
              <w:rPr>
                <w:rFonts w:hint="eastAsia" w:ascii="宋体" w:hAnsi="宋体"/>
                <w:sz w:val="21"/>
                <w:szCs w:val="21"/>
              </w:rPr>
              <w:br/>
              <w:t xml:space="preserve">3.具备砍、剁等功能，是消防破拆不可少的工具之一。</w:t>
            </w:r>
            <w:r>
              <w:rPr>
                <w:rFonts w:hint="eastAsia" w:ascii="宋体" w:hAnsi="宋体"/>
                <w:sz w:val="21"/>
                <w:szCs w:val="21"/>
              </w:rPr>
              <w:br/>
              <w:t xml:space="preserve">4.品经测试可承受29400N（3000kg）斧头与斧柄不拉脱，对于消防员救援过程中更安全可靠。</w:t>
            </w:r>
            <w:r/>
          </w:p>
        </w:tc>
      </w:tr>
      <w:tr>
        <w:trPr/>
        <w:tc>
          <w:tcPr>
            <w:shd w:val="clear" w:color="000000" w:fill="ffffff"/>
            <w:tcW w:w="604"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24</w:t>
            </w:r>
            <w:r/>
          </w:p>
        </w:tc>
        <w:tc>
          <w:tcPr>
            <w:shd w:val="clear" w:color="000000" w:fill="ffffff"/>
            <w:tcW w:w="951"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安全钩</w:t>
            </w:r>
            <w:r/>
          </w:p>
        </w:tc>
        <w:tc>
          <w:tcPr>
            <w:shd w:val="clear" w:color="000000" w:fill="ffffff"/>
            <w:tcW w:w="649"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只</w:t>
            </w:r>
            <w:r/>
          </w:p>
        </w:tc>
        <w:tc>
          <w:tcPr>
            <w:shd w:val="clear" w:color="000000" w:fill="ffffff"/>
            <w:tcW w:w="683"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20</w:t>
            </w:r>
            <w:r/>
          </w:p>
        </w:tc>
        <w:tc>
          <w:tcPr>
            <w:gridSpan w:val="5"/>
            <w:shd w:val="clear" w:color="000000" w:fill="ffffff"/>
            <w:tcW w:w="7314" w:type="dxa"/>
            <w:vAlign w:val="center"/>
            <w:textDirection w:val="lrTb"/>
            <w:noWrap w:val="false"/>
          </w:tcPr>
          <w:p>
            <w:pPr>
              <w:contextualSpacing/>
              <w:ind w:left="0"/>
              <w:jc w:val="left"/>
              <w:keepNext/>
              <w:widowControl w:val="off"/>
              <w:rPr>
                <w:rFonts w:ascii="宋体" w:hAnsi="宋体"/>
                <w:sz w:val="21"/>
                <w:szCs w:val="21"/>
              </w:rPr>
            </w:pPr>
            <w:r>
              <w:rPr>
                <w:rFonts w:hint="eastAsia" w:ascii="宋体" w:hAnsi="宋体"/>
                <w:sz w:val="21"/>
                <w:szCs w:val="21"/>
              </w:rPr>
              <w:t xml:space="preserve">1、符合XF494-2023《消防用防坠落装备》标准的要求。</w:t>
            </w:r>
            <w:r>
              <w:rPr>
                <w:rFonts w:hint="eastAsia" w:ascii="宋体" w:hAnsi="宋体"/>
                <w:sz w:val="21"/>
                <w:szCs w:val="21"/>
              </w:rPr>
              <w:br/>
              <w:t xml:space="preserve">2、O型安全钩，铝合金材质，自动锁扣设计，可单手开启和关闭。</w:t>
            </w:r>
            <w:r>
              <w:rPr>
                <w:rFonts w:hint="eastAsia" w:ascii="宋体" w:hAnsi="宋体"/>
                <w:sz w:val="21"/>
                <w:szCs w:val="21"/>
              </w:rPr>
              <w:br/>
              <w:t xml:space="preserve">3、长轴破断强度≥30KN ，短轴破断强度≥10KN，开口距离≥20mm。</w:t>
            </w:r>
            <w:r>
              <w:rPr>
                <w:rFonts w:hint="eastAsia" w:ascii="宋体" w:hAnsi="宋体"/>
                <w:sz w:val="21"/>
                <w:szCs w:val="21"/>
              </w:rPr>
              <w:br/>
              <w:t xml:space="preserve">4、重量</w:t>
            </w:r>
            <w:r>
              <w:rPr>
                <w:rFonts w:ascii="宋体" w:hAnsi="宋体" w:cs="Arial"/>
                <w:sz w:val="21"/>
                <w:szCs w:val="21"/>
              </w:rPr>
              <w:t xml:space="preserve">≤</w:t>
            </w:r>
            <w:r>
              <w:rPr>
                <w:rFonts w:hint="eastAsia" w:ascii="宋体" w:hAnsi="宋体"/>
                <w:sz w:val="21"/>
                <w:szCs w:val="21"/>
              </w:rPr>
              <w:t xml:space="preserve">90g。 </w:t>
            </w:r>
            <w:r>
              <w:rPr>
                <w:rFonts w:hint="eastAsia" w:ascii="宋体" w:hAnsi="宋体"/>
                <w:sz w:val="21"/>
                <w:szCs w:val="21"/>
              </w:rPr>
              <w:br/>
              <w:t xml:space="preserve">5、安全钩无棱角、毛刺，无裂纹、无明显压痕和划伤等缺陷，其边缘呈弧形。</w:t>
            </w:r>
            <w:r/>
          </w:p>
        </w:tc>
      </w:tr>
      <w:tr>
        <w:trPr/>
        <w:tc>
          <w:tcPr>
            <w:shd w:val="clear" w:color="000000" w:fill="ffffff"/>
            <w:tcW w:w="604"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25</w:t>
            </w:r>
            <w:r/>
          </w:p>
        </w:tc>
        <w:tc>
          <w:tcPr>
            <w:shd w:val="clear" w:color="000000" w:fill="ffffff"/>
            <w:tcW w:w="951"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哈利撬棒</w:t>
            </w:r>
            <w:r/>
          </w:p>
        </w:tc>
        <w:tc>
          <w:tcPr>
            <w:shd w:val="clear" w:color="000000" w:fill="ffffff"/>
            <w:tcW w:w="649"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根</w:t>
            </w:r>
            <w:r/>
          </w:p>
        </w:tc>
        <w:tc>
          <w:tcPr>
            <w:shd w:val="clear" w:color="000000" w:fill="ffffff"/>
            <w:tcW w:w="683"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1</w:t>
            </w:r>
            <w:r/>
          </w:p>
        </w:tc>
        <w:tc>
          <w:tcPr>
            <w:gridSpan w:val="5"/>
            <w:shd w:val="clear" w:color="000000" w:fill="ffffff"/>
            <w:tcW w:w="7314" w:type="dxa"/>
            <w:vAlign w:val="center"/>
            <w:textDirection w:val="lrTb"/>
            <w:noWrap w:val="false"/>
          </w:tcPr>
          <w:p>
            <w:pPr>
              <w:contextualSpacing/>
              <w:ind w:left="0"/>
              <w:jc w:val="left"/>
              <w:keepNext/>
              <w:widowControl w:val="off"/>
              <w:rPr>
                <w:rFonts w:ascii="宋体" w:hAnsi="宋体"/>
                <w:sz w:val="21"/>
                <w:szCs w:val="21"/>
              </w:rPr>
            </w:pPr>
            <w:r>
              <w:rPr>
                <w:rFonts w:hint="eastAsia" w:ascii="宋体" w:hAnsi="宋体"/>
                <w:sz w:val="21"/>
                <w:szCs w:val="21"/>
              </w:rPr>
              <w:t xml:space="preserve">一种集羊角撬棍、尖镐和扁镐于一体的多功能消防铁铤，该工具包括钢制杆体，杆体一端设置有羊角撬头，另一端设有尖镐头和扁镐头，尖镐头和扁镐头固接为一体，杆体表面设置有防滑部件，杆体装有吊带方便携带。铁铤整体全部为高碳钢锻打而成，硬度≥45HRC，热处理淬火工艺。长度≥36寸，重量≤6KG.</w:t>
            </w:r>
            <w:r/>
          </w:p>
        </w:tc>
      </w:tr>
      <w:tr>
        <w:trPr/>
        <w:tc>
          <w:tcPr>
            <w:shd w:val="clear" w:color="000000" w:fill="ffffff"/>
            <w:tcW w:w="604"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26</w:t>
            </w:r>
            <w:r/>
          </w:p>
        </w:tc>
        <w:tc>
          <w:tcPr>
            <w:shd w:val="clear" w:color="000000" w:fill="ffffff"/>
            <w:tcW w:w="951"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阻燃头套</w:t>
            </w:r>
            <w:r/>
          </w:p>
        </w:tc>
        <w:tc>
          <w:tcPr>
            <w:shd w:val="clear" w:color="000000" w:fill="ffffff"/>
            <w:tcW w:w="649"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个</w:t>
            </w:r>
            <w:r/>
          </w:p>
        </w:tc>
        <w:tc>
          <w:tcPr>
            <w:shd w:val="clear" w:color="000000" w:fill="ffffff"/>
            <w:tcW w:w="683"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10</w:t>
            </w:r>
            <w:r/>
          </w:p>
        </w:tc>
        <w:tc>
          <w:tcPr>
            <w:gridSpan w:val="5"/>
            <w:shd w:val="clear" w:color="000000" w:fill="ffffff"/>
            <w:tcW w:w="7314" w:type="dxa"/>
            <w:vAlign w:val="center"/>
            <w:textDirection w:val="lrTb"/>
            <w:noWrap w:val="false"/>
          </w:tcPr>
          <w:p>
            <w:pPr>
              <w:contextualSpacing/>
              <w:ind w:left="0"/>
              <w:jc w:val="left"/>
              <w:keepNext/>
              <w:widowControl w:val="off"/>
              <w:rPr>
                <w:rFonts w:ascii="宋体" w:hAnsi="宋体"/>
                <w:sz w:val="21"/>
                <w:szCs w:val="21"/>
              </w:rPr>
            </w:pPr>
            <w:r>
              <w:rPr>
                <w:rFonts w:hint="eastAsia" w:ascii="宋体" w:hAnsi="宋体"/>
                <w:sz w:val="21"/>
                <w:szCs w:val="21"/>
              </w:rPr>
              <w:t xml:space="preserve">1.符合XF869-2010《消防员灭火防护头套》标准要求；</w:t>
            </w:r>
            <w:r>
              <w:rPr>
                <w:rFonts w:hint="eastAsia" w:ascii="宋体" w:hAnsi="宋体"/>
                <w:sz w:val="21"/>
                <w:szCs w:val="21"/>
              </w:rPr>
              <w:br/>
              <w:t xml:space="preserve">2.消防员灭火防护头套具有防热、防火、防爆燃等性能，采用双层面料设计；</w:t>
            </w:r>
            <w:r>
              <w:rPr>
                <w:rFonts w:hint="eastAsia" w:ascii="宋体" w:hAnsi="宋体"/>
                <w:sz w:val="21"/>
                <w:szCs w:val="21"/>
              </w:rPr>
              <w:br/>
              <w:t xml:space="preserve">3.外观为开口套筒式、面部开口设计，完整覆盖头部、颈部、胸上部及肩膀；</w:t>
            </w:r>
            <w:r>
              <w:rPr>
                <w:rFonts w:hint="eastAsia" w:ascii="宋体" w:hAnsi="宋体"/>
                <w:sz w:val="21"/>
                <w:szCs w:val="21"/>
              </w:rPr>
              <w:br/>
              <w:t xml:space="preserve">4.外部颜色为黑色碳纤维针织布，内层材料为高阻燃聚酰亚胺针织布或同等材质；</w:t>
            </w:r>
            <w:r>
              <w:rPr>
                <w:rFonts w:hint="eastAsia" w:ascii="宋体" w:hAnsi="宋体"/>
                <w:sz w:val="21"/>
                <w:szCs w:val="21"/>
              </w:rPr>
              <w:br/>
              <w:t xml:space="preserve">5.缝线采用黑色防火阻燃线；</w:t>
            </w:r>
            <w:r>
              <w:rPr>
                <w:rFonts w:hint="eastAsia" w:ascii="宋体" w:hAnsi="宋体"/>
                <w:sz w:val="21"/>
                <w:szCs w:val="21"/>
              </w:rPr>
              <w:br/>
              <w:t xml:space="preserve">▲6.阻燃性能：外层及内层经向纬向续燃时间≤0s，外层损毁长度经向≤8mm、纬向≤6mm，内层损毁长度经向≤12mm、纬向≤10mm；</w:t>
            </w:r>
            <w:r>
              <w:rPr>
                <w:rFonts w:hint="eastAsia" w:ascii="宋体" w:hAnsi="宋体"/>
                <w:sz w:val="21"/>
                <w:szCs w:val="21"/>
              </w:rPr>
              <w:br/>
              <w:t xml:space="preserve">7.热稳定性能：尺寸变化率≤2.5%；水洗尺寸变化率直向横向均≤2.5%；</w:t>
            </w:r>
            <w:r>
              <w:rPr>
                <w:rFonts w:hint="eastAsia" w:ascii="宋体" w:hAnsi="宋体"/>
                <w:sz w:val="21"/>
                <w:szCs w:val="21"/>
              </w:rPr>
              <w:br/>
              <w:t xml:space="preserve">8.面料抗起球性能不应低于4级； </w:t>
            </w:r>
            <w:r>
              <w:rPr>
                <w:rFonts w:hint="eastAsia" w:ascii="宋体" w:hAnsi="宋体"/>
                <w:sz w:val="21"/>
                <w:szCs w:val="21"/>
              </w:rPr>
              <w:br/>
              <w:t xml:space="preserve">9.整体性能：质量≤160g;</w:t>
            </w:r>
            <w:r>
              <w:rPr>
                <w:rFonts w:hint="eastAsia" w:ascii="宋体" w:hAnsi="宋体"/>
                <w:sz w:val="21"/>
                <w:szCs w:val="21"/>
              </w:rPr>
              <w:br/>
              <w:t xml:space="preserve">10.接缝强力≥900N；</w:t>
            </w:r>
            <w:r>
              <w:rPr>
                <w:rFonts w:hint="eastAsia" w:ascii="宋体" w:hAnsi="宋体"/>
                <w:sz w:val="21"/>
                <w:szCs w:val="21"/>
              </w:rPr>
              <w:br/>
              <w:t xml:space="preserve">11.颜色：黑色</w:t>
            </w:r>
            <w:r>
              <w:rPr>
                <w:rFonts w:hint="eastAsia" w:ascii="宋体" w:hAnsi="宋体"/>
                <w:sz w:val="21"/>
                <w:szCs w:val="21"/>
              </w:rPr>
              <w:br/>
              <w:t xml:space="preserve">12、提供国家级或国家认可的第三方检测检验机构出具的检测检验报告，且报告应完整有效。</w:t>
            </w:r>
            <w:r/>
          </w:p>
        </w:tc>
      </w:tr>
      <w:tr>
        <w:trPr/>
        <w:tc>
          <w:tcPr>
            <w:shd w:val="clear" w:color="000000" w:fill="ffffff"/>
            <w:tcW w:w="604"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27</w:t>
            </w:r>
            <w:r/>
          </w:p>
        </w:tc>
        <w:tc>
          <w:tcPr>
            <w:shd w:val="clear" w:color="000000" w:fill="ffffff"/>
            <w:tcW w:w="951"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安全绳包</w:t>
            </w:r>
            <w:r/>
          </w:p>
        </w:tc>
        <w:tc>
          <w:tcPr>
            <w:shd w:val="clear" w:color="000000" w:fill="ffffff"/>
            <w:tcW w:w="649"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个</w:t>
            </w:r>
            <w:r/>
          </w:p>
        </w:tc>
        <w:tc>
          <w:tcPr>
            <w:shd w:val="clear" w:color="000000" w:fill="ffffff"/>
            <w:tcW w:w="683"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10</w:t>
            </w:r>
            <w:r/>
          </w:p>
        </w:tc>
        <w:tc>
          <w:tcPr>
            <w:gridSpan w:val="5"/>
            <w:shd w:val="clear" w:color="000000" w:fill="ffffff"/>
            <w:tcW w:w="7314" w:type="dxa"/>
            <w:vAlign w:val="center"/>
            <w:textDirection w:val="lrTb"/>
            <w:noWrap w:val="false"/>
          </w:tcPr>
          <w:p>
            <w:pPr>
              <w:contextualSpacing/>
              <w:ind w:left="0"/>
              <w:jc w:val="left"/>
              <w:keepNext/>
              <w:widowControl w:val="off"/>
              <w:rPr>
                <w:rFonts w:ascii="宋体" w:hAnsi="宋体"/>
                <w:sz w:val="21"/>
                <w:szCs w:val="21"/>
              </w:rPr>
            </w:pPr>
            <w:r>
              <w:rPr>
                <w:rFonts w:hint="eastAsia" w:ascii="宋体" w:hAnsi="宋体"/>
                <w:sz w:val="21"/>
                <w:szCs w:val="21"/>
              </w:rPr>
              <w:t xml:space="preserve">1.主要材质为阻燃面料制作。</w:t>
            </w:r>
            <w:r>
              <w:rPr>
                <w:rFonts w:hint="eastAsia" w:ascii="宋体" w:hAnsi="宋体"/>
                <w:sz w:val="21"/>
                <w:szCs w:val="21"/>
              </w:rPr>
              <w:br/>
              <w:t xml:space="preserve">2.长方形绳包专门用于放置消防安全绳，包底有排水设计。</w:t>
            </w:r>
            <w:r>
              <w:rPr>
                <w:rFonts w:hint="eastAsia" w:ascii="宋体" w:hAnsi="宋体"/>
                <w:sz w:val="21"/>
                <w:szCs w:val="21"/>
              </w:rPr>
              <w:br/>
              <w:t xml:space="preserve">3.绳包正面有反光标识并可放置消防腰斧。</w:t>
            </w:r>
            <w:r>
              <w:rPr>
                <w:rFonts w:hint="eastAsia" w:ascii="宋体" w:hAnsi="宋体"/>
                <w:sz w:val="21"/>
                <w:szCs w:val="21"/>
              </w:rPr>
              <w:br/>
              <w:t xml:space="preserve">4.尺寸约为（长*高*宽）：25*15*10CM</w:t>
            </w:r>
            <w:r/>
          </w:p>
        </w:tc>
      </w:tr>
      <w:tr>
        <w:trPr/>
        <w:tc>
          <w:tcPr>
            <w:shd w:val="clear" w:color="000000" w:fill="ffffff"/>
            <w:tcW w:w="604"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28</w:t>
            </w:r>
            <w:r/>
          </w:p>
        </w:tc>
        <w:tc>
          <w:tcPr>
            <w:shd w:val="clear" w:color="000000" w:fill="ffffff"/>
            <w:tcW w:w="951"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对讲机</w:t>
            </w:r>
            <w:r/>
          </w:p>
        </w:tc>
        <w:tc>
          <w:tcPr>
            <w:shd w:val="clear" w:color="000000" w:fill="ffffff"/>
            <w:tcW w:w="649"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台</w:t>
            </w:r>
            <w:r/>
          </w:p>
        </w:tc>
        <w:tc>
          <w:tcPr>
            <w:shd w:val="clear" w:color="000000" w:fill="ffffff"/>
            <w:tcW w:w="683"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6</w:t>
            </w:r>
            <w:r/>
          </w:p>
        </w:tc>
        <w:tc>
          <w:tcPr>
            <w:gridSpan w:val="5"/>
            <w:shd w:val="clear" w:color="000000" w:fill="ffffff"/>
            <w:tcW w:w="7314" w:type="dxa"/>
            <w:vAlign w:val="center"/>
            <w:textDirection w:val="lrTb"/>
            <w:noWrap w:val="false"/>
          </w:tcPr>
          <w:p>
            <w:pPr>
              <w:contextualSpacing/>
              <w:ind w:left="0"/>
              <w:jc w:val="left"/>
              <w:keepNext/>
              <w:widowControl w:val="off"/>
              <w:rPr>
                <w:rFonts w:ascii="宋体" w:hAnsi="宋体"/>
                <w:sz w:val="21"/>
                <w:szCs w:val="21"/>
              </w:rPr>
            </w:pPr>
            <w:r>
              <w:rPr>
                <w:rFonts w:hint="eastAsia" w:ascii="宋体" w:hAnsi="宋体"/>
                <w:sz w:val="21"/>
                <w:szCs w:val="21"/>
              </w:rPr>
              <w:t xml:space="preserve">1、频率范围：350-400MHz</w:t>
            </w:r>
            <w:r>
              <w:rPr>
                <w:rFonts w:hint="eastAsia" w:ascii="宋体" w:hAnsi="宋体"/>
                <w:sz w:val="21"/>
                <w:szCs w:val="21"/>
              </w:rPr>
              <w:br/>
              <w:t xml:space="preserve">2、信道容量：≥1024</w:t>
            </w:r>
            <w:r>
              <w:rPr>
                <w:rFonts w:hint="eastAsia" w:ascii="宋体" w:hAnsi="宋体"/>
                <w:sz w:val="21"/>
                <w:szCs w:val="21"/>
              </w:rPr>
              <w:br/>
              <w:t xml:space="preserve">3、区域容量：≥64</w:t>
            </w:r>
            <w:r>
              <w:rPr>
                <w:rFonts w:hint="eastAsia" w:ascii="宋体" w:hAnsi="宋体"/>
                <w:sz w:val="21"/>
                <w:szCs w:val="21"/>
              </w:rPr>
              <w:br/>
              <w:t xml:space="preserve">4、发射功率：高功率3.5W，低功率1W</w:t>
            </w:r>
            <w:r>
              <w:rPr>
                <w:rFonts w:hint="eastAsia" w:ascii="宋体" w:hAnsi="宋体"/>
                <w:sz w:val="21"/>
                <w:szCs w:val="21"/>
              </w:rPr>
              <w:br/>
              <w:t xml:space="preserve">5、电池容量：≥3100mAh</w:t>
            </w:r>
            <w:r>
              <w:rPr>
                <w:rFonts w:hint="eastAsia" w:ascii="宋体" w:hAnsi="宋体"/>
                <w:sz w:val="21"/>
                <w:szCs w:val="21"/>
              </w:rPr>
              <w:br/>
              <w:t xml:space="preserve">6、整机重量：≤340g（含标配电池和天线）</w:t>
            </w:r>
            <w:r>
              <w:rPr>
                <w:rFonts w:hint="eastAsia" w:ascii="宋体" w:hAnsi="宋体"/>
                <w:sz w:val="21"/>
                <w:szCs w:val="21"/>
              </w:rPr>
              <w:br/>
              <w:t xml:space="preserve">7、尺寸（长*宽*高）：≤126*54.5*36.5mm（不含天线）</w:t>
            </w:r>
            <w:r>
              <w:rPr>
                <w:rFonts w:hint="eastAsia" w:ascii="宋体" w:hAnsi="宋体"/>
                <w:sz w:val="21"/>
                <w:szCs w:val="21"/>
              </w:rPr>
              <w:br/>
              <w:t xml:space="preserve">8、频率稳定度：±0.5ppm</w:t>
            </w:r>
            <w:r>
              <w:rPr>
                <w:rFonts w:hint="eastAsia" w:ascii="宋体" w:hAnsi="宋体"/>
                <w:sz w:val="21"/>
                <w:szCs w:val="21"/>
              </w:rPr>
              <w:br/>
              <w:t xml:space="preserve">9、数字/模拟灵敏度：≤0.18uV</w:t>
            </w:r>
            <w:r>
              <w:rPr>
                <w:rFonts w:hint="eastAsia" w:ascii="宋体" w:hAnsi="宋体"/>
                <w:sz w:val="21"/>
                <w:szCs w:val="21"/>
              </w:rPr>
              <w:br/>
              <w:t xml:space="preserve">10、防爆等级：≥ Ex ib IIB T4 Gb / Ex ib IIIC T130℃ </w:t>
            </w:r>
            <w:r>
              <w:rPr>
                <w:rFonts w:hint="eastAsia" w:ascii="宋体" w:hAnsi="宋体"/>
                <w:sz w:val="21"/>
                <w:szCs w:val="21"/>
              </w:rPr>
              <w:br/>
              <w:t xml:space="preserve">11、旋钮和显示屏：支持双旋钮，分为音量/开关旋钮和信道旋钮，其中信道</w:t>
            </w:r>
            <w:r>
              <w:rPr>
                <w:rFonts w:hint="eastAsia" w:ascii="宋体" w:hAnsi="宋体"/>
                <w:sz w:val="21"/>
                <w:szCs w:val="21"/>
              </w:rPr>
              <w:t xml:space="preserve">旋钮为无极性旋钮，可快速切换信道；显示屏尺寸：≥2.0英寸半透彩屏，分辨率不小于240*320，且不少于6行文本显示</w:t>
            </w:r>
            <w:r>
              <w:rPr>
                <w:rFonts w:hint="eastAsia" w:ascii="宋体" w:hAnsi="宋体"/>
                <w:sz w:val="21"/>
                <w:szCs w:val="21"/>
              </w:rPr>
              <w:br/>
              <w:t xml:space="preserve">12、不低于IP68的国标外壳防护等级</w:t>
            </w:r>
            <w:r>
              <w:rPr>
                <w:rFonts w:hint="eastAsia" w:ascii="宋体" w:hAnsi="宋体"/>
                <w:sz w:val="21"/>
                <w:szCs w:val="21"/>
              </w:rPr>
              <w:br/>
              <w:t xml:space="preserve">▲13、授时方式检验：在PDT集群模式、MPT集群模式、PDT数字常规、模拟常规模式下均支持时钟芯片授时；在PDT数字常规模式下，支持北斗授时；在PDT集群模式下，支持系统广播、北斗两种授时方式</w:t>
            </w:r>
            <w:r>
              <w:rPr>
                <w:rFonts w:hint="eastAsia" w:ascii="宋体" w:hAnsi="宋体"/>
                <w:sz w:val="21"/>
                <w:szCs w:val="21"/>
              </w:rPr>
              <w:br/>
              <w:t xml:space="preserve">14、中文短信功能检验：在PDT集群和PDT数字常规模式下，支持中文短信的发射和接收，最大支持512个汉字字符</w:t>
            </w:r>
            <w:r>
              <w:rPr>
                <w:rFonts w:hint="eastAsia" w:ascii="宋体" w:hAnsi="宋体"/>
                <w:sz w:val="21"/>
                <w:szCs w:val="21"/>
              </w:rPr>
              <w:br/>
              <w:t xml:space="preserve">15、电测功能检验：后台实时显示终端的场强、LAI、FER；可显示解析后的空口信令</w:t>
            </w:r>
            <w:r>
              <w:rPr>
                <w:rFonts w:hint="eastAsia" w:ascii="宋体" w:hAnsi="宋体"/>
                <w:sz w:val="21"/>
                <w:szCs w:val="21"/>
              </w:rPr>
              <w:br/>
              <w:t xml:space="preserve">16、附件：加密卡1张。</w:t>
            </w:r>
            <w:r>
              <w:rPr>
                <w:rFonts w:hint="eastAsia" w:ascii="宋体" w:hAnsi="宋体"/>
                <w:sz w:val="21"/>
                <w:szCs w:val="21"/>
              </w:rPr>
              <w:br/>
              <w:t xml:space="preserve">17、提供国家级或国家认可的第三方检测检验机构出具的检测检验报告，且报告应完整有效。</w:t>
            </w:r>
            <w:r/>
          </w:p>
        </w:tc>
      </w:tr>
      <w:tr>
        <w:trPr/>
        <w:tc>
          <w:tcPr>
            <w:shd w:val="clear" w:color="000000" w:fill="ffffff"/>
            <w:tcW w:w="604"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29</w:t>
            </w:r>
            <w:r/>
          </w:p>
        </w:tc>
        <w:tc>
          <w:tcPr>
            <w:shd w:val="clear" w:color="000000" w:fill="ffffff"/>
            <w:tcW w:w="951"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抢险救援服</w:t>
            </w:r>
            <w:r/>
          </w:p>
        </w:tc>
        <w:tc>
          <w:tcPr>
            <w:shd w:val="clear" w:color="000000" w:fill="ffffff"/>
            <w:tcW w:w="649"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套</w:t>
            </w:r>
            <w:r/>
          </w:p>
        </w:tc>
        <w:tc>
          <w:tcPr>
            <w:shd w:val="clear" w:color="000000" w:fill="ffffff"/>
            <w:tcW w:w="683"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10</w:t>
            </w:r>
            <w:r/>
          </w:p>
        </w:tc>
        <w:tc>
          <w:tcPr>
            <w:gridSpan w:val="5"/>
            <w:shd w:val="clear" w:color="000000" w:fill="ffffff"/>
            <w:tcW w:w="7314" w:type="dxa"/>
            <w:vAlign w:val="center"/>
            <w:textDirection w:val="lrTb"/>
            <w:noWrap w:val="false"/>
          </w:tcPr>
          <w:p>
            <w:pPr>
              <w:contextualSpacing/>
              <w:ind w:left="0"/>
              <w:jc w:val="left"/>
              <w:keepNext/>
              <w:widowControl w:val="off"/>
              <w:rPr>
                <w:rFonts w:ascii="宋体" w:hAnsi="宋体"/>
                <w:sz w:val="21"/>
                <w:szCs w:val="21"/>
              </w:rPr>
            </w:pPr>
            <w:r>
              <w:rPr>
                <w:rFonts w:hint="eastAsia" w:ascii="宋体" w:hAnsi="宋体"/>
                <w:sz w:val="21"/>
                <w:szCs w:val="21"/>
              </w:rPr>
              <w:t xml:space="preserve">1.整体要求</w:t>
            </w:r>
            <w:r>
              <w:rPr>
                <w:rFonts w:hint="eastAsia" w:ascii="宋体" w:hAnsi="宋体"/>
                <w:sz w:val="21"/>
                <w:szCs w:val="21"/>
              </w:rPr>
              <w:br/>
              <w:t xml:space="preserve">1.1符合XF633-2006《消防员抢险救援防护服装》标准要求。</w:t>
            </w:r>
            <w:r>
              <w:rPr>
                <w:rFonts w:hint="eastAsia" w:ascii="宋体" w:hAnsi="宋体"/>
                <w:sz w:val="21"/>
                <w:szCs w:val="21"/>
              </w:rPr>
              <w:br/>
              <w:t xml:space="preserve">2. 款式</w:t>
            </w:r>
            <w:r>
              <w:rPr>
                <w:rFonts w:hint="eastAsia" w:ascii="宋体" w:hAnsi="宋体"/>
                <w:sz w:val="21"/>
                <w:szCs w:val="21"/>
              </w:rPr>
              <w:br/>
              <w:t xml:space="preserve">2.1颜色：抢险救援防护服主体颜色为橘红色，肩背部、口袋袋盖为火焰蓝色。</w:t>
            </w:r>
            <w:r>
              <w:rPr>
                <w:rFonts w:hint="eastAsia" w:ascii="宋体" w:hAnsi="宋体"/>
                <w:sz w:val="21"/>
                <w:szCs w:val="21"/>
              </w:rPr>
              <w:br/>
              <w:t xml:space="preserve">2.</w:t>
            </w:r>
            <w:r>
              <w:rPr>
                <w:rFonts w:ascii="宋体" w:hAnsi="宋体"/>
                <w:sz w:val="21"/>
                <w:szCs w:val="21"/>
              </w:rPr>
              <w:t xml:space="preserve">2</w:t>
            </w:r>
            <w:r>
              <w:rPr>
                <w:rFonts w:hint="eastAsia" w:ascii="宋体" w:hAnsi="宋体"/>
                <w:sz w:val="21"/>
                <w:szCs w:val="21"/>
              </w:rPr>
              <w:t xml:space="preserve">服装面料采用单层织物，为原液染色芳纶、阻燃粘胶纤维等交织而成的双重组织。具有防静电、阻燃、轻便、柔软、弹性、抗拉力强，外层防水拒油里层吸湿排汗等性能。克重：（200±10）g/m2。</w:t>
            </w:r>
            <w:r>
              <w:rPr>
                <w:rFonts w:hint="eastAsia" w:ascii="宋体" w:hAnsi="宋体"/>
                <w:sz w:val="21"/>
                <w:szCs w:val="21"/>
              </w:rPr>
              <w:br/>
              <w:t xml:space="preserve">2.</w:t>
            </w:r>
            <w:r>
              <w:rPr>
                <w:rFonts w:ascii="宋体" w:hAnsi="宋体"/>
                <w:sz w:val="21"/>
                <w:szCs w:val="21"/>
              </w:rPr>
              <w:t xml:space="preserve">3</w:t>
            </w:r>
            <w:r>
              <w:rPr>
                <w:rFonts w:hint="eastAsia" w:ascii="宋体" w:hAnsi="宋体"/>
                <w:sz w:val="21"/>
                <w:szCs w:val="21"/>
              </w:rPr>
              <w:t xml:space="preserve">拉链：上衣前门襟和裤子前襟处采用了不小于8号的树脂拉链，颜色为橘红色。</w:t>
            </w:r>
            <w:r>
              <w:rPr>
                <w:rFonts w:hint="eastAsia" w:ascii="宋体" w:hAnsi="宋体"/>
                <w:sz w:val="21"/>
                <w:szCs w:val="21"/>
              </w:rPr>
              <w:br/>
              <w:t xml:space="preserve">3.技术要求</w:t>
            </w:r>
            <w:r>
              <w:rPr>
                <w:rFonts w:hint="eastAsia" w:ascii="宋体" w:hAnsi="宋体"/>
                <w:sz w:val="21"/>
                <w:szCs w:val="21"/>
              </w:rPr>
              <w:br/>
              <w:t xml:space="preserve">3.1阻燃性能: 经纬向损毁长度≤40mm，续燃时间为0s，且无熔融、滴落现象；</w:t>
            </w:r>
            <w:r>
              <w:rPr>
                <w:rFonts w:hint="eastAsia" w:ascii="宋体" w:hAnsi="宋体"/>
                <w:sz w:val="21"/>
                <w:szCs w:val="21"/>
              </w:rPr>
              <w:br/>
              <w:t xml:space="preserve">3.2断裂强力:经向断裂强力≥800N；纬向断裂强力≥800N；</w:t>
            </w:r>
            <w:r>
              <w:rPr>
                <w:rFonts w:hint="eastAsia" w:ascii="宋体" w:hAnsi="宋体"/>
                <w:sz w:val="21"/>
                <w:szCs w:val="21"/>
              </w:rPr>
              <w:br/>
              <w:t xml:space="preserve">3.3撕破强力：面料经向撕破强力≥200N、纬向撕破强力≥200N；</w:t>
            </w:r>
            <w:r>
              <w:rPr>
                <w:rFonts w:hint="eastAsia" w:ascii="宋体" w:hAnsi="宋体"/>
                <w:sz w:val="21"/>
                <w:szCs w:val="21"/>
              </w:rPr>
              <w:br/>
              <w:t xml:space="preserve">3.4接缝强力：≥700N；</w:t>
            </w:r>
            <w:r>
              <w:rPr>
                <w:rFonts w:hint="eastAsia" w:ascii="宋体" w:hAnsi="宋体"/>
                <w:sz w:val="21"/>
                <w:szCs w:val="21"/>
              </w:rPr>
              <w:br/>
              <w:t xml:space="preserve">3.5热稳定性能：经（180±5）°C热稳定性能试验后，沿经、纬方向尺寸变化率≤1%，且试样表面应无明显变化。</w:t>
            </w:r>
            <w:r>
              <w:rPr>
                <w:rFonts w:hint="eastAsia" w:ascii="宋体" w:hAnsi="宋体"/>
                <w:sz w:val="21"/>
                <w:szCs w:val="21"/>
              </w:rPr>
              <w:br/>
              <w:t xml:space="preserve">3.7橘红和火焰蓝两种面料色牢度：面料的耐水摩擦色牢度、耐洗沾色色牢度、耐光色牢度不小于4级；</w:t>
            </w:r>
            <w:r>
              <w:rPr>
                <w:rFonts w:hint="eastAsia" w:ascii="宋体" w:hAnsi="宋体"/>
                <w:sz w:val="21"/>
                <w:szCs w:val="21"/>
              </w:rPr>
              <w:br/>
              <w:t xml:space="preserve">3.8针距密度：明暗线≥12针/3cm，包缝线≥9针/3cm；</w:t>
            </w:r>
            <w:r>
              <w:rPr>
                <w:rFonts w:hint="eastAsia" w:ascii="宋体" w:hAnsi="宋体"/>
                <w:sz w:val="21"/>
                <w:szCs w:val="21"/>
              </w:rPr>
              <w:br/>
              <w:t xml:space="preserve">3.9防静电性能：≤0.5μC。</w:t>
            </w:r>
            <w:r>
              <w:rPr>
                <w:rFonts w:hint="eastAsia" w:ascii="宋体" w:hAnsi="宋体"/>
                <w:sz w:val="21"/>
                <w:szCs w:val="21"/>
              </w:rPr>
              <w:br/>
              <w:t xml:space="preserve">3.10质量：≤1.2kg。</w:t>
            </w:r>
            <w:r>
              <w:rPr>
                <w:rFonts w:hint="eastAsia" w:ascii="宋体" w:hAnsi="宋体"/>
                <w:sz w:val="21"/>
                <w:szCs w:val="21"/>
              </w:rPr>
              <w:br/>
              <w:t xml:space="preserve">4、提供国家级或国家认可的第三方检测检验机构出具的检测检验报告，且报告应完整有效。</w:t>
            </w:r>
            <w:r/>
          </w:p>
        </w:tc>
      </w:tr>
      <w:tr>
        <w:trPr/>
        <w:tc>
          <w:tcPr>
            <w:shd w:val="clear" w:color="000000" w:fill="ffffff"/>
            <w:tcW w:w="604"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30</w:t>
            </w:r>
            <w:r/>
          </w:p>
        </w:tc>
        <w:tc>
          <w:tcPr>
            <w:shd w:val="clear" w:color="000000" w:fill="ffffff"/>
            <w:tcW w:w="951"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抢险救援头盔</w:t>
            </w:r>
            <w:r/>
          </w:p>
        </w:tc>
        <w:tc>
          <w:tcPr>
            <w:shd w:val="clear" w:color="000000" w:fill="ffffff"/>
            <w:tcW w:w="649"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顶</w:t>
            </w:r>
            <w:r/>
          </w:p>
        </w:tc>
        <w:tc>
          <w:tcPr>
            <w:shd w:val="clear" w:color="000000" w:fill="ffffff"/>
            <w:tcW w:w="683"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10</w:t>
            </w:r>
            <w:r/>
          </w:p>
        </w:tc>
        <w:tc>
          <w:tcPr>
            <w:gridSpan w:val="5"/>
            <w:shd w:val="clear" w:color="000000" w:fill="ffffff"/>
            <w:tcW w:w="7314" w:type="dxa"/>
            <w:vAlign w:val="center"/>
            <w:textDirection w:val="lrTb"/>
            <w:noWrap w:val="false"/>
          </w:tcPr>
          <w:p>
            <w:pPr>
              <w:contextualSpacing/>
              <w:ind w:left="0"/>
              <w:jc w:val="left"/>
              <w:keepNext/>
              <w:widowControl w:val="off"/>
              <w:rPr>
                <w:rFonts w:ascii="宋体" w:hAnsi="宋体"/>
                <w:sz w:val="21"/>
                <w:szCs w:val="21"/>
              </w:rPr>
            </w:pPr>
            <w:r>
              <w:rPr>
                <w:rFonts w:hint="eastAsia" w:ascii="宋体" w:hAnsi="宋体"/>
                <w:sz w:val="21"/>
                <w:szCs w:val="21"/>
              </w:rPr>
              <w:t xml:space="preserve">1.整体要求</w:t>
            </w:r>
            <w:r>
              <w:rPr>
                <w:rFonts w:hint="eastAsia" w:ascii="宋体" w:hAnsi="宋体"/>
                <w:sz w:val="21"/>
                <w:szCs w:val="21"/>
              </w:rPr>
              <w:br/>
              <w:t xml:space="preserve">1.1符合XF633-2006《消防员抢险救援防护服装》标准要求。</w:t>
            </w:r>
            <w:r>
              <w:rPr>
                <w:rFonts w:hint="eastAsia" w:ascii="宋体" w:hAnsi="宋体"/>
                <w:sz w:val="21"/>
                <w:szCs w:val="21"/>
              </w:rPr>
              <w:br/>
              <w:t xml:space="preserve">2.结构</w:t>
            </w:r>
            <w:r>
              <w:rPr>
                <w:rFonts w:hint="eastAsia" w:ascii="宋体" w:hAnsi="宋体"/>
                <w:sz w:val="21"/>
                <w:szCs w:val="21"/>
              </w:rPr>
              <w:br/>
              <w:t xml:space="preserve">2.1半盔式头盔，颜色：桔红色和红色。</w:t>
            </w:r>
            <w:r>
              <w:rPr>
                <w:rFonts w:hint="eastAsia" w:ascii="宋体" w:hAnsi="宋体"/>
                <w:sz w:val="21"/>
                <w:szCs w:val="21"/>
              </w:rPr>
              <w:br/>
              <w:t xml:space="preserve">2.2盔壳采用高强度塑料材料制成，顶部有加强筋，高抗冲击，具有优异的防紫外线功能。</w:t>
            </w:r>
            <w:r>
              <w:rPr>
                <w:rFonts w:hint="eastAsia" w:ascii="宋体" w:hAnsi="宋体"/>
                <w:sz w:val="21"/>
                <w:szCs w:val="21"/>
              </w:rPr>
              <w:br/>
              <w:t xml:space="preserve">2.3头盔粘贴有反光标志，头盔指定位置可粘贴标识。</w:t>
            </w:r>
            <w:r>
              <w:rPr>
                <w:rFonts w:hint="eastAsia" w:ascii="宋体" w:hAnsi="宋体"/>
                <w:sz w:val="21"/>
                <w:szCs w:val="21"/>
              </w:rPr>
              <w:br/>
              <w:t xml:space="preserve">2.4佩戴装置整体为黑色，能灵活方便地调节大小。帽托和缓冲层形状适体，且不移位，佩戴舒适。顶部为网状衬垫，四周为舒适层。下颏带能灵活方便地调节长短，保证佩戴头盔稳定舒适，解脱方便。</w:t>
            </w:r>
            <w:r>
              <w:rPr>
                <w:rFonts w:hint="eastAsia" w:ascii="宋体" w:hAnsi="宋体"/>
                <w:sz w:val="21"/>
                <w:szCs w:val="21"/>
              </w:rPr>
              <w:br/>
              <w:t xml:space="preserve">2.5帽壳两侧有多功能模块化滑轨设计，为阻燃尼龙材质。</w:t>
            </w:r>
            <w:r>
              <w:rPr>
                <w:rFonts w:hint="eastAsia" w:ascii="宋体" w:hAnsi="宋体"/>
                <w:sz w:val="21"/>
                <w:szCs w:val="21"/>
              </w:rPr>
              <w:br/>
              <w:t xml:space="preserve">2.6帽箍调节器为旋钮式。</w:t>
            </w:r>
            <w:r>
              <w:rPr>
                <w:rFonts w:hint="eastAsia" w:ascii="宋体" w:hAnsi="宋体"/>
                <w:sz w:val="21"/>
                <w:szCs w:val="21"/>
              </w:rPr>
              <w:br/>
              <w:t xml:space="preserve">2.7下颏带插扣为快脱插扣。</w:t>
            </w:r>
            <w:r>
              <w:rPr>
                <w:rFonts w:hint="eastAsia" w:ascii="宋体" w:hAnsi="宋体"/>
                <w:sz w:val="21"/>
                <w:szCs w:val="21"/>
              </w:rPr>
              <w:br/>
            </w:r>
            <w:r>
              <w:rPr>
                <w:rFonts w:hint="eastAsia" w:ascii="宋体" w:hAnsi="宋体"/>
                <w:sz w:val="21"/>
                <w:szCs w:val="21"/>
              </w:rPr>
              <w:t xml:space="preserve">2.8配备防雾护目镜。</w:t>
            </w:r>
            <w:r>
              <w:rPr>
                <w:rFonts w:hint="eastAsia" w:ascii="宋体" w:hAnsi="宋体"/>
                <w:sz w:val="21"/>
                <w:szCs w:val="21"/>
              </w:rPr>
              <w:br/>
              <w:t xml:space="preserve">3.技术性能</w:t>
            </w:r>
            <w:r>
              <w:rPr>
                <w:rFonts w:hint="eastAsia" w:ascii="宋体" w:hAnsi="宋体"/>
                <w:sz w:val="21"/>
                <w:szCs w:val="21"/>
              </w:rPr>
              <w:br/>
              <w:t xml:space="preserve">3.1冲击吸收性能：高温预处理、低温预处理、浸水预处理，最大冲击力≤2700N。</w:t>
            </w:r>
            <w:r>
              <w:rPr>
                <w:rFonts w:hint="eastAsia" w:ascii="宋体" w:hAnsi="宋体"/>
                <w:sz w:val="21"/>
                <w:szCs w:val="21"/>
              </w:rPr>
              <w:br/>
              <w:t xml:space="preserve">3.2耐穿透性能：按标准试验后，钢锥不应与头模接触。</w:t>
            </w:r>
            <w:r>
              <w:rPr>
                <w:rFonts w:hint="eastAsia" w:ascii="宋体" w:hAnsi="宋体"/>
                <w:sz w:val="21"/>
                <w:szCs w:val="21"/>
              </w:rPr>
              <w:br/>
              <w:t xml:space="preserve">3.3阻燃性能：火源离开帽壳后，帽壳火焰应在5S内自熄。</w:t>
            </w:r>
            <w:r>
              <w:rPr>
                <w:rFonts w:hint="eastAsia" w:ascii="宋体" w:hAnsi="宋体"/>
                <w:sz w:val="21"/>
                <w:szCs w:val="21"/>
              </w:rPr>
              <w:br/>
              <w:t xml:space="preserve">3.4电绝缘性能：≤2.5mA。</w:t>
            </w:r>
            <w:r>
              <w:rPr>
                <w:rFonts w:hint="eastAsia" w:ascii="宋体" w:hAnsi="宋体"/>
                <w:sz w:val="21"/>
                <w:szCs w:val="21"/>
              </w:rPr>
              <w:br/>
              <w:t xml:space="preserve">3.5侧向刚性：帽壳最大变形值≤31mm,卸载后变形值≤5 mm。</w:t>
            </w:r>
            <w:r>
              <w:rPr>
                <w:rFonts w:hint="eastAsia" w:ascii="宋体" w:hAnsi="宋体"/>
                <w:sz w:val="21"/>
                <w:szCs w:val="21"/>
              </w:rPr>
              <w:br/>
              <w:t xml:space="preserve">3.6下额带抗拉强度：延伸长度≤17 mm。</w:t>
            </w:r>
            <w:r>
              <w:rPr>
                <w:rFonts w:hint="eastAsia" w:ascii="宋体" w:hAnsi="宋体"/>
                <w:sz w:val="21"/>
                <w:szCs w:val="21"/>
              </w:rPr>
              <w:br/>
              <w:t xml:space="preserve">3.7质量（不含附件）：≤0.8 kg。</w:t>
            </w:r>
            <w:r>
              <w:rPr>
                <w:rFonts w:hint="eastAsia" w:ascii="宋体" w:hAnsi="宋体"/>
                <w:sz w:val="21"/>
                <w:szCs w:val="21"/>
              </w:rPr>
              <w:br/>
              <w:t xml:space="preserve">4、提供国家级或国家认可的第三方检测检验机构出具的检测检验报告，且报告应完整有效。</w:t>
            </w:r>
            <w:r/>
          </w:p>
        </w:tc>
      </w:tr>
      <w:tr>
        <w:trPr/>
        <w:tc>
          <w:tcPr>
            <w:shd w:val="clear" w:color="000000" w:fill="ffffff"/>
            <w:tcW w:w="604"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31</w:t>
            </w:r>
            <w:r/>
          </w:p>
        </w:tc>
        <w:tc>
          <w:tcPr>
            <w:shd w:val="clear" w:color="000000" w:fill="ffffff"/>
            <w:tcW w:w="951"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抢险救援靴</w:t>
            </w:r>
            <w:r/>
          </w:p>
        </w:tc>
        <w:tc>
          <w:tcPr>
            <w:shd w:val="clear" w:color="000000" w:fill="ffffff"/>
            <w:tcW w:w="649"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双</w:t>
            </w:r>
            <w:r/>
          </w:p>
        </w:tc>
        <w:tc>
          <w:tcPr>
            <w:shd w:val="clear" w:color="000000" w:fill="ffffff"/>
            <w:tcW w:w="683"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10</w:t>
            </w:r>
            <w:r/>
          </w:p>
        </w:tc>
        <w:tc>
          <w:tcPr>
            <w:gridSpan w:val="5"/>
            <w:shd w:val="clear" w:color="000000" w:fill="ffffff"/>
            <w:tcW w:w="7314" w:type="dxa"/>
            <w:vAlign w:val="center"/>
            <w:textDirection w:val="lrTb"/>
            <w:noWrap w:val="false"/>
          </w:tcPr>
          <w:p>
            <w:pPr>
              <w:contextualSpacing/>
              <w:ind w:left="0"/>
              <w:jc w:val="left"/>
              <w:keepNext/>
              <w:widowControl w:val="off"/>
              <w:rPr>
                <w:rFonts w:ascii="宋体" w:hAnsi="宋体"/>
                <w:sz w:val="21"/>
                <w:szCs w:val="21"/>
              </w:rPr>
            </w:pPr>
            <w:r>
              <w:rPr>
                <w:rFonts w:hint="eastAsia" w:ascii="宋体" w:hAnsi="宋体"/>
                <w:sz w:val="21"/>
                <w:szCs w:val="21"/>
              </w:rPr>
              <w:t xml:space="preserve">1.整体要求</w:t>
            </w:r>
            <w:r>
              <w:rPr>
                <w:rFonts w:hint="eastAsia" w:ascii="宋体" w:hAnsi="宋体"/>
                <w:sz w:val="21"/>
                <w:szCs w:val="21"/>
              </w:rPr>
              <w:br/>
              <w:t xml:space="preserve">1.1符合XF633-2006《消防员抢险救援防护服装》标准要求。</w:t>
            </w:r>
            <w:r>
              <w:rPr>
                <w:rFonts w:hint="eastAsia" w:ascii="宋体" w:hAnsi="宋体"/>
                <w:sz w:val="21"/>
                <w:szCs w:val="21"/>
              </w:rPr>
              <w:br/>
              <w:t xml:space="preserve">2.结构</w:t>
            </w:r>
            <w:r>
              <w:rPr>
                <w:rFonts w:hint="eastAsia" w:ascii="宋体" w:hAnsi="宋体"/>
                <w:sz w:val="21"/>
                <w:szCs w:val="21"/>
              </w:rPr>
              <w:br/>
              <w:t xml:space="preserve">2.1由靴底、带舒适层的靴帮（靴帮内中间层为阻燃海绵）、带防穿刺层的靴内底、鞋垫和靴头等组成,靴头材质为碳纤维。</w:t>
            </w:r>
            <w:r>
              <w:rPr>
                <w:rFonts w:hint="eastAsia" w:ascii="宋体" w:hAnsi="宋体"/>
                <w:sz w:val="21"/>
                <w:szCs w:val="21"/>
              </w:rPr>
              <w:br/>
              <w:t xml:space="preserve">2.2内怀设有快速穿脱功能防水拉链，拉链头需配有牛皮材质的拉手，靴面主体材料为黑色防水阻燃牛皮和防水阻燃帆布，靴身内怀配有两颗单向防水透气眼。</w:t>
            </w:r>
            <w:r>
              <w:rPr>
                <w:rFonts w:hint="eastAsia" w:ascii="宋体" w:hAnsi="宋体"/>
                <w:sz w:val="21"/>
                <w:szCs w:val="21"/>
              </w:rPr>
              <w:br/>
              <w:t xml:space="preserve">2.3从靴内后跟中央起至靴口最低处的高度170±10mm。主体为黑色，靴帮两侧设有银色反光条，鞋带材质为芳纶。</w:t>
            </w:r>
            <w:r>
              <w:rPr>
                <w:rFonts w:hint="eastAsia" w:ascii="宋体" w:hAnsi="宋体"/>
                <w:sz w:val="21"/>
                <w:szCs w:val="21"/>
              </w:rPr>
              <w:br/>
              <w:t xml:space="preserve">3.技术要求</w:t>
            </w:r>
            <w:r>
              <w:rPr>
                <w:rFonts w:hint="eastAsia" w:ascii="宋体" w:hAnsi="宋体"/>
                <w:sz w:val="21"/>
                <w:szCs w:val="21"/>
              </w:rPr>
              <w:br/>
              <w:t xml:space="preserve">▲3.1物理机械性能：靴帮厚度≥1.5mm，横向抗张强度≥20N/mm2，纵向抗张强度≥30N/mm2。横向撕裂强度≥180N/mm，纵向撕裂强度≥180N/mm。</w:t>
            </w:r>
            <w:r>
              <w:rPr>
                <w:rFonts w:hint="eastAsia" w:ascii="宋体" w:hAnsi="宋体"/>
                <w:sz w:val="21"/>
                <w:szCs w:val="21"/>
              </w:rPr>
              <w:br/>
              <w:t xml:space="preserve">3.2外底：扯断强度≥14MPa,扯断伸长率≥600%，磨耗减量≤0.25cm3/1.61km。</w:t>
            </w:r>
            <w:r>
              <w:rPr>
                <w:rFonts w:hint="eastAsia" w:ascii="宋体" w:hAnsi="宋体"/>
                <w:sz w:val="21"/>
                <w:szCs w:val="21"/>
              </w:rPr>
              <w:br/>
              <w:t xml:space="preserve">3.3靴帮耐磨性能：≥20000次。</w:t>
            </w:r>
            <w:r>
              <w:rPr>
                <w:rFonts w:hint="eastAsia" w:ascii="宋体" w:hAnsi="宋体"/>
                <w:sz w:val="21"/>
                <w:szCs w:val="21"/>
              </w:rPr>
              <w:br/>
              <w:t xml:space="preserve">3.4靴帮抗穿刺性能：≥180N，鞋帮抗热辐射性能：内表面温升≤6℃。</w:t>
            </w:r>
            <w:r>
              <w:rPr>
                <w:rFonts w:hint="eastAsia" w:ascii="宋体" w:hAnsi="宋体"/>
                <w:sz w:val="21"/>
                <w:szCs w:val="21"/>
              </w:rPr>
              <w:br/>
              <w:t xml:space="preserve">3.5靴头性能：静压力试验后靴头间间隙高度≥23mm,冲击试验后靴头间间隙高度≥23mm。</w:t>
            </w:r>
            <w:r>
              <w:rPr>
                <w:rFonts w:hint="eastAsia" w:ascii="宋体" w:hAnsi="宋体"/>
                <w:sz w:val="21"/>
                <w:szCs w:val="21"/>
              </w:rPr>
              <w:br/>
              <w:t xml:space="preserve">3.6靴底抗穿刺性能：≥2100N。</w:t>
            </w:r>
            <w:r>
              <w:rPr>
                <w:rFonts w:hint="eastAsia" w:ascii="宋体" w:hAnsi="宋体"/>
                <w:sz w:val="21"/>
                <w:szCs w:val="21"/>
              </w:rPr>
              <w:br/>
              <w:t xml:space="preserve">3.7隔热性能：内表面温升≤12℃。</w:t>
            </w:r>
            <w:r>
              <w:rPr>
                <w:rFonts w:hint="eastAsia" w:ascii="宋体" w:hAnsi="宋体"/>
                <w:sz w:val="21"/>
                <w:szCs w:val="21"/>
              </w:rPr>
              <w:br/>
              <w:t xml:space="preserve">3.8防滑性能：始滑角＞15°。</w:t>
            </w:r>
            <w:r>
              <w:rPr>
                <w:rFonts w:hint="eastAsia" w:ascii="宋体" w:hAnsi="宋体"/>
                <w:sz w:val="21"/>
                <w:szCs w:val="21"/>
              </w:rPr>
              <w:br/>
              <w:t xml:space="preserve">3.9电绝缘性能：测试电压为5000V，泄漏电流≤0.1mA。</w:t>
            </w:r>
            <w:r>
              <w:rPr>
                <w:rFonts w:hint="eastAsia" w:ascii="宋体" w:hAnsi="宋体"/>
                <w:sz w:val="21"/>
                <w:szCs w:val="21"/>
              </w:rPr>
              <w:br/>
              <w:t xml:space="preserve">3.10阻燃性能：离火自熄时间0S，损毁长度≤5mm。</w:t>
            </w:r>
            <w:r>
              <w:rPr>
                <w:rFonts w:hint="eastAsia" w:ascii="宋体" w:hAnsi="宋体"/>
                <w:sz w:val="21"/>
                <w:szCs w:val="21"/>
              </w:rPr>
              <w:br/>
              <w:t xml:space="preserve">3.11重量≤1.30kg。</w:t>
            </w:r>
            <w:r>
              <w:rPr>
                <w:rFonts w:hint="eastAsia" w:ascii="宋体" w:hAnsi="宋体"/>
                <w:sz w:val="21"/>
                <w:szCs w:val="21"/>
              </w:rPr>
              <w:br/>
              <w:t xml:space="preserve">4、提供国家级或国家认可的第三方检测检验机构出具的检测检验报告，且报告应完整有效。</w:t>
            </w:r>
            <w:r/>
          </w:p>
        </w:tc>
      </w:tr>
      <w:tr>
        <w:trPr/>
        <w:tc>
          <w:tcPr>
            <w:shd w:val="clear" w:color="000000" w:fill="ffffff"/>
            <w:tcW w:w="604"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32</w:t>
            </w:r>
            <w:r/>
          </w:p>
        </w:tc>
        <w:tc>
          <w:tcPr>
            <w:shd w:val="clear" w:color="000000" w:fill="ffffff"/>
            <w:tcW w:w="951"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抢险救援手套</w:t>
            </w:r>
            <w:r/>
          </w:p>
        </w:tc>
        <w:tc>
          <w:tcPr>
            <w:shd w:val="clear" w:color="000000" w:fill="ffffff"/>
            <w:tcW w:w="649"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付</w:t>
            </w:r>
            <w:r/>
          </w:p>
        </w:tc>
        <w:tc>
          <w:tcPr>
            <w:shd w:val="clear" w:color="000000" w:fill="ffffff"/>
            <w:tcW w:w="683"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20</w:t>
            </w:r>
            <w:r/>
          </w:p>
        </w:tc>
        <w:tc>
          <w:tcPr>
            <w:gridSpan w:val="5"/>
            <w:shd w:val="clear" w:color="000000" w:fill="ffffff"/>
            <w:tcW w:w="7314" w:type="dxa"/>
            <w:vAlign w:val="center"/>
            <w:textDirection w:val="lrTb"/>
            <w:noWrap w:val="false"/>
          </w:tcPr>
          <w:p>
            <w:pPr>
              <w:contextualSpacing/>
              <w:ind w:left="0"/>
              <w:jc w:val="left"/>
              <w:keepNext/>
              <w:widowControl w:val="off"/>
              <w:rPr>
                <w:rFonts w:ascii="宋体" w:hAnsi="宋体"/>
                <w:sz w:val="21"/>
                <w:szCs w:val="21"/>
              </w:rPr>
            </w:pPr>
            <w:r>
              <w:rPr>
                <w:rFonts w:hint="eastAsia" w:ascii="宋体" w:hAnsi="宋体"/>
                <w:sz w:val="21"/>
                <w:szCs w:val="21"/>
              </w:rPr>
              <w:t xml:space="preserve">1、满足XF633-2006《消防员抢险救援防护服装》标准。</w:t>
            </w:r>
            <w:r>
              <w:rPr>
                <w:rFonts w:hint="eastAsia" w:ascii="宋体" w:hAnsi="宋体"/>
                <w:sz w:val="21"/>
                <w:szCs w:val="21"/>
              </w:rPr>
              <w:br/>
              <w:t xml:space="preserve">2、手套采用立体剪裁，符合人体工程学，更加贴合手部，增加灵活性和舒适性。</w:t>
            </w:r>
            <w:r>
              <w:rPr>
                <w:rFonts w:hint="eastAsia" w:ascii="宋体" w:hAnsi="宋体"/>
                <w:sz w:val="21"/>
                <w:szCs w:val="21"/>
              </w:rPr>
              <w:br/>
              <w:t xml:space="preserve">3、指尖采用翻转式设计，增加指尖的贴合度。</w:t>
            </w:r>
            <w:r>
              <w:rPr>
                <w:rFonts w:hint="eastAsia" w:ascii="宋体" w:hAnsi="宋体"/>
                <w:sz w:val="21"/>
                <w:szCs w:val="21"/>
              </w:rPr>
              <w:br/>
              <w:t xml:space="preserve">4、手背关节处及除大拇指以外其他四指指背采用有凸起的防护硬壳设计，增强抗冲击防护性，具有手骨保护功能。</w:t>
            </w:r>
            <w:r>
              <w:rPr>
                <w:rFonts w:hint="eastAsia" w:ascii="宋体" w:hAnsi="宋体"/>
                <w:sz w:val="21"/>
                <w:szCs w:val="21"/>
              </w:rPr>
              <w:br/>
              <w:t xml:space="preserve">5、阻燃性能：续燃时间：经向≤0s；纬向≤0s，损毁长度：经向≤15mm；纬向≤15mm。</w:t>
            </w:r>
            <w:r>
              <w:rPr>
                <w:rFonts w:hint="eastAsia" w:ascii="宋体" w:hAnsi="宋体"/>
                <w:sz w:val="21"/>
                <w:szCs w:val="21"/>
              </w:rPr>
              <w:br/>
              <w:t xml:space="preserve">6、热稳定性能：手套尺寸变化率：长方向≤1.2%；宽方向≤1.7%；手套经180℃温度5min后，试样表面无明显变化，且无熔融、熔滴和剥离现象。</w:t>
            </w:r>
            <w:r>
              <w:rPr>
                <w:rFonts w:hint="eastAsia" w:ascii="宋体" w:hAnsi="宋体"/>
                <w:sz w:val="21"/>
                <w:szCs w:val="21"/>
              </w:rPr>
              <w:br/>
              <w:t xml:space="preserve">7、耐磨性能：≥8000次。</w:t>
            </w:r>
            <w:r>
              <w:rPr>
                <w:rFonts w:hint="eastAsia" w:ascii="宋体" w:hAnsi="宋体"/>
                <w:sz w:val="21"/>
                <w:szCs w:val="21"/>
              </w:rPr>
              <w:br/>
              <w:t xml:space="preserve">8、耐撕破性能：掌心面：经向≥300N；纬向≥200N；背面外层：经向≥</w:t>
            </w:r>
            <w:r>
              <w:rPr>
                <w:rFonts w:hint="eastAsia" w:ascii="宋体" w:hAnsi="宋体"/>
                <w:sz w:val="21"/>
                <w:szCs w:val="21"/>
              </w:rPr>
              <w:t xml:space="preserve">280N；纬向≥200N。</w:t>
            </w:r>
            <w:r>
              <w:rPr>
                <w:rFonts w:hint="eastAsia" w:ascii="宋体" w:hAnsi="宋体"/>
                <w:sz w:val="21"/>
                <w:szCs w:val="21"/>
              </w:rPr>
              <w:br/>
              <w:t xml:space="preserve">9、抗切割性能：≥15N</w:t>
            </w:r>
            <w:r>
              <w:rPr>
                <w:rFonts w:hint="eastAsia" w:ascii="宋体" w:hAnsi="宋体"/>
                <w:sz w:val="21"/>
                <w:szCs w:val="21"/>
              </w:rPr>
              <w:br/>
              <w:t xml:space="preserve">10、▲抗机械刺穿性能：掌心面≥300N</w:t>
            </w:r>
            <w:r>
              <w:rPr>
                <w:rFonts w:hint="eastAsia" w:ascii="宋体" w:hAnsi="宋体"/>
                <w:sz w:val="21"/>
                <w:szCs w:val="21"/>
              </w:rPr>
              <w:br/>
              <w:t xml:space="preserve">11、灵巧性能：≤105%</w:t>
            </w:r>
            <w:r>
              <w:rPr>
                <w:rFonts w:hint="eastAsia" w:ascii="宋体" w:hAnsi="宋体"/>
                <w:sz w:val="21"/>
                <w:szCs w:val="21"/>
              </w:rPr>
              <w:br/>
              <w:t xml:space="preserve">12、抓握性能：≥105%</w:t>
            </w:r>
            <w:r>
              <w:rPr>
                <w:rFonts w:hint="eastAsia" w:ascii="宋体" w:hAnsi="宋体"/>
                <w:sz w:val="21"/>
                <w:szCs w:val="21"/>
              </w:rPr>
              <w:br/>
              <w:t xml:space="preserve">13、穿戴性能：≤6s</w:t>
            </w:r>
            <w:r>
              <w:rPr>
                <w:rFonts w:hint="eastAsia" w:ascii="宋体" w:hAnsi="宋体"/>
                <w:sz w:val="21"/>
                <w:szCs w:val="21"/>
              </w:rPr>
              <w:br/>
              <w:t xml:space="preserve">14、提供国家级或国家认可的第三方检测检验机构出具的检测检验报告，且报告应完整有效。</w:t>
            </w:r>
            <w:r/>
          </w:p>
        </w:tc>
      </w:tr>
      <w:tr>
        <w:trPr/>
        <w:tc>
          <w:tcPr>
            <w:shd w:val="clear" w:color="000000" w:fill="ffffff"/>
            <w:tcW w:w="604"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33</w:t>
            </w:r>
            <w:r/>
          </w:p>
        </w:tc>
        <w:tc>
          <w:tcPr>
            <w:shd w:val="clear" w:color="000000" w:fill="ffffff"/>
            <w:tcW w:w="951"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直流水枪</w:t>
            </w:r>
            <w:r/>
          </w:p>
        </w:tc>
        <w:tc>
          <w:tcPr>
            <w:shd w:val="clear" w:color="000000" w:fill="ffffff"/>
            <w:tcW w:w="649"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把</w:t>
            </w:r>
            <w:r/>
          </w:p>
        </w:tc>
        <w:tc>
          <w:tcPr>
            <w:shd w:val="clear" w:color="000000" w:fill="ffffff"/>
            <w:tcW w:w="683"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5</w:t>
            </w:r>
            <w:r/>
          </w:p>
        </w:tc>
        <w:tc>
          <w:tcPr>
            <w:gridSpan w:val="5"/>
            <w:shd w:val="clear" w:color="000000" w:fill="ffffff"/>
            <w:tcW w:w="7314" w:type="dxa"/>
            <w:vAlign w:val="center"/>
            <w:textDirection w:val="lrTb"/>
            <w:noWrap w:val="false"/>
          </w:tcPr>
          <w:p>
            <w:pPr>
              <w:contextualSpacing/>
              <w:ind w:left="0"/>
              <w:jc w:val="left"/>
              <w:keepNext/>
              <w:widowControl w:val="off"/>
              <w:rPr>
                <w:rFonts w:ascii="宋体" w:hAnsi="宋体"/>
                <w:sz w:val="21"/>
                <w:szCs w:val="21"/>
              </w:rPr>
            </w:pPr>
            <w:r>
              <w:rPr>
                <w:rFonts w:hint="eastAsia" w:ascii="宋体" w:hAnsi="宋体"/>
                <w:sz w:val="21"/>
                <w:szCs w:val="21"/>
              </w:rPr>
              <w:t xml:space="preserve">1、符合GB8181-2005《消防水枪》标准；</w:t>
            </w:r>
            <w:r>
              <w:rPr>
                <w:rFonts w:hint="eastAsia" w:ascii="宋体" w:hAnsi="宋体"/>
                <w:sz w:val="21"/>
                <w:szCs w:val="21"/>
              </w:rPr>
              <w:br/>
              <w:t xml:space="preserve">2、接口：铝镁合金锻造工艺，表面金色阳极氧化防腐处理。</w:t>
            </w:r>
            <w:r>
              <w:rPr>
                <w:rFonts w:hint="eastAsia" w:ascii="宋体" w:hAnsi="宋体"/>
                <w:sz w:val="21"/>
                <w:szCs w:val="21"/>
              </w:rPr>
              <w:br/>
              <w:t xml:space="preserve">3、阀体：铝合金压铸工艺，表面红色喷塑防腐处理。</w:t>
            </w:r>
            <w:r>
              <w:rPr>
                <w:rFonts w:hint="eastAsia" w:ascii="宋体" w:hAnsi="宋体"/>
                <w:sz w:val="21"/>
                <w:szCs w:val="21"/>
              </w:rPr>
              <w:br/>
              <w:t xml:space="preserve">4、球体：铝镁合金挤压工艺，表面黑色阳极氧化防腐处理。</w:t>
            </w:r>
            <w:r>
              <w:rPr>
                <w:rFonts w:hint="eastAsia" w:ascii="宋体" w:hAnsi="宋体"/>
                <w:sz w:val="21"/>
                <w:szCs w:val="21"/>
              </w:rPr>
              <w:br/>
              <w:t xml:space="preserve">5、把手：门字型省力把手，表面红色喷塑防腐处理。</w:t>
            </w:r>
            <w:r>
              <w:rPr>
                <w:rFonts w:hint="eastAsia" w:ascii="宋体" w:hAnsi="宋体"/>
                <w:sz w:val="21"/>
                <w:szCs w:val="21"/>
              </w:rPr>
              <w:br/>
              <w:t xml:space="preserve">6、枪管：铝镁合金挤压工艺，一体整流式稳流枪管，表面金色阳极氧化防腐处理。</w:t>
            </w:r>
            <w:r>
              <w:rPr>
                <w:rFonts w:hint="eastAsia" w:ascii="宋体" w:hAnsi="宋体"/>
                <w:sz w:val="21"/>
                <w:szCs w:val="21"/>
              </w:rPr>
              <w:br/>
              <w:t xml:space="preserve">7、喷嘴：铝镁合金锻压工艺，出水口口径≥19mm，表面金色阳极氧化防腐处理</w:t>
            </w:r>
            <w:r>
              <w:rPr>
                <w:rFonts w:hint="eastAsia" w:ascii="宋体" w:hAnsi="宋体"/>
                <w:sz w:val="21"/>
                <w:szCs w:val="21"/>
              </w:rPr>
              <w:br/>
              <w:t xml:space="preserve">8、配置65卡式雄接口，通水孔径≥60.5mm，阀门采用减压式T型通孔球阀，阀体通水孔径≥45mm，T型手柄结构.</w:t>
            </w:r>
            <w:r>
              <w:rPr>
                <w:rFonts w:hint="eastAsia" w:ascii="宋体" w:hAnsi="宋体"/>
                <w:sz w:val="21"/>
                <w:szCs w:val="21"/>
              </w:rPr>
              <w:br/>
              <w:t xml:space="preserve">9、枪管壁厚≤3.5mm，总长度≤480mm，总重量≤1.5kg，耐压强度≥6.0MPa；</w:t>
            </w:r>
            <w:r>
              <w:rPr>
                <w:rFonts w:hint="eastAsia" w:ascii="宋体" w:hAnsi="宋体"/>
                <w:sz w:val="21"/>
                <w:szCs w:val="21"/>
              </w:rPr>
              <w:br/>
              <w:t xml:space="preserve">10、流量≥7.5L/s，射程≥28m，喷射压力≥0.35MPa，操作力矩≤7.2N.m；</w:t>
            </w:r>
            <w:r>
              <w:rPr>
                <w:rFonts w:hint="eastAsia" w:ascii="宋体" w:hAnsi="宋体"/>
                <w:sz w:val="21"/>
                <w:szCs w:val="21"/>
              </w:rPr>
              <w:br/>
              <w:t xml:space="preserve">11、密封元件采用耐腐蚀、耐高温特性的高密封结构，可在+250℃至-180℃的温度下保证密封性，中性盐雾试验≥300小时。</w:t>
            </w:r>
            <w:r>
              <w:rPr>
                <w:rFonts w:hint="eastAsia" w:ascii="宋体" w:hAnsi="宋体"/>
                <w:sz w:val="21"/>
                <w:szCs w:val="21"/>
              </w:rPr>
              <w:br/>
              <w:t xml:space="preserve">12、背带：两段式红色大空间背带，厚度≥2.5mm, 伸展长度≥600mm，连接件采用黄铜或不锈钢304材质。</w:t>
            </w:r>
            <w:r/>
          </w:p>
        </w:tc>
      </w:tr>
      <w:tr>
        <w:trPr/>
        <w:tc>
          <w:tcPr>
            <w:shd w:val="clear" w:color="000000" w:fill="ffffff"/>
            <w:tcW w:w="604"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34</w:t>
            </w:r>
            <w:r/>
          </w:p>
        </w:tc>
        <w:tc>
          <w:tcPr>
            <w:shd w:val="clear" w:color="000000" w:fill="ffffff"/>
            <w:tcW w:w="951"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多功能水枪</w:t>
            </w:r>
            <w:r/>
          </w:p>
        </w:tc>
        <w:tc>
          <w:tcPr>
            <w:shd w:val="clear" w:color="000000" w:fill="ffffff"/>
            <w:tcW w:w="649"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把</w:t>
            </w:r>
            <w:r/>
          </w:p>
        </w:tc>
        <w:tc>
          <w:tcPr>
            <w:shd w:val="clear" w:color="000000" w:fill="ffffff"/>
            <w:tcW w:w="683"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5</w:t>
            </w:r>
            <w:r/>
          </w:p>
        </w:tc>
        <w:tc>
          <w:tcPr>
            <w:gridSpan w:val="5"/>
            <w:shd w:val="clear" w:color="000000" w:fill="ffffff"/>
            <w:tcW w:w="7314" w:type="dxa"/>
            <w:vAlign w:val="center"/>
            <w:textDirection w:val="lrTb"/>
            <w:noWrap w:val="false"/>
          </w:tcPr>
          <w:p>
            <w:pPr>
              <w:contextualSpacing/>
              <w:ind w:left="0"/>
              <w:jc w:val="left"/>
              <w:keepNext/>
              <w:widowControl w:val="off"/>
              <w:rPr>
                <w:rFonts w:ascii="宋体" w:hAnsi="宋体"/>
                <w:sz w:val="21"/>
                <w:szCs w:val="21"/>
              </w:rPr>
            </w:pPr>
            <w:r>
              <w:rPr>
                <w:rFonts w:hint="eastAsia" w:ascii="宋体" w:hAnsi="宋体"/>
                <w:sz w:val="21"/>
                <w:szCs w:val="21"/>
              </w:rPr>
              <w:t xml:space="preserve">1、符合GB8181-2005《消防水枪》标准。</w:t>
            </w:r>
            <w:r>
              <w:rPr>
                <w:rFonts w:hint="eastAsia" w:ascii="宋体" w:hAnsi="宋体"/>
                <w:sz w:val="21"/>
                <w:szCs w:val="21"/>
              </w:rPr>
              <w:br/>
              <w:t xml:space="preserve">2、材质：枪体材质采用6061铝合金，手柄材质采用尼龙塑料，球阀密封圈采用高温烧结而成，保护套采用丁腈橡胶，密封处均采用耐磨防老化橡胶密封圈，前端防护套采用高性能橡胶套，水枪表面整体阳极氧化防腐处理工艺。</w:t>
            </w:r>
            <w:r>
              <w:rPr>
                <w:rFonts w:hint="eastAsia" w:ascii="宋体" w:hAnsi="宋体"/>
                <w:sz w:val="21"/>
                <w:szCs w:val="21"/>
              </w:rPr>
              <w:br/>
              <w:t xml:space="preserve">3、额定压力≥0.6MPa。</w:t>
            </w:r>
            <w:r>
              <w:rPr>
                <w:rFonts w:hint="eastAsia" w:ascii="宋体" w:hAnsi="宋体"/>
                <w:sz w:val="21"/>
                <w:szCs w:val="21"/>
              </w:rPr>
              <w:br/>
              <w:t xml:space="preserve">▲4、射程为≥33米。</w:t>
            </w:r>
            <w:r>
              <w:rPr>
                <w:rFonts w:hint="eastAsia" w:ascii="宋体" w:hAnsi="宋体"/>
                <w:sz w:val="21"/>
                <w:szCs w:val="21"/>
              </w:rPr>
              <w:br/>
              <w:t xml:space="preserve">5、额定流量≥8L/s，流量档位可调：2.5/5.0/6.5/8.0/Flush（冲洗）。</w:t>
            </w:r>
            <w:r>
              <w:rPr>
                <w:rFonts w:hint="eastAsia" w:ascii="宋体" w:hAnsi="宋体"/>
                <w:sz w:val="21"/>
                <w:szCs w:val="21"/>
              </w:rPr>
              <w:br/>
              <w:t xml:space="preserve">6、Ω型操作手柄控制水流开关，具备直流与全水雾模式切换。</w:t>
            </w:r>
            <w:r>
              <w:rPr>
                <w:rFonts w:hint="eastAsia" w:ascii="宋体" w:hAnsi="宋体"/>
                <w:sz w:val="21"/>
                <w:szCs w:val="21"/>
              </w:rPr>
              <w:br/>
              <w:t xml:space="preserve">7、喷雾角度为0-110度。</w:t>
            </w:r>
            <w:r>
              <w:rPr>
                <w:rFonts w:hint="eastAsia" w:ascii="宋体" w:hAnsi="宋体"/>
                <w:sz w:val="21"/>
                <w:szCs w:val="21"/>
              </w:rPr>
              <w:br/>
              <w:t xml:space="preserve">8、进水接口：卡式雄锻造接口，进水口直径65mm。</w:t>
            </w:r>
            <w:r>
              <w:rPr>
                <w:rFonts w:hint="eastAsia" w:ascii="宋体" w:hAnsi="宋体"/>
                <w:sz w:val="21"/>
                <w:szCs w:val="21"/>
              </w:rPr>
              <w:br/>
              <w:t xml:space="preserve">9、重量：含锻造快速接口≤1.8公斤；</w:t>
            </w:r>
            <w:r>
              <w:rPr>
                <w:rFonts w:hint="eastAsia" w:ascii="宋体" w:hAnsi="宋体"/>
                <w:sz w:val="21"/>
                <w:szCs w:val="21"/>
              </w:rPr>
              <w:br/>
              <w:t xml:space="preserve">10、提供国家级或国家认可的第三方检测检验机构出具的检测检验报告，且报告应完整有效。</w:t>
            </w:r>
            <w:r/>
          </w:p>
        </w:tc>
      </w:tr>
      <w:tr>
        <w:trPr/>
        <w:tc>
          <w:tcPr>
            <w:shd w:val="clear" w:color="000000" w:fill="ffffff"/>
            <w:tcW w:w="604"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35</w:t>
            </w:r>
            <w:r/>
          </w:p>
        </w:tc>
        <w:tc>
          <w:tcPr>
            <w:shd w:val="clear" w:color="000000" w:fill="ffffff"/>
            <w:tcW w:w="951"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消防服旋转架</w:t>
            </w:r>
            <w:r/>
          </w:p>
        </w:tc>
        <w:tc>
          <w:tcPr>
            <w:shd w:val="clear" w:color="000000" w:fill="ffffff"/>
            <w:tcW w:w="649"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套</w:t>
            </w:r>
            <w:r/>
          </w:p>
        </w:tc>
        <w:tc>
          <w:tcPr>
            <w:shd w:val="clear" w:color="000000" w:fill="ffffff"/>
            <w:tcW w:w="683"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10</w:t>
            </w:r>
            <w:r/>
          </w:p>
        </w:tc>
        <w:tc>
          <w:tcPr>
            <w:gridSpan w:val="5"/>
            <w:shd w:val="clear" w:color="000000" w:fill="ffffff"/>
            <w:tcW w:w="7314" w:type="dxa"/>
            <w:vAlign w:val="center"/>
            <w:textDirection w:val="lrTb"/>
            <w:noWrap w:val="false"/>
          </w:tcPr>
          <w:p>
            <w:pPr>
              <w:contextualSpacing/>
              <w:ind w:left="0"/>
              <w:jc w:val="left"/>
              <w:keepNext/>
              <w:widowControl w:val="off"/>
              <w:rPr>
                <w:rFonts w:ascii="宋体" w:hAnsi="宋体"/>
                <w:sz w:val="21"/>
                <w:szCs w:val="21"/>
              </w:rPr>
            </w:pPr>
            <w:r>
              <w:rPr>
                <w:rFonts w:hint="eastAsia" w:ascii="宋体" w:hAnsi="宋体"/>
                <w:sz w:val="21"/>
                <w:szCs w:val="21"/>
              </w:rPr>
              <w:t xml:space="preserve">1、尺寸：</w:t>
            </w:r>
            <w:r>
              <w:rPr>
                <w:rFonts w:hint="eastAsia" w:ascii="MS Gothic" w:hAnsi="MS Gothic" w:eastAsia="MS Gothic" w:cs="MS Gothic"/>
                <w:sz w:val="21"/>
                <w:szCs w:val="21"/>
              </w:rPr>
              <w:t xml:space="preserve">‌</w:t>
            </w:r>
            <w:r>
              <w:rPr>
                <w:rFonts w:hint="eastAsia" w:ascii="宋体" w:hAnsi="宋体"/>
                <w:sz w:val="21"/>
                <w:szCs w:val="21"/>
              </w:rPr>
              <w:t xml:space="preserve">高度≥1900mm、宽度≥750mm、深度≥750mm；</w:t>
            </w:r>
            <w:r>
              <w:rPr>
                <w:rFonts w:hint="eastAsia" w:ascii="宋体" w:hAnsi="宋体"/>
                <w:sz w:val="21"/>
                <w:szCs w:val="21"/>
              </w:rPr>
              <w:br/>
              <w:t xml:space="preserve">2、材质：整体框架采用不低于304不锈钢焊接成型；</w:t>
            </w:r>
            <w:r>
              <w:rPr>
                <w:rFonts w:hint="eastAsia" w:ascii="宋体" w:hAnsi="宋体"/>
                <w:sz w:val="21"/>
                <w:szCs w:val="21"/>
              </w:rPr>
              <w:br/>
              <w:t xml:space="preserve">3、功能：双面旋转，三层置物；</w:t>
            </w:r>
            <w:r/>
          </w:p>
        </w:tc>
      </w:tr>
      <w:tr>
        <w:trPr/>
        <w:tc>
          <w:tcPr>
            <w:shd w:val="clear" w:color="000000" w:fill="ffffff"/>
            <w:tcW w:w="604"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36</w:t>
            </w:r>
            <w:r/>
          </w:p>
        </w:tc>
        <w:tc>
          <w:tcPr>
            <w:shd w:val="clear" w:color="000000" w:fill="ffffff"/>
            <w:tcW w:w="951"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手抬泵</w:t>
            </w:r>
            <w:r/>
          </w:p>
        </w:tc>
        <w:tc>
          <w:tcPr>
            <w:shd w:val="clear" w:color="000000" w:fill="ffffff"/>
            <w:tcW w:w="649"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台</w:t>
            </w:r>
            <w:r/>
          </w:p>
        </w:tc>
        <w:tc>
          <w:tcPr>
            <w:shd w:val="clear" w:color="000000" w:fill="ffffff"/>
            <w:tcW w:w="683"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1</w:t>
            </w:r>
            <w:r/>
          </w:p>
        </w:tc>
        <w:tc>
          <w:tcPr>
            <w:gridSpan w:val="5"/>
            <w:shd w:val="clear" w:color="000000" w:fill="ffffff"/>
            <w:tcW w:w="7314" w:type="dxa"/>
            <w:vAlign w:val="center"/>
            <w:textDirection w:val="lrTb"/>
            <w:noWrap w:val="false"/>
          </w:tcPr>
          <w:p>
            <w:pPr>
              <w:contextualSpacing/>
              <w:ind w:left="0"/>
              <w:jc w:val="left"/>
              <w:keepNext/>
              <w:widowControl w:val="off"/>
              <w:rPr>
                <w:rFonts w:ascii="宋体" w:hAnsi="宋体"/>
                <w:sz w:val="21"/>
                <w:szCs w:val="21"/>
              </w:rPr>
            </w:pPr>
            <w:r>
              <w:rPr>
                <w:rFonts w:hint="eastAsia" w:ascii="宋体" w:hAnsi="宋体"/>
                <w:sz w:val="21"/>
                <w:szCs w:val="21"/>
              </w:rPr>
              <w:t xml:space="preserve">1、消防泵整体符合GB6245-2006《消防泵》标准要求；</w:t>
            </w:r>
            <w:r>
              <w:rPr>
                <w:rFonts w:hint="eastAsia" w:ascii="宋体" w:hAnsi="宋体"/>
                <w:sz w:val="21"/>
                <w:szCs w:val="21"/>
              </w:rPr>
              <w:br/>
              <w:t xml:space="preserve">2、发动机采用(EFI）电子燃油喷射系统，运行更加稳定。</w:t>
            </w:r>
            <w:r>
              <w:rPr>
                <w:rFonts w:hint="eastAsia" w:ascii="宋体" w:hAnsi="宋体"/>
                <w:sz w:val="21"/>
                <w:szCs w:val="21"/>
              </w:rPr>
              <w:br/>
              <w:t xml:space="preserve">3、发动机类型：立式，单缸，手动，电动, 风冷，二冲程；</w:t>
            </w:r>
            <w:r>
              <w:rPr>
                <w:rFonts w:hint="eastAsia" w:ascii="宋体" w:hAnsi="宋体"/>
                <w:sz w:val="21"/>
                <w:szCs w:val="21"/>
              </w:rPr>
              <w:br/>
              <w:t xml:space="preserve">4、输出功率：≥10KW;</w:t>
            </w:r>
            <w:r>
              <w:rPr>
                <w:rFonts w:hint="eastAsia" w:ascii="宋体" w:hAnsi="宋体"/>
                <w:sz w:val="21"/>
                <w:szCs w:val="21"/>
              </w:rPr>
              <w:br/>
              <w:t xml:space="preserve">5、转速：≥6000转/分钟；</w:t>
            </w:r>
            <w:r>
              <w:rPr>
                <w:rFonts w:hint="eastAsia" w:ascii="宋体" w:hAnsi="宋体"/>
                <w:sz w:val="21"/>
                <w:szCs w:val="21"/>
              </w:rPr>
              <w:br/>
              <w:t xml:space="preserve">6、油箱容积：≥5L；</w:t>
            </w:r>
            <w:r>
              <w:rPr>
                <w:rFonts w:hint="eastAsia" w:ascii="宋体" w:hAnsi="宋体"/>
                <w:sz w:val="21"/>
                <w:szCs w:val="21"/>
              </w:rPr>
              <w:br/>
              <w:t xml:space="preserve">7、水泵类型：单泵单程离心泵；</w:t>
            </w:r>
            <w:r>
              <w:rPr>
                <w:rFonts w:hint="eastAsia" w:ascii="宋体" w:hAnsi="宋体"/>
                <w:sz w:val="21"/>
                <w:szCs w:val="21"/>
              </w:rPr>
              <w:br/>
              <w:t xml:space="preserve">8、真空泵：碳纤维活片无油式（最大吸程约9米）</w:t>
            </w:r>
            <w:r>
              <w:rPr>
                <w:rFonts w:hint="eastAsia" w:ascii="宋体" w:hAnsi="宋体"/>
                <w:sz w:val="21"/>
                <w:szCs w:val="21"/>
              </w:rPr>
              <w:br/>
            </w:r>
            <w:r>
              <w:rPr>
                <w:rFonts w:hint="eastAsia" w:ascii="宋体" w:hAnsi="宋体"/>
                <w:sz w:val="21"/>
                <w:szCs w:val="21"/>
              </w:rPr>
              <w:t xml:space="preserve">▲9、额定流量：≥9.5L/S（吸深3米）;</w:t>
            </w:r>
            <w:r>
              <w:rPr>
                <w:rFonts w:hint="eastAsia" w:ascii="宋体" w:hAnsi="宋体"/>
                <w:sz w:val="21"/>
                <w:szCs w:val="21"/>
              </w:rPr>
              <w:br/>
              <w:t xml:space="preserve">10、额定压力：≥0.5MPA;</w:t>
            </w:r>
            <w:r>
              <w:rPr>
                <w:rFonts w:hint="eastAsia" w:ascii="宋体" w:hAnsi="宋体"/>
                <w:sz w:val="21"/>
                <w:szCs w:val="21"/>
              </w:rPr>
              <w:br/>
              <w:t xml:space="preserve">11、吸水口：≤65mmm；</w:t>
            </w:r>
            <w:r>
              <w:rPr>
                <w:rFonts w:hint="eastAsia" w:ascii="宋体" w:hAnsi="宋体"/>
                <w:sz w:val="21"/>
                <w:szCs w:val="21"/>
              </w:rPr>
              <w:br/>
              <w:t xml:space="preserve">12、重量：≤55KG</w:t>
            </w:r>
            <w:r>
              <w:rPr>
                <w:rFonts w:hint="eastAsia" w:ascii="宋体" w:hAnsi="宋体"/>
                <w:sz w:val="21"/>
                <w:szCs w:val="21"/>
              </w:rPr>
              <w:br/>
              <w:t xml:space="preserve">13、提供国家级或国家认可的第三方检测检验机构出具的检测检验报告，且报告应完整有效。</w:t>
            </w:r>
            <w:r/>
          </w:p>
        </w:tc>
      </w:tr>
      <w:tr>
        <w:trPr/>
        <w:tc>
          <w:tcPr>
            <w:shd w:val="clear" w:color="000000" w:fill="ffffff"/>
            <w:tcW w:w="604"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37</w:t>
            </w:r>
            <w:r/>
          </w:p>
        </w:tc>
        <w:tc>
          <w:tcPr>
            <w:shd w:val="clear" w:color="000000" w:fill="ffffff"/>
            <w:tcW w:w="951"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机动链锯</w:t>
            </w:r>
            <w:r/>
          </w:p>
        </w:tc>
        <w:tc>
          <w:tcPr>
            <w:shd w:val="clear" w:color="000000" w:fill="ffffff"/>
            <w:tcW w:w="649"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把</w:t>
            </w:r>
            <w:r/>
          </w:p>
        </w:tc>
        <w:tc>
          <w:tcPr>
            <w:shd w:val="clear" w:color="000000" w:fill="ffffff"/>
            <w:tcW w:w="683"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1</w:t>
            </w:r>
            <w:r/>
          </w:p>
        </w:tc>
        <w:tc>
          <w:tcPr>
            <w:gridSpan w:val="5"/>
            <w:shd w:val="clear" w:color="000000" w:fill="ffffff"/>
            <w:tcW w:w="7314" w:type="dxa"/>
            <w:vAlign w:val="center"/>
            <w:textDirection w:val="lrTb"/>
            <w:noWrap w:val="false"/>
          </w:tcPr>
          <w:p>
            <w:pPr>
              <w:contextualSpacing/>
              <w:ind w:left="0"/>
              <w:jc w:val="left"/>
              <w:keepNext/>
              <w:widowControl w:val="off"/>
              <w:rPr>
                <w:rFonts w:ascii="宋体" w:hAnsi="宋体"/>
                <w:sz w:val="21"/>
                <w:szCs w:val="21"/>
              </w:rPr>
            </w:pPr>
            <w:r>
              <w:rPr>
                <w:rFonts w:hint="eastAsia" w:ascii="宋体" w:hAnsi="宋体"/>
                <w:sz w:val="21"/>
                <w:szCs w:val="21"/>
              </w:rPr>
              <w:t xml:space="preserve">1、功率≥2.4kw；</w:t>
            </w:r>
            <w:r>
              <w:rPr>
                <w:rFonts w:hint="eastAsia" w:ascii="宋体" w:hAnsi="宋体"/>
                <w:sz w:val="21"/>
                <w:szCs w:val="21"/>
              </w:rPr>
              <w:br/>
              <w:t xml:space="preserve">2、风冷二冲程引擎；</w:t>
            </w:r>
            <w:r>
              <w:rPr>
                <w:rFonts w:hint="eastAsia" w:ascii="宋体" w:hAnsi="宋体"/>
                <w:sz w:val="21"/>
                <w:szCs w:val="21"/>
              </w:rPr>
              <w:br/>
              <w:t xml:space="preserve">3、排量≤55cc；</w:t>
            </w:r>
            <w:r>
              <w:rPr>
                <w:rFonts w:hint="eastAsia" w:ascii="宋体" w:hAnsi="宋体"/>
                <w:sz w:val="21"/>
                <w:szCs w:val="21"/>
              </w:rPr>
              <w:br/>
              <w:t xml:space="preserve">4、导板长度≥18寸；</w:t>
            </w:r>
            <w:r>
              <w:rPr>
                <w:rFonts w:hint="eastAsia" w:ascii="宋体" w:hAnsi="宋体"/>
                <w:sz w:val="21"/>
                <w:szCs w:val="21"/>
              </w:rPr>
              <w:br/>
              <w:t xml:space="preserve">5、重量≤5kg （不含导板链条）；</w:t>
            </w:r>
            <w:r>
              <w:rPr>
                <w:rFonts w:hint="eastAsia" w:ascii="宋体" w:hAnsi="宋体"/>
                <w:sz w:val="21"/>
                <w:szCs w:val="21"/>
              </w:rPr>
              <w:br/>
              <w:t xml:space="preserve">6、链条最大速度≥20m/s；</w:t>
            </w:r>
            <w:r>
              <w:rPr>
                <w:rFonts w:hint="eastAsia" w:ascii="宋体" w:hAnsi="宋体"/>
                <w:sz w:val="21"/>
                <w:szCs w:val="21"/>
              </w:rPr>
              <w:br/>
              <w:t xml:space="preserve">7、油箱容积≥0.45L；</w:t>
            </w:r>
            <w:r>
              <w:rPr>
                <w:rFonts w:hint="eastAsia" w:ascii="宋体" w:hAnsi="宋体"/>
                <w:sz w:val="21"/>
                <w:szCs w:val="21"/>
              </w:rPr>
              <w:br/>
              <w:t xml:space="preserve">8、润滑油箱容积≥0.25L；</w:t>
            </w:r>
            <w:r>
              <w:rPr>
                <w:rFonts w:hint="eastAsia" w:ascii="宋体" w:hAnsi="宋体"/>
                <w:sz w:val="21"/>
                <w:szCs w:val="21"/>
              </w:rPr>
              <w:br/>
              <w:t xml:space="preserve">9、声能级：≤120dB（A）；</w:t>
            </w:r>
            <w:r/>
          </w:p>
        </w:tc>
      </w:tr>
      <w:tr>
        <w:trPr/>
        <w:tc>
          <w:tcPr>
            <w:shd w:val="clear" w:color="000000" w:fill="ffffff"/>
            <w:tcW w:w="604"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38</w:t>
            </w:r>
            <w:r/>
          </w:p>
        </w:tc>
        <w:tc>
          <w:tcPr>
            <w:shd w:val="clear" w:color="000000" w:fill="ffffff"/>
            <w:tcW w:w="951"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无齿锯</w:t>
            </w:r>
            <w:r/>
          </w:p>
        </w:tc>
        <w:tc>
          <w:tcPr>
            <w:shd w:val="clear" w:color="000000" w:fill="ffffff"/>
            <w:tcW w:w="649"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把</w:t>
            </w:r>
            <w:r/>
          </w:p>
        </w:tc>
        <w:tc>
          <w:tcPr>
            <w:shd w:val="clear" w:color="000000" w:fill="ffffff"/>
            <w:tcW w:w="683"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1</w:t>
            </w:r>
            <w:r/>
          </w:p>
        </w:tc>
        <w:tc>
          <w:tcPr>
            <w:gridSpan w:val="5"/>
            <w:shd w:val="clear" w:color="000000" w:fill="ffffff"/>
            <w:tcW w:w="7314" w:type="dxa"/>
            <w:vAlign w:val="center"/>
            <w:textDirection w:val="lrTb"/>
            <w:noWrap w:val="false"/>
          </w:tcPr>
          <w:p>
            <w:pPr>
              <w:contextualSpacing/>
              <w:ind w:left="0"/>
              <w:jc w:val="left"/>
              <w:keepNext/>
              <w:widowControl w:val="off"/>
              <w:rPr>
                <w:rFonts w:ascii="宋体" w:hAnsi="宋体"/>
                <w:sz w:val="21"/>
                <w:szCs w:val="21"/>
              </w:rPr>
            </w:pPr>
            <w:r>
              <w:rPr>
                <w:rFonts w:hint="eastAsia" w:ascii="宋体" w:hAnsi="宋体"/>
                <w:sz w:val="21"/>
                <w:szCs w:val="21"/>
              </w:rPr>
              <w:t xml:space="preserve">采用风冷二冲程发动机，具有先进的发动机引擎和空气过滤装置，锯片罩可以无极调整。皮带松紧度为一键式调节方式。合理的人体工程学设计，手柄震动低，操作舒适，，适合长时间救援工作。</w:t>
            </w:r>
            <w:r>
              <w:rPr>
                <w:rFonts w:hint="eastAsia" w:ascii="宋体" w:hAnsi="宋体"/>
                <w:sz w:val="21"/>
                <w:szCs w:val="21"/>
              </w:rPr>
              <w:br/>
              <w:t xml:space="preserve">1、汽缸排量(CC)≤95</w:t>
            </w:r>
            <w:r>
              <w:rPr>
                <w:rFonts w:hint="eastAsia" w:ascii="宋体" w:hAnsi="宋体"/>
                <w:sz w:val="21"/>
                <w:szCs w:val="21"/>
              </w:rPr>
              <w:br/>
              <w:t xml:space="preserve">2、功率(kw)≥3.5</w:t>
            </w:r>
            <w:r>
              <w:rPr>
                <w:rFonts w:hint="eastAsia" w:ascii="宋体" w:hAnsi="宋体"/>
                <w:sz w:val="21"/>
                <w:szCs w:val="21"/>
              </w:rPr>
              <w:br/>
              <w:t xml:space="preserve">3、燃油箱体积(L)≥0.8</w:t>
            </w:r>
            <w:r>
              <w:rPr>
                <w:rFonts w:hint="eastAsia" w:ascii="宋体" w:hAnsi="宋体"/>
                <w:sz w:val="21"/>
                <w:szCs w:val="21"/>
              </w:rPr>
              <w:br/>
              <w:t xml:space="preserve">4、空转速度（rpm）≥ 2700</w:t>
            </w:r>
            <w:r>
              <w:rPr>
                <w:rFonts w:hint="eastAsia" w:ascii="宋体" w:hAnsi="宋体"/>
                <w:sz w:val="21"/>
                <w:szCs w:val="21"/>
              </w:rPr>
              <w:br/>
              <w:t xml:space="preserve">5、质量(无燃油、润滑油、锯片)(kg)≤10</w:t>
            </w:r>
            <w:r>
              <w:rPr>
                <w:rFonts w:hint="eastAsia" w:ascii="宋体" w:hAnsi="宋体"/>
                <w:sz w:val="21"/>
                <w:szCs w:val="21"/>
              </w:rPr>
              <w:br/>
              <w:t xml:space="preserve">6、噪音水平(dB)≤104</w:t>
            </w:r>
            <w:r>
              <w:rPr>
                <w:rFonts w:hint="eastAsia" w:ascii="宋体" w:hAnsi="宋体"/>
                <w:sz w:val="21"/>
                <w:szCs w:val="21"/>
              </w:rPr>
              <w:br/>
              <w:t xml:space="preserve">7、锯片规格(mm)≥350</w:t>
            </w:r>
            <w:r>
              <w:rPr>
                <w:rFonts w:hint="eastAsia" w:ascii="宋体" w:hAnsi="宋体"/>
                <w:sz w:val="21"/>
                <w:szCs w:val="21"/>
              </w:rPr>
              <w:br/>
              <w:t xml:space="preserve">8、切割深度(mm)≥120</w:t>
            </w:r>
            <w:r/>
          </w:p>
        </w:tc>
      </w:tr>
      <w:tr>
        <w:trPr/>
        <w:tc>
          <w:tcPr>
            <w:shd w:val="clear" w:color="000000" w:fill="ffffff"/>
            <w:tcW w:w="604"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39</w:t>
            </w:r>
            <w:r/>
          </w:p>
        </w:tc>
        <w:tc>
          <w:tcPr>
            <w:shd w:val="clear" w:color="000000" w:fill="ffffff"/>
            <w:tcW w:w="951"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液压开门器</w:t>
            </w:r>
            <w:r/>
          </w:p>
        </w:tc>
        <w:tc>
          <w:tcPr>
            <w:shd w:val="clear" w:color="000000" w:fill="ffffff"/>
            <w:tcW w:w="649"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台</w:t>
            </w:r>
            <w:r/>
          </w:p>
        </w:tc>
        <w:tc>
          <w:tcPr>
            <w:shd w:val="clear" w:color="000000" w:fill="ffffff"/>
            <w:tcW w:w="683"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1</w:t>
            </w:r>
            <w:r/>
          </w:p>
        </w:tc>
        <w:tc>
          <w:tcPr>
            <w:gridSpan w:val="5"/>
            <w:shd w:val="clear" w:color="000000" w:fill="ffffff"/>
            <w:tcW w:w="7314" w:type="dxa"/>
            <w:vAlign w:val="center"/>
            <w:textDirection w:val="lrTb"/>
            <w:noWrap w:val="false"/>
          </w:tcPr>
          <w:p>
            <w:pPr>
              <w:contextualSpacing/>
              <w:ind w:left="0"/>
              <w:jc w:val="left"/>
              <w:keepNext/>
              <w:widowControl w:val="off"/>
              <w:rPr>
                <w:rFonts w:ascii="宋体" w:hAnsi="宋体"/>
                <w:sz w:val="21"/>
                <w:szCs w:val="21"/>
              </w:rPr>
            </w:pPr>
            <w:r>
              <w:rPr>
                <w:rFonts w:hint="eastAsia" w:ascii="宋体" w:hAnsi="宋体"/>
                <w:sz w:val="21"/>
                <w:szCs w:val="21"/>
              </w:rPr>
              <w:t xml:space="preserve">主要用于卷帘门、金属防盗门的破拆作业。包括液压泵、开门器、小型扩张器、撬棍等工具.</w:t>
            </w:r>
            <w:r>
              <w:rPr>
                <w:rFonts w:hint="eastAsia" w:ascii="宋体" w:hAnsi="宋体"/>
                <w:sz w:val="21"/>
                <w:szCs w:val="21"/>
              </w:rPr>
              <w:br/>
              <w:t xml:space="preserve">一、液压泵主要参数</w:t>
            </w:r>
            <w:r>
              <w:rPr>
                <w:rFonts w:hint="eastAsia" w:ascii="宋体" w:hAnsi="宋体"/>
                <w:sz w:val="21"/>
                <w:szCs w:val="21"/>
              </w:rPr>
              <w:br/>
              <w:t xml:space="preserve">1、额定输出压力：≥70MPA  </w:t>
            </w:r>
            <w:r>
              <w:rPr>
                <w:rFonts w:hint="eastAsia" w:ascii="宋体" w:hAnsi="宋体"/>
                <w:sz w:val="21"/>
                <w:szCs w:val="21"/>
              </w:rPr>
              <w:br/>
              <w:t xml:space="preserve">2、额定输出量：≥0.8ml/次</w:t>
            </w:r>
            <w:r>
              <w:rPr>
                <w:rFonts w:hint="eastAsia" w:ascii="宋体" w:hAnsi="宋体"/>
                <w:sz w:val="21"/>
                <w:szCs w:val="21"/>
              </w:rPr>
              <w:br/>
              <w:t xml:space="preserve">3、低压输出压力：≤1.3MPA  </w:t>
            </w:r>
            <w:r>
              <w:rPr>
                <w:rFonts w:hint="eastAsia" w:ascii="宋体" w:hAnsi="宋体"/>
                <w:sz w:val="21"/>
                <w:szCs w:val="21"/>
              </w:rPr>
              <w:br/>
              <w:t xml:space="preserve">4、低压流量：≥3.2ml/次</w:t>
            </w:r>
            <w:r>
              <w:rPr>
                <w:rFonts w:hint="eastAsia" w:ascii="宋体" w:hAnsi="宋体"/>
                <w:sz w:val="21"/>
                <w:szCs w:val="21"/>
              </w:rPr>
              <w:br/>
              <w:t xml:space="preserve">5、手柄力：≤350N </w:t>
            </w:r>
            <w:r>
              <w:rPr>
                <w:rFonts w:hint="eastAsia" w:ascii="宋体" w:hAnsi="宋体"/>
                <w:sz w:val="21"/>
                <w:szCs w:val="21"/>
              </w:rPr>
              <w:br/>
              <w:t xml:space="preserve">6、质量：≤4kg</w:t>
            </w:r>
            <w:r>
              <w:rPr>
                <w:rFonts w:hint="eastAsia" w:ascii="宋体" w:hAnsi="宋体"/>
                <w:sz w:val="21"/>
                <w:szCs w:val="21"/>
              </w:rPr>
              <w:br/>
              <w:t xml:space="preserve">二、微型扩张器 </w:t>
            </w:r>
            <w:r>
              <w:rPr>
                <w:rFonts w:hint="eastAsia" w:ascii="宋体" w:hAnsi="宋体"/>
                <w:sz w:val="21"/>
                <w:szCs w:val="21"/>
              </w:rPr>
              <w:br/>
              <w:t xml:space="preserve">1、扩张距离 ：≥150mm； </w:t>
            </w:r>
            <w:r>
              <w:rPr>
                <w:rFonts w:hint="eastAsia" w:ascii="宋体" w:hAnsi="宋体"/>
                <w:sz w:val="21"/>
                <w:szCs w:val="21"/>
              </w:rPr>
              <w:br/>
              <w:t xml:space="preserve">2、扩张（分离）力：≥70KN</w:t>
            </w:r>
            <w:r>
              <w:rPr>
                <w:rFonts w:hint="eastAsia" w:ascii="宋体" w:hAnsi="宋体"/>
                <w:sz w:val="21"/>
                <w:szCs w:val="21"/>
              </w:rPr>
              <w:br/>
              <w:t xml:space="preserve">3、快速接口型式：单管接口；</w:t>
            </w:r>
            <w:r>
              <w:rPr>
                <w:rFonts w:hint="eastAsia" w:ascii="宋体" w:hAnsi="宋体"/>
                <w:sz w:val="21"/>
                <w:szCs w:val="21"/>
              </w:rPr>
              <w:br/>
              <w:t xml:space="preserve">4、质量：≤4KG</w:t>
            </w:r>
            <w:r>
              <w:rPr>
                <w:rFonts w:hint="eastAsia" w:ascii="宋体" w:hAnsi="宋体"/>
                <w:sz w:val="21"/>
                <w:szCs w:val="21"/>
              </w:rPr>
              <w:br/>
              <w:t xml:space="preserve">三、开门器 </w:t>
            </w:r>
            <w:r>
              <w:rPr>
                <w:rFonts w:hint="eastAsia" w:ascii="宋体" w:hAnsi="宋体"/>
                <w:sz w:val="21"/>
                <w:szCs w:val="21"/>
              </w:rPr>
              <w:br/>
              <w:t xml:space="preserve">1、最大开启距离：≥300mm</w:t>
            </w:r>
            <w:r>
              <w:rPr>
                <w:rFonts w:hint="eastAsia" w:ascii="宋体" w:hAnsi="宋体"/>
                <w:sz w:val="21"/>
                <w:szCs w:val="21"/>
              </w:rPr>
              <w:br/>
              <w:t xml:space="preserve">2、开启（分离）力：≥60KN； </w:t>
            </w:r>
            <w:r>
              <w:rPr>
                <w:rFonts w:hint="eastAsia" w:ascii="宋体" w:hAnsi="宋体"/>
                <w:sz w:val="21"/>
                <w:szCs w:val="21"/>
              </w:rPr>
              <w:br/>
              <w:t xml:space="preserve">3、收拢长度：≤250mm；;</w:t>
            </w:r>
            <w:r>
              <w:rPr>
                <w:rFonts w:hint="eastAsia" w:ascii="宋体" w:hAnsi="宋体"/>
                <w:sz w:val="21"/>
                <w:szCs w:val="21"/>
              </w:rPr>
              <w:br/>
              <w:t xml:space="preserve">4、快速接口型式：单管接口；</w:t>
            </w:r>
            <w:r>
              <w:rPr>
                <w:rFonts w:hint="eastAsia" w:ascii="宋体" w:hAnsi="宋体"/>
                <w:sz w:val="21"/>
                <w:szCs w:val="21"/>
              </w:rPr>
              <w:br/>
              <w:t xml:space="preserve">5、防滑措施：底脚的活动脚：有楔形防滑齿；抬升器的分离槽；  有棱形防滑槽；顶部撑顶面：有带辅助支撑的防滑齿。</w:t>
            </w:r>
            <w:r>
              <w:rPr>
                <w:rFonts w:hint="eastAsia" w:ascii="宋体" w:hAnsi="宋体"/>
                <w:sz w:val="21"/>
                <w:szCs w:val="21"/>
              </w:rPr>
              <w:br/>
              <w:t xml:space="preserve">6、质量：≤4KG。</w:t>
            </w:r>
            <w:r>
              <w:rPr>
                <w:rFonts w:hint="eastAsia" w:ascii="宋体" w:hAnsi="宋体"/>
                <w:sz w:val="21"/>
                <w:szCs w:val="21"/>
              </w:rPr>
              <w:br/>
              <w:t xml:space="preserve">四、四合一多用撬棍</w:t>
            </w:r>
            <w:r>
              <w:rPr>
                <w:rFonts w:hint="eastAsia" w:ascii="宋体" w:hAnsi="宋体"/>
                <w:sz w:val="21"/>
                <w:szCs w:val="21"/>
              </w:rPr>
              <w:br/>
              <w:t xml:space="preserve">1、可橇、劈、弯及其它他类似工作。     </w:t>
            </w:r>
            <w:r>
              <w:rPr>
                <w:rFonts w:hint="eastAsia" w:ascii="宋体" w:hAnsi="宋体"/>
                <w:sz w:val="21"/>
                <w:szCs w:val="21"/>
              </w:rPr>
              <w:br/>
              <w:t xml:space="preserve">2、长度：≤460mm     </w:t>
            </w:r>
            <w:r>
              <w:rPr>
                <w:rFonts w:hint="eastAsia" w:ascii="宋体" w:hAnsi="宋体"/>
                <w:sz w:val="21"/>
                <w:szCs w:val="21"/>
              </w:rPr>
              <w:br/>
            </w:r>
            <w:r>
              <w:rPr>
                <w:rFonts w:hint="eastAsia" w:ascii="宋体" w:hAnsi="宋体"/>
                <w:sz w:val="21"/>
                <w:szCs w:val="21"/>
              </w:rPr>
              <w:t xml:space="preserve">3、重量：≤2KG </w:t>
            </w:r>
            <w:r>
              <w:rPr>
                <w:rFonts w:hint="eastAsia" w:ascii="宋体" w:hAnsi="宋体"/>
                <w:sz w:val="21"/>
                <w:szCs w:val="21"/>
              </w:rPr>
              <w:br/>
              <w:t xml:space="preserve">五、提供国家级或国家认可的第三方检测检验机构出具的检测检验报告，且报告应完整有效。</w:t>
            </w:r>
            <w:r/>
          </w:p>
        </w:tc>
      </w:tr>
      <w:tr>
        <w:trPr/>
        <w:tc>
          <w:tcPr>
            <w:shd w:val="clear" w:color="000000" w:fill="ffffff"/>
            <w:tcW w:w="604"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40</w:t>
            </w:r>
            <w:r/>
          </w:p>
        </w:tc>
        <w:tc>
          <w:tcPr>
            <w:shd w:val="clear" w:color="000000" w:fill="ffffff"/>
            <w:tcW w:w="951"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电动剪扩器</w:t>
            </w:r>
            <w:r/>
          </w:p>
        </w:tc>
        <w:tc>
          <w:tcPr>
            <w:shd w:val="clear" w:color="000000" w:fill="ffffff"/>
            <w:tcW w:w="649"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台</w:t>
            </w:r>
            <w:r/>
          </w:p>
        </w:tc>
        <w:tc>
          <w:tcPr>
            <w:shd w:val="clear" w:color="000000" w:fill="ffffff"/>
            <w:tcW w:w="683"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1</w:t>
            </w:r>
            <w:r/>
          </w:p>
        </w:tc>
        <w:tc>
          <w:tcPr>
            <w:gridSpan w:val="5"/>
            <w:shd w:val="clear" w:color="000000" w:fill="ffffff"/>
            <w:tcW w:w="7314" w:type="dxa"/>
            <w:vAlign w:val="center"/>
            <w:textDirection w:val="lrTb"/>
            <w:noWrap w:val="false"/>
          </w:tcPr>
          <w:p>
            <w:pPr>
              <w:contextualSpacing/>
              <w:ind w:left="0"/>
              <w:jc w:val="left"/>
              <w:keepNext/>
              <w:widowControl w:val="off"/>
              <w:rPr>
                <w:rFonts w:ascii="宋体" w:hAnsi="宋体"/>
                <w:sz w:val="21"/>
                <w:szCs w:val="21"/>
              </w:rPr>
            </w:pPr>
            <w:r>
              <w:rPr>
                <w:rFonts w:hint="eastAsia" w:ascii="宋体" w:hAnsi="宋体"/>
                <w:sz w:val="21"/>
                <w:szCs w:val="21"/>
              </w:rPr>
              <w:t xml:space="preserve">1、整套工具符合GB/T 17906-2021 消防应急救援装备液压破拆工具通用技术条件</w:t>
            </w:r>
            <w:r>
              <w:rPr>
                <w:rFonts w:hint="eastAsia" w:ascii="宋体" w:hAnsi="宋体"/>
                <w:sz w:val="21"/>
                <w:szCs w:val="21"/>
              </w:rPr>
              <w:br/>
              <w:t xml:space="preserve">2、电池驱动动力装置，泵机可以360°旋转，可拆卸更换，</w:t>
            </w:r>
            <w:r>
              <w:rPr>
                <w:rFonts w:hint="eastAsia" w:ascii="宋体" w:hAnsi="宋体"/>
                <w:sz w:val="21"/>
                <w:szCs w:val="21"/>
              </w:rPr>
              <w:br/>
              <w:t xml:space="preserve">3、额定工作压力≥72MPa，  </w:t>
            </w:r>
            <w:r>
              <w:rPr>
                <w:rFonts w:hint="eastAsia" w:ascii="宋体" w:hAnsi="宋体"/>
                <w:sz w:val="21"/>
                <w:szCs w:val="21"/>
              </w:rPr>
              <w:br/>
              <w:t xml:space="preserve">▲4、扩张距离≥300mm、剪切开口距离≥200mm                                         </w:t>
            </w:r>
            <w:r>
              <w:rPr>
                <w:rFonts w:hint="eastAsia" w:ascii="宋体" w:hAnsi="宋体"/>
                <w:sz w:val="21"/>
                <w:szCs w:val="21"/>
              </w:rPr>
              <w:br/>
              <w:t xml:space="preserve">5、最小扩张力≥49KN                                                           </w:t>
            </w:r>
            <w:r>
              <w:rPr>
                <w:rFonts w:hint="eastAsia" w:ascii="宋体" w:hAnsi="宋体"/>
                <w:sz w:val="21"/>
                <w:szCs w:val="21"/>
              </w:rPr>
              <w:br/>
              <w:t xml:space="preserve">▲6、重量≤10.5kg                                                                        </w:t>
            </w:r>
            <w:r>
              <w:rPr>
                <w:rFonts w:hint="eastAsia" w:ascii="宋体" w:hAnsi="宋体"/>
                <w:sz w:val="21"/>
                <w:szCs w:val="21"/>
              </w:rPr>
              <w:br/>
              <w:t xml:space="preserve">7、剪切能力≥φ25mm的圆钢（Q235）；                                                  </w:t>
            </w:r>
            <w:r>
              <w:rPr>
                <w:rFonts w:hint="eastAsia" w:ascii="宋体" w:hAnsi="宋体"/>
                <w:sz w:val="21"/>
                <w:szCs w:val="21"/>
              </w:rPr>
              <w:br/>
              <w:t xml:space="preserve">8.电池≥18V/5.0AH ，电池带电量显示功能                                                           </w:t>
            </w:r>
            <w:r>
              <w:rPr>
                <w:rFonts w:hint="eastAsia" w:ascii="宋体" w:hAnsi="宋体"/>
                <w:sz w:val="21"/>
                <w:szCs w:val="21"/>
              </w:rPr>
              <w:br/>
              <w:t xml:space="preserve">9、配置：电池2块，充电器1套                                                                              </w:t>
            </w:r>
            <w:r>
              <w:rPr>
                <w:rFonts w:hint="eastAsia" w:ascii="宋体" w:hAnsi="宋体"/>
                <w:sz w:val="21"/>
                <w:szCs w:val="21"/>
              </w:rPr>
              <w:br/>
              <w:t xml:space="preserve">10、提供国家级或国家认可的第三方检测检验机构出具的检测检验报告，且报告应完整有效。</w:t>
            </w:r>
            <w:r/>
          </w:p>
        </w:tc>
      </w:tr>
      <w:tr>
        <w:trPr/>
        <w:tc>
          <w:tcPr>
            <w:shd w:val="clear" w:color="000000" w:fill="ffffff"/>
            <w:tcW w:w="604"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41</w:t>
            </w:r>
            <w:r/>
          </w:p>
        </w:tc>
        <w:tc>
          <w:tcPr>
            <w:shd w:val="clear" w:color="000000" w:fill="ffffff"/>
            <w:tcW w:w="951"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便携式防盗门破拆工具组</w:t>
            </w:r>
            <w:r/>
          </w:p>
        </w:tc>
        <w:tc>
          <w:tcPr>
            <w:shd w:val="clear" w:color="000000" w:fill="ffffff"/>
            <w:tcW w:w="649"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套</w:t>
            </w:r>
            <w:r/>
          </w:p>
        </w:tc>
        <w:tc>
          <w:tcPr>
            <w:shd w:val="clear" w:color="000000" w:fill="ffffff"/>
            <w:tcW w:w="683"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1</w:t>
            </w:r>
            <w:r/>
          </w:p>
        </w:tc>
        <w:tc>
          <w:tcPr>
            <w:gridSpan w:val="5"/>
            <w:shd w:val="clear" w:color="000000" w:fill="ffffff"/>
            <w:tcW w:w="7314" w:type="dxa"/>
            <w:vAlign w:val="center"/>
            <w:textDirection w:val="lrTb"/>
            <w:noWrap w:val="false"/>
          </w:tcPr>
          <w:p>
            <w:pPr>
              <w:contextualSpacing/>
              <w:ind w:left="0"/>
              <w:jc w:val="left"/>
              <w:keepNext/>
              <w:widowControl w:val="off"/>
              <w:rPr>
                <w:rFonts w:ascii="宋体" w:hAnsi="宋体"/>
                <w:sz w:val="21"/>
                <w:szCs w:val="21"/>
              </w:rPr>
            </w:pPr>
            <w:r>
              <w:rPr>
                <w:rFonts w:hint="eastAsia" w:ascii="宋体" w:hAnsi="宋体"/>
                <w:sz w:val="21"/>
                <w:szCs w:val="21"/>
              </w:rPr>
              <w:t xml:space="preserve">1、破拆功能：据国内各种型号门锁以及各种型号锁芯，在不损坏防盗门整体结构用于拆卸门锁面板及锁芯，携带方便操作简单快速；</w:t>
            </w:r>
            <w:r>
              <w:rPr>
                <w:rFonts w:hint="eastAsia" w:ascii="宋体" w:hAnsi="宋体"/>
                <w:sz w:val="21"/>
                <w:szCs w:val="21"/>
              </w:rPr>
              <w:br/>
              <w:t xml:space="preserve">1.1、拆卸面板扭断锁芯时间≤12-45秒；</w:t>
            </w:r>
            <w:r>
              <w:rPr>
                <w:rFonts w:hint="eastAsia" w:ascii="宋体" w:hAnsi="宋体"/>
                <w:sz w:val="21"/>
                <w:szCs w:val="21"/>
              </w:rPr>
              <w:br/>
              <w:t xml:space="preserve">1.2、开启90%以上的家用防盗门，搭配辅助工具可以实现开启98%以上的防盗门；</w:t>
            </w:r>
            <w:r>
              <w:rPr>
                <w:rFonts w:hint="eastAsia" w:ascii="宋体" w:hAnsi="宋体"/>
                <w:sz w:val="21"/>
                <w:szCs w:val="21"/>
              </w:rPr>
              <w:br/>
              <w:t xml:space="preserve">2、拆锁夹主体材料：选用不锈钢材料制造专用工具；</w:t>
            </w:r>
            <w:r>
              <w:rPr>
                <w:rFonts w:hint="eastAsia" w:ascii="宋体" w:hAnsi="宋体"/>
                <w:sz w:val="21"/>
                <w:szCs w:val="21"/>
              </w:rPr>
              <w:br/>
              <w:t xml:space="preserve">3、夹口设计：剪叉式C型咬合口(可拆卸面板、拆卸锁芯)；</w:t>
            </w:r>
            <w:r>
              <w:rPr>
                <w:rFonts w:hint="eastAsia" w:ascii="宋体" w:hAnsi="宋体"/>
                <w:sz w:val="21"/>
                <w:szCs w:val="21"/>
              </w:rPr>
              <w:br/>
              <w:t xml:space="preserve">3.1、内侧设计凹型(拆卸面板起到防滑作用)；  </w:t>
            </w:r>
            <w:r>
              <w:rPr>
                <w:rFonts w:hint="eastAsia" w:ascii="宋体" w:hAnsi="宋体"/>
                <w:sz w:val="21"/>
                <w:szCs w:val="21"/>
              </w:rPr>
              <w:br/>
              <w:t xml:space="preserve">3.2、咬合口的开口≥2cm-8cm，确保市场所有主流锁具面板均可轻松夹松快拆。</w:t>
            </w:r>
            <w:r>
              <w:rPr>
                <w:rFonts w:hint="eastAsia" w:ascii="宋体" w:hAnsi="宋体"/>
                <w:sz w:val="21"/>
                <w:szCs w:val="21"/>
              </w:rPr>
              <w:br/>
              <w:t xml:space="preserve">3.2咬合口处经特殊表面热处理，硬度值≥45，保证足够强度。</w:t>
            </w:r>
            <w:r>
              <w:rPr>
                <w:rFonts w:hint="eastAsia" w:ascii="宋体" w:hAnsi="宋体"/>
                <w:sz w:val="21"/>
                <w:szCs w:val="21"/>
              </w:rPr>
              <w:br/>
              <w:t xml:space="preserve">3.3连接处采用不锈钢铆钉压铆工艺(非普通螺丝螺帽连接，确保剪口灵活且牢靠)</w:t>
            </w:r>
            <w:r>
              <w:rPr>
                <w:rFonts w:hint="eastAsia" w:ascii="宋体" w:hAnsi="宋体"/>
                <w:sz w:val="21"/>
                <w:szCs w:val="21"/>
              </w:rPr>
              <w:br/>
              <w:t xml:space="preserve">4、手柄设计：两个手柄均带可扩展功能的内置式螺丝刀具。一个手柄带快拆式十字螺丝刀，另一个手柄带平口一字螺丝刀。两个手柄尾部均带U型口，但两个U型口尺寸不同，可拆卸不同尺寸锁芯。</w:t>
            </w:r>
            <w:r>
              <w:rPr>
                <w:rFonts w:hint="eastAsia" w:ascii="宋体" w:hAnsi="宋体"/>
                <w:sz w:val="21"/>
                <w:szCs w:val="21"/>
              </w:rPr>
              <w:br/>
              <w:t xml:space="preserve">5、带十字螺丝刀的手柄上有可放置快拆强开磨具头的槽口，槽口为非贯通式，槽口内置强磁片，可快速固定强开磨具头，稳定不脱落，可保证在短时间内开启锁具。</w:t>
            </w:r>
            <w:r>
              <w:rPr>
                <w:rFonts w:hint="eastAsia" w:ascii="宋体" w:hAnsi="宋体"/>
                <w:sz w:val="21"/>
                <w:szCs w:val="21"/>
              </w:rPr>
              <w:br/>
              <w:t xml:space="preserve">6、带一字螺丝刀的手柄，U型口用于拆卸全铜锁芯、螺丝刀头部用于多角度拨动锁体。</w:t>
            </w:r>
            <w:r>
              <w:rPr>
                <w:rFonts w:hint="eastAsia" w:ascii="宋体" w:hAnsi="宋体"/>
                <w:sz w:val="21"/>
                <w:szCs w:val="21"/>
              </w:rPr>
              <w:br/>
              <w:t xml:space="preserve">7、螺丝刀前端设计≥8mm平口型，用于转动带钢梁锁芯。此手柄的螺丝刀内内置电源，开关及LED灯源及光纤灯束，点亮灯源用于拨动锁体时快速准确看清拨动点位置。</w:t>
            </w:r>
            <w:r>
              <w:rPr>
                <w:rFonts w:hint="eastAsia" w:ascii="宋体" w:hAnsi="宋体"/>
                <w:sz w:val="21"/>
                <w:szCs w:val="21"/>
              </w:rPr>
              <w:br/>
              <w:t xml:space="preserve">8、配备电动扳手、手动扳手、宝塔钻头、强开磨具(十字、C级、王力、安防、锁芯强开磨具)、工具箱。</w:t>
            </w:r>
            <w:r>
              <w:rPr>
                <w:rFonts w:hint="eastAsia" w:ascii="宋体" w:hAnsi="宋体"/>
                <w:sz w:val="21"/>
                <w:szCs w:val="21"/>
              </w:rPr>
              <w:br/>
              <w:t xml:space="preserve">9、充电式电动扳手参数：</w:t>
            </w:r>
            <w:r>
              <w:rPr>
                <w:rFonts w:hint="eastAsia" w:ascii="宋体" w:hAnsi="宋体"/>
                <w:sz w:val="21"/>
                <w:szCs w:val="21"/>
              </w:rPr>
              <w:br/>
              <w:t xml:space="preserve">冲击频率：≥0-1600次/分钟</w:t>
            </w:r>
            <w:r>
              <w:rPr>
                <w:rFonts w:hint="eastAsia" w:ascii="宋体" w:hAnsi="宋体"/>
                <w:sz w:val="21"/>
                <w:szCs w:val="21"/>
              </w:rPr>
              <w:br/>
              <w:t xml:space="preserve">最大扭矩：≥300NM</w:t>
            </w:r>
            <w:r>
              <w:rPr>
                <w:rFonts w:hint="eastAsia" w:ascii="宋体" w:hAnsi="宋体"/>
                <w:sz w:val="21"/>
                <w:szCs w:val="21"/>
              </w:rPr>
              <w:br/>
              <w:t xml:space="preserve">电池容量：≥2.0Ah</w:t>
            </w:r>
            <w:r>
              <w:rPr>
                <w:rFonts w:hint="eastAsia" w:ascii="宋体" w:hAnsi="宋体"/>
                <w:sz w:val="21"/>
                <w:szCs w:val="21"/>
              </w:rPr>
              <w:br/>
              <w:t xml:space="preserve">充电时间：≤120min</w:t>
            </w:r>
            <w:r>
              <w:rPr>
                <w:rFonts w:hint="eastAsia" w:ascii="宋体" w:hAnsi="宋体"/>
                <w:sz w:val="21"/>
                <w:szCs w:val="21"/>
              </w:rPr>
              <w:br/>
              <w:t xml:space="preserve">重量：≤2kg</w:t>
            </w:r>
            <w:r>
              <w:rPr>
                <w:rFonts w:hint="eastAsia" w:ascii="宋体" w:hAnsi="宋体"/>
                <w:sz w:val="21"/>
                <w:szCs w:val="21"/>
              </w:rPr>
              <w:br/>
              <w:t xml:space="preserve">电池包数量：≥1个</w:t>
            </w:r>
            <w:r>
              <w:rPr>
                <w:rFonts w:hint="eastAsia" w:ascii="宋体" w:hAnsi="宋体"/>
                <w:sz w:val="21"/>
                <w:szCs w:val="21"/>
              </w:rPr>
              <w:br/>
              <w:t xml:space="preserve">10、工具箱：</w:t>
            </w:r>
            <w:r>
              <w:rPr>
                <w:rFonts w:hint="eastAsia" w:ascii="宋体" w:hAnsi="宋体"/>
                <w:sz w:val="21"/>
                <w:szCs w:val="21"/>
              </w:rPr>
              <w:br/>
              <w:t xml:space="preserve">工具箱尺寸≤560*270*100mm；</w:t>
            </w:r>
            <w:r>
              <w:rPr>
                <w:rFonts w:hint="eastAsia" w:ascii="宋体" w:hAnsi="宋体"/>
                <w:sz w:val="21"/>
                <w:szCs w:val="21"/>
              </w:rPr>
              <w:br/>
              <w:t xml:space="preserve">工具箱重量≤7kg</w:t>
            </w:r>
            <w:r/>
          </w:p>
        </w:tc>
      </w:tr>
      <w:tr>
        <w:trPr/>
        <w:tc>
          <w:tcPr>
            <w:shd w:val="clear" w:color="000000" w:fill="ffffff"/>
            <w:tcW w:w="604"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42</w:t>
            </w:r>
            <w:r/>
          </w:p>
        </w:tc>
        <w:tc>
          <w:tcPr>
            <w:shd w:val="clear" w:color="000000" w:fill="ffffff"/>
            <w:tcW w:w="951"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移动灯箱</w:t>
            </w:r>
            <w:r/>
          </w:p>
        </w:tc>
        <w:tc>
          <w:tcPr>
            <w:shd w:val="clear" w:color="000000" w:fill="ffffff"/>
            <w:tcW w:w="649"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台</w:t>
            </w:r>
            <w:r/>
          </w:p>
        </w:tc>
        <w:tc>
          <w:tcPr>
            <w:shd w:val="clear" w:color="000000" w:fill="ffffff"/>
            <w:tcW w:w="683"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1</w:t>
            </w:r>
            <w:r/>
          </w:p>
        </w:tc>
        <w:tc>
          <w:tcPr>
            <w:gridSpan w:val="5"/>
            <w:shd w:val="clear" w:color="000000" w:fill="ffffff"/>
            <w:tcW w:w="7314" w:type="dxa"/>
            <w:vAlign w:val="center"/>
            <w:textDirection w:val="lrTb"/>
            <w:noWrap w:val="false"/>
          </w:tcPr>
          <w:p>
            <w:pPr>
              <w:contextualSpacing/>
              <w:ind w:left="0"/>
              <w:jc w:val="left"/>
              <w:keepNext/>
              <w:widowControl w:val="off"/>
              <w:rPr>
                <w:rFonts w:ascii="宋体" w:hAnsi="宋体"/>
                <w:sz w:val="21"/>
                <w:szCs w:val="21"/>
              </w:rPr>
            </w:pPr>
            <w:r>
              <w:rPr>
                <w:rFonts w:hint="eastAsia" w:ascii="宋体" w:hAnsi="宋体"/>
                <w:sz w:val="21"/>
                <w:szCs w:val="21"/>
              </w:rPr>
              <w:t xml:space="preserve">1.符合GB26755-2011《消防移动式照明装置》标准要求；</w:t>
            </w:r>
            <w:r>
              <w:rPr>
                <w:rFonts w:hint="eastAsia" w:ascii="宋体" w:hAnsi="宋体"/>
                <w:sz w:val="21"/>
                <w:szCs w:val="21"/>
              </w:rPr>
              <w:br/>
              <w:t xml:space="preserve">2.额定电压：DC≥20V 电池容量≥30Ah；</w:t>
            </w:r>
            <w:r>
              <w:rPr>
                <w:rFonts w:hint="eastAsia" w:ascii="宋体" w:hAnsi="宋体"/>
                <w:sz w:val="21"/>
                <w:szCs w:val="21"/>
              </w:rPr>
              <w:br/>
              <w:t xml:space="preserve">3.照明形式：聚光+泛光；可以实现灯光调光范围10%~100%，光源最大功率（聚光+泛光）≥100W；</w:t>
            </w:r>
            <w:r>
              <w:rPr>
                <w:rFonts w:hint="eastAsia" w:ascii="宋体" w:hAnsi="宋体"/>
                <w:sz w:val="21"/>
                <w:szCs w:val="21"/>
              </w:rPr>
              <w:br/>
              <w:t xml:space="preserve">4.▲照度（聚泛同开）：2m处最大初始照度≥20000lx  5m处最大初始照度≥7000lx；10m处最大初始照度≥2000lx；</w:t>
            </w:r>
            <w:r>
              <w:rPr>
                <w:rFonts w:hint="eastAsia" w:ascii="宋体" w:hAnsi="宋体"/>
                <w:sz w:val="21"/>
                <w:szCs w:val="21"/>
              </w:rPr>
              <w:br/>
              <w:t xml:space="preserve">5.警示灯：红/蓝交替闪烁警示灯；</w:t>
            </w:r>
            <w:r>
              <w:rPr>
                <w:rFonts w:hint="eastAsia" w:ascii="宋体" w:hAnsi="宋体"/>
                <w:sz w:val="21"/>
                <w:szCs w:val="21"/>
              </w:rPr>
              <w:br/>
              <w:t xml:space="preserve">6.外形尺寸（长×宽×高）：收缩状态：≤645x350x210(±50)（mm）</w:t>
            </w:r>
            <w:r>
              <w:rPr>
                <w:rFonts w:hint="eastAsia" w:ascii="宋体" w:hAnsi="宋体"/>
                <w:sz w:val="21"/>
                <w:szCs w:val="21"/>
              </w:rPr>
              <w:br/>
              <w:t xml:space="preserve">7.设备应采用5节伸缩杆，可手动调节高度，最大升起高度大于等于2000mm，收缩高度小于等于650mm。</w:t>
            </w:r>
            <w:r>
              <w:rPr>
                <w:rFonts w:hint="eastAsia" w:ascii="宋体" w:hAnsi="宋体"/>
                <w:sz w:val="21"/>
                <w:szCs w:val="21"/>
              </w:rPr>
              <w:br/>
              <w:t xml:space="preserve">8.灯具箱体配备控制板组件（显示屏），可显示剩余电量、工作模式、照明亮度。</w:t>
            </w:r>
            <w:r>
              <w:rPr>
                <w:rFonts w:hint="eastAsia" w:ascii="宋体" w:hAnsi="宋体"/>
                <w:sz w:val="21"/>
                <w:szCs w:val="21"/>
              </w:rPr>
              <w:br/>
              <w:t xml:space="preserve">9.设备应内置麦克风，并可通过无线方式连接话筒实现录音、录音回放、喊话、扩音功能。</w:t>
            </w:r>
            <w:r>
              <w:rPr>
                <w:rFonts w:hint="eastAsia" w:ascii="宋体" w:hAnsi="宋体"/>
                <w:sz w:val="21"/>
                <w:szCs w:val="21"/>
              </w:rPr>
              <w:br/>
              <w:t xml:space="preserve">10.设备的灯头应能实现水平大于等于360°俯仰0°-60°的角度调节。</w:t>
            </w:r>
            <w:r>
              <w:rPr>
                <w:rFonts w:hint="eastAsia" w:ascii="宋体" w:hAnsi="宋体"/>
                <w:sz w:val="21"/>
                <w:szCs w:val="21"/>
              </w:rPr>
              <w:br/>
              <w:t xml:space="preserve">11.GB26755-2011第5.3中技术要求:设备外部带电端子与机壳之间以及电源接线端子与地之间的绝缘电阻应大于等于100MQ。</w:t>
            </w:r>
            <w:r>
              <w:rPr>
                <w:rFonts w:hint="eastAsia" w:ascii="宋体" w:hAnsi="宋体"/>
                <w:sz w:val="21"/>
                <w:szCs w:val="21"/>
              </w:rPr>
              <w:br/>
              <w:t xml:space="preserve">12、提供国家级或国家认可的第三方检测检验机构出具的检测检验报告，且报告应完整有效。</w:t>
            </w:r>
            <w:r/>
          </w:p>
        </w:tc>
      </w:tr>
      <w:tr>
        <w:trPr/>
        <w:tc>
          <w:tcPr>
            <w:shd w:val="clear" w:color="000000" w:fill="ffffff"/>
            <w:tcW w:w="604"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43</w:t>
            </w:r>
            <w:r/>
          </w:p>
        </w:tc>
        <w:tc>
          <w:tcPr>
            <w:shd w:val="clear" w:color="000000" w:fill="ffffff"/>
            <w:tcW w:w="951"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大流量移动消防炮（30L）</w:t>
            </w:r>
            <w:r/>
          </w:p>
        </w:tc>
        <w:tc>
          <w:tcPr>
            <w:shd w:val="clear" w:color="000000" w:fill="ffffff"/>
            <w:tcW w:w="649"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台</w:t>
            </w:r>
            <w:r/>
          </w:p>
        </w:tc>
        <w:tc>
          <w:tcPr>
            <w:shd w:val="clear" w:color="000000" w:fill="ffffff"/>
            <w:tcW w:w="683"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1</w:t>
            </w:r>
            <w:r/>
          </w:p>
        </w:tc>
        <w:tc>
          <w:tcPr>
            <w:gridSpan w:val="5"/>
            <w:shd w:val="clear" w:color="000000" w:fill="ffffff"/>
            <w:tcW w:w="7314" w:type="dxa"/>
            <w:vAlign w:val="center"/>
            <w:textDirection w:val="lrTb"/>
            <w:noWrap w:val="false"/>
          </w:tcPr>
          <w:p>
            <w:pPr>
              <w:contextualSpacing/>
              <w:ind w:left="0"/>
              <w:jc w:val="left"/>
              <w:keepNext/>
              <w:widowControl w:val="off"/>
              <w:rPr>
                <w:rFonts w:ascii="宋体" w:hAnsi="宋体"/>
                <w:sz w:val="21"/>
                <w:szCs w:val="21"/>
              </w:rPr>
            </w:pPr>
            <w:r>
              <w:rPr>
                <w:rFonts w:hint="eastAsia" w:ascii="宋体" w:hAnsi="宋体"/>
                <w:sz w:val="21"/>
                <w:szCs w:val="21"/>
              </w:rPr>
              <w:t xml:space="preserve">1、产品符合GB 19156-2019《消防炮》标准 ；</w:t>
            </w:r>
            <w:r>
              <w:rPr>
                <w:rFonts w:hint="eastAsia" w:ascii="宋体" w:hAnsi="宋体"/>
                <w:sz w:val="21"/>
                <w:szCs w:val="21"/>
              </w:rPr>
              <w:br/>
              <w:t xml:space="preserve">2、炮体材质：铝合金阳极硬质氧化后喷塑处理；阀芯材质：锻造黄铜,阀球材质：不锈钢；</w:t>
            </w:r>
            <w:r>
              <w:rPr>
                <w:rFonts w:hint="eastAsia" w:ascii="宋体" w:hAnsi="宋体"/>
                <w:sz w:val="21"/>
                <w:szCs w:val="21"/>
              </w:rPr>
              <w:br/>
              <w:t xml:space="preserve">3、撑脚：6061铝合金可折叠S型圆撑脚；配乌钢脚钉； </w:t>
            </w:r>
            <w:r>
              <w:rPr>
                <w:rFonts w:hint="eastAsia" w:ascii="宋体" w:hAnsi="宋体"/>
                <w:sz w:val="21"/>
                <w:szCs w:val="21"/>
              </w:rPr>
              <w:br/>
              <w:t xml:space="preserve">4、开关性能：L型带锁止操作杆可控制水流开或关闭； </w:t>
            </w:r>
            <w:r>
              <w:rPr>
                <w:rFonts w:hint="eastAsia" w:ascii="宋体" w:hAnsi="宋体"/>
                <w:sz w:val="21"/>
                <w:szCs w:val="21"/>
              </w:rPr>
              <w:br/>
              <w:t xml:space="preserve">5、压力表：炮的进水口主流道设置压力表。压力表精度2.5级；  </w:t>
            </w:r>
            <w:r>
              <w:rPr>
                <w:rFonts w:hint="eastAsia" w:ascii="宋体" w:hAnsi="宋体"/>
                <w:sz w:val="21"/>
                <w:szCs w:val="21"/>
              </w:rPr>
              <w:br/>
              <w:t xml:space="preserve">6、标志：产品设有永久性中文铭牌；</w:t>
            </w:r>
            <w:r>
              <w:rPr>
                <w:rFonts w:hint="eastAsia" w:ascii="宋体" w:hAnsi="宋体"/>
                <w:sz w:val="21"/>
                <w:szCs w:val="21"/>
              </w:rPr>
              <w:br/>
              <w:t xml:space="preserve">7、直流和喷雾功能转换操作操作力矩:≤6.1 N·m； </w:t>
            </w:r>
            <w:r>
              <w:rPr>
                <w:rFonts w:hint="eastAsia" w:ascii="宋体" w:hAnsi="宋体"/>
                <w:sz w:val="21"/>
                <w:szCs w:val="21"/>
              </w:rPr>
              <w:br/>
              <w:t xml:space="preserve">8、水平俯仰操作力矩:水平：≤5.8N·m;俯仰：≤6.5N·m； </w:t>
            </w:r>
            <w:r>
              <w:rPr>
                <w:rFonts w:hint="eastAsia" w:ascii="宋体" w:hAnsi="宋体"/>
                <w:sz w:val="21"/>
                <w:szCs w:val="21"/>
              </w:rPr>
              <w:br/>
              <w:t xml:space="preserve">9、炮头工艺：整体采用铝合金铸造成型并采用加工中心铣出喷零齿； </w:t>
            </w:r>
            <w:r>
              <w:rPr>
                <w:rFonts w:hint="eastAsia" w:ascii="宋体" w:hAnsi="宋体"/>
                <w:sz w:val="21"/>
                <w:szCs w:val="21"/>
              </w:rPr>
              <w:br/>
              <w:t xml:space="preserve">10、流量：≥30L/S； </w:t>
            </w:r>
            <w:r>
              <w:rPr>
                <w:rFonts w:hint="eastAsia" w:ascii="宋体" w:hAnsi="宋体"/>
                <w:sz w:val="21"/>
                <w:szCs w:val="21"/>
              </w:rPr>
              <w:br/>
              <w:t xml:space="preserve">11、喷射额定工作压力≥0.6MPa～1.0MPa； </w:t>
            </w:r>
            <w:r>
              <w:rPr>
                <w:rFonts w:hint="eastAsia" w:ascii="宋体" w:hAnsi="宋体"/>
                <w:sz w:val="21"/>
                <w:szCs w:val="21"/>
              </w:rPr>
              <w:br/>
              <w:t xml:space="preserve">12、射程：≥64m； </w:t>
            </w:r>
            <w:r>
              <w:rPr>
                <w:rFonts w:hint="eastAsia" w:ascii="宋体" w:hAnsi="宋体"/>
                <w:sz w:val="21"/>
                <w:szCs w:val="21"/>
              </w:rPr>
              <w:br/>
              <w:t xml:space="preserve">13、消防炮仰角:+30° ～ +70°； </w:t>
            </w:r>
            <w:r>
              <w:rPr>
                <w:rFonts w:hint="eastAsia" w:ascii="宋体" w:hAnsi="宋体"/>
                <w:sz w:val="21"/>
                <w:szCs w:val="21"/>
              </w:rPr>
              <w:br/>
              <w:t xml:space="preserve">14、水平回转角（°）:≥40； </w:t>
            </w:r>
            <w:r>
              <w:rPr>
                <w:rFonts w:hint="eastAsia" w:ascii="宋体" w:hAnsi="宋体"/>
                <w:sz w:val="21"/>
                <w:szCs w:val="21"/>
              </w:rPr>
              <w:br/>
              <w:t xml:space="preserve">15、喷雾角：≥0~120度可调；</w:t>
            </w:r>
            <w:r>
              <w:rPr>
                <w:rFonts w:hint="eastAsia" w:ascii="宋体" w:hAnsi="宋体"/>
                <w:sz w:val="21"/>
                <w:szCs w:val="21"/>
              </w:rPr>
              <w:br/>
              <w:t xml:space="preserve">16、炮整体重量≤10公斤；  </w:t>
            </w:r>
            <w:r>
              <w:rPr>
                <w:rFonts w:hint="eastAsia" w:ascii="宋体" w:hAnsi="宋体"/>
                <w:sz w:val="21"/>
                <w:szCs w:val="21"/>
              </w:rPr>
              <w:br/>
              <w:t xml:space="preserve">17、两根10米安全绳。</w:t>
            </w:r>
            <w:r/>
          </w:p>
        </w:tc>
      </w:tr>
      <w:tr>
        <w:trPr/>
        <w:tc>
          <w:tcPr>
            <w:shd w:val="clear" w:color="000000" w:fill="ffffff"/>
            <w:tcW w:w="604"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44</w:t>
            </w:r>
            <w:r/>
          </w:p>
        </w:tc>
        <w:tc>
          <w:tcPr>
            <w:shd w:val="clear" w:color="000000" w:fill="ffffff"/>
            <w:tcW w:w="951"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泡沫枪</w:t>
            </w:r>
            <w:r/>
          </w:p>
        </w:tc>
        <w:tc>
          <w:tcPr>
            <w:shd w:val="clear" w:color="000000" w:fill="ffffff"/>
            <w:tcW w:w="649"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把</w:t>
            </w:r>
            <w:r/>
          </w:p>
        </w:tc>
        <w:tc>
          <w:tcPr>
            <w:shd w:val="clear" w:color="000000" w:fill="ffffff"/>
            <w:tcW w:w="683"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2</w:t>
            </w:r>
            <w:r/>
          </w:p>
        </w:tc>
        <w:tc>
          <w:tcPr>
            <w:gridSpan w:val="5"/>
            <w:shd w:val="clear" w:color="000000" w:fill="ffffff"/>
            <w:tcW w:w="7314" w:type="dxa"/>
            <w:vAlign w:val="center"/>
            <w:textDirection w:val="lrTb"/>
            <w:noWrap w:val="false"/>
          </w:tcPr>
          <w:p>
            <w:pPr>
              <w:contextualSpacing/>
              <w:ind w:left="0"/>
              <w:jc w:val="left"/>
              <w:keepNext/>
              <w:widowControl w:val="off"/>
              <w:rPr>
                <w:rFonts w:ascii="宋体" w:hAnsi="宋体"/>
                <w:sz w:val="21"/>
                <w:szCs w:val="21"/>
              </w:rPr>
            </w:pPr>
            <w:r>
              <w:rPr>
                <w:rFonts w:hint="eastAsia" w:ascii="宋体" w:hAnsi="宋体"/>
                <w:sz w:val="21"/>
                <w:szCs w:val="21"/>
              </w:rPr>
              <w:t xml:space="preserve">产品符合GB25202-2010《泡沫枪》标准；</w:t>
            </w:r>
            <w:r>
              <w:rPr>
                <w:rFonts w:hint="eastAsia" w:ascii="宋体" w:hAnsi="宋体"/>
                <w:sz w:val="21"/>
                <w:szCs w:val="21"/>
              </w:rPr>
              <w:br/>
              <w:t xml:space="preserve">1、接口：采用锻造工艺，选用铝镁合金A6061材质，表面黑色阳极氧化防腐处理；</w:t>
            </w:r>
            <w:r>
              <w:rPr>
                <w:rFonts w:hint="eastAsia" w:ascii="宋体" w:hAnsi="宋体"/>
                <w:sz w:val="21"/>
                <w:szCs w:val="21"/>
              </w:rPr>
              <w:br/>
              <w:t xml:space="preserve">2、枪体：枪体T5铝合金结构，坚固且重量轻；</w:t>
            </w:r>
            <w:r>
              <w:rPr>
                <w:rFonts w:hint="eastAsia" w:ascii="宋体" w:hAnsi="宋体"/>
                <w:sz w:val="21"/>
                <w:szCs w:val="21"/>
              </w:rPr>
              <w:br/>
              <w:t xml:space="preserve">3、带双把手设计，人体学手枪握把便于把握喷射方向，稳定水枪，马蹄形开关手把，便于启闭水流，方便携带。                                                                                   4、可调式吸液嘴，转动调节圈能获得0.5%-3%的4个档位吸液量变化；</w:t>
            </w:r>
            <w:r>
              <w:rPr>
                <w:rFonts w:hint="eastAsia" w:ascii="宋体" w:hAnsi="宋体"/>
                <w:sz w:val="21"/>
                <w:szCs w:val="21"/>
              </w:rPr>
              <w:br/>
              <w:t xml:space="preserve">5、流量≥480L/min；</w:t>
            </w:r>
            <w:r>
              <w:rPr>
                <w:rFonts w:hint="eastAsia" w:ascii="宋体" w:hAnsi="宋体"/>
                <w:sz w:val="21"/>
                <w:szCs w:val="21"/>
              </w:rPr>
              <w:br/>
              <w:t xml:space="preserve">6、射程≥24m；</w:t>
            </w:r>
            <w:r>
              <w:rPr>
                <w:rFonts w:hint="eastAsia" w:ascii="宋体" w:hAnsi="宋体"/>
                <w:sz w:val="21"/>
                <w:szCs w:val="21"/>
              </w:rPr>
              <w:br/>
              <w:t xml:space="preserve">7、枪体长度：≤460mm      </w:t>
            </w:r>
            <w:r>
              <w:rPr>
                <w:rFonts w:hint="eastAsia" w:ascii="宋体" w:hAnsi="宋体"/>
                <w:sz w:val="21"/>
                <w:szCs w:val="21"/>
              </w:rPr>
              <w:br/>
              <w:t xml:space="preserve">8、产品重量：≤3.5kg </w:t>
            </w:r>
            <w:r/>
          </w:p>
        </w:tc>
      </w:tr>
      <w:tr>
        <w:trPr/>
        <w:tc>
          <w:tcPr>
            <w:shd w:val="clear" w:color="000000" w:fill="ffffff"/>
            <w:tcW w:w="604"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45</w:t>
            </w:r>
            <w:r/>
          </w:p>
        </w:tc>
        <w:tc>
          <w:tcPr>
            <w:shd w:val="clear" w:color="000000" w:fill="ffffff"/>
            <w:tcW w:w="951" w:type="dxa"/>
            <w:vAlign w:val="center"/>
            <w:textDirection w:val="lrTb"/>
            <w:noWrap w:val="false"/>
          </w:tcPr>
          <w:p>
            <w:pPr>
              <w:contextualSpacing/>
              <w:ind w:left="0"/>
              <w:jc w:val="center"/>
              <w:keepNext/>
              <w:widowControl w:val="off"/>
              <w:rPr>
                <w:rFonts w:ascii="宋体" w:hAnsi="宋体"/>
                <w:sz w:val="21"/>
                <w:szCs w:val="21"/>
              </w:rPr>
            </w:pPr>
            <w:r>
              <w:rPr>
                <w:rFonts w:hint="eastAsia" w:ascii="宋体" w:hAnsi="宋体"/>
                <w:sz w:val="21"/>
                <w:szCs w:val="21"/>
              </w:rPr>
              <w:t xml:space="preserve">卫星消防站接处警系</w:t>
            </w:r>
            <w:r>
              <w:rPr>
                <w:rFonts w:hint="eastAsia" w:ascii="宋体" w:hAnsi="宋体"/>
                <w:sz w:val="21"/>
                <w:szCs w:val="21"/>
              </w:rPr>
              <w:t xml:space="preserve">统</w:t>
            </w:r>
            <w:r/>
          </w:p>
        </w:tc>
        <w:tc>
          <w:tcPr>
            <w:shd w:val="clear" w:color="000000" w:fill="ffffff"/>
            <w:tcW w:w="649"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套</w:t>
            </w:r>
            <w:r/>
          </w:p>
        </w:tc>
        <w:tc>
          <w:tcPr>
            <w:shd w:val="clear" w:color="000000" w:fill="ffffff"/>
            <w:tcW w:w="683" w:type="dxa"/>
            <w:vAlign w:val="center"/>
            <w:textDirection w:val="lrTb"/>
            <w:noWrap/>
          </w:tcPr>
          <w:p>
            <w:pPr>
              <w:contextualSpacing/>
              <w:ind w:left="0"/>
              <w:jc w:val="center"/>
              <w:keepNext/>
              <w:widowControl w:val="off"/>
              <w:rPr>
                <w:rFonts w:ascii="宋体" w:hAnsi="宋体"/>
                <w:sz w:val="21"/>
                <w:szCs w:val="21"/>
              </w:rPr>
            </w:pPr>
            <w:r>
              <w:rPr>
                <w:rFonts w:hint="eastAsia" w:ascii="宋体" w:hAnsi="宋体"/>
                <w:sz w:val="21"/>
                <w:szCs w:val="21"/>
              </w:rPr>
              <w:t xml:space="preserve">1</w:t>
            </w:r>
            <w:r/>
          </w:p>
        </w:tc>
        <w:tc>
          <w:tcPr>
            <w:gridSpan w:val="5"/>
            <w:shd w:val="clear" w:color="000000" w:fill="ffffff"/>
            <w:tcW w:w="7314" w:type="dxa"/>
            <w:vAlign w:val="center"/>
            <w:textDirection w:val="lrTb"/>
            <w:noWrap w:val="false"/>
          </w:tcPr>
          <w:p>
            <w:pPr>
              <w:contextualSpacing/>
              <w:ind w:left="0"/>
              <w:jc w:val="left"/>
              <w:keepNext/>
              <w:widowControl w:val="off"/>
              <w:rPr>
                <w:rFonts w:ascii="宋体" w:hAnsi="宋体"/>
                <w:sz w:val="21"/>
                <w:szCs w:val="21"/>
              </w:rPr>
            </w:pPr>
            <w:r>
              <w:rPr>
                <w:rFonts w:hint="eastAsia" w:ascii="宋体" w:hAnsi="宋体"/>
                <w:sz w:val="21"/>
                <w:szCs w:val="21"/>
              </w:rPr>
              <w:t xml:space="preserve">整套接处警系统含有交换机、机柜、对讲机、摄像头、电脑、打印机、警铃、接警客户端、联动控制器等设备及安装辅材，需完成所有设备的安装调试、互联互通。</w:t>
            </w:r>
            <w:r>
              <w:rPr>
                <w:rFonts w:hint="eastAsia" w:ascii="宋体" w:hAnsi="宋体"/>
                <w:sz w:val="21"/>
                <w:szCs w:val="21"/>
              </w:rPr>
              <w:br/>
            </w:r>
            <w:r>
              <w:rPr>
                <w:rFonts w:hint="eastAsia" w:ascii="宋体" w:hAnsi="宋体"/>
                <w:sz w:val="21"/>
                <w:szCs w:val="21"/>
              </w:rPr>
              <w:t xml:space="preserve">1、交换机：企业级8口全千兆交换机，即插即用，所有端口均支持全线速无阻塞交换以及MDI/MDIX自适应功能 ，防雷。</w:t>
            </w:r>
            <w:r>
              <w:rPr>
                <w:rFonts w:hint="eastAsia" w:ascii="宋体" w:hAnsi="宋体"/>
                <w:sz w:val="21"/>
                <w:szCs w:val="21"/>
              </w:rPr>
              <w:br/>
              <w:t xml:space="preserve">2、机柜：1.2M标准机柜。</w:t>
            </w:r>
            <w:r>
              <w:rPr>
                <w:rFonts w:hint="eastAsia" w:ascii="宋体" w:hAnsi="宋体"/>
                <w:sz w:val="21"/>
                <w:szCs w:val="21"/>
              </w:rPr>
              <w:br/>
              <w:t xml:space="preserve">3、对讲机：全网通终端，支持移动、电信、联通、广电4G网络；显示屏≥4.7寸，分辨率≥1280*720；系统不低于Android 12；支持前后双摄，前置摄像头≥500万，后置摄像头≥1300万；支持宽带对讲功能，有独立对讲按键，支持一键对讲功能。能与上级消防指挥中心互通互联。</w:t>
            </w:r>
            <w:r>
              <w:rPr>
                <w:rFonts w:hint="eastAsia" w:ascii="宋体" w:hAnsi="宋体"/>
                <w:sz w:val="21"/>
                <w:szCs w:val="21"/>
              </w:rPr>
              <w:br/>
              <w:t xml:space="preserve">4、摄像头：</w:t>
            </w:r>
            <w:r>
              <w:rPr>
                <w:rFonts w:hint="eastAsia" w:ascii="宋体" w:hAnsi="宋体"/>
                <w:sz w:val="21"/>
                <w:szCs w:val="21"/>
              </w:rPr>
              <w:br/>
              <w:t xml:space="preserve">支持最大1920×1080@60fps高清画面输出</w:t>
            </w:r>
            <w:r>
              <w:rPr>
                <w:rFonts w:hint="eastAsia" w:ascii="宋体" w:hAnsi="宋体"/>
                <w:sz w:val="21"/>
                <w:szCs w:val="21"/>
              </w:rPr>
              <w:br/>
              <w:t xml:space="preserve">支持H.265高效压缩算法，可较大节省存储空间</w:t>
            </w:r>
            <w:r>
              <w:rPr>
                <w:rFonts w:hint="eastAsia" w:ascii="宋体" w:hAnsi="宋体"/>
                <w:sz w:val="21"/>
                <w:szCs w:val="21"/>
              </w:rPr>
              <w:br/>
              <w:t xml:space="preserve">星光级超低照度，0.002Lux/F1.5(彩色),0.0002Lux/F1.5(黑白) ,0 Lux with IR</w:t>
            </w:r>
            <w:r>
              <w:rPr>
                <w:rFonts w:hint="eastAsia" w:ascii="宋体" w:hAnsi="宋体"/>
                <w:sz w:val="21"/>
                <w:szCs w:val="21"/>
              </w:rPr>
              <w:br/>
              <w:t xml:space="preserve">支持23倍光学变倍，16倍数字变倍</w:t>
            </w:r>
            <w:r>
              <w:rPr>
                <w:rFonts w:hint="eastAsia" w:ascii="宋体" w:hAnsi="宋体"/>
                <w:sz w:val="21"/>
                <w:szCs w:val="21"/>
              </w:rPr>
              <w:br/>
              <w:t xml:space="preserve">采用高效红外阵列，低功耗，照射距离达200m</w:t>
            </w:r>
            <w:r>
              <w:rPr>
                <w:rFonts w:hint="eastAsia" w:ascii="宋体" w:hAnsi="宋体"/>
                <w:sz w:val="21"/>
                <w:szCs w:val="21"/>
              </w:rPr>
              <w:br/>
              <w:t xml:space="preserve">支持1080p@60fps、960p@60fps、720p@60fps高帧率输出</w:t>
            </w:r>
            <w:r>
              <w:rPr>
                <w:rFonts w:hint="eastAsia" w:ascii="宋体" w:hAnsi="宋体"/>
                <w:sz w:val="21"/>
                <w:szCs w:val="21"/>
              </w:rPr>
              <w:br/>
              <w:t xml:space="preserve">支持三码流技术，每路码流可独立配置分辨率及帧率</w:t>
            </w:r>
            <w:r>
              <w:rPr>
                <w:rFonts w:hint="eastAsia" w:ascii="宋体" w:hAnsi="宋体"/>
                <w:sz w:val="21"/>
                <w:szCs w:val="21"/>
              </w:rPr>
              <w:br/>
              <w:t xml:space="preserve">支持区域入侵侦测、越界侦测、移动侦测等智能侦测功能</w:t>
            </w:r>
            <w:r>
              <w:rPr>
                <w:rFonts w:hint="eastAsia" w:ascii="宋体" w:hAnsi="宋体"/>
                <w:sz w:val="21"/>
                <w:szCs w:val="21"/>
              </w:rPr>
              <w:br/>
              <w:t xml:space="preserve">支持手动跟踪、全景跟踪、事件跟踪，并支持多场景巡航跟踪</w:t>
            </w:r>
            <w:r>
              <w:rPr>
                <w:rFonts w:hint="eastAsia" w:ascii="宋体" w:hAnsi="宋体"/>
                <w:sz w:val="21"/>
                <w:szCs w:val="21"/>
              </w:rPr>
              <w:br/>
              <w:t xml:space="preserve">支持车牌捕获及检索、多场景巡航检测、云存储服务功能</w:t>
            </w:r>
            <w:r>
              <w:rPr>
                <w:rFonts w:hint="eastAsia" w:ascii="宋体" w:hAnsi="宋体"/>
                <w:sz w:val="21"/>
                <w:szCs w:val="21"/>
              </w:rPr>
              <w:br/>
              <w:t xml:space="preserve">支持断网续传功能保证录像不丢失，配合Smart NVR实现事件录像的二次智能检索、分析和浓缩播放</w:t>
            </w:r>
            <w:r>
              <w:rPr>
                <w:rFonts w:hint="eastAsia" w:ascii="宋体" w:hAnsi="宋体"/>
                <w:sz w:val="21"/>
                <w:szCs w:val="21"/>
              </w:rPr>
              <w:br/>
              <w:t xml:space="preserve">支持3D数字降噪、透雾、强光抑制、电子防抖、SmartIR等功能</w:t>
            </w:r>
            <w:r>
              <w:rPr>
                <w:rFonts w:hint="eastAsia" w:ascii="宋体" w:hAnsi="宋体"/>
                <w:sz w:val="21"/>
                <w:szCs w:val="21"/>
              </w:rPr>
              <w:br/>
              <w:t xml:space="preserve">支持360°水平旋转，垂直方向-20°-90° </w:t>
            </w:r>
            <w:r>
              <w:rPr>
                <w:rFonts w:hint="eastAsia" w:ascii="宋体" w:hAnsi="宋体"/>
                <w:sz w:val="21"/>
                <w:szCs w:val="21"/>
              </w:rPr>
              <w:br/>
              <w:t xml:space="preserve">支持300个预置位，8条巡航扫描</w:t>
            </w:r>
            <w:r>
              <w:rPr>
                <w:rFonts w:hint="eastAsia" w:ascii="宋体" w:hAnsi="宋体"/>
                <w:sz w:val="21"/>
                <w:szCs w:val="21"/>
              </w:rPr>
              <w:br/>
              <w:t xml:space="preserve">支持3D定位，可通过鼠标框选目标以实现目标的快速定位与捕捉</w:t>
            </w:r>
            <w:r>
              <w:rPr>
                <w:rFonts w:hint="eastAsia" w:ascii="宋体" w:hAnsi="宋体"/>
                <w:sz w:val="21"/>
                <w:szCs w:val="21"/>
              </w:rPr>
              <w:br/>
              <w:t xml:space="preserve">支持定时抓图与事件抓图功能</w:t>
            </w:r>
            <w:r>
              <w:rPr>
                <w:rFonts w:hint="eastAsia" w:ascii="宋体" w:hAnsi="宋体"/>
                <w:sz w:val="21"/>
                <w:szCs w:val="21"/>
              </w:rPr>
              <w:br/>
              <w:t xml:space="preserve">支持定时任务、一键守望、一键巡航功能</w:t>
            </w:r>
            <w:r>
              <w:rPr>
                <w:rFonts w:hint="eastAsia" w:ascii="宋体" w:hAnsi="宋体"/>
                <w:sz w:val="21"/>
                <w:szCs w:val="21"/>
              </w:rPr>
              <w:br/>
              <w:t xml:space="preserve">5、电脑：i5-7500/8G /1TB硬盘/16倍速 DVD±RW / 集成显卡 /10/100/1000以太网口/光电鼠标 标准键盘/19.5" 液晶/ 预装正版</w:t>
            </w:r>
            <w:r>
              <w:rPr>
                <w:rFonts w:hint="eastAsia" w:ascii="宋体" w:hAnsi="宋体"/>
                <w:sz w:val="21"/>
                <w:szCs w:val="21"/>
              </w:rPr>
              <w:br/>
              <w:t xml:space="preserve">6、打印机：黑白激光打印机，黑白打印速度 14ppm ，分辨率 600×600dpi ，最大打印幅面 A4 。</w:t>
            </w:r>
            <w:r>
              <w:rPr>
                <w:rFonts w:hint="eastAsia" w:ascii="宋体" w:hAnsi="宋体"/>
                <w:sz w:val="21"/>
                <w:szCs w:val="21"/>
              </w:rPr>
              <w:br/>
              <w:t xml:space="preserve">7、智能接警客户端：同步接收消防接警信息，自动报警提示，打印出警单，出警单至少包含详细警情信息及类型，警情地点，报警人姓名电话</w:t>
            </w:r>
            <w:r>
              <w:rPr>
                <w:rFonts w:hint="eastAsia" w:ascii="宋体" w:hAnsi="宋体"/>
                <w:sz w:val="21"/>
                <w:szCs w:val="21"/>
              </w:rPr>
              <w:br/>
              <w:t xml:space="preserve">8、接警联动控制器：接收警情后同步自动开启警铃，警情广播，无需人工干预。</w:t>
            </w:r>
            <w:r/>
          </w:p>
        </w:tc>
      </w:tr>
    </w:tbl>
    <w:p>
      <w:pPr>
        <w:ind w:left="0" w:firstLine="422"/>
        <w:spacing w:line="360" w:lineRule="auto"/>
        <w:widowControl w:val="off"/>
        <w:tabs>
          <w:tab w:val="left" w:pos="567" w:leader="none"/>
        </w:tabs>
        <w:rPr>
          <w:rFonts w:ascii="宋体" w:hAnsi="宋体"/>
          <w:b/>
          <w:sz w:val="21"/>
          <w:szCs w:val="21"/>
        </w:rPr>
      </w:pPr>
      <w:r>
        <w:rPr>
          <w:rFonts w:hint="eastAsia" w:ascii="宋体" w:hAnsi="宋体"/>
          <w:b/>
          <w:sz w:val="21"/>
          <w:szCs w:val="21"/>
        </w:rPr>
        <w:t xml:space="preserve">注：</w:t>
      </w:r>
      <w:r/>
    </w:p>
    <w:p>
      <w:pPr>
        <w:ind w:left="0" w:firstLine="422"/>
        <w:spacing w:line="360" w:lineRule="auto"/>
        <w:widowControl w:val="off"/>
        <w:tabs>
          <w:tab w:val="left" w:pos="567" w:leader="none"/>
        </w:tabs>
        <w:rPr>
          <w:rFonts w:ascii="宋体" w:hAnsi="宋体"/>
          <w:b/>
          <w:sz w:val="21"/>
          <w:szCs w:val="21"/>
        </w:rPr>
      </w:pPr>
      <w:r>
        <w:rPr>
          <w:rFonts w:hint="eastAsia" w:ascii="宋体" w:hAnsi="宋体"/>
          <w:b/>
          <w:sz w:val="21"/>
          <w:szCs w:val="21"/>
        </w:rPr>
        <w:t xml:space="preserve">1、带“※”的为核心产品</w:t>
      </w:r>
      <w:r>
        <w:rPr>
          <w:rFonts w:hint="eastAsia" w:ascii="宋体" w:hAnsi="宋体"/>
          <w:b/>
          <w:sz w:val="21"/>
          <w:szCs w:val="21"/>
        </w:rPr>
        <w:t xml:space="preserve">，核心产品为</w:t>
      </w:r>
      <w:r>
        <w:rPr>
          <w:rFonts w:hint="eastAsia" w:ascii="宋体" w:hAnsi="宋体"/>
          <w:b/>
          <w:sz w:val="21"/>
          <w:szCs w:val="21"/>
        </w:rPr>
        <w:t xml:space="preserve">：</w:t>
      </w:r>
      <w:r>
        <w:rPr>
          <w:rFonts w:hint="eastAsia" w:ascii="宋体" w:hAnsi="宋体"/>
          <w:b/>
          <w:sz w:val="21"/>
          <w:szCs w:val="21"/>
        </w:rPr>
        <w:t xml:space="preserve">※</w:t>
      </w:r>
      <w:r>
        <w:rPr>
          <w:rFonts w:hint="eastAsia" w:ascii="宋体" w:hAnsi="宋体"/>
          <w:b/>
          <w:sz w:val="21"/>
          <w:szCs w:val="21"/>
        </w:rPr>
        <w:t xml:space="preserve">1</w:t>
      </w:r>
      <w:r>
        <w:rPr>
          <w:rFonts w:ascii="宋体" w:hAnsi="宋体"/>
          <w:b/>
          <w:sz w:val="21"/>
          <w:szCs w:val="21"/>
        </w:rPr>
        <w:t xml:space="preserve">7.</w:t>
      </w:r>
      <w:r>
        <w:rPr>
          <w:rFonts w:hint="eastAsia" w:ascii="宋体" w:hAnsi="宋体"/>
          <w:b/>
          <w:sz w:val="21"/>
          <w:szCs w:val="21"/>
        </w:rPr>
        <w:t xml:space="preserve">正压式空气呼吸器。核心产品的所有要求必须全部响应，如有其中任意一处不响应处作无效标处理。</w:t>
      </w:r>
      <w:r/>
    </w:p>
    <w:p>
      <w:pPr>
        <w:ind w:left="0" w:firstLine="422"/>
        <w:spacing w:line="360" w:lineRule="auto"/>
        <w:widowControl w:val="off"/>
        <w:tabs>
          <w:tab w:val="left" w:pos="567" w:leader="none"/>
        </w:tabs>
        <w:rPr>
          <w:rFonts w:ascii="宋体" w:hAnsi="宋体"/>
          <w:b/>
          <w:sz w:val="21"/>
          <w:szCs w:val="21"/>
        </w:rPr>
      </w:pPr>
      <w:r>
        <w:rPr>
          <w:rFonts w:hint="eastAsia" w:ascii="宋体" w:hAnsi="宋体"/>
          <w:b/>
          <w:sz w:val="21"/>
          <w:szCs w:val="21"/>
        </w:rPr>
        <w:t xml:space="preserve">2、除核心产品及标“▲”的技术要求得分项中要求的检测检验报告以外，清单中其余检测检验报告均为中标后、供货前按要求提供，投标时无需提供。</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七、安装、验收、售后服务：</w:t>
      </w:r>
      <w:r/>
    </w:p>
    <w:p>
      <w:pPr>
        <w:ind w:left="0" w:firstLine="420"/>
        <w:spacing w:line="360" w:lineRule="auto"/>
        <w:widowControl w:val="off"/>
        <w:tabs>
          <w:tab w:val="left" w:pos="567" w:leader="none"/>
        </w:tabs>
        <w:rPr>
          <w:rFonts w:ascii="宋体" w:hAnsi="宋体"/>
          <w:sz w:val="21"/>
          <w:szCs w:val="21"/>
        </w:rPr>
      </w:pPr>
      <w:r>
        <w:rPr>
          <w:rFonts w:hint="eastAsia" w:ascii="宋体" w:hAnsi="宋体"/>
          <w:sz w:val="21"/>
          <w:szCs w:val="21"/>
        </w:rPr>
        <w:t xml:space="preserve">1、中标人应保证所供标的物是全新的，未使用过的、性能良好、符合环保的、原装、原产、合法、正规途径的货物，并且是非长期积压的库存商品，完全符合采购设备规定的质量、规格和性能的要求，严禁提供假冒、伪劣或非正规途径之产品。产品配置必须原厂出厂时全部自带，所有设备外包装箱不得自行拆封，包装箱上所有标签等不得涂改或撕毁，除有特殊要求外，其余均为标准配置，否则采购人有权拒绝验收。中标人应保证其提供的标的物在正确安装、正常使用和保养条件下，在其标称的使用寿命期内应具</w:t>
      </w:r>
      <w:r>
        <w:rPr>
          <w:rFonts w:hint="eastAsia" w:ascii="宋体" w:hAnsi="宋体"/>
          <w:sz w:val="21"/>
          <w:szCs w:val="21"/>
        </w:rPr>
        <w:t xml:space="preserve">有满意的性能。</w:t>
      </w:r>
      <w:r/>
    </w:p>
    <w:p>
      <w:pPr>
        <w:ind w:left="0" w:firstLine="420"/>
        <w:spacing w:line="360" w:lineRule="auto"/>
        <w:widowControl w:val="off"/>
        <w:tabs>
          <w:tab w:val="left" w:pos="567" w:leader="none"/>
        </w:tabs>
        <w:rPr>
          <w:rFonts w:ascii="宋体" w:hAnsi="宋体"/>
          <w:sz w:val="21"/>
          <w:szCs w:val="21"/>
        </w:rPr>
      </w:pPr>
      <w:r>
        <w:rPr>
          <w:rFonts w:ascii="宋体" w:hAnsi="宋体"/>
          <w:sz w:val="21"/>
          <w:szCs w:val="21"/>
        </w:rPr>
        <w:t xml:space="preserve">2</w:t>
      </w:r>
      <w:r>
        <w:rPr>
          <w:rFonts w:hint="eastAsia" w:ascii="宋体" w:hAnsi="宋体"/>
          <w:sz w:val="21"/>
          <w:szCs w:val="21"/>
        </w:rPr>
        <w:t xml:space="preserve">、货物到达安装现场后，中标人和采购人共同打开包装验货检查货物数量。中标人应提供详细单据。如果货物质量或技术规格与合同不符，或货物有明显损坏，采购人有权提出索赔。只有经安装调试并且技术性能达到本招标文件所述的技术要求后，采购人才能接受全部货物。仪器设备不满足招标文件要求的，采购人有权解除合同并追究中标人法律责任。</w:t>
      </w:r>
      <w:r/>
    </w:p>
    <w:p>
      <w:pPr>
        <w:ind w:left="0" w:firstLine="420"/>
        <w:spacing w:line="360" w:lineRule="auto"/>
        <w:widowControl w:val="off"/>
        <w:tabs>
          <w:tab w:val="left" w:pos="567" w:leader="none"/>
        </w:tabs>
        <w:rPr>
          <w:rFonts w:ascii="宋体" w:hAnsi="宋体"/>
          <w:sz w:val="21"/>
          <w:szCs w:val="21"/>
        </w:rPr>
      </w:pPr>
      <w:r>
        <w:rPr>
          <w:rFonts w:ascii="宋体" w:hAnsi="宋体"/>
          <w:sz w:val="21"/>
          <w:szCs w:val="21"/>
        </w:rPr>
        <w:t xml:space="preserve">3</w:t>
      </w:r>
      <w:r>
        <w:rPr>
          <w:rFonts w:hint="eastAsia" w:ascii="宋体" w:hAnsi="宋体"/>
          <w:sz w:val="21"/>
          <w:szCs w:val="21"/>
        </w:rPr>
        <w:t xml:space="preserve">、中标人负责供货、运输、安装调试，并确保涉及的信息平台运行正常。</w:t>
      </w:r>
      <w:r/>
    </w:p>
    <w:p>
      <w:pPr>
        <w:ind w:left="0" w:firstLine="420"/>
        <w:spacing w:line="360" w:lineRule="auto"/>
        <w:widowControl w:val="off"/>
        <w:tabs>
          <w:tab w:val="left" w:pos="567" w:leader="none"/>
        </w:tabs>
        <w:rPr>
          <w:rFonts w:ascii="宋体" w:hAnsi="宋体"/>
          <w:sz w:val="21"/>
          <w:szCs w:val="21"/>
        </w:rPr>
      </w:pPr>
      <w:r>
        <w:rPr>
          <w:rFonts w:ascii="宋体" w:hAnsi="宋体"/>
          <w:sz w:val="21"/>
          <w:szCs w:val="21"/>
        </w:rPr>
        <w:t xml:space="preserve">4</w:t>
      </w:r>
      <w:r>
        <w:rPr>
          <w:rFonts w:hint="eastAsia" w:ascii="宋体" w:hAnsi="宋体"/>
          <w:sz w:val="21"/>
          <w:szCs w:val="21"/>
        </w:rPr>
        <w:t xml:space="preserve">、中标人在项目实施过程中，进场单位和人员的资质、资格符合国家、省、市有关规定。施工期间如由中标人原因造成的安全事故，均应由中标人负责，按有关规定处理善后事宜，并承担给采购人造成的损失。</w:t>
      </w:r>
      <w:r/>
    </w:p>
    <w:p>
      <w:pPr>
        <w:ind w:left="0" w:firstLine="420"/>
        <w:spacing w:line="360" w:lineRule="auto"/>
        <w:widowControl w:val="off"/>
        <w:tabs>
          <w:tab w:val="left" w:pos="567" w:leader="none"/>
        </w:tabs>
        <w:rPr>
          <w:rFonts w:ascii="宋体" w:hAnsi="宋体"/>
          <w:sz w:val="21"/>
          <w:szCs w:val="21"/>
        </w:rPr>
      </w:pPr>
      <w:r>
        <w:rPr>
          <w:rFonts w:ascii="宋体" w:hAnsi="宋体"/>
          <w:sz w:val="21"/>
          <w:szCs w:val="21"/>
        </w:rPr>
        <w:t xml:space="preserve">5</w:t>
      </w:r>
      <w:r>
        <w:rPr>
          <w:rFonts w:hint="eastAsia" w:ascii="宋体" w:hAnsi="宋体"/>
          <w:sz w:val="21"/>
          <w:szCs w:val="21"/>
        </w:rPr>
        <w:t xml:space="preserve">、中标人应提供完备的技术资料、装箱单和合格证等，并派遣专业技术人员进行现场安装调试。验收合格条件如下：</w:t>
      </w:r>
      <w:r/>
    </w:p>
    <w:p>
      <w:pPr>
        <w:ind w:left="0" w:firstLine="420"/>
        <w:spacing w:line="360" w:lineRule="auto"/>
        <w:widowControl w:val="off"/>
        <w:tabs>
          <w:tab w:val="left" w:pos="567" w:leader="none"/>
        </w:tabs>
        <w:rPr>
          <w:rFonts w:ascii="宋体" w:hAnsi="宋体"/>
          <w:sz w:val="21"/>
          <w:szCs w:val="21"/>
        </w:rPr>
      </w:pPr>
      <w:r>
        <w:rPr>
          <w:rFonts w:hint="eastAsia" w:ascii="宋体" w:hAnsi="宋体"/>
          <w:sz w:val="21"/>
          <w:szCs w:val="21"/>
        </w:rPr>
        <w:t xml:space="preserve">（1）设备技术参数与招标文件及采购合同一致，性能指标达到招标文件规定的标准。</w:t>
      </w:r>
      <w:r/>
    </w:p>
    <w:p>
      <w:pPr>
        <w:ind w:left="0" w:firstLine="420"/>
        <w:spacing w:line="360" w:lineRule="auto"/>
        <w:widowControl w:val="off"/>
        <w:tabs>
          <w:tab w:val="left" w:pos="567"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）货物技术资料、装箱单、合格证等资料齐全。</w:t>
      </w:r>
      <w:r/>
    </w:p>
    <w:p>
      <w:pPr>
        <w:ind w:left="0" w:firstLine="420"/>
        <w:spacing w:line="360" w:lineRule="auto"/>
        <w:widowControl w:val="off"/>
        <w:tabs>
          <w:tab w:val="left" w:pos="567"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）在系统试运行期间所出现的问题得到解决，并运行正常。</w:t>
      </w:r>
      <w:r/>
    </w:p>
    <w:p>
      <w:pPr>
        <w:ind w:left="0" w:firstLine="420"/>
        <w:spacing w:line="360" w:lineRule="auto"/>
        <w:widowControl w:val="off"/>
        <w:tabs>
          <w:tab w:val="left" w:pos="567"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）在规定时间内完成交货并验收，并经采购人确认。</w:t>
      </w:r>
      <w:r/>
    </w:p>
    <w:p>
      <w:pPr>
        <w:ind w:left="0" w:firstLine="420"/>
        <w:spacing w:line="360" w:lineRule="auto"/>
        <w:widowControl w:val="off"/>
        <w:tabs>
          <w:tab w:val="left" w:pos="567" w:leader="none"/>
        </w:tabs>
        <w:rPr>
          <w:rFonts w:ascii="宋体" w:hAnsi="宋体"/>
          <w:sz w:val="21"/>
          <w:szCs w:val="21"/>
        </w:rPr>
      </w:pPr>
      <w:r>
        <w:rPr>
          <w:rFonts w:ascii="宋体" w:hAnsi="宋体"/>
          <w:sz w:val="21"/>
          <w:szCs w:val="21"/>
        </w:rPr>
        <w:t xml:space="preserve">6</w:t>
      </w:r>
      <w:r>
        <w:rPr>
          <w:rFonts w:hint="eastAsia" w:ascii="宋体" w:hAnsi="宋体"/>
          <w:sz w:val="21"/>
          <w:szCs w:val="21"/>
        </w:rPr>
        <w:t xml:space="preserve">、产品在安装调试并试运行符合要求后，才进行最终验收</w:t>
      </w:r>
      <w:r>
        <w:rPr>
          <w:rFonts w:hint="eastAsia" w:ascii="宋体" w:hAnsi="宋体"/>
          <w:sz w:val="21"/>
          <w:szCs w:val="21"/>
        </w:rPr>
        <w:t xml:space="preserve">。验收期限在安装调试结束后六个月内进行。</w:t>
      </w:r>
      <w:r>
        <w:rPr>
          <w:rFonts w:hint="eastAsia" w:ascii="宋体" w:hAnsi="宋体"/>
          <w:sz w:val="21"/>
          <w:szCs w:val="21"/>
        </w:rPr>
        <w:t xml:space="preserve">特殊情况需延长的，双方应特别约定。采购人和相关部门按照招标文件和投标文件承诺进行验收。招标文件没有规定和投标文件没有相应承诺的，按照下列原则进行验收：有国家标准的按照国家标准验收，没有国家标准的按行业标准验收，无行业标准的按地方或企业标准验收，中标人予以配合。涉及需要由质检或行业主管部门验</w:t>
      </w:r>
      <w:r>
        <w:rPr>
          <w:rFonts w:hint="eastAsia" w:ascii="宋体" w:hAnsi="宋体"/>
          <w:sz w:val="21"/>
          <w:szCs w:val="21"/>
        </w:rPr>
        <w:t xml:space="preserve">收的项目，采购人须约请相关部门参加项目验收。所有需要质检部门进行检测才能使用的设备，投标报价中必须包含首次检测费用。货物在验收时，投标人应提供发票、制造厂家出具的产品合格证书、装箱清单等，完税证明及商检证明（如有）等材料；提供有关货物的保养修理所需的各种随机工具及全部有关技术文件、操作使用说明书、质保书、保修证明、维护手册及技术性指导资料以及根据中国相关法律规定制造、销售报价货物（包括主要部件和材料）所必备的各种证书(如产品质量检验报告、适用性检测报告等）等文件和应由中标人提供的必要文件汇集成册交付采购人。</w:t>
      </w:r>
      <w:r/>
    </w:p>
    <w:p>
      <w:pPr>
        <w:ind w:left="0" w:firstLine="420"/>
        <w:spacing w:line="360" w:lineRule="auto"/>
        <w:widowControl w:val="off"/>
        <w:tabs>
          <w:tab w:val="left" w:pos="567" w:leader="none"/>
        </w:tabs>
        <w:rPr>
          <w:rFonts w:ascii="宋体" w:hAnsi="宋体"/>
          <w:sz w:val="21"/>
          <w:szCs w:val="21"/>
        </w:rPr>
      </w:pPr>
      <w:r>
        <w:rPr>
          <w:rFonts w:ascii="宋体" w:hAnsi="宋体"/>
          <w:sz w:val="21"/>
          <w:szCs w:val="21"/>
        </w:rPr>
        <w:t xml:space="preserve">7</w:t>
      </w:r>
      <w:r>
        <w:rPr>
          <w:rFonts w:hint="eastAsia" w:ascii="宋体" w:hAnsi="宋体"/>
          <w:sz w:val="21"/>
          <w:szCs w:val="21"/>
        </w:rPr>
        <w:t xml:space="preserve">、中标人必须接受采购人的监督，中标人对采购人提出的合理意见与建议必须采纳。验收合格后中标人提供免费质保服务及相应日常运维工作。</w:t>
      </w:r>
      <w:r/>
    </w:p>
    <w:p>
      <w:pPr>
        <w:ind w:left="0" w:firstLine="420"/>
        <w:spacing w:line="360" w:lineRule="auto"/>
        <w:widowControl w:val="off"/>
        <w:tabs>
          <w:tab w:val="left" w:pos="567" w:leader="none"/>
        </w:tabs>
        <w:rPr>
          <w:rFonts w:ascii="宋体" w:hAnsi="宋体"/>
          <w:sz w:val="21"/>
          <w:szCs w:val="21"/>
        </w:rPr>
      </w:pPr>
      <w:r>
        <w:rPr>
          <w:rFonts w:ascii="宋体" w:hAnsi="宋体"/>
          <w:sz w:val="21"/>
          <w:szCs w:val="21"/>
        </w:rPr>
        <w:t xml:space="preserve">8</w:t>
      </w:r>
      <w:r>
        <w:rPr>
          <w:rFonts w:hint="eastAsia" w:ascii="宋体" w:hAnsi="宋体"/>
          <w:sz w:val="21"/>
          <w:szCs w:val="21"/>
        </w:rPr>
        <w:t xml:space="preserve">、</w:t>
      </w:r>
      <w:r>
        <w:rPr>
          <w:rFonts w:hint="eastAsia" w:ascii="宋体" w:hAnsi="宋体"/>
          <w:b/>
          <w:sz w:val="21"/>
          <w:szCs w:val="21"/>
        </w:rPr>
        <w:t xml:space="preserve">质保期：本项目质保期自全部车辆、设备验收合格起≥</w:t>
      </w:r>
      <w:r>
        <w:rPr>
          <w:rFonts w:hint="eastAsia" w:ascii="宋体" w:hAnsi="宋体"/>
          <w:b/>
          <w:sz w:val="21"/>
          <w:szCs w:val="21"/>
        </w:rPr>
        <w:t xml:space="preserve">二</w:t>
      </w:r>
      <w:r>
        <w:rPr>
          <w:rFonts w:hint="eastAsia" w:ascii="宋体" w:hAnsi="宋体"/>
          <w:b/>
          <w:sz w:val="21"/>
          <w:szCs w:val="21"/>
        </w:rPr>
        <w:t xml:space="preserve">年。</w:t>
      </w:r>
      <w:r>
        <w:rPr>
          <w:rFonts w:hint="eastAsia" w:ascii="宋体" w:hAnsi="宋体"/>
          <w:sz w:val="21"/>
          <w:szCs w:val="21"/>
        </w:rPr>
        <w:t xml:space="preserve">在质保期内，应无偿并迅速更换由于元器件缺陷及工艺等问题而发生故障的产品，并对因维修、保养，更换零部件等所发生的一切费用，均由中标人承担。在期间如发生影响系统运行的重大故障，质保期应为故障排除之日起重新计算。质保期满后，应提供优先的有偿售后服务及按不高于投标文件中主要配件、易损件清单所报价格供应原厂零配件等。</w:t>
      </w:r>
      <w:r/>
    </w:p>
    <w:p>
      <w:pPr>
        <w:ind w:left="0" w:firstLine="420"/>
        <w:spacing w:line="360" w:lineRule="auto"/>
        <w:tabs>
          <w:tab w:val="left" w:pos="420" w:leader="none"/>
        </w:tabs>
        <w:rPr>
          <w:rFonts w:ascii="宋体" w:hAnsi="宋体"/>
          <w:b/>
          <w:sz w:val="21"/>
          <w:szCs w:val="21"/>
        </w:rPr>
      </w:pPr>
      <w:r>
        <w:rPr>
          <w:rFonts w:ascii="宋体" w:hAnsi="宋体"/>
          <w:sz w:val="21"/>
          <w:szCs w:val="21"/>
        </w:rPr>
        <w:t xml:space="preserve">9</w:t>
      </w:r>
      <w:r>
        <w:rPr>
          <w:rFonts w:hint="eastAsia" w:ascii="宋体" w:hAnsi="宋体"/>
          <w:sz w:val="21"/>
          <w:szCs w:val="21"/>
        </w:rPr>
        <w:t xml:space="preserve">、在按上述供货范围提供设备的同时，须提供与之相应的、在采购文件中规定的伴随服务，包括：技术资料、安装、调试、现场试运行、技术支持、技术协助、技术培训等，以及在本采购文件中未提及的、隐含的其它必须由中标人提供的相关服务。</w:t>
      </w:r>
      <w:r/>
    </w:p>
    <w:p>
      <w:pPr>
        <w:ind w:left="0" w:firstLine="420"/>
        <w:spacing w:line="360" w:lineRule="auto"/>
        <w:tabs>
          <w:tab w:val="left" w:pos="420" w:leader="none"/>
        </w:tabs>
        <w:rPr>
          <w:rFonts w:ascii="宋体" w:hAnsi="宋体"/>
          <w:b/>
          <w:sz w:val="21"/>
          <w:szCs w:val="21"/>
        </w:rPr>
      </w:pPr>
      <w:r>
        <w:rPr>
          <w:rFonts w:hint="eastAsia" w:ascii="宋体" w:hAnsi="宋体"/>
          <w:b/>
          <w:sz w:val="21"/>
          <w:szCs w:val="21"/>
        </w:rPr>
        <w:t xml:space="preserve">八、综合说明</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2</w:t>
      </w:r>
      <w:r>
        <w:rPr>
          <w:rFonts w:hint="eastAsia" w:ascii="宋体" w:hAnsi="宋体"/>
          <w:sz w:val="21"/>
          <w:szCs w:val="21"/>
        </w:rPr>
        <w:t xml:space="preserve">、此次投标报价应包括为完成本项目服务工作所需的各种工作经费、投入的人力、物力各项费用、研究费、咨询费、资料费、调查费、</w:t>
      </w:r>
      <w:r>
        <w:rPr>
          <w:rFonts w:hint="eastAsia" w:ascii="宋体" w:hAnsi="宋体"/>
          <w:b/>
          <w:sz w:val="21"/>
          <w:szCs w:val="21"/>
        </w:rPr>
        <w:t xml:space="preserve">代理服务费、</w:t>
      </w:r>
      <w:r>
        <w:rPr>
          <w:rFonts w:hint="eastAsia" w:ascii="宋体" w:hAnsi="宋体"/>
          <w:sz w:val="21"/>
          <w:szCs w:val="21"/>
        </w:rPr>
        <w:t xml:space="preserve">检验检测费、后续服务费、交通、食宿、利润、税金、验收、政策性文件规定及合同包含的所有风险、责任等完成本项目的各项应有费用。</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3</w:t>
      </w:r>
      <w:r>
        <w:rPr>
          <w:rFonts w:hint="eastAsia" w:ascii="宋体" w:hAnsi="宋体"/>
          <w:sz w:val="21"/>
          <w:szCs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4</w:t>
      </w:r>
      <w:r>
        <w:rPr>
          <w:rFonts w:hint="eastAsia" w:ascii="宋体" w:hAnsi="宋体"/>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0"/>
        <w:spacing w:line="360" w:lineRule="auto"/>
        <w:tabs>
          <w:tab w:val="left" w:pos="420" w:leader="none"/>
        </w:tabs>
        <w:rPr>
          <w:rFonts w:ascii="宋体" w:hAnsi="宋体"/>
          <w:b/>
          <w:sz w:val="21"/>
          <w:szCs w:val="21"/>
        </w:rPr>
      </w:pPr>
      <w:r>
        <w:rPr>
          <w:rFonts w:hint="eastAsia" w:ascii="宋体" w:hAnsi="宋体"/>
          <w:b/>
          <w:sz w:val="21"/>
          <w:szCs w:val="21"/>
        </w:rPr>
        <w:t xml:space="preserve">九、政策要求</w:t>
      </w:r>
      <w:r/>
    </w:p>
    <w:p>
      <w:pPr>
        <w:ind w:left="0" w:firstLine="412"/>
        <w:jc w:val="left"/>
        <w:spacing w:line="360" w:lineRule="auto"/>
        <w:widowControl w:val="off"/>
        <w:rPr>
          <w:rFonts w:ascii="宋体" w:hAnsi="宋体"/>
          <w:sz w:val="21"/>
          <w:szCs w:val="21"/>
        </w:rPr>
      </w:pPr>
      <w:r>
        <w:rPr>
          <w:rFonts w:hint="eastAsia" w:ascii="宋体" w:hAnsi="宋体"/>
          <w:sz w:val="21"/>
          <w:szCs w:val="21"/>
        </w:rPr>
        <w:t xml:space="preserve">1、招标文件提出的是最低限度的要求，并未对一切细节作出规定，也未充分引述全部有关标准和规范的条文，投标单位所提供的相关货物或服务都应符合已颁布的现行的国家标准、行业标准和地方标准，并应达到或优于招标文件要求。</w:t>
      </w:r>
      <w:r/>
    </w:p>
    <w:p>
      <w:pPr>
        <w:ind w:left="0" w:right="-153" w:firstLine="420"/>
        <w:jc w:val="left"/>
        <w:spacing w:line="360" w:lineRule="auto"/>
        <w:rPr>
          <w:rFonts w:ascii="宋体" w:hAnsi="宋体" w:cs="Times New Roman"/>
          <w:sz w:val="21"/>
          <w:szCs w:val="21"/>
        </w:rPr>
      </w:pPr>
      <w:r>
        <w:rPr>
          <w:rFonts w:hint="eastAsia" w:ascii="宋体" w:hAnsi="宋体" w:cs="Times New Roman"/>
          <w:sz w:val="21"/>
          <w:szCs w:val="21"/>
        </w:rPr>
        <w:t xml:space="preserve">2、根据苏州市财政局《关于贯彻执行绿色采购、促进残疾人就业和支持监狱企业发展有关政策的通知》（苏财购〔2019〕10号）规定，关于节能环保产品政府采购要求：</w:t>
      </w:r>
      <w:r/>
    </w:p>
    <w:p>
      <w:pPr>
        <w:ind w:left="0" w:right="-153" w:firstLine="420"/>
        <w:jc w:val="left"/>
        <w:spacing w:line="360" w:lineRule="auto"/>
        <w:rPr>
          <w:rFonts w:ascii="宋体" w:hAnsi="宋体" w:cs="Times New Roman"/>
          <w:sz w:val="21"/>
          <w:szCs w:val="21"/>
        </w:rPr>
      </w:pPr>
      <w:r>
        <w:rPr>
          <w:rFonts w:hint="eastAsia" w:ascii="宋体" w:hAnsi="宋体" w:cs="Times New Roman"/>
          <w:sz w:val="21"/>
          <w:szCs w:val="21"/>
        </w:rPr>
        <w:t xml:space="preserve">本次拟采购的产品属于《节能产品政府采购品目清单》中强制采购范围内产品，各投标人应当提供获得国家确定的认证机构出具的、有效期之内的节能产品认证证书的产品，上述品目清单可通过“中国政府采购网”（http://www.ccgp.gov.cn）查询,并在投标文件内提供由国家确定的认证机构出具的、处于有效期之内的节能产品认证证书复印件，否则视为无效响应。</w:t>
      </w:r>
      <w:r/>
    </w:p>
    <w:p>
      <w:pPr>
        <w:ind w:left="0" w:right="-153" w:firstLine="420"/>
        <w:jc w:val="left"/>
        <w:spacing w:line="360" w:lineRule="auto"/>
        <w:rPr>
          <w:rFonts w:ascii="宋体" w:hAnsi="宋体" w:cs="Times New Roman"/>
          <w:sz w:val="21"/>
          <w:szCs w:val="21"/>
        </w:rPr>
      </w:pPr>
      <w:r>
        <w:rPr>
          <w:rFonts w:hint="eastAsia" w:ascii="宋体" w:hAnsi="宋体" w:cs="Times New Roman"/>
          <w:sz w:val="21"/>
          <w:szCs w:val="21"/>
        </w:rPr>
        <w:t xml:space="preserve">本次拟采购的产品属于《节能产品政府采购品目清单》中优先采购范围内的产品、《环境标志产品政府采购品目清单》范围内的产品，鼓励各投标人提供获得国家确定的认证机构出具的、有效期之内的节能产品、环境标志产品认证证书的产品，上述品目清单可通过“中国政府采购网”（http://www.ccgp.gov.cn）查询，并在投标文件内提供由国家确定的认证机构出具的、处于有效期之内的节能产品、环境标志产品认证证书复印件。</w:t>
      </w:r>
      <w:r/>
    </w:p>
    <w:p>
      <w:pPr>
        <w:pStyle w:val="1250"/>
        <w:ind w:left="0" w:firstLine="422"/>
        <w:spacing w:line="360" w:lineRule="auto"/>
        <w:rPr>
          <w:rFonts w:ascii="宋体" w:hAnsi="宋体" w:cs="宋体"/>
          <w:b/>
          <w:sz w:val="21"/>
          <w:szCs w:val="21"/>
        </w:rPr>
      </w:pPr>
      <w:r>
        <w:rPr>
          <w:rFonts w:hint="eastAsia" w:ascii="宋体" w:hAnsi="宋体" w:cs="宋体"/>
          <w:b/>
          <w:sz w:val="21"/>
          <w:szCs w:val="21"/>
        </w:rPr>
        <w:t xml:space="preserve">3、关于推动解决政府采购异常低价问题相关工作的通知（财库〔2026〕2号）。</w:t>
      </w:r>
      <w:r/>
    </w:p>
    <w:p>
      <w:pPr>
        <w:pStyle w:val="1250"/>
        <w:ind w:left="0" w:firstLine="422"/>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.1评审过程中出现下列情形之一的，评审委员会应当启动异常低价投标（响应）审查程序：</w:t>
      </w:r>
      <w:r/>
    </w:p>
    <w:p>
      <w:pPr>
        <w:pStyle w:val="1250"/>
        <w:ind w:left="0" w:firstLine="422"/>
        <w:spacing w:line="360" w:lineRule="auto"/>
        <w:rPr>
          <w:rFonts w:ascii="宋体" w:hAnsi="宋体" w:cs="宋体"/>
          <w:sz w:val="21"/>
          <w:szCs w:val="21"/>
        </w:rPr>
      </w:pPr>
      <w:r>
        <w:rPr>
          <w:rFonts w:hint="eastAsia" w:ascii="宋体" w:hAnsi="宋体" w:cs="宋体"/>
          <w:sz w:val="21"/>
          <w:szCs w:val="21"/>
        </w:rPr>
        <w:t xml:space="preserve">（一）采购人应当在采购文件中明确，政府采购评审中出现下列情形之一的，评审委员会应当启动异常低价投标（响应）审查程序：</w:t>
      </w:r>
      <w:r/>
    </w:p>
    <w:p>
      <w:pPr>
        <w:pStyle w:val="1250"/>
        <w:ind w:left="0" w:firstLine="422"/>
        <w:spacing w:line="360" w:lineRule="auto"/>
        <w:rPr>
          <w:rFonts w:ascii="宋体" w:hAnsi="宋体" w:cs="宋体"/>
          <w:sz w:val="21"/>
          <w:szCs w:val="21"/>
        </w:rPr>
      </w:pPr>
      <w:r>
        <w:rPr>
          <w:rFonts w:hint="eastAsia" w:ascii="宋体" w:hAnsi="宋体" w:cs="宋体"/>
          <w:sz w:val="21"/>
          <w:szCs w:val="21"/>
        </w:rPr>
        <w:t xml:space="preserve">（1）投标（响应）报价低于全部通过符合性审查供应商投标（响应）报价平均值50%的，即投标（响应）报价&lt;全部通过符合性审查供应商投标（响应）报价平均值×50%；</w:t>
      </w:r>
      <w:r/>
    </w:p>
    <w:p>
      <w:pPr>
        <w:pStyle w:val="1250"/>
        <w:ind w:left="0" w:firstLine="422"/>
        <w:spacing w:line="360" w:lineRule="auto"/>
        <w:rPr>
          <w:rFonts w:ascii="宋体" w:hAnsi="宋体" w:cs="宋体"/>
          <w:sz w:val="21"/>
          <w:szCs w:val="21"/>
        </w:rPr>
      </w:pPr>
      <w:r>
        <w:rPr>
          <w:rFonts w:hint="eastAsia" w:ascii="宋体" w:hAnsi="宋体" w:cs="宋体"/>
          <w:sz w:val="21"/>
          <w:szCs w:val="21"/>
        </w:rPr>
        <w:t xml:space="preserve">（2）投标（响应）报价低于通过符合性审查的次低报价供应商投标（响应）报价50%的，即投标（响应）报价&lt;通过符合性审查的次低报价供应商投标（响应）报价×50%；</w:t>
      </w:r>
      <w:r/>
    </w:p>
    <w:p>
      <w:pPr>
        <w:pStyle w:val="1250"/>
        <w:ind w:left="0" w:firstLine="422"/>
        <w:spacing w:line="360" w:lineRule="auto"/>
        <w:rPr>
          <w:rFonts w:ascii="宋体" w:hAnsi="宋体" w:cs="宋体"/>
          <w:sz w:val="21"/>
          <w:szCs w:val="21"/>
        </w:rPr>
      </w:pPr>
      <w:r>
        <w:rPr>
          <w:rFonts w:hint="eastAsia" w:ascii="宋体" w:hAnsi="宋体" w:cs="宋体"/>
          <w:sz w:val="21"/>
          <w:szCs w:val="21"/>
        </w:rPr>
        <w:t xml:space="preserve">（3）投标（响应）报价低于采购项目最高限价45%的，即投标（响应）报价&lt;采购项目最高限价×45%；</w:t>
      </w:r>
      <w:r/>
    </w:p>
    <w:p>
      <w:pPr>
        <w:pStyle w:val="1250"/>
        <w:ind w:left="0" w:firstLine="422"/>
        <w:spacing w:line="360" w:lineRule="auto"/>
        <w:rPr>
          <w:rFonts w:ascii="宋体" w:hAnsi="宋体" w:cs="宋体"/>
          <w:sz w:val="21"/>
          <w:szCs w:val="21"/>
        </w:rPr>
      </w:pPr>
      <w:r>
        <w:rPr>
          <w:rFonts w:hint="eastAsia" w:ascii="宋体" w:hAnsi="宋体" w:cs="宋体"/>
          <w:sz w:val="21"/>
          <w:szCs w:val="21"/>
        </w:rPr>
        <w:t xml:space="preserve">（4）评审委员会基于专业判断，认为供应商报价过低，有可能影响产品质量或者不能诚信履约的其他情形。</w:t>
      </w:r>
      <w:r/>
    </w:p>
    <w:p>
      <w:pPr>
        <w:pStyle w:val="1250"/>
        <w:ind w:left="0" w:firstLine="422"/>
        <w:spacing w:line="360" w:lineRule="auto"/>
        <w:rPr>
          <w:rFonts w:ascii="宋体" w:hAnsi="宋体" w:cs="宋体"/>
          <w:sz w:val="21"/>
          <w:szCs w:val="21"/>
        </w:rPr>
      </w:pPr>
      <w:r>
        <w:rPr>
          <w:rFonts w:hint="eastAsia" w:ascii="宋体" w:hAnsi="宋体" w:cs="宋体"/>
          <w:sz w:val="21"/>
          <w:szCs w:val="21"/>
        </w:rPr>
        <w:t xml:space="preserve">采购人可以结合具体项目实际情况，提高上述第1项至第3项中启动异常低价投标（响应）审查的数值标准，但是最高不得超过65%。</w:t>
      </w:r>
      <w:r/>
    </w:p>
    <w:p>
      <w:pPr>
        <w:pStyle w:val="1250"/>
        <w:ind w:left="0" w:firstLine="422"/>
        <w:spacing w:line="360" w:lineRule="auto"/>
        <w:rPr>
          <w:rFonts w:ascii="宋体" w:hAnsi="宋体" w:cs="宋体"/>
          <w:sz w:val="21"/>
          <w:szCs w:val="21"/>
        </w:rPr>
      </w:pPr>
      <w:r>
        <w:rPr>
          <w:rFonts w:hint="eastAsia" w:ascii="宋体" w:hAnsi="宋体" w:cs="宋体"/>
          <w:sz w:val="21"/>
          <w:szCs w:val="21"/>
        </w:rPr>
        <w:t xml:space="preserve">相关法律法规对供应商报价有规定的，从其规定。</w:t>
      </w:r>
      <w:r/>
    </w:p>
    <w:p>
      <w:pPr>
        <w:pStyle w:val="1250"/>
        <w:ind w:left="0" w:firstLine="422"/>
        <w:spacing w:line="360" w:lineRule="auto"/>
        <w:rPr>
          <w:rFonts w:ascii="宋体" w:hAnsi="宋体" w:cs="宋体"/>
          <w:sz w:val="21"/>
          <w:szCs w:val="21"/>
        </w:rPr>
      </w:pPr>
      <w:r>
        <w:rPr>
          <w:rFonts w:hint="eastAsia" w:ascii="宋体" w:hAnsi="宋体" w:cs="宋体"/>
          <w:sz w:val="21"/>
          <w:szCs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250"/>
        <w:ind w:left="0" w:firstLine="422"/>
        <w:spacing w:line="360" w:lineRule="auto"/>
        <w:rPr>
          <w:rFonts w:ascii="宋体" w:hAnsi="宋体" w:cs="宋体"/>
          <w:sz w:val="21"/>
          <w:szCs w:val="21"/>
        </w:rPr>
      </w:pPr>
      <w:r>
        <w:rPr>
          <w:rFonts w:hint="eastAsia" w:ascii="宋体" w:hAnsi="宋体" w:cs="宋体"/>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250"/>
        <w:ind w:left="0" w:firstLine="422"/>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.2异常低价审查有关要求，均以财政部发布的《关于推动解决政府采购异常低价问题的通知》（ 财库〔2026〕2号）为准。</w:t>
      </w:r>
      <w:r/>
    </w:p>
    <w:p>
      <w:pPr>
        <w:ind w:left="0" w:right="-153" w:firstLine="420"/>
        <w:jc w:val="left"/>
        <w:spacing w:line="360" w:lineRule="auto"/>
        <w:rPr>
          <w:rFonts w:ascii="宋体" w:hAnsi="宋体" w:cs="Times New Roman"/>
          <w:b/>
          <w:sz w:val="21"/>
          <w:szCs w:val="21"/>
        </w:rPr>
      </w:pPr>
      <w:r>
        <w:rPr>
          <w:rFonts w:ascii="宋体" w:hAnsi="宋体"/>
          <w:b/>
          <w:sz w:val="21"/>
          <w:szCs w:val="21"/>
        </w:rPr>
        <w:t xml:space="preserve">4</w:t>
      </w:r>
      <w:r>
        <w:rPr>
          <w:rFonts w:hint="eastAsia" w:ascii="宋体" w:hAnsi="宋体"/>
          <w:b/>
          <w:sz w:val="21"/>
          <w:szCs w:val="21"/>
        </w:rPr>
        <w:t xml:space="preserve">、响应单位需执行《国务院办公厅关于在政府采购中实施本国产品标准及相关政策的通知》国办发〔2025〕34号发文。</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十、其他</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1、投标单位须对所要采购的全部内容进行报价，只投其中部分内容者，其投标文件将被拒绝，招标单位除支付本次采购项目的成交金额外不再承担其他任何费用。</w:t>
      </w:r>
      <w:r/>
    </w:p>
    <w:p>
      <w:pPr>
        <w:ind w:left="0" w:firstLine="420"/>
        <w:jc w:val="left"/>
        <w:spacing w:line="360" w:lineRule="auto"/>
        <w:widowControl w:val="off"/>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、中标</w:t>
      </w:r>
      <w:r>
        <w:rPr>
          <w:rFonts w:ascii="宋体" w:hAnsi="宋体" w:cs="Times New Roman"/>
          <w:sz w:val="21"/>
          <w:szCs w:val="21"/>
        </w:rPr>
        <w:t xml:space="preserve">服务费：</w:t>
      </w:r>
      <w:r>
        <w:rPr>
          <w:rFonts w:hint="eastAsia" w:ascii="宋体" w:hAnsi="宋体" w:cs="Times New Roman"/>
          <w:sz w:val="21"/>
          <w:szCs w:val="21"/>
        </w:rPr>
        <w:t xml:space="preserve">本次招标项目中标服务费由中标人支付，</w:t>
      </w:r>
      <w:r>
        <w:rPr>
          <w:rFonts w:hint="eastAsia" w:ascii="宋体" w:hAnsi="宋体" w:cs="Times New Roman"/>
          <w:b/>
          <w:sz w:val="21"/>
          <w:szCs w:val="21"/>
        </w:rPr>
        <w:t xml:space="preserve">本项目代理费金额为19400元</w:t>
      </w:r>
      <w:r>
        <w:rPr>
          <w:rFonts w:hint="eastAsia" w:ascii="宋体" w:hAnsi="宋体" w:cs="Times New Roman"/>
          <w:sz w:val="21"/>
          <w:szCs w:val="21"/>
        </w:rPr>
        <w:t xml:space="preserve">，</w:t>
      </w:r>
      <w:r>
        <w:rPr>
          <w:rFonts w:hint="eastAsia" w:ascii="宋体" w:hAnsi="宋体" w:cs="Times New Roman"/>
          <w:b/>
          <w:bCs/>
          <w:sz w:val="21"/>
          <w:szCs w:val="21"/>
        </w:rPr>
        <w:t xml:space="preserve">供应商所投报价应当包含该项目代理服务费</w:t>
      </w:r>
      <w:r>
        <w:rPr>
          <w:rFonts w:hint="eastAsia" w:ascii="宋体" w:hAnsi="宋体" w:cs="Times New Roman"/>
          <w:sz w:val="21"/>
          <w:szCs w:val="21"/>
        </w:rPr>
        <w:t xml:space="preserve">，该费用应在领取中标通知书时付清。具体收费以如下比例按差额定率累进法进行计算：</w:t>
      </w:r>
      <w:r/>
    </w:p>
    <w:p>
      <w:pPr>
        <w:ind w:left="0" w:firstLine="42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收费标准：预算金额100万以下费率为预算金额的1.5%；</w:t>
      </w:r>
      <w:r/>
    </w:p>
    <w:p>
      <w:pPr>
        <w:ind w:left="0" w:firstLine="42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预算金额100－500万费率为预算金额的1.1%。</w:t>
      </w:r>
      <w:r/>
    </w:p>
    <w:p>
      <w:pPr>
        <w:ind w:left="0" w:firstLine="42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预算金额500－1000万费率为预算金额的0.8%。</w:t>
      </w:r>
      <w:r/>
    </w:p>
    <w:p>
      <w:pPr>
        <w:ind w:left="0" w:firstLine="42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账 户 名：苏州公正建设咨询房地产评估有限公司坤润分公司</w:t>
      </w:r>
      <w:r/>
    </w:p>
    <w:p>
      <w:pPr>
        <w:ind w:left="0" w:firstLine="42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开户银行：中国农业银行股份有限公司苏州元和支行</w:t>
      </w:r>
      <w:r/>
    </w:p>
    <w:p>
      <w:pPr>
        <w:ind w:left="0" w:firstLine="42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账    号：10541101040040455</w:t>
      </w:r>
      <w:r/>
    </w:p>
    <w:p>
      <w:pPr>
        <w:ind w:left="0" w:firstLine="420"/>
        <w:spacing w:line="360" w:lineRule="auto"/>
        <w:tabs>
          <w:tab w:val="left" w:pos="567" w:leader="none"/>
        </w:tabs>
        <w:rPr>
          <w:rFonts w:ascii="宋体" w:hAnsi="宋体"/>
          <w:b/>
          <w:sz w:val="21"/>
          <w:szCs w:val="21"/>
        </w:rPr>
      </w:pPr>
      <w:r>
        <w:rPr>
          <w:rFonts w:hint="eastAsia" w:ascii="宋体" w:hAnsi="宋体"/>
          <w:b/>
          <w:sz w:val="21"/>
          <w:szCs w:val="21"/>
        </w:rPr>
        <w:t xml:space="preserve">十一、</w:t>
      </w:r>
      <w:r>
        <w:rPr>
          <w:rFonts w:ascii="宋体" w:hAnsi="宋体"/>
          <w:b/>
          <w:sz w:val="21"/>
          <w:szCs w:val="21"/>
        </w:rPr>
        <w:t xml:space="preserve">凡涉及招标文件的补充说明和修改，均以网上发布的通知为准。</w:t>
      </w:r>
      <w:r/>
    </w:p>
    <w:p>
      <w:pPr>
        <w:pStyle w:val="866"/>
        <w:ind w:left="0" w:firstLine="0"/>
        <w:jc w:val="center"/>
        <w:spacing w:line="240" w:lineRule="auto"/>
        <w:rPr>
          <w:rFonts w:ascii="宋体" w:hAnsi="宋体"/>
          <w:b/>
          <w:sz w:val="44"/>
          <w:szCs w:val="22"/>
        </w:rPr>
      </w:pPr>
      <w:r/>
      <w:bookmarkStart w:id="95" w:name="_Toc5111"/>
      <w:r/>
      <w:bookmarkStart w:id="96" w:name="_Toc11789"/>
      <w:r/>
      <w:bookmarkStart w:id="97" w:name="_Hlk55741158"/>
      <w:r>
        <w:rPr>
          <w:rFonts w:hint="eastAsia" w:ascii="宋体" w:hAnsi="宋体"/>
          <w:b/>
          <w:sz w:val="44"/>
          <w:szCs w:val="22"/>
        </w:rPr>
        <w:br w:type="page" w:clear="all"/>
      </w:r>
      <w:bookmarkStart w:id="98" w:name="_Toc159146131"/>
      <w:r>
        <w:rPr>
          <w:rFonts w:hint="eastAsia" w:ascii="宋体" w:hAnsi="宋体"/>
          <w:b/>
          <w:sz w:val="44"/>
          <w:szCs w:val="22"/>
        </w:rPr>
        <w:t xml:space="preserve">第五章 </w:t>
      </w:r>
      <w:bookmarkStart w:id="99" w:name="合同的特殊条款"/>
      <w:r/>
      <w:bookmarkEnd w:id="99"/>
      <w:r>
        <w:rPr>
          <w:rFonts w:hint="eastAsia" w:ascii="宋体" w:hAnsi="宋体"/>
          <w:b/>
          <w:sz w:val="44"/>
          <w:szCs w:val="22"/>
        </w:rPr>
        <w:t xml:space="preserve">合同及主要条款</w:t>
      </w:r>
      <w:bookmarkEnd w:id="95"/>
      <w:r/>
      <w:bookmarkEnd w:id="96"/>
      <w:r/>
      <w:bookmarkEnd w:id="98"/>
      <w:r/>
      <w:r/>
    </w:p>
    <w:p>
      <w:pPr>
        <w:ind w:left="0" w:firstLine="480"/>
        <w:spacing w:line="360" w:lineRule="auto"/>
        <w:widowControl w:val="off"/>
        <w:rPr>
          <w:rFonts w:ascii="宋体" w:hAnsi="宋体" w:cs="Times New Roman"/>
          <w:bCs/>
          <w:sz w:val="21"/>
          <w:szCs w:val="21"/>
        </w:rPr>
      </w:pPr>
      <w:r/>
      <w:bookmarkStart w:id="100" w:name="_Toc57376410"/>
      <w:r/>
      <w:bookmarkStart w:id="101" w:name="_Toc27667"/>
      <w:r/>
      <w:bookmarkStart w:id="102" w:name="_Toc8564"/>
      <w:r/>
      <w:bookmarkEnd w:id="97"/>
      <w:r>
        <w:rPr>
          <w:rFonts w:hint="eastAsia" w:ascii="宋体" w:hAnsi="宋体" w:cs="Times New Roman"/>
          <w:bCs/>
          <w:sz w:val="21"/>
          <w:szCs w:val="21"/>
        </w:rPr>
        <w:t xml:space="preserve">甲方（需方）： </w:t>
      </w:r>
      <w:r/>
    </w:p>
    <w:p>
      <w:pPr>
        <w:ind w:left="0" w:firstLine="48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地址：</w:t>
      </w:r>
      <w:r/>
    </w:p>
    <w:p>
      <w:pPr>
        <w:ind w:left="0" w:firstLine="48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联系人：</w:t>
      </w:r>
      <w:r/>
    </w:p>
    <w:p>
      <w:pPr>
        <w:ind w:left="0" w:firstLine="48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联系电话：</w:t>
      </w:r>
      <w:r/>
    </w:p>
    <w:p>
      <w:pPr>
        <w:ind w:left="0" w:firstLine="48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 </w:t>
      </w:r>
      <w:r/>
    </w:p>
    <w:p>
      <w:pPr>
        <w:ind w:left="0" w:firstLine="48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乙方（供方）：</w:t>
      </w:r>
      <w:r/>
    </w:p>
    <w:p>
      <w:pPr>
        <w:ind w:left="0" w:firstLine="48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地址：</w:t>
      </w:r>
      <w:r/>
    </w:p>
    <w:p>
      <w:pPr>
        <w:ind w:left="0" w:firstLine="48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联系人：</w:t>
      </w:r>
      <w:r/>
    </w:p>
    <w:p>
      <w:pPr>
        <w:ind w:left="0" w:firstLine="48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联系电话：</w:t>
      </w:r>
      <w:r/>
    </w:p>
    <w:p>
      <w:pPr>
        <w:ind w:left="0" w:firstLine="7140"/>
        <w:spacing w:line="360" w:lineRule="auto"/>
        <w:widowControl w:val="off"/>
        <w:rPr>
          <w:rFonts w:ascii="宋体" w:hAnsi="宋体"/>
        </w:rPr>
      </w:pPr>
      <w:r>
        <w:rPr>
          <w:rFonts w:hint="eastAsia" w:ascii="宋体" w:hAnsi="宋体"/>
          <w:sz w:val="21"/>
          <w:szCs w:val="21"/>
        </w:rPr>
        <w:t xml:space="preserve">签订地点：</w:t>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根据采购编号</w:t>
      </w:r>
      <w:r>
        <w:rPr>
          <w:rFonts w:ascii="宋体" w:hAnsi="宋体"/>
          <w:sz w:val="21"/>
          <w:szCs w:val="21"/>
          <w:u w:val="single"/>
        </w:rPr>
        <w:t xml:space="preserve">                    </w:t>
      </w:r>
      <w:r>
        <w:rPr>
          <w:rFonts w:hint="eastAsia" w:ascii="宋体" w:hAnsi="宋体"/>
          <w:sz w:val="21"/>
          <w:szCs w:val="21"/>
        </w:rPr>
        <w:t xml:space="preserve">号招标文件及中标通知书，甲乙双方就此次中标的</w:t>
      </w:r>
      <w:r>
        <w:rPr>
          <w:rFonts w:hint="eastAsia" w:ascii="宋体" w:hAnsi="宋体" w:cs="Times New Roman"/>
          <w:sz w:val="21"/>
          <w:u w:val="single"/>
        </w:rPr>
        <w:t xml:space="preserve">元和街道卫星消防站消防装备及车辆采购</w:t>
      </w:r>
      <w:r>
        <w:rPr>
          <w:rFonts w:hint="eastAsia" w:ascii="宋体" w:hAnsi="宋体"/>
          <w:sz w:val="21"/>
          <w:szCs w:val="21"/>
        </w:rPr>
        <w:t xml:space="preserve">事宜，签订本合同书。</w:t>
      </w:r>
      <w:r/>
    </w:p>
    <w:p>
      <w:pPr>
        <w:numPr>
          <w:ilvl w:val="0"/>
          <w:numId w:val="4"/>
        </w:numPr>
        <w:ind w:left="540" w:hanging="540"/>
        <w:spacing w:line="400" w:lineRule="exact"/>
        <w:widowControl w:val="off"/>
        <w:tabs>
          <w:tab w:val="left" w:pos="540" w:leader="none"/>
        </w:tabs>
        <w:rPr>
          <w:rFonts w:ascii="宋体" w:hAnsi="宋体"/>
          <w:b/>
          <w:sz w:val="21"/>
          <w:szCs w:val="21"/>
        </w:rPr>
      </w:pPr>
      <w:r>
        <w:rPr>
          <w:rFonts w:hint="eastAsia" w:ascii="宋体" w:hAnsi="宋体"/>
          <w:b/>
          <w:sz w:val="21"/>
          <w:szCs w:val="21"/>
        </w:rPr>
        <w:t xml:space="preserve">合同标的物和合同价格</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47"/>
        <w:gridCol w:w="1701"/>
        <w:gridCol w:w="2390"/>
        <w:gridCol w:w="1134"/>
        <w:gridCol w:w="1134"/>
        <w:gridCol w:w="1134"/>
        <w:gridCol w:w="1134"/>
      </w:tblGrid>
      <w:tr>
        <w:trPr>
          <w:jc w:val="center"/>
          <w:trHeight w:val="652"/>
        </w:trPr>
        <w:tc>
          <w:tcPr>
            <w:tcW w:w="1047"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序号</w:t>
            </w:r>
            <w:r/>
          </w:p>
        </w:tc>
        <w:tc>
          <w:tcPr>
            <w:tcW w:w="170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名称</w:t>
            </w:r>
            <w:r/>
          </w:p>
        </w:tc>
        <w:tc>
          <w:tcPr>
            <w:tcW w:w="239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品牌、规格、型号</w:t>
            </w:r>
            <w:r/>
          </w:p>
        </w:tc>
        <w:tc>
          <w:tcPr>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单位</w:t>
            </w:r>
            <w:r/>
          </w:p>
        </w:tc>
        <w:tc>
          <w:tcPr>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数量</w:t>
            </w:r>
            <w:r/>
          </w:p>
        </w:tc>
        <w:tc>
          <w:tcPr>
            <w:tcW w:w="113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单价</w:t>
            </w:r>
            <w:r/>
          </w:p>
        </w:tc>
        <w:tc>
          <w:tcPr>
            <w:tcW w:w="113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合价</w:t>
            </w:r>
            <w:r/>
          </w:p>
        </w:tc>
      </w:tr>
      <w:tr>
        <w:trPr>
          <w:jc w:val="center"/>
          <w:trHeight w:val="494"/>
        </w:trPr>
        <w:tc>
          <w:tcPr>
            <w:tcW w:w="1047"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W w:w="170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239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1134" w:type="dxa"/>
            <w:vAlign w:val="center"/>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134" w:type="dxa"/>
            <w:vAlign w:val="center"/>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Height w:val="494"/>
        </w:trPr>
        <w:tc>
          <w:tcPr>
            <w:tcW w:w="1047"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W w:w="170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239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1134" w:type="dxa"/>
            <w:vAlign w:val="center"/>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134" w:type="dxa"/>
            <w:vAlign w:val="center"/>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Height w:val="494"/>
        </w:trPr>
        <w:tc>
          <w:tcPr>
            <w:gridSpan w:val="7"/>
            <w:tcW w:w="9674"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合同价格（大写）人民币</w:t>
            </w:r>
            <w:r>
              <w:rPr>
                <w:rFonts w:hint="eastAsia" w:ascii="宋体" w:hAnsi="宋体"/>
                <w:sz w:val="21"/>
                <w:szCs w:val="21"/>
                <w:u w:val="single"/>
              </w:rPr>
              <w:t xml:space="preserve">                  </w:t>
            </w:r>
            <w:r>
              <w:rPr>
                <w:rFonts w:hint="eastAsia" w:ascii="宋体" w:hAnsi="宋体"/>
                <w:sz w:val="21"/>
                <w:szCs w:val="21"/>
              </w:rPr>
              <w:t xml:space="preserve">圆整；   （￥</w:t>
            </w:r>
            <w:r>
              <w:rPr>
                <w:rFonts w:hint="eastAsia" w:ascii="宋体" w:hAnsi="宋体"/>
                <w:sz w:val="21"/>
                <w:szCs w:val="21"/>
                <w:u w:val="single"/>
              </w:rPr>
              <w:t xml:space="preserve">            </w:t>
            </w:r>
            <w:r>
              <w:rPr>
                <w:rFonts w:hint="eastAsia" w:ascii="宋体" w:hAnsi="宋体"/>
                <w:sz w:val="21"/>
                <w:szCs w:val="21"/>
              </w:rPr>
              <w:t xml:space="preserve">.00）</w:t>
            </w:r>
            <w:r/>
          </w:p>
        </w:tc>
      </w:tr>
    </w:tbl>
    <w:p>
      <w:pPr>
        <w:numPr>
          <w:ilvl w:val="1"/>
          <w:numId w:val="4"/>
        </w:numPr>
        <w:ind w:left="540" w:hanging="540"/>
        <w:spacing w:line="400" w:lineRule="atLeast"/>
        <w:widowControl w:val="off"/>
        <w:tabs>
          <w:tab w:val="left" w:pos="540" w:leader="none"/>
        </w:tabs>
        <w:rPr>
          <w:rFonts w:ascii="宋体" w:hAnsi="宋体"/>
          <w:sz w:val="21"/>
          <w:szCs w:val="21"/>
        </w:rPr>
      </w:pPr>
      <w:r>
        <w:rPr>
          <w:rFonts w:hint="eastAsia" w:ascii="宋体" w:hAnsi="宋体"/>
          <w:sz w:val="21"/>
          <w:szCs w:val="21"/>
        </w:rPr>
        <w:t xml:space="preserve">本合同价格包括为完成本项目服务工作所需的各种工作经费、投入的人力、物力各项费用、研究费、咨询费、资料费、调查费、</w:t>
      </w:r>
      <w:r>
        <w:rPr>
          <w:rFonts w:hint="eastAsia" w:ascii="宋体" w:hAnsi="宋体"/>
          <w:b/>
          <w:sz w:val="21"/>
          <w:szCs w:val="21"/>
        </w:rPr>
        <w:t xml:space="preserve">代理服务费、</w:t>
      </w:r>
      <w:r>
        <w:rPr>
          <w:rFonts w:hint="eastAsia" w:ascii="宋体" w:hAnsi="宋体"/>
          <w:sz w:val="21"/>
          <w:szCs w:val="21"/>
        </w:rPr>
        <w:t xml:space="preserve">检验检测费、后续服务费、交通、食宿、利润、税金、验收、政策性文件规定及合同包含的所有风险、责任等完成本项目的各项应有费用。</w:t>
      </w:r>
      <w:r/>
    </w:p>
    <w:p>
      <w:pPr>
        <w:numPr>
          <w:ilvl w:val="1"/>
          <w:numId w:val="4"/>
        </w:numPr>
        <w:ind w:left="540" w:hanging="540"/>
        <w:spacing w:line="400" w:lineRule="atLeast"/>
        <w:widowControl w:val="off"/>
        <w:tabs>
          <w:tab w:val="left" w:pos="540" w:leader="none"/>
        </w:tabs>
        <w:rPr>
          <w:rFonts w:ascii="宋体" w:hAnsi="宋体"/>
          <w:sz w:val="21"/>
          <w:szCs w:val="21"/>
        </w:rPr>
      </w:pPr>
      <w:r>
        <w:rPr>
          <w:rFonts w:hint="eastAsia" w:ascii="宋体" w:hAnsi="宋体"/>
          <w:sz w:val="21"/>
          <w:szCs w:val="21"/>
        </w:rPr>
        <w:t xml:space="preserve">根据现行税法对甲方征收的与本合同有关的一切税费均由甲方承担；根据现行税法对乙方征收的与本合同有关的一切税费均由乙方承担。</w:t>
      </w:r>
      <w:r/>
    </w:p>
    <w:p>
      <w:pPr>
        <w:numPr>
          <w:ilvl w:val="0"/>
          <w:numId w:val="4"/>
        </w:numPr>
        <w:ind w:left="540" w:hanging="540"/>
        <w:spacing w:line="400" w:lineRule="atLeast"/>
        <w:widowControl w:val="off"/>
        <w:tabs>
          <w:tab w:val="left" w:pos="540" w:leader="none"/>
        </w:tabs>
        <w:rPr>
          <w:rFonts w:ascii="宋体" w:hAnsi="宋体"/>
          <w:b/>
          <w:sz w:val="21"/>
          <w:szCs w:val="21"/>
        </w:rPr>
      </w:pPr>
      <w:r>
        <w:rPr>
          <w:rFonts w:hint="eastAsia" w:ascii="宋体" w:hAnsi="宋体"/>
          <w:b/>
          <w:sz w:val="21"/>
          <w:szCs w:val="21"/>
        </w:rPr>
        <w:t xml:space="preserve">标的物交付</w:t>
      </w:r>
      <w:r/>
    </w:p>
    <w:p>
      <w:pPr>
        <w:numPr>
          <w:ilvl w:val="1"/>
          <w:numId w:val="4"/>
        </w:numPr>
        <w:spacing w:line="400" w:lineRule="atLeast"/>
        <w:widowControl w:val="off"/>
        <w:tabs>
          <w:tab w:val="left" w:pos="540" w:leader="none"/>
        </w:tabs>
        <w:rPr>
          <w:rFonts w:ascii="宋体" w:hAnsi="宋体"/>
          <w:sz w:val="21"/>
          <w:szCs w:val="21"/>
        </w:rPr>
      </w:pPr>
      <w:r>
        <w:rPr>
          <w:rFonts w:hint="eastAsia" w:ascii="宋体" w:hAnsi="宋体" w:cs="Times New Roman"/>
          <w:sz w:val="21"/>
          <w:szCs w:val="21"/>
        </w:rPr>
        <w:t xml:space="preserve">供货期限：自合同签订之日起三个月内完成。</w:t>
      </w:r>
      <w:r/>
    </w:p>
    <w:p>
      <w:pPr>
        <w:numPr>
          <w:ilvl w:val="1"/>
          <w:numId w:val="4"/>
        </w:numPr>
        <w:ind w:left="540" w:hanging="540"/>
        <w:spacing w:line="400" w:lineRule="atLeast"/>
        <w:widowControl w:val="off"/>
        <w:tabs>
          <w:tab w:val="left" w:pos="540" w:leader="none"/>
        </w:tabs>
        <w:rPr>
          <w:rFonts w:ascii="宋体" w:hAnsi="宋体"/>
          <w:sz w:val="21"/>
          <w:szCs w:val="21"/>
        </w:rPr>
      </w:pPr>
      <w:r>
        <w:rPr>
          <w:rFonts w:hint="eastAsia" w:ascii="宋体" w:hAnsi="宋体"/>
          <w:sz w:val="21"/>
          <w:szCs w:val="21"/>
        </w:rPr>
        <w:t xml:space="preserve">交付地点：甲方指定地点。</w:t>
      </w:r>
      <w:r/>
    </w:p>
    <w:p>
      <w:pPr>
        <w:numPr>
          <w:ilvl w:val="1"/>
          <w:numId w:val="4"/>
        </w:numPr>
        <w:ind w:left="540" w:hanging="540"/>
        <w:spacing w:line="400" w:lineRule="atLeast"/>
        <w:widowControl w:val="off"/>
        <w:tabs>
          <w:tab w:val="left" w:pos="540" w:leader="none"/>
        </w:tabs>
        <w:rPr>
          <w:rFonts w:ascii="宋体" w:hAnsi="宋体"/>
          <w:sz w:val="21"/>
          <w:szCs w:val="21"/>
        </w:rPr>
      </w:pPr>
      <w:r>
        <w:rPr>
          <w:rFonts w:hint="eastAsia" w:ascii="宋体" w:hAnsi="宋体"/>
          <w:sz w:val="21"/>
          <w:szCs w:val="21"/>
        </w:rPr>
        <w:t xml:space="preserve">标的物的所有权自标的物交付时转移。</w:t>
      </w:r>
      <w:r/>
    </w:p>
    <w:p>
      <w:pPr>
        <w:numPr>
          <w:ilvl w:val="1"/>
          <w:numId w:val="4"/>
        </w:numPr>
        <w:ind w:left="540" w:hanging="540"/>
        <w:spacing w:line="400" w:lineRule="atLeast"/>
        <w:widowControl w:val="off"/>
        <w:tabs>
          <w:tab w:val="left" w:pos="540" w:leader="none"/>
        </w:tabs>
        <w:rPr>
          <w:rFonts w:ascii="宋体" w:hAnsi="宋体"/>
          <w:sz w:val="21"/>
          <w:szCs w:val="21"/>
        </w:rPr>
      </w:pPr>
      <w:r>
        <w:rPr>
          <w:rFonts w:hint="eastAsia" w:ascii="宋体" w:hAnsi="宋体"/>
          <w:sz w:val="21"/>
          <w:szCs w:val="21"/>
        </w:rPr>
        <w:t xml:space="preserve">包装运输：乙方应当按照约定的包装方式交付标的物。对包装方式没有约定或者约定不明确的，应当按照双方补充协议约定的方式包装，或者按照通用的方式包装，没有通用方式的，应当采取足以保护标的物的包装方式。</w:t>
      </w:r>
      <w:r/>
    </w:p>
    <w:p>
      <w:pPr>
        <w:numPr>
          <w:ilvl w:val="0"/>
          <w:numId w:val="4"/>
        </w:numPr>
        <w:ind w:left="540" w:hanging="540"/>
        <w:spacing w:line="400" w:lineRule="atLeast"/>
        <w:widowControl w:val="off"/>
        <w:tabs>
          <w:tab w:val="left" w:pos="540" w:leader="none"/>
        </w:tabs>
        <w:rPr>
          <w:rFonts w:ascii="宋体" w:hAnsi="宋体"/>
          <w:b/>
          <w:sz w:val="21"/>
          <w:szCs w:val="21"/>
        </w:rPr>
      </w:pPr>
      <w:r>
        <w:rPr>
          <w:rFonts w:hint="eastAsia" w:ascii="宋体" w:hAnsi="宋体"/>
          <w:b/>
          <w:sz w:val="21"/>
          <w:szCs w:val="21"/>
        </w:rPr>
        <w:t xml:space="preserve">技术规范</w:t>
      </w:r>
      <w:r/>
    </w:p>
    <w:p>
      <w:pPr>
        <w:numPr>
          <w:ilvl w:val="1"/>
          <w:numId w:val="4"/>
        </w:numPr>
        <w:ind w:left="540" w:hanging="540"/>
        <w:spacing w:line="400" w:lineRule="atLeast"/>
        <w:widowControl w:val="off"/>
        <w:tabs>
          <w:tab w:val="left" w:pos="540" w:leader="none"/>
        </w:tabs>
        <w:rPr>
          <w:rFonts w:ascii="宋体" w:hAnsi="宋体"/>
          <w:iCs/>
          <w:sz w:val="21"/>
          <w:szCs w:val="21"/>
          <w:u w:val="single"/>
        </w:rPr>
      </w:pPr>
      <w:r>
        <w:rPr>
          <w:rFonts w:hint="eastAsia" w:ascii="宋体" w:hAnsi="宋体"/>
          <w:sz w:val="21"/>
          <w:szCs w:val="21"/>
        </w:rPr>
        <w:t xml:space="preserve">所提供货物的生产、制造、安装等各项技术标准，应当符合国家（强制性）标准、各项规范要求；国</w:t>
      </w:r>
      <w:r>
        <w:rPr>
          <w:rFonts w:hint="eastAsia" w:ascii="宋体" w:hAnsi="宋体"/>
          <w:sz w:val="21"/>
          <w:szCs w:val="21"/>
        </w:rPr>
        <w:t xml:space="preserve">家没有相应标准、规范的，可使用行业标准、规定；非标设备按招标约定的技术要求和规范。</w:t>
      </w:r>
      <w:r/>
    </w:p>
    <w:p>
      <w:pPr>
        <w:numPr>
          <w:ilvl w:val="0"/>
          <w:numId w:val="4"/>
        </w:numPr>
        <w:ind w:left="540" w:hanging="540"/>
        <w:spacing w:line="400" w:lineRule="atLeast"/>
        <w:widowControl w:val="off"/>
        <w:tabs>
          <w:tab w:val="left" w:pos="540" w:leader="none"/>
        </w:tabs>
        <w:rPr>
          <w:rFonts w:ascii="宋体" w:hAnsi="宋体"/>
          <w:b/>
          <w:sz w:val="21"/>
          <w:szCs w:val="21"/>
        </w:rPr>
      </w:pPr>
      <w:r>
        <w:rPr>
          <w:rFonts w:hint="eastAsia" w:ascii="宋体" w:hAnsi="宋体"/>
          <w:b/>
          <w:sz w:val="21"/>
          <w:szCs w:val="21"/>
        </w:rPr>
        <w:t xml:space="preserve">质量要求</w:t>
      </w:r>
      <w:r/>
    </w:p>
    <w:p>
      <w:pPr>
        <w:numPr>
          <w:ilvl w:val="1"/>
          <w:numId w:val="4"/>
        </w:numPr>
        <w:spacing w:line="400" w:lineRule="atLeast"/>
        <w:widowControl w:val="off"/>
        <w:tabs>
          <w:tab w:val="left" w:pos="540" w:leader="none"/>
        </w:tabs>
        <w:rPr>
          <w:rFonts w:ascii="宋体" w:hAnsi="宋体"/>
          <w:sz w:val="21"/>
          <w:szCs w:val="21"/>
        </w:rPr>
      </w:pPr>
      <w:r>
        <w:rPr>
          <w:rFonts w:hint="eastAsia" w:ascii="宋体" w:hAnsi="宋体"/>
          <w:sz w:val="21"/>
          <w:szCs w:val="21"/>
        </w:rPr>
        <w:t xml:space="preserve">乙方应保证所供标的物是全新的，未使用过的、性能良好、符合环保的、 原装、原产、合法、正规途径的货物，并且是非长期积压的库存商品，完全符合采购设备规定的质量、规格和性能的要求，严禁提供假冒、伪劣或非正规途径之产品。产品配置必须原厂出厂时全部自带，所有设备外包装箱不得自行拆封，包装箱上所有标签等不得涂改或撕毁，除有特殊要求外，其余均为标准配置，否则甲方有权拒绝验收。乙方应保证其提供的标的物在正确安装、正常使用和保养条件下，在其标称的使用寿命期内应具有满意的性能。</w:t>
      </w:r>
      <w:r/>
    </w:p>
    <w:p>
      <w:pPr>
        <w:numPr>
          <w:ilvl w:val="1"/>
          <w:numId w:val="4"/>
        </w:numPr>
        <w:ind w:left="540" w:hanging="540"/>
        <w:spacing w:line="400" w:lineRule="atLeast"/>
        <w:widowControl w:val="off"/>
        <w:tabs>
          <w:tab w:val="left" w:pos="540" w:leader="none"/>
        </w:tabs>
        <w:rPr>
          <w:rFonts w:ascii="宋体" w:hAnsi="宋体"/>
          <w:sz w:val="21"/>
          <w:szCs w:val="21"/>
        </w:rPr>
      </w:pPr>
      <w:r>
        <w:rPr>
          <w:rFonts w:hint="eastAsia" w:ascii="宋体" w:hAnsi="宋体"/>
          <w:sz w:val="21"/>
          <w:szCs w:val="21"/>
        </w:rPr>
        <w:t xml:space="preserve">乙方应保证所提供货物涉及到的知识产权是合法取得，并享有完整的知识产权，不会因为甲方的使用而被责令停止使用、追偿或要求赔偿损失，如出现此情况，一切经济和法律责任均由乙方承担。乙方应按招标书的有关规定提供合格货物及服务，质量符合国际或国家通用标准。</w:t>
      </w:r>
      <w:r/>
    </w:p>
    <w:p>
      <w:pPr>
        <w:numPr>
          <w:ilvl w:val="0"/>
          <w:numId w:val="4"/>
        </w:numPr>
        <w:ind w:left="540" w:hanging="540"/>
        <w:spacing w:line="400" w:lineRule="atLeast"/>
        <w:widowControl w:val="off"/>
        <w:tabs>
          <w:tab w:val="left" w:pos="540" w:leader="none"/>
        </w:tabs>
        <w:rPr>
          <w:rFonts w:ascii="宋体" w:hAnsi="宋体"/>
          <w:b/>
          <w:sz w:val="21"/>
          <w:szCs w:val="21"/>
        </w:rPr>
      </w:pPr>
      <w:r>
        <w:rPr>
          <w:rFonts w:hint="eastAsia" w:ascii="宋体" w:hAnsi="宋体"/>
          <w:b/>
          <w:sz w:val="21"/>
          <w:szCs w:val="21"/>
        </w:rPr>
        <w:t xml:space="preserve">保密</w:t>
      </w:r>
      <w:r/>
    </w:p>
    <w:p>
      <w:pPr>
        <w:ind w:left="567"/>
        <w:spacing w:line="400" w:lineRule="atLeast"/>
        <w:widowControl w:val="off"/>
        <w:rPr>
          <w:rFonts w:ascii="宋体" w:hAnsi="宋体" w:cs="Times New Roman"/>
          <w:sz w:val="21"/>
          <w:szCs w:val="21"/>
        </w:rPr>
      </w:pPr>
      <w:r>
        <w:rPr>
          <w:rFonts w:hint="eastAsia" w:ascii="宋体" w:hAnsi="宋体" w:cs="Times New Roman"/>
          <w:sz w:val="21"/>
          <w:szCs w:val="21"/>
        </w:rPr>
        <w:t xml:space="preserve">乙方及其专业人员应当遵守保密原则，对因订立和执行本合同过程中所了解或知悉或获取的对方的一切信息、国家秘密、商业秘密和个人隐私予以保密，在本合同服务期内及本合同解除或终止后均不得向甲方以外的第三方提供保密信息，除非得到甲方的同意或者属于法律、行政法规允许的范围。</w:t>
      </w:r>
      <w:r/>
    </w:p>
    <w:p>
      <w:pPr>
        <w:numPr>
          <w:ilvl w:val="0"/>
          <w:numId w:val="4"/>
        </w:numPr>
        <w:ind w:left="540" w:hanging="540"/>
        <w:spacing w:line="400" w:lineRule="atLeast"/>
        <w:widowControl w:val="off"/>
        <w:tabs>
          <w:tab w:val="left" w:pos="540" w:leader="none"/>
        </w:tabs>
        <w:rPr>
          <w:rFonts w:ascii="宋体" w:hAnsi="宋体"/>
          <w:b/>
          <w:sz w:val="21"/>
          <w:szCs w:val="21"/>
        </w:rPr>
      </w:pPr>
      <w:r>
        <w:rPr>
          <w:rFonts w:hint="eastAsia" w:ascii="宋体" w:hAnsi="宋体"/>
          <w:b/>
          <w:sz w:val="21"/>
          <w:szCs w:val="21"/>
        </w:rPr>
        <w:t xml:space="preserve">验收</w:t>
      </w:r>
      <w:r/>
    </w:p>
    <w:p>
      <w:pPr>
        <w:numPr>
          <w:ilvl w:val="1"/>
          <w:numId w:val="4"/>
        </w:numPr>
        <w:ind w:left="540" w:hanging="540"/>
        <w:spacing w:line="440" w:lineRule="exact"/>
        <w:widowControl w:val="off"/>
        <w:tabs>
          <w:tab w:val="left" w:pos="540" w:leader="none"/>
        </w:tabs>
        <w:rPr>
          <w:rFonts w:ascii="宋体" w:hAnsi="宋体"/>
          <w:sz w:val="21"/>
          <w:szCs w:val="21"/>
        </w:rPr>
      </w:pPr>
      <w:r>
        <w:rPr>
          <w:rFonts w:hint="eastAsia" w:ascii="宋体" w:hAnsi="宋体"/>
          <w:sz w:val="21"/>
          <w:szCs w:val="21"/>
        </w:rPr>
        <w:t xml:space="preserve">验收标准：乙方提供的货物必须符合我国最新颁布的与之相关的技术规范与标准，同时必须满足招标文件中所列规格、具体配置、技术条件及功能要求和乙方承诺的其它指标及其他内容。</w:t>
      </w:r>
      <w:r/>
    </w:p>
    <w:p>
      <w:pPr>
        <w:numPr>
          <w:ilvl w:val="1"/>
          <w:numId w:val="4"/>
        </w:numPr>
        <w:ind w:left="540" w:hanging="540"/>
        <w:spacing w:line="440" w:lineRule="exact"/>
        <w:widowControl w:val="off"/>
        <w:tabs>
          <w:tab w:val="left" w:pos="540" w:leader="none"/>
        </w:tabs>
        <w:rPr>
          <w:rFonts w:ascii="宋体" w:hAnsi="宋体"/>
          <w:sz w:val="21"/>
          <w:szCs w:val="21"/>
        </w:rPr>
      </w:pPr>
      <w:r>
        <w:rPr>
          <w:rFonts w:hint="eastAsia" w:ascii="宋体" w:hAnsi="宋体"/>
          <w:sz w:val="21"/>
          <w:szCs w:val="21"/>
        </w:rPr>
        <w:t xml:space="preserve">根据甲方验收结果，或者在质量保证期内，如果标的物的数量、质量或规格与合同不符或证实标的物是具有缺陷的，包括潜在缺陷或使用不符合要求的材料等，甲方应尽快以书面形式通知乙方并提出索赔。</w:t>
      </w:r>
      <w:r/>
    </w:p>
    <w:p>
      <w:pPr>
        <w:numPr>
          <w:ilvl w:val="1"/>
          <w:numId w:val="4"/>
        </w:numPr>
        <w:ind w:left="540" w:hanging="540"/>
        <w:spacing w:line="400" w:lineRule="atLeast"/>
        <w:widowControl w:val="off"/>
        <w:tabs>
          <w:tab w:val="left" w:pos="540" w:leader="none"/>
        </w:tabs>
        <w:rPr>
          <w:rFonts w:ascii="宋体" w:hAnsi="宋体"/>
          <w:sz w:val="21"/>
          <w:szCs w:val="21"/>
        </w:rPr>
      </w:pPr>
      <w:r>
        <w:rPr>
          <w:rFonts w:hint="eastAsia" w:ascii="宋体" w:hAnsi="宋体"/>
          <w:sz w:val="21"/>
          <w:szCs w:val="21"/>
        </w:rPr>
        <w:t xml:space="preserve">在交货时必须原包装现场拆封验收，由甲方以及乙方共同对标的物的质量、规格、性能、数量、外观、随机备件备品、装箱单、随机资料、包装等进行详细而全面的检验，并出具一份检验合格证明，合格检验证明作为甲方验收的依据，但不能作为有关标的物质量、规格、数量或性能的最终检验结果。</w:t>
      </w:r>
      <w:r/>
    </w:p>
    <w:p>
      <w:pPr>
        <w:numPr>
          <w:ilvl w:val="1"/>
          <w:numId w:val="4"/>
        </w:numPr>
        <w:ind w:left="540" w:hanging="540"/>
        <w:spacing w:line="400" w:lineRule="atLeast"/>
        <w:widowControl w:val="off"/>
        <w:tabs>
          <w:tab w:val="left" w:pos="540" w:leader="none"/>
        </w:tabs>
        <w:rPr>
          <w:rFonts w:ascii="宋体" w:hAnsi="宋体"/>
          <w:sz w:val="21"/>
          <w:szCs w:val="21"/>
        </w:rPr>
      </w:pPr>
      <w:r>
        <w:rPr>
          <w:rFonts w:hint="eastAsia" w:ascii="宋体" w:hAnsi="宋体"/>
          <w:sz w:val="21"/>
          <w:szCs w:val="21"/>
        </w:rPr>
        <w:t xml:space="preserve">验收期限在安装调试结束后六个月内进行。特殊情况需延长的，双方应特别约定。</w:t>
      </w:r>
      <w:r/>
    </w:p>
    <w:p>
      <w:pPr>
        <w:numPr>
          <w:ilvl w:val="1"/>
          <w:numId w:val="4"/>
        </w:numPr>
        <w:ind w:left="540" w:hanging="540"/>
        <w:spacing w:line="400" w:lineRule="atLeast"/>
        <w:widowControl w:val="off"/>
        <w:tabs>
          <w:tab w:val="left" w:pos="540" w:leader="none"/>
        </w:tabs>
        <w:rPr>
          <w:rFonts w:ascii="宋体" w:hAnsi="宋体"/>
          <w:sz w:val="21"/>
          <w:szCs w:val="21"/>
        </w:rPr>
      </w:pPr>
      <w:r>
        <w:rPr>
          <w:rFonts w:hint="eastAsia" w:ascii="宋体" w:hAnsi="宋体"/>
          <w:sz w:val="21"/>
          <w:szCs w:val="21"/>
        </w:rPr>
        <w:t xml:space="preserve">验收规范应由乙方在验收前两周提交给甲方，甲方可根据合同及技术规范书和有关规定进行修改和补充。验收规范需要由甲乙双方确认，确认后形成验收文件作为验收依据。</w:t>
      </w:r>
      <w:r/>
    </w:p>
    <w:p>
      <w:pPr>
        <w:numPr>
          <w:ilvl w:val="1"/>
          <w:numId w:val="4"/>
        </w:numPr>
        <w:ind w:left="540" w:hanging="540"/>
        <w:spacing w:line="400" w:lineRule="atLeast"/>
        <w:widowControl w:val="off"/>
        <w:tabs>
          <w:tab w:val="left" w:pos="540" w:leader="none"/>
        </w:tabs>
        <w:rPr>
          <w:rFonts w:ascii="宋体" w:hAnsi="宋体"/>
          <w:sz w:val="21"/>
          <w:szCs w:val="21"/>
        </w:rPr>
      </w:pPr>
      <w:r>
        <w:rPr>
          <w:rFonts w:hint="eastAsia" w:ascii="宋体" w:hAnsi="宋体"/>
          <w:sz w:val="21"/>
          <w:szCs w:val="21"/>
        </w:rPr>
        <w:t xml:space="preserve">验收结果经双方确认后，双方代表须按规定的验收项目对照本合同填好验收结果并签名盖章。</w:t>
      </w:r>
      <w:r/>
    </w:p>
    <w:p>
      <w:pPr>
        <w:numPr>
          <w:ilvl w:val="0"/>
          <w:numId w:val="4"/>
        </w:numPr>
        <w:ind w:left="540" w:hanging="540"/>
        <w:spacing w:line="400" w:lineRule="atLeast"/>
        <w:widowControl w:val="off"/>
        <w:tabs>
          <w:tab w:val="left" w:pos="540" w:leader="none"/>
        </w:tabs>
        <w:rPr>
          <w:rFonts w:ascii="宋体" w:hAnsi="宋体"/>
          <w:b/>
          <w:sz w:val="21"/>
          <w:szCs w:val="21"/>
        </w:rPr>
      </w:pPr>
      <w:r>
        <w:rPr>
          <w:rFonts w:hint="eastAsia" w:ascii="宋体" w:hAnsi="宋体"/>
          <w:b/>
          <w:sz w:val="21"/>
          <w:szCs w:val="21"/>
        </w:rPr>
        <w:t xml:space="preserve">质保期</w:t>
      </w:r>
      <w:r/>
    </w:p>
    <w:p>
      <w:pPr>
        <w:ind w:left="567"/>
        <w:spacing w:line="400" w:lineRule="atLeast"/>
        <w:widowControl w:val="off"/>
        <w:rPr>
          <w:rFonts w:ascii="宋体" w:hAnsi="宋体" w:cs="Times New Roman"/>
          <w:sz w:val="21"/>
          <w:szCs w:val="21"/>
        </w:rPr>
      </w:pPr>
      <w:r>
        <w:rPr>
          <w:rFonts w:hint="eastAsia" w:ascii="宋体" w:hAnsi="宋体" w:cs="Times New Roman"/>
          <w:sz w:val="21"/>
          <w:szCs w:val="21"/>
        </w:rPr>
        <w:t xml:space="preserve">本项目质保期自验收合格起</w:t>
      </w:r>
      <w:r>
        <w:rPr>
          <w:rFonts w:hint="eastAsia" w:ascii="宋体" w:hAnsi="宋体" w:cs="Times New Roman"/>
          <w:b/>
          <w:sz w:val="21"/>
          <w:szCs w:val="21"/>
        </w:rPr>
        <w:t xml:space="preserve"> </w:t>
      </w:r>
      <w:r>
        <w:rPr>
          <w:rFonts w:ascii="宋体" w:hAnsi="宋体" w:cs="Times New Roman"/>
          <w:b/>
          <w:sz w:val="21"/>
          <w:szCs w:val="21"/>
        </w:rPr>
        <w:t xml:space="preserve">   </w:t>
      </w:r>
      <w:r>
        <w:rPr>
          <w:rFonts w:hint="eastAsia" w:ascii="宋体" w:hAnsi="宋体" w:cs="Times New Roman"/>
          <w:b/>
          <w:sz w:val="21"/>
          <w:szCs w:val="21"/>
        </w:rPr>
        <w:t xml:space="preserve">年</w:t>
      </w:r>
      <w:r>
        <w:rPr>
          <w:rFonts w:hint="eastAsia" w:ascii="宋体" w:hAnsi="宋体" w:cs="Times New Roman"/>
          <w:sz w:val="21"/>
          <w:szCs w:val="21"/>
        </w:rPr>
        <w:t xml:space="preserve">。在质保期内，应无偿并迅速更换由于元器件缺陷及工艺等问题而发生故障的产品，并对因维修、保养，更换零部件等所发生的一切费用，均由乙方承担。在期间如发生影响系统运行的重大故障，质保期应为故障排除之日起重新计算。质保期满后，应提供优先的有偿售后服务及按不高于投标文件中主要配件、易损件清单所报价格供应原厂零配件等。软件终身免费升级、免费使用。</w:t>
      </w:r>
      <w:r/>
    </w:p>
    <w:p>
      <w:pPr>
        <w:numPr>
          <w:ilvl w:val="0"/>
          <w:numId w:val="4"/>
        </w:numPr>
        <w:ind w:left="540" w:hanging="540"/>
        <w:spacing w:line="400" w:lineRule="exact"/>
        <w:widowControl w:val="off"/>
        <w:tabs>
          <w:tab w:val="left" w:pos="540" w:leader="none"/>
        </w:tabs>
        <w:rPr>
          <w:rFonts w:ascii="宋体" w:hAnsi="宋体"/>
          <w:b/>
          <w:sz w:val="21"/>
          <w:szCs w:val="21"/>
        </w:rPr>
      </w:pPr>
      <w:r>
        <w:rPr>
          <w:rFonts w:hint="eastAsia" w:ascii="宋体" w:hAnsi="宋体"/>
          <w:b/>
          <w:sz w:val="21"/>
          <w:szCs w:val="21"/>
        </w:rPr>
        <w:t xml:space="preserve">合同价格支付</w:t>
      </w:r>
      <w:r/>
    </w:p>
    <w:p>
      <w:pPr>
        <w:numPr>
          <w:ilvl w:val="1"/>
          <w:numId w:val="4"/>
        </w:numPr>
        <w:ind w:left="540" w:hanging="540"/>
        <w:spacing w:line="400" w:lineRule="atLeast"/>
        <w:widowControl w:val="off"/>
        <w:tabs>
          <w:tab w:val="left" w:pos="540" w:leader="none"/>
        </w:tabs>
        <w:rPr>
          <w:rFonts w:ascii="宋体" w:hAnsi="宋体"/>
          <w:sz w:val="21"/>
          <w:szCs w:val="21"/>
        </w:rPr>
      </w:pPr>
      <w:r>
        <w:rPr>
          <w:rFonts w:hint="eastAsia" w:ascii="宋体" w:hAnsi="宋体"/>
          <w:sz w:val="21"/>
          <w:szCs w:val="21"/>
        </w:rPr>
        <w:t xml:space="preserve">支付步骤：</w:t>
      </w:r>
      <w:r/>
    </w:p>
    <w:p>
      <w:pPr>
        <w:ind w:left="540"/>
        <w:spacing w:line="400" w:lineRule="atLeast"/>
        <w:widowControl w:val="off"/>
        <w:tabs>
          <w:tab w:val="left" w:pos="540" w:leader="none"/>
          <w:tab w:val="left" w:pos="567" w:leader="none"/>
        </w:tabs>
        <w:rPr>
          <w:rFonts w:ascii="宋体" w:hAnsi="宋体" w:cs="Times New Roman"/>
          <w:sz w:val="28"/>
        </w:rPr>
      </w:pPr>
      <w:r>
        <w:rPr>
          <w:rFonts w:hint="eastAsia" w:ascii="宋体" w:hAnsi="宋体"/>
          <w:sz w:val="21"/>
          <w:szCs w:val="21"/>
        </w:rPr>
        <w:t xml:space="preserve">付款步骤:</w:t>
      </w:r>
      <w:r>
        <w:rPr>
          <w:rFonts w:hint="eastAsia"/>
        </w:rPr>
        <w:t xml:space="preserve"> </w:t>
      </w:r>
      <w:r>
        <w:rPr>
          <w:rFonts w:hint="eastAsia" w:ascii="宋体" w:hAnsi="宋体"/>
          <w:sz w:val="21"/>
          <w:szCs w:val="21"/>
        </w:rPr>
        <w:t xml:space="preserve">签订合同后</w:t>
      </w:r>
      <w:r>
        <w:rPr>
          <w:rFonts w:hint="eastAsia" w:ascii="宋体" w:hAnsi="宋体"/>
          <w:sz w:val="21"/>
          <w:szCs w:val="21"/>
        </w:rPr>
        <w:t xml:space="preserve">支付合同价的3</w:t>
      </w:r>
      <w:r>
        <w:rPr>
          <w:rFonts w:ascii="宋体" w:hAnsi="宋体"/>
          <w:sz w:val="21"/>
          <w:szCs w:val="21"/>
        </w:rPr>
        <w:t xml:space="preserve">0%</w:t>
      </w:r>
      <w:r>
        <w:rPr>
          <w:rFonts w:hint="eastAsia" w:ascii="宋体" w:hAnsi="宋体"/>
          <w:sz w:val="21"/>
          <w:szCs w:val="21"/>
        </w:rPr>
        <w:t xml:space="preserve">，货物到</w:t>
      </w:r>
      <w:r>
        <w:rPr>
          <w:rFonts w:hint="eastAsia" w:ascii="宋体" w:hAnsi="宋体"/>
          <w:sz w:val="21"/>
          <w:szCs w:val="21"/>
        </w:rPr>
        <w:t xml:space="preserve">场经验收合格后付至合同价的50%；安装调试完工后并完成移交手续后付至合同价的80%；余款待质保期满后1年内付清。</w:t>
      </w:r>
      <w:r/>
    </w:p>
    <w:p>
      <w:pPr>
        <w:numPr>
          <w:ilvl w:val="1"/>
          <w:numId w:val="4"/>
        </w:numPr>
        <w:ind w:left="540" w:hanging="540"/>
        <w:spacing w:line="400" w:lineRule="atLeast"/>
        <w:widowControl w:val="off"/>
        <w:tabs>
          <w:tab w:val="left" w:pos="540" w:leader="none"/>
        </w:tabs>
        <w:rPr>
          <w:rFonts w:ascii="宋体" w:hAnsi="宋体"/>
          <w:sz w:val="21"/>
          <w:szCs w:val="21"/>
        </w:rPr>
      </w:pPr>
      <w:r>
        <w:rPr>
          <w:rFonts w:hint="eastAsia" w:ascii="宋体" w:hAnsi="宋体"/>
          <w:sz w:val="21"/>
          <w:szCs w:val="21"/>
        </w:rPr>
        <w:t xml:space="preserve">支付方式：转账。</w:t>
      </w:r>
      <w:r/>
    </w:p>
    <w:p>
      <w:pPr>
        <w:numPr>
          <w:ilvl w:val="1"/>
          <w:numId w:val="4"/>
        </w:numPr>
        <w:ind w:left="540" w:hanging="540"/>
        <w:spacing w:line="400" w:lineRule="atLeast"/>
        <w:widowControl w:val="off"/>
        <w:tabs>
          <w:tab w:val="left" w:pos="540" w:leader="none"/>
        </w:tabs>
        <w:rPr>
          <w:rFonts w:ascii="宋体" w:hAnsi="宋体"/>
          <w:sz w:val="21"/>
          <w:szCs w:val="21"/>
        </w:rPr>
      </w:pPr>
      <w:r>
        <w:rPr>
          <w:rFonts w:hint="eastAsia" w:ascii="宋体" w:hAnsi="宋体"/>
          <w:sz w:val="21"/>
          <w:szCs w:val="21"/>
        </w:rPr>
        <w:t xml:space="preserve">乙方需提供的单据：</w:t>
      </w:r>
      <w:r/>
    </w:p>
    <w:p>
      <w:pPr>
        <w:ind w:left="540"/>
        <w:spacing w:line="400" w:lineRule="exact"/>
        <w:widowControl w:val="off"/>
        <w:tabs>
          <w:tab w:val="left" w:pos="540" w:leader="none"/>
        </w:tabs>
        <w:rPr>
          <w:rFonts w:ascii="宋体" w:hAnsi="宋体"/>
          <w:sz w:val="21"/>
          <w:szCs w:val="21"/>
        </w:rPr>
      </w:pPr>
      <w:r>
        <w:rPr>
          <w:rFonts w:hint="eastAsia" w:ascii="宋体" w:hAnsi="宋体"/>
          <w:sz w:val="21"/>
          <w:szCs w:val="21"/>
        </w:rPr>
        <w:t xml:space="preserve">A、合格的发票；</w:t>
      </w:r>
      <w:r/>
    </w:p>
    <w:p>
      <w:pPr>
        <w:ind w:left="540"/>
        <w:spacing w:line="400" w:lineRule="exact"/>
        <w:widowControl w:val="off"/>
        <w:tabs>
          <w:tab w:val="left" w:pos="540" w:leader="none"/>
        </w:tabs>
        <w:rPr>
          <w:rFonts w:ascii="宋体" w:hAnsi="宋体"/>
          <w:sz w:val="21"/>
          <w:szCs w:val="21"/>
        </w:rPr>
      </w:pPr>
      <w:r>
        <w:rPr>
          <w:rFonts w:hint="eastAsia" w:ascii="宋体" w:hAnsi="宋体"/>
          <w:sz w:val="21"/>
          <w:szCs w:val="21"/>
        </w:rPr>
        <w:t xml:space="preserve">B、合同履行验收报告；</w:t>
      </w:r>
      <w:r/>
    </w:p>
    <w:p>
      <w:pPr>
        <w:ind w:left="540"/>
        <w:spacing w:line="400" w:lineRule="exact"/>
        <w:widowControl w:val="off"/>
        <w:tabs>
          <w:tab w:val="left" w:pos="540" w:leader="none"/>
        </w:tabs>
        <w:rPr>
          <w:rFonts w:ascii="宋体" w:hAnsi="宋体"/>
          <w:sz w:val="21"/>
          <w:szCs w:val="21"/>
        </w:rPr>
      </w:pPr>
      <w:r>
        <w:rPr>
          <w:rFonts w:hint="eastAsia" w:ascii="宋体" w:hAnsi="宋体"/>
          <w:sz w:val="21"/>
          <w:szCs w:val="21"/>
        </w:rPr>
        <w:t xml:space="preserve">C、其他（若有）。</w:t>
      </w:r>
      <w:r/>
    </w:p>
    <w:p>
      <w:pPr>
        <w:numPr>
          <w:ilvl w:val="1"/>
          <w:numId w:val="4"/>
        </w:numPr>
        <w:ind w:left="540" w:hanging="540"/>
        <w:spacing w:line="400" w:lineRule="atLeast"/>
        <w:widowControl w:val="off"/>
        <w:tabs>
          <w:tab w:val="left" w:pos="540" w:leader="none"/>
        </w:tabs>
        <w:rPr>
          <w:rFonts w:ascii="宋体" w:hAnsi="宋体"/>
          <w:sz w:val="21"/>
          <w:szCs w:val="21"/>
        </w:rPr>
      </w:pPr>
      <w:r>
        <w:rPr>
          <w:rFonts w:hint="eastAsia" w:ascii="宋体" w:hAnsi="宋体"/>
          <w:sz w:val="21"/>
          <w:szCs w:val="21"/>
        </w:rPr>
        <w:t xml:space="preserve">乙方账户信息：</w:t>
      </w:r>
      <w:r/>
    </w:p>
    <w:p>
      <w:pPr>
        <w:ind w:left="540"/>
        <w:spacing w:line="400" w:lineRule="exact"/>
        <w:widowControl w:val="off"/>
        <w:tabs>
          <w:tab w:val="left" w:pos="540" w:leader="none"/>
        </w:tabs>
        <w:rPr>
          <w:rFonts w:ascii="宋体" w:hAnsi="宋体"/>
          <w:sz w:val="21"/>
          <w:szCs w:val="21"/>
        </w:rPr>
      </w:pPr>
      <w:r>
        <w:rPr>
          <w:rFonts w:hint="eastAsia" w:ascii="宋体" w:hAnsi="宋体"/>
          <w:sz w:val="21"/>
          <w:szCs w:val="21"/>
        </w:rPr>
        <w:t xml:space="preserve">户名：</w:t>
      </w:r>
      <w:r/>
    </w:p>
    <w:p>
      <w:pPr>
        <w:ind w:left="540"/>
        <w:spacing w:line="400" w:lineRule="exact"/>
        <w:widowControl w:val="off"/>
        <w:tabs>
          <w:tab w:val="left" w:pos="540" w:leader="none"/>
        </w:tabs>
        <w:rPr>
          <w:rFonts w:ascii="宋体" w:hAnsi="宋体"/>
          <w:sz w:val="21"/>
          <w:szCs w:val="21"/>
        </w:rPr>
      </w:pPr>
      <w:r>
        <w:rPr>
          <w:rFonts w:hint="eastAsia" w:ascii="宋体" w:hAnsi="宋体"/>
          <w:sz w:val="21"/>
          <w:szCs w:val="21"/>
        </w:rPr>
        <w:t xml:space="preserve">开户行：</w:t>
      </w:r>
      <w:r/>
    </w:p>
    <w:p>
      <w:pPr>
        <w:ind w:left="540"/>
        <w:spacing w:line="400" w:lineRule="exact"/>
        <w:widowControl w:val="off"/>
        <w:tabs>
          <w:tab w:val="left" w:pos="540" w:leader="none"/>
        </w:tabs>
        <w:rPr>
          <w:rFonts w:ascii="宋体" w:hAnsi="宋体"/>
          <w:sz w:val="21"/>
          <w:szCs w:val="21"/>
        </w:rPr>
      </w:pPr>
      <w:r>
        <w:rPr>
          <w:rFonts w:hint="eastAsia" w:ascii="宋体" w:hAnsi="宋体"/>
          <w:sz w:val="21"/>
          <w:szCs w:val="21"/>
        </w:rPr>
        <w:t xml:space="preserve">账号：</w:t>
      </w:r>
      <w:r/>
    </w:p>
    <w:p>
      <w:pPr>
        <w:numPr>
          <w:ilvl w:val="0"/>
          <w:numId w:val="4"/>
        </w:numPr>
        <w:ind w:left="540" w:hanging="540"/>
        <w:spacing w:line="400" w:lineRule="exact"/>
        <w:widowControl w:val="off"/>
        <w:tabs>
          <w:tab w:val="left" w:pos="540" w:leader="none"/>
        </w:tabs>
        <w:rPr>
          <w:rFonts w:ascii="宋体" w:hAnsi="宋体"/>
          <w:b/>
          <w:sz w:val="21"/>
          <w:szCs w:val="21"/>
        </w:rPr>
      </w:pPr>
      <w:r>
        <w:rPr>
          <w:rFonts w:hint="eastAsia" w:ascii="宋体" w:hAnsi="宋体"/>
          <w:b/>
          <w:sz w:val="21"/>
          <w:szCs w:val="21"/>
        </w:rPr>
        <w:t xml:space="preserve">对标的物货物提出异议的时间和办法</w:t>
      </w:r>
      <w:r/>
    </w:p>
    <w:p>
      <w:pPr>
        <w:numPr>
          <w:ilvl w:val="1"/>
          <w:numId w:val="4"/>
        </w:numPr>
        <w:ind w:left="540" w:hanging="540"/>
        <w:spacing w:line="400" w:lineRule="exact"/>
        <w:widowControl w:val="off"/>
        <w:tabs>
          <w:tab w:val="left" w:pos="540" w:leader="none"/>
        </w:tabs>
        <w:rPr>
          <w:rFonts w:ascii="宋体" w:hAnsi="宋体"/>
          <w:sz w:val="21"/>
          <w:szCs w:val="21"/>
        </w:rPr>
      </w:pPr>
      <w:r>
        <w:rPr>
          <w:rFonts w:hint="eastAsia" w:ascii="宋体" w:hAnsi="宋体"/>
          <w:sz w:val="21"/>
          <w:szCs w:val="21"/>
        </w:rPr>
        <w:t xml:space="preserve">甲方在验收过程中，应当于双方约定的检验期间内将标的物的数量或质量不符合约定的情况及处理方式以书面方式通知乙方。</w:t>
      </w:r>
      <w:r/>
    </w:p>
    <w:p>
      <w:pPr>
        <w:numPr>
          <w:ilvl w:val="1"/>
          <w:numId w:val="4"/>
        </w:numPr>
        <w:ind w:left="540" w:hanging="540"/>
        <w:spacing w:line="400" w:lineRule="exact"/>
        <w:widowControl w:val="off"/>
        <w:tabs>
          <w:tab w:val="left" w:pos="540" w:leader="none"/>
        </w:tabs>
        <w:rPr>
          <w:rFonts w:ascii="宋体" w:hAnsi="宋体"/>
          <w:sz w:val="21"/>
          <w:szCs w:val="21"/>
        </w:rPr>
      </w:pPr>
      <w:r>
        <w:rPr>
          <w:rFonts w:hint="eastAsia" w:ascii="宋体" w:hAnsi="宋体"/>
          <w:sz w:val="21"/>
          <w:szCs w:val="21"/>
        </w:rPr>
        <w:t xml:space="preserve">如果甲方在验收期满后既没有出具验收合格证明又未提出书面异议的视为乙方所交标的物符合合同规定。</w:t>
      </w:r>
      <w:r/>
    </w:p>
    <w:p>
      <w:pPr>
        <w:numPr>
          <w:ilvl w:val="1"/>
          <w:numId w:val="4"/>
        </w:numPr>
        <w:ind w:left="540" w:hanging="540"/>
        <w:spacing w:line="400" w:lineRule="exact"/>
        <w:widowControl w:val="off"/>
        <w:tabs>
          <w:tab w:val="left" w:pos="540" w:leader="none"/>
        </w:tabs>
        <w:rPr>
          <w:rFonts w:ascii="宋体" w:hAnsi="宋体"/>
          <w:sz w:val="21"/>
          <w:szCs w:val="21"/>
        </w:rPr>
      </w:pPr>
      <w:r>
        <w:rPr>
          <w:rFonts w:hint="eastAsia" w:ascii="宋体" w:hAnsi="宋体"/>
          <w:sz w:val="21"/>
          <w:szCs w:val="21"/>
        </w:rPr>
        <w:t xml:space="preserve">乙方应在收到甲方书面异议后七天内负责解决问题，否则将视为默认甲方提出的异议和处理意见。</w:t>
      </w:r>
      <w:r/>
    </w:p>
    <w:p>
      <w:pPr>
        <w:numPr>
          <w:ilvl w:val="0"/>
          <w:numId w:val="4"/>
        </w:numPr>
        <w:ind w:left="540" w:hanging="540"/>
        <w:spacing w:line="400" w:lineRule="exact"/>
        <w:widowControl w:val="off"/>
        <w:tabs>
          <w:tab w:val="left" w:pos="540" w:leader="none"/>
        </w:tabs>
        <w:rPr>
          <w:rFonts w:ascii="宋体" w:hAnsi="宋体"/>
          <w:b/>
          <w:sz w:val="21"/>
          <w:szCs w:val="21"/>
        </w:rPr>
      </w:pPr>
      <w:r>
        <w:rPr>
          <w:rFonts w:hint="eastAsia" w:ascii="宋体" w:hAnsi="宋体"/>
          <w:b/>
          <w:sz w:val="21"/>
          <w:szCs w:val="21"/>
        </w:rPr>
        <w:t xml:space="preserve">售后服务</w:t>
      </w:r>
      <w:r/>
    </w:p>
    <w:p>
      <w:pPr>
        <w:numPr>
          <w:ilvl w:val="1"/>
          <w:numId w:val="4"/>
        </w:numPr>
        <w:ind w:left="540" w:hanging="540"/>
        <w:spacing w:line="400" w:lineRule="exact"/>
        <w:widowControl w:val="off"/>
        <w:tabs>
          <w:tab w:val="left" w:pos="540" w:leader="none"/>
        </w:tabs>
        <w:rPr>
          <w:rFonts w:ascii="宋体" w:hAnsi="宋体"/>
          <w:sz w:val="21"/>
          <w:szCs w:val="21"/>
        </w:rPr>
      </w:pPr>
      <w:r>
        <w:rPr>
          <w:rFonts w:hint="eastAsia" w:ascii="宋体" w:hAnsi="宋体"/>
          <w:sz w:val="21"/>
          <w:szCs w:val="21"/>
        </w:rPr>
        <w:t xml:space="preserve">除特别约定外，合同条款中标的物的质量保证期均自标的物通过最终验收之日起计算，且质量保证期为乙方承诺期限，乙方承诺对本项目提供</w:t>
      </w:r>
      <w:r>
        <w:rPr>
          <w:rFonts w:hint="eastAsia" w:ascii="宋体" w:hAnsi="宋体"/>
          <w:sz w:val="21"/>
          <w:szCs w:val="21"/>
          <w:u w:val="single"/>
        </w:rPr>
        <w:t xml:space="preserve">   </w:t>
      </w:r>
      <w:r>
        <w:rPr>
          <w:rFonts w:hint="eastAsia" w:ascii="宋体" w:hAnsi="宋体"/>
          <w:sz w:val="21"/>
          <w:szCs w:val="21"/>
        </w:rPr>
        <w:t xml:space="preserve">年的质保服务。</w:t>
      </w:r>
      <w:r/>
    </w:p>
    <w:p>
      <w:pPr>
        <w:numPr>
          <w:ilvl w:val="1"/>
          <w:numId w:val="4"/>
        </w:numPr>
        <w:ind w:left="540" w:hanging="540"/>
        <w:spacing w:line="400" w:lineRule="exact"/>
        <w:widowControl w:val="off"/>
        <w:tabs>
          <w:tab w:val="left" w:pos="540" w:leader="none"/>
        </w:tabs>
        <w:rPr>
          <w:rFonts w:ascii="宋体" w:hAnsi="宋体"/>
          <w:sz w:val="21"/>
          <w:szCs w:val="21"/>
        </w:rPr>
      </w:pPr>
      <w:r>
        <w:rPr>
          <w:rFonts w:hint="eastAsia" w:ascii="宋体" w:hAnsi="宋体"/>
          <w:sz w:val="21"/>
          <w:szCs w:val="21"/>
        </w:rPr>
        <w:t xml:space="preserve">乙方应以优良的服务态度，在质保期内发生故障时</w:t>
      </w:r>
      <w:r>
        <w:rPr>
          <w:rFonts w:hint="eastAsia" w:ascii="宋体" w:hAnsi="宋体"/>
          <w:sz w:val="21"/>
          <w:szCs w:val="21"/>
          <w:u w:val="single"/>
        </w:rPr>
        <w:t xml:space="preserve">   </w:t>
      </w:r>
      <w:r>
        <w:rPr>
          <w:rFonts w:hint="eastAsia" w:ascii="宋体" w:hAnsi="宋体"/>
          <w:sz w:val="21"/>
          <w:szCs w:val="21"/>
        </w:rPr>
        <w:t xml:space="preserve">小时内予以响应，</w:t>
      </w:r>
      <w:r>
        <w:rPr>
          <w:rFonts w:hint="eastAsia" w:ascii="宋体" w:hAnsi="宋体"/>
          <w:sz w:val="21"/>
          <w:szCs w:val="21"/>
          <w:u w:val="single"/>
        </w:rPr>
        <w:t xml:space="preserve">  </w:t>
      </w:r>
      <w:r>
        <w:rPr>
          <w:rFonts w:hint="eastAsia" w:ascii="宋体" w:hAnsi="宋体"/>
          <w:sz w:val="21"/>
          <w:szCs w:val="21"/>
        </w:rPr>
        <w:t xml:space="preserve">小时内到达现场，</w:t>
      </w:r>
      <w:r>
        <w:rPr>
          <w:rFonts w:hint="eastAsia" w:ascii="宋体" w:hAnsi="宋体"/>
          <w:sz w:val="21"/>
          <w:szCs w:val="21"/>
          <w:u w:val="single"/>
        </w:rPr>
        <w:t xml:space="preserve">  </w:t>
      </w:r>
      <w:r>
        <w:rPr>
          <w:rFonts w:hint="eastAsia" w:ascii="宋体" w:hAnsi="宋体"/>
          <w:sz w:val="21"/>
          <w:szCs w:val="21"/>
        </w:rPr>
        <w:t xml:space="preserve">小时内解决问题，如在</w:t>
      </w:r>
      <w:r>
        <w:rPr>
          <w:rFonts w:hint="eastAsia" w:ascii="宋体" w:hAnsi="宋体"/>
          <w:sz w:val="21"/>
          <w:szCs w:val="21"/>
          <w:u w:val="single"/>
        </w:rPr>
        <w:t xml:space="preserve">    </w:t>
      </w:r>
      <w:r>
        <w:rPr>
          <w:rFonts w:hint="eastAsia" w:ascii="宋体" w:hAnsi="宋体"/>
          <w:sz w:val="21"/>
          <w:szCs w:val="21"/>
        </w:rPr>
        <w:t xml:space="preserve">小时内不能解决问题，应免费用同样品牌、规格或更高的部件更换到位。</w:t>
      </w:r>
      <w:r/>
    </w:p>
    <w:p>
      <w:pPr>
        <w:numPr>
          <w:ilvl w:val="1"/>
          <w:numId w:val="4"/>
        </w:numPr>
        <w:ind w:left="540" w:hanging="540"/>
        <w:spacing w:line="400" w:lineRule="exact"/>
        <w:widowControl w:val="off"/>
        <w:tabs>
          <w:tab w:val="left" w:pos="540" w:leader="none"/>
        </w:tabs>
        <w:rPr>
          <w:rFonts w:ascii="宋体" w:hAnsi="宋体"/>
          <w:sz w:val="21"/>
          <w:szCs w:val="21"/>
        </w:rPr>
      </w:pPr>
      <w:r>
        <w:rPr>
          <w:rFonts w:hint="eastAsia" w:ascii="宋体" w:hAnsi="宋体"/>
          <w:sz w:val="21"/>
          <w:szCs w:val="21"/>
        </w:rPr>
        <w:t xml:space="preserve">其它按乙方投标文件及相关承诺中等同或优于招标文件的要求执行。</w:t>
      </w:r>
      <w:r/>
    </w:p>
    <w:p>
      <w:pPr>
        <w:numPr>
          <w:ilvl w:val="0"/>
          <w:numId w:val="4"/>
        </w:numPr>
        <w:ind w:left="540" w:hanging="540"/>
        <w:spacing w:line="400" w:lineRule="exact"/>
        <w:widowControl w:val="off"/>
        <w:tabs>
          <w:tab w:val="left" w:pos="540" w:leader="none"/>
        </w:tabs>
        <w:rPr>
          <w:rFonts w:ascii="宋体" w:hAnsi="宋体"/>
          <w:b/>
          <w:sz w:val="21"/>
          <w:szCs w:val="21"/>
        </w:rPr>
      </w:pPr>
      <w:r>
        <w:rPr>
          <w:rFonts w:hint="eastAsia" w:ascii="宋体" w:hAnsi="宋体"/>
          <w:b/>
          <w:sz w:val="21"/>
          <w:szCs w:val="21"/>
        </w:rPr>
        <w:t xml:space="preserve">违约责任 </w:t>
      </w:r>
      <w:r/>
    </w:p>
    <w:p>
      <w:pPr>
        <w:ind w:left="540"/>
        <w:spacing w:line="400" w:lineRule="exact"/>
        <w:widowControl w:val="off"/>
        <w:tabs>
          <w:tab w:val="left" w:pos="540" w:leader="none"/>
        </w:tabs>
        <w:rPr>
          <w:rFonts w:ascii="宋体" w:hAnsi="宋体"/>
          <w:sz w:val="21"/>
          <w:szCs w:val="21"/>
        </w:rPr>
      </w:pPr>
      <w:r>
        <w:rPr>
          <w:rFonts w:hint="eastAsia" w:ascii="宋体" w:hAnsi="宋体"/>
          <w:sz w:val="21"/>
          <w:szCs w:val="21"/>
        </w:rPr>
        <w:t xml:space="preserve">乙方违约责任及违约金支付：</w:t>
      </w:r>
      <w:r/>
    </w:p>
    <w:p>
      <w:pPr>
        <w:ind w:left="0" w:right="-153" w:firstLine="420"/>
        <w:spacing w:line="400" w:lineRule="exact"/>
        <w:widowControl w:val="off"/>
        <w:tabs>
          <w:tab w:val="left" w:pos="567" w:leader="none"/>
        </w:tabs>
        <w:rPr>
          <w:rFonts w:ascii="宋体" w:hAnsi="宋体" w:cs="Times New Roman"/>
          <w:sz w:val="21"/>
          <w:szCs w:val="21"/>
        </w:rPr>
      </w:pPr>
      <w:r>
        <w:rPr>
          <w:rFonts w:hint="eastAsia" w:ascii="宋体" w:hAnsi="宋体" w:cs="Times New Roman"/>
          <w:sz w:val="21"/>
          <w:szCs w:val="21"/>
        </w:rPr>
        <w:t xml:space="preserve">（1）乙方不能交货（逾期超过十五天视为不能交货），或交货不合格从而影响甲方按期正常使用的，甲方有权要求乙方赔偿损失，并追究乙方合同总标的额百分之二十的违约金，且甲方有权解除合同。</w:t>
      </w:r>
      <w:r/>
    </w:p>
    <w:p>
      <w:pPr>
        <w:ind w:left="0" w:right="-153" w:firstLine="420"/>
        <w:spacing w:line="400" w:lineRule="exact"/>
        <w:widowControl w:val="off"/>
        <w:tabs>
          <w:tab w:val="left" w:pos="993" w:leader="none"/>
        </w:tabs>
        <w:rPr>
          <w:rFonts w:ascii="宋体" w:hAnsi="宋体" w:cs="Times New Roman"/>
          <w:sz w:val="21"/>
          <w:szCs w:val="21"/>
        </w:rPr>
      </w:pPr>
      <w:r>
        <w:rPr>
          <w:rFonts w:hint="eastAsia" w:ascii="宋体" w:hAnsi="宋体" w:cs="Times New Roman"/>
          <w:sz w:val="21"/>
          <w:szCs w:val="21"/>
        </w:rPr>
        <w:t xml:space="preserve">（2）乙方逾期交货的，应在发货前与甲方和政府采购管理部门协商，甲方仍需求的，乙方应立即发货并应按照逾期交货部分货款的每天万分之四支付逾期交货违约金，并赔偿甲方因此遭致的损失费用。</w:t>
      </w:r>
      <w:r/>
    </w:p>
    <w:p>
      <w:pPr>
        <w:ind w:left="0" w:right="-153" w:firstLine="420"/>
        <w:spacing w:line="400" w:lineRule="exact"/>
        <w:widowControl w:val="off"/>
        <w:tabs>
          <w:tab w:val="left" w:pos="1134" w:leader="none"/>
        </w:tabs>
        <w:rPr>
          <w:rFonts w:ascii="宋体" w:hAnsi="宋体" w:cs="Times New Roman"/>
          <w:sz w:val="21"/>
          <w:szCs w:val="21"/>
        </w:rPr>
      </w:pPr>
      <w:r>
        <w:rPr>
          <w:rFonts w:hint="eastAsia" w:ascii="宋体" w:hAnsi="宋体" w:cs="Times New Roman"/>
          <w:sz w:val="21"/>
          <w:szCs w:val="21"/>
        </w:rPr>
        <w:t xml:space="preserve">（3）若乙方未遵守保密义务，出现泄漏甲方或第三方秘密的情形，甲方有权要求乙方赔偿损失，并追究乙方合同总标的额百分之二十的违约金，且甲方有权解除合同。情节严重涉及违法犯罪的，依法移交司法机关处理。</w:t>
      </w:r>
      <w:r/>
    </w:p>
    <w:p>
      <w:pPr>
        <w:ind w:left="0" w:right="-153" w:firstLine="420"/>
        <w:spacing w:line="400" w:lineRule="exact"/>
        <w:widowControl w:val="off"/>
        <w:tabs>
          <w:tab w:val="left" w:pos="993" w:leader="none"/>
        </w:tabs>
        <w:rPr>
          <w:rFonts w:ascii="宋体" w:hAnsi="宋体" w:cs="Times New Roman"/>
          <w:sz w:val="21"/>
          <w:szCs w:val="21"/>
        </w:rPr>
      </w:pPr>
      <w:r>
        <w:rPr>
          <w:rFonts w:hint="eastAsia" w:ascii="宋体" w:hAnsi="宋体" w:cs="Times New Roman"/>
          <w:sz w:val="21"/>
          <w:szCs w:val="21"/>
        </w:rPr>
        <w:t xml:space="preserve">（4）若因乙方侵犯第三方知识产权，发生第三方诉讼、社会舆论或甲方信誉受损等情形，甲方有权要求</w:t>
      </w:r>
      <w:r>
        <w:rPr>
          <w:rFonts w:hint="eastAsia" w:ascii="宋体" w:hAnsi="宋体" w:cs="Times New Roman"/>
          <w:sz w:val="21"/>
          <w:szCs w:val="21"/>
        </w:rPr>
        <w:t xml:space="preserve">乙方赔偿损失，并追究乙方合同总标的额百分之二十的违约金，且甲方有权解除合同。</w:t>
      </w:r>
      <w:r/>
    </w:p>
    <w:p>
      <w:pPr>
        <w:numPr>
          <w:ilvl w:val="0"/>
          <w:numId w:val="4"/>
        </w:numPr>
        <w:ind w:left="540" w:hanging="540"/>
        <w:spacing w:line="400" w:lineRule="exact"/>
        <w:widowControl w:val="off"/>
        <w:tabs>
          <w:tab w:val="left" w:pos="540" w:leader="none"/>
        </w:tabs>
        <w:rPr>
          <w:rFonts w:ascii="宋体" w:hAnsi="宋体"/>
          <w:b/>
          <w:sz w:val="21"/>
          <w:szCs w:val="21"/>
        </w:rPr>
      </w:pPr>
      <w:r>
        <w:rPr>
          <w:rFonts w:hint="eastAsia" w:ascii="宋体" w:hAnsi="宋体"/>
          <w:b/>
          <w:sz w:val="21"/>
          <w:szCs w:val="21"/>
        </w:rPr>
        <w:t xml:space="preserve">不可抗力</w:t>
      </w:r>
      <w:r/>
    </w:p>
    <w:p>
      <w:pPr>
        <w:numPr>
          <w:ilvl w:val="1"/>
          <w:numId w:val="4"/>
        </w:numPr>
        <w:ind w:left="540" w:hanging="540"/>
        <w:spacing w:line="400" w:lineRule="exact"/>
        <w:widowControl w:val="off"/>
        <w:tabs>
          <w:tab w:val="left" w:pos="540" w:leader="none"/>
        </w:tabs>
        <w:rPr>
          <w:rFonts w:ascii="宋体" w:hAnsi="宋体"/>
          <w:sz w:val="21"/>
          <w:szCs w:val="21"/>
        </w:rPr>
      </w:pPr>
      <w:r>
        <w:rPr>
          <w:rFonts w:hint="eastAsia" w:ascii="宋体" w:hAnsi="宋体"/>
          <w:sz w:val="21"/>
          <w:szCs w:val="21"/>
        </w:rPr>
        <w:t xml:space="preserve">因不可抗力不能履行合同的，根据不可抗力的影响，部分或者全部免除责任。但合同一方延迟履行后发生不可抗力的，不能免除责任。</w:t>
      </w:r>
      <w:r/>
    </w:p>
    <w:p>
      <w:pPr>
        <w:numPr>
          <w:ilvl w:val="1"/>
          <w:numId w:val="4"/>
        </w:numPr>
        <w:ind w:left="540" w:hanging="540"/>
        <w:spacing w:line="400" w:lineRule="exact"/>
        <w:widowControl w:val="off"/>
        <w:tabs>
          <w:tab w:val="left" w:pos="540" w:leader="none"/>
        </w:tabs>
        <w:rPr>
          <w:rFonts w:ascii="宋体" w:hAnsi="宋体"/>
          <w:sz w:val="21"/>
          <w:szCs w:val="21"/>
        </w:rPr>
      </w:pPr>
      <w:r>
        <w:rPr>
          <w:rFonts w:hint="eastAsia" w:ascii="宋体" w:hAnsi="宋体"/>
          <w:sz w:val="21"/>
          <w:szCs w:val="21"/>
        </w:rPr>
        <w:t xml:space="preserve">合同一方因不可抗力不能履行合同的，应当及时通知对方，以减轻可能给对方造成的损失，并应当在合理期限内提供证明。</w:t>
      </w:r>
      <w:r/>
    </w:p>
    <w:p>
      <w:pPr>
        <w:numPr>
          <w:ilvl w:val="0"/>
          <w:numId w:val="4"/>
        </w:numPr>
        <w:ind w:left="540" w:hanging="540"/>
        <w:spacing w:line="400" w:lineRule="exact"/>
        <w:widowControl w:val="off"/>
        <w:tabs>
          <w:tab w:val="left" w:pos="540" w:leader="none"/>
        </w:tabs>
        <w:rPr>
          <w:rFonts w:ascii="宋体" w:hAnsi="宋体"/>
          <w:b/>
          <w:sz w:val="21"/>
          <w:szCs w:val="21"/>
        </w:rPr>
      </w:pPr>
      <w:r>
        <w:rPr>
          <w:rFonts w:hint="eastAsia" w:ascii="宋体" w:hAnsi="宋体"/>
          <w:b/>
          <w:sz w:val="21"/>
          <w:szCs w:val="21"/>
        </w:rPr>
        <w:t xml:space="preserve">索赔</w:t>
      </w:r>
      <w:r/>
    </w:p>
    <w:p>
      <w:pPr>
        <w:numPr>
          <w:ilvl w:val="1"/>
          <w:numId w:val="4"/>
        </w:numPr>
        <w:ind w:left="540" w:hanging="540"/>
        <w:spacing w:line="400" w:lineRule="exact"/>
        <w:widowControl w:val="off"/>
        <w:tabs>
          <w:tab w:val="left" w:pos="540" w:leader="none"/>
        </w:tabs>
        <w:rPr>
          <w:rFonts w:ascii="宋体" w:hAnsi="宋体"/>
          <w:sz w:val="21"/>
          <w:szCs w:val="21"/>
        </w:rPr>
      </w:pPr>
      <w:r>
        <w:rPr>
          <w:rFonts w:hint="eastAsia" w:ascii="宋体" w:hAnsi="宋体"/>
          <w:sz w:val="21"/>
          <w:szCs w:val="21"/>
        </w:rPr>
        <w:t xml:space="preserve">甲方有权根据当地产品质量检验机构或其他有权部门出具的检验证书向乙方提出索赔。</w:t>
      </w:r>
      <w:r/>
    </w:p>
    <w:p>
      <w:pPr>
        <w:numPr>
          <w:ilvl w:val="1"/>
          <w:numId w:val="4"/>
        </w:numPr>
        <w:ind w:left="540" w:hanging="540"/>
        <w:spacing w:line="400" w:lineRule="exact"/>
        <w:widowControl w:val="off"/>
        <w:tabs>
          <w:tab w:val="left" w:pos="540" w:leader="none"/>
        </w:tabs>
        <w:rPr>
          <w:rFonts w:ascii="宋体" w:hAnsi="宋体"/>
          <w:sz w:val="21"/>
          <w:szCs w:val="21"/>
        </w:rPr>
      </w:pPr>
      <w:r>
        <w:rPr>
          <w:rFonts w:hint="eastAsia" w:ascii="宋体" w:hAnsi="宋体"/>
          <w:sz w:val="21"/>
          <w:szCs w:val="21"/>
        </w:rPr>
        <w:t xml:space="preserve">在本合同规定的检验期限和质量保证期内，如果乙方对甲方提出的索赔或差异有责任，则乙方应按甲方同意的下列一种或多种方式解决索赔事宜：</w:t>
      </w:r>
      <w:r/>
    </w:p>
    <w:p>
      <w:pPr>
        <w:ind w:left="0" w:right="-153" w:firstLine="420"/>
        <w:spacing w:line="400" w:lineRule="exact"/>
        <w:widowControl w:val="off"/>
        <w:tabs>
          <w:tab w:val="left" w:pos="1080" w:leader="none"/>
        </w:tabs>
        <w:rPr>
          <w:rFonts w:ascii="宋体" w:hAnsi="宋体"/>
          <w:sz w:val="21"/>
          <w:szCs w:val="21"/>
        </w:rPr>
      </w:pPr>
      <w:r>
        <w:rPr>
          <w:rFonts w:hint="eastAsia" w:ascii="宋体" w:hAnsi="宋体"/>
          <w:sz w:val="21"/>
          <w:szCs w:val="21"/>
        </w:rPr>
        <w:t xml:space="preserve">（1）乙方同意退货，并按合同规定的货币将货款退还给甲方，并且承担由此发生的一切损失和费用，包括利息、银行手续费、运费、保险费、检验费、仓储费、装卸费以及为保护退回标的物所需的其他必要费用。</w:t>
      </w:r>
      <w:r/>
    </w:p>
    <w:p>
      <w:pPr>
        <w:numPr>
          <w:ilvl w:val="0"/>
          <w:numId w:val="5"/>
        </w:numPr>
        <w:ind w:right="-153"/>
        <w:spacing w:line="400" w:lineRule="exact"/>
        <w:widowControl w:val="off"/>
        <w:tabs>
          <w:tab w:val="left" w:pos="1080" w:leader="none"/>
        </w:tabs>
        <w:rPr>
          <w:rFonts w:ascii="宋体" w:hAnsi="宋体"/>
          <w:sz w:val="21"/>
          <w:szCs w:val="21"/>
        </w:rPr>
      </w:pPr>
      <w:r>
        <w:rPr>
          <w:rFonts w:hint="eastAsia" w:ascii="宋体" w:hAnsi="宋体"/>
          <w:sz w:val="21"/>
          <w:szCs w:val="21"/>
        </w:rPr>
        <w:t xml:space="preserve">根据标的物的低劣程度、损坏程度以及甲方遭受损失的数额，经双方协商确定标的物的价格。</w:t>
      </w:r>
      <w:r/>
    </w:p>
    <w:p>
      <w:pPr>
        <w:ind w:left="0" w:right="-153" w:firstLine="420"/>
        <w:spacing w:line="400" w:lineRule="exact"/>
        <w:widowControl w:val="off"/>
        <w:tabs>
          <w:tab w:val="left" w:pos="1080" w:leader="none"/>
        </w:tabs>
        <w:rPr>
          <w:rFonts w:ascii="宋体" w:hAnsi="宋体"/>
          <w:sz w:val="21"/>
          <w:szCs w:val="21"/>
        </w:rPr>
      </w:pPr>
      <w:r>
        <w:rPr>
          <w:rFonts w:hint="eastAsia" w:ascii="宋体" w:hAnsi="宋体"/>
          <w:sz w:val="21"/>
          <w:szCs w:val="21"/>
        </w:rPr>
        <w:t xml:space="preserve">（3）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numPr>
          <w:ilvl w:val="1"/>
          <w:numId w:val="4"/>
        </w:numPr>
        <w:ind w:left="540" w:hanging="540"/>
        <w:spacing w:line="400" w:lineRule="exact"/>
        <w:widowControl w:val="off"/>
        <w:tabs>
          <w:tab w:val="left" w:pos="540" w:leader="none"/>
        </w:tabs>
        <w:rPr>
          <w:rFonts w:ascii="宋体" w:hAnsi="宋体"/>
          <w:sz w:val="21"/>
          <w:szCs w:val="21"/>
        </w:rPr>
      </w:pPr>
      <w:r>
        <w:rPr>
          <w:rFonts w:hint="eastAsia" w:ascii="宋体" w:hAnsi="宋体"/>
          <w:sz w:val="21"/>
          <w:szCs w:val="21"/>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 </w:t>
      </w:r>
      <w:r/>
    </w:p>
    <w:p>
      <w:pPr>
        <w:numPr>
          <w:ilvl w:val="1"/>
          <w:numId w:val="4"/>
        </w:numPr>
        <w:ind w:left="540" w:hanging="540"/>
        <w:spacing w:line="400" w:lineRule="exact"/>
        <w:widowControl w:val="off"/>
        <w:tabs>
          <w:tab w:val="left" w:pos="540" w:leader="none"/>
        </w:tabs>
        <w:rPr>
          <w:rFonts w:ascii="宋体" w:hAnsi="宋体"/>
          <w:sz w:val="21"/>
          <w:szCs w:val="21"/>
        </w:rPr>
      </w:pPr>
      <w:r>
        <w:rPr>
          <w:rFonts w:hint="eastAsia" w:ascii="宋体" w:hAnsi="宋体"/>
          <w:sz w:val="21"/>
          <w:szCs w:val="21"/>
        </w:rPr>
        <w:t xml:space="preserve">甲方提出索赔的书面材料应报政府采购管理部门备案；乙方同意的索赔方案应报政府采购管理部门审核。</w:t>
      </w:r>
      <w:r/>
    </w:p>
    <w:p>
      <w:pPr>
        <w:numPr>
          <w:ilvl w:val="0"/>
          <w:numId w:val="4"/>
        </w:numPr>
        <w:ind w:left="540" w:hanging="540"/>
        <w:spacing w:line="400" w:lineRule="exact"/>
        <w:widowControl w:val="off"/>
        <w:tabs>
          <w:tab w:val="left" w:pos="540" w:leader="none"/>
        </w:tabs>
        <w:rPr>
          <w:rFonts w:ascii="宋体" w:hAnsi="宋体"/>
          <w:b/>
          <w:sz w:val="21"/>
          <w:szCs w:val="21"/>
        </w:rPr>
      </w:pPr>
      <w:r>
        <w:rPr>
          <w:rFonts w:hint="eastAsia" w:ascii="宋体" w:hAnsi="宋体"/>
          <w:b/>
          <w:sz w:val="21"/>
          <w:szCs w:val="21"/>
        </w:rPr>
        <w:t xml:space="preserve">合同修改</w:t>
      </w:r>
      <w:r/>
    </w:p>
    <w:p>
      <w:pPr>
        <w:numPr>
          <w:ilvl w:val="1"/>
          <w:numId w:val="4"/>
        </w:numPr>
        <w:ind w:left="540" w:hanging="540"/>
        <w:spacing w:line="400" w:lineRule="exact"/>
        <w:widowControl w:val="off"/>
        <w:tabs>
          <w:tab w:val="left" w:pos="540" w:leader="none"/>
        </w:tabs>
        <w:rPr>
          <w:rFonts w:ascii="宋体" w:hAnsi="宋体"/>
          <w:sz w:val="21"/>
          <w:szCs w:val="21"/>
        </w:rPr>
      </w:pPr>
      <w:r>
        <w:rPr>
          <w:rFonts w:hint="eastAsia" w:ascii="宋体" w:hAnsi="宋体"/>
          <w:sz w:val="21"/>
          <w:szCs w:val="21"/>
        </w:rPr>
        <w:t xml:space="preserve">甲方和乙方都不得擅自变更本合同，但合同继续履行将损害国家和社会公共利益的除外。在合同履行中，甲方可以增加原中标货物的数量，但增加的总金额不得超过中标货物金额的10%。</w:t>
      </w:r>
      <w:r/>
    </w:p>
    <w:p>
      <w:pPr>
        <w:numPr>
          <w:ilvl w:val="0"/>
          <w:numId w:val="4"/>
        </w:numPr>
        <w:ind w:left="540" w:hanging="540"/>
        <w:spacing w:line="400" w:lineRule="exact"/>
        <w:widowControl w:val="off"/>
        <w:tabs>
          <w:tab w:val="left" w:pos="540" w:leader="none"/>
        </w:tabs>
        <w:rPr>
          <w:rFonts w:ascii="宋体" w:hAnsi="宋体"/>
          <w:b/>
          <w:sz w:val="21"/>
          <w:szCs w:val="21"/>
        </w:rPr>
      </w:pPr>
      <w:r>
        <w:rPr>
          <w:rFonts w:hint="eastAsia" w:ascii="宋体" w:hAnsi="宋体"/>
          <w:b/>
          <w:sz w:val="21"/>
          <w:szCs w:val="21"/>
        </w:rPr>
        <w:t xml:space="preserve">转让及分包</w:t>
      </w:r>
      <w:r/>
    </w:p>
    <w:p>
      <w:pPr>
        <w:numPr>
          <w:ilvl w:val="1"/>
          <w:numId w:val="4"/>
        </w:numPr>
        <w:ind w:left="540" w:hanging="540"/>
        <w:spacing w:line="400" w:lineRule="exact"/>
        <w:widowControl w:val="off"/>
        <w:tabs>
          <w:tab w:val="left" w:pos="540" w:leader="none"/>
        </w:tabs>
        <w:rPr>
          <w:rFonts w:ascii="宋体" w:hAnsi="宋体"/>
          <w:sz w:val="21"/>
          <w:szCs w:val="21"/>
        </w:rPr>
      </w:pPr>
      <w:r>
        <w:rPr>
          <w:rFonts w:hint="eastAsia" w:ascii="宋体" w:hAnsi="宋体"/>
          <w:sz w:val="21"/>
          <w:szCs w:val="21"/>
        </w:rPr>
        <w:t xml:space="preserve">政府采购合同的部分和全部都不得转让、分包。</w:t>
      </w:r>
      <w:r/>
    </w:p>
    <w:p>
      <w:pPr>
        <w:numPr>
          <w:ilvl w:val="0"/>
          <w:numId w:val="4"/>
        </w:numPr>
        <w:ind w:left="540" w:hanging="540"/>
        <w:spacing w:line="400" w:lineRule="exact"/>
        <w:widowControl w:val="off"/>
        <w:tabs>
          <w:tab w:val="left" w:pos="540" w:leader="none"/>
        </w:tabs>
        <w:rPr>
          <w:rFonts w:ascii="宋体" w:hAnsi="宋体"/>
          <w:b/>
          <w:sz w:val="21"/>
          <w:szCs w:val="21"/>
        </w:rPr>
      </w:pPr>
      <w:r>
        <w:rPr>
          <w:rFonts w:hint="eastAsia" w:ascii="宋体" w:hAnsi="宋体"/>
          <w:b/>
          <w:sz w:val="21"/>
          <w:szCs w:val="21"/>
        </w:rPr>
        <w:t xml:space="preserve">合同的解除</w:t>
      </w:r>
      <w:r/>
    </w:p>
    <w:p>
      <w:pPr>
        <w:numPr>
          <w:ilvl w:val="1"/>
          <w:numId w:val="4"/>
        </w:numPr>
        <w:ind w:left="540" w:hanging="540"/>
        <w:spacing w:line="400" w:lineRule="exact"/>
        <w:widowControl w:val="off"/>
        <w:tabs>
          <w:tab w:val="left" w:pos="540" w:leader="none"/>
        </w:tabs>
        <w:rPr>
          <w:rFonts w:ascii="宋体" w:hAnsi="宋体"/>
          <w:sz w:val="21"/>
          <w:szCs w:val="21"/>
        </w:rPr>
      </w:pPr>
      <w:r>
        <w:rPr>
          <w:rFonts w:hint="eastAsia" w:ascii="宋体" w:hAnsi="宋体"/>
          <w:sz w:val="21"/>
          <w:szCs w:val="21"/>
        </w:rPr>
        <w:t xml:space="preserve">有下列情形之一，合同一方可以解除合同：</w:t>
      </w:r>
      <w:r/>
    </w:p>
    <w:p>
      <w:pPr>
        <w:numPr>
          <w:ilvl w:val="0"/>
          <w:numId w:val="6"/>
        </w:numPr>
        <w:ind w:left="1080" w:right="-153" w:hanging="540"/>
        <w:spacing w:line="400" w:lineRule="exact"/>
        <w:widowControl w:val="off"/>
        <w:tabs>
          <w:tab w:val="left" w:pos="1080" w:leader="none"/>
        </w:tabs>
        <w:rPr>
          <w:rFonts w:ascii="宋体" w:hAnsi="宋体"/>
          <w:sz w:val="21"/>
          <w:szCs w:val="21"/>
        </w:rPr>
      </w:pPr>
      <w:r>
        <w:rPr>
          <w:rFonts w:hint="eastAsia" w:ascii="宋体" w:hAnsi="宋体"/>
          <w:sz w:val="21"/>
          <w:szCs w:val="21"/>
        </w:rPr>
        <w:t xml:space="preserve">因不可抗力致使不能实现合同目的，未受不可抗力影响的一方有权解除合同；</w:t>
      </w:r>
      <w:r/>
    </w:p>
    <w:p>
      <w:pPr>
        <w:numPr>
          <w:ilvl w:val="0"/>
          <w:numId w:val="6"/>
        </w:numPr>
        <w:ind w:left="1080" w:right="-153" w:hanging="540"/>
        <w:spacing w:line="400" w:lineRule="exact"/>
        <w:widowControl w:val="off"/>
        <w:tabs>
          <w:tab w:val="left" w:pos="1080" w:leader="none"/>
        </w:tabs>
        <w:rPr>
          <w:rFonts w:ascii="宋体" w:hAnsi="宋体"/>
          <w:sz w:val="21"/>
          <w:szCs w:val="21"/>
        </w:rPr>
      </w:pPr>
      <w:r>
        <w:rPr>
          <w:rFonts w:hint="eastAsia" w:ascii="宋体" w:hAnsi="宋体"/>
          <w:sz w:val="21"/>
          <w:szCs w:val="21"/>
        </w:rPr>
        <w:t xml:space="preserve">因合同一方违约导致合同不能履行，另一方有权解除合同。</w:t>
      </w:r>
      <w:r/>
    </w:p>
    <w:p>
      <w:pPr>
        <w:numPr>
          <w:ilvl w:val="0"/>
          <w:numId w:val="6"/>
        </w:numPr>
        <w:ind w:left="1080" w:right="-153" w:hanging="540"/>
        <w:spacing w:line="400" w:lineRule="exact"/>
        <w:widowControl w:val="off"/>
        <w:tabs>
          <w:tab w:val="left" w:pos="1080" w:leader="none"/>
        </w:tabs>
        <w:rPr>
          <w:rFonts w:ascii="宋体" w:hAnsi="宋体"/>
          <w:sz w:val="21"/>
          <w:szCs w:val="21"/>
        </w:rPr>
      </w:pPr>
      <w:r>
        <w:rPr>
          <w:rFonts w:hint="eastAsia" w:ascii="宋体" w:hAnsi="宋体"/>
          <w:sz w:val="21"/>
          <w:szCs w:val="21"/>
        </w:rPr>
        <w:t xml:space="preserve">招标文件规定的其他可以解除合同的情形。</w:t>
      </w:r>
      <w:r/>
    </w:p>
    <w:p>
      <w:pPr>
        <w:numPr>
          <w:ilvl w:val="1"/>
          <w:numId w:val="4"/>
        </w:numPr>
        <w:ind w:left="540" w:hanging="540"/>
        <w:spacing w:line="400" w:lineRule="exact"/>
        <w:widowControl w:val="off"/>
        <w:tabs>
          <w:tab w:val="left" w:pos="540" w:leader="none"/>
        </w:tabs>
        <w:rPr>
          <w:rFonts w:ascii="宋体" w:hAnsi="宋体"/>
          <w:sz w:val="21"/>
          <w:szCs w:val="21"/>
        </w:rPr>
      </w:pPr>
      <w:r>
        <w:rPr>
          <w:rFonts w:hint="eastAsia" w:ascii="宋体" w:hAnsi="宋体"/>
          <w:sz w:val="21"/>
          <w:szCs w:val="21"/>
        </w:rPr>
        <w:t xml:space="preserve">有权解除合同的一方，应当在违约事实或不可抗力发生之后三十天内书面通知对方以主张解除合同，合同在书面通知到达对方时解除。</w:t>
      </w:r>
      <w:r/>
    </w:p>
    <w:p>
      <w:pPr>
        <w:numPr>
          <w:ilvl w:val="0"/>
          <w:numId w:val="4"/>
        </w:numPr>
        <w:ind w:left="540" w:hanging="540"/>
        <w:spacing w:line="400" w:lineRule="exact"/>
        <w:widowControl w:val="off"/>
        <w:tabs>
          <w:tab w:val="left" w:pos="540" w:leader="none"/>
        </w:tabs>
        <w:rPr>
          <w:rFonts w:ascii="宋体" w:hAnsi="宋体"/>
          <w:b/>
          <w:sz w:val="21"/>
          <w:szCs w:val="21"/>
        </w:rPr>
      </w:pPr>
      <w:r>
        <w:rPr>
          <w:rFonts w:hint="eastAsia" w:ascii="宋体" w:hAnsi="宋体"/>
          <w:b/>
          <w:sz w:val="21"/>
          <w:szCs w:val="21"/>
        </w:rPr>
        <w:t xml:space="preserve">争议解决办法</w:t>
      </w:r>
      <w:r/>
    </w:p>
    <w:p>
      <w:pPr>
        <w:ind w:left="0" w:firstLine="539"/>
        <w:spacing w:line="400" w:lineRule="exact"/>
        <w:widowControl w:val="off"/>
        <w:rPr>
          <w:rFonts w:ascii="宋体" w:hAnsi="宋体"/>
          <w:sz w:val="21"/>
          <w:szCs w:val="21"/>
        </w:rPr>
      </w:pPr>
      <w:r>
        <w:rPr>
          <w:rFonts w:hint="eastAsia" w:ascii="宋体" w:hAnsi="宋体"/>
          <w:sz w:val="21"/>
          <w:szCs w:val="21"/>
        </w:rPr>
        <w:t xml:space="preserve">因本合同或与本合同有关的一切事项发生争议，由双方友好协商解决。协商不成的，任何一方均可选择以下方式解决：</w:t>
      </w:r>
      <w:r/>
    </w:p>
    <w:p>
      <w:pPr>
        <w:ind w:left="0" w:firstLine="539"/>
        <w:spacing w:line="400" w:lineRule="exact"/>
        <w:widowControl w:val="off"/>
        <w:rPr>
          <w:rFonts w:ascii="宋体" w:hAnsi="宋体"/>
          <w:sz w:val="21"/>
          <w:szCs w:val="21"/>
        </w:rPr>
      </w:pPr>
      <w:r>
        <w:rPr>
          <w:rFonts w:hint="eastAsia" w:ascii="宋体" w:hAnsi="宋体"/>
          <w:sz w:val="21"/>
          <w:szCs w:val="21"/>
        </w:rPr>
        <w:t xml:space="preserve">向甲方所在地的人民法院起诉。</w:t>
      </w:r>
      <w:r/>
    </w:p>
    <w:p>
      <w:pPr>
        <w:numPr>
          <w:ilvl w:val="0"/>
          <w:numId w:val="4"/>
        </w:numPr>
        <w:ind w:left="540" w:hanging="540"/>
        <w:spacing w:line="400" w:lineRule="exact"/>
        <w:widowControl w:val="off"/>
        <w:tabs>
          <w:tab w:val="left" w:pos="540" w:leader="none"/>
        </w:tabs>
        <w:rPr>
          <w:rFonts w:ascii="宋体" w:hAnsi="宋体"/>
          <w:b/>
          <w:sz w:val="21"/>
          <w:szCs w:val="21"/>
        </w:rPr>
      </w:pPr>
      <w:r>
        <w:rPr>
          <w:rFonts w:hint="eastAsia" w:ascii="宋体" w:hAnsi="宋体"/>
          <w:b/>
          <w:sz w:val="21"/>
          <w:szCs w:val="21"/>
        </w:rPr>
        <w:t xml:space="preserve">合同生效及其他</w:t>
      </w:r>
      <w:r/>
    </w:p>
    <w:p>
      <w:pPr>
        <w:numPr>
          <w:ilvl w:val="1"/>
          <w:numId w:val="4"/>
        </w:numPr>
        <w:ind w:left="540" w:hanging="540"/>
        <w:spacing w:line="400" w:lineRule="exact"/>
        <w:widowControl w:val="off"/>
        <w:tabs>
          <w:tab w:val="left" w:pos="540" w:leader="none"/>
        </w:tabs>
        <w:rPr>
          <w:rFonts w:ascii="宋体" w:hAnsi="宋体"/>
          <w:sz w:val="21"/>
          <w:szCs w:val="21"/>
        </w:rPr>
      </w:pPr>
      <w:r>
        <w:rPr>
          <w:rFonts w:hint="eastAsia" w:ascii="宋体" w:hAnsi="宋体"/>
          <w:sz w:val="21"/>
          <w:szCs w:val="21"/>
        </w:rPr>
        <w:t xml:space="preserve">本合同经双方法定（授权）代表人签字（或盖章）并盖单位公章（合同章）后生效，并由政府采购监督管理部门备案。</w:t>
      </w:r>
      <w:r/>
    </w:p>
    <w:p>
      <w:pPr>
        <w:numPr>
          <w:ilvl w:val="1"/>
          <w:numId w:val="4"/>
        </w:numPr>
        <w:ind w:left="540" w:hanging="540"/>
        <w:spacing w:line="400" w:lineRule="exact"/>
        <w:widowControl w:val="off"/>
        <w:tabs>
          <w:tab w:val="left" w:pos="540" w:leader="none"/>
        </w:tabs>
        <w:rPr>
          <w:rFonts w:ascii="宋体" w:hAnsi="宋体"/>
          <w:sz w:val="21"/>
          <w:szCs w:val="21"/>
        </w:rPr>
      </w:pPr>
      <w:r>
        <w:rPr>
          <w:rFonts w:hint="eastAsia" w:ascii="宋体" w:hAnsi="宋体"/>
          <w:sz w:val="21"/>
          <w:szCs w:val="21"/>
        </w:rPr>
        <w:t xml:space="preserve">下列文件为本合同不可分割部分：</w:t>
      </w:r>
      <w:r/>
    </w:p>
    <w:p>
      <w:pPr>
        <w:numPr>
          <w:ilvl w:val="0"/>
          <w:numId w:val="7"/>
        </w:numPr>
        <w:ind w:left="1080" w:right="-153" w:hanging="540"/>
        <w:spacing w:line="400" w:lineRule="exact"/>
        <w:widowControl w:val="off"/>
        <w:tabs>
          <w:tab w:val="left" w:pos="1080" w:leader="none"/>
        </w:tabs>
        <w:rPr>
          <w:rFonts w:ascii="宋体" w:hAnsi="宋体"/>
          <w:sz w:val="21"/>
          <w:szCs w:val="21"/>
        </w:rPr>
      </w:pPr>
      <w:r>
        <w:rPr>
          <w:rFonts w:hint="eastAsia" w:ascii="宋体" w:hAnsi="宋体"/>
          <w:sz w:val="21"/>
          <w:szCs w:val="21"/>
        </w:rPr>
        <w:t xml:space="preserve">中标通知书；</w:t>
      </w:r>
      <w:r/>
    </w:p>
    <w:p>
      <w:pPr>
        <w:numPr>
          <w:ilvl w:val="0"/>
          <w:numId w:val="7"/>
        </w:numPr>
        <w:ind w:left="1080" w:right="-153" w:hanging="540"/>
        <w:spacing w:line="400" w:lineRule="exact"/>
        <w:widowControl w:val="off"/>
        <w:tabs>
          <w:tab w:val="left" w:pos="1080" w:leader="none"/>
        </w:tabs>
        <w:rPr>
          <w:rFonts w:ascii="宋体" w:hAnsi="宋体"/>
          <w:sz w:val="21"/>
          <w:szCs w:val="21"/>
        </w:rPr>
      </w:pPr>
      <w:r>
        <w:rPr>
          <w:rFonts w:hint="eastAsia" w:ascii="宋体" w:hAnsi="宋体"/>
          <w:sz w:val="21"/>
          <w:szCs w:val="21"/>
        </w:rPr>
        <w:t xml:space="preserve">乙方中标的投标书；</w:t>
      </w:r>
      <w:r/>
    </w:p>
    <w:p>
      <w:pPr>
        <w:numPr>
          <w:ilvl w:val="0"/>
          <w:numId w:val="7"/>
        </w:numPr>
        <w:ind w:left="1080" w:right="-153" w:hanging="540"/>
        <w:spacing w:line="400" w:lineRule="exact"/>
        <w:widowControl w:val="off"/>
        <w:tabs>
          <w:tab w:val="left" w:pos="1080" w:leader="none"/>
        </w:tabs>
        <w:rPr>
          <w:rFonts w:ascii="宋体" w:hAnsi="宋体"/>
          <w:sz w:val="21"/>
          <w:szCs w:val="21"/>
        </w:rPr>
      </w:pPr>
      <w:r>
        <w:rPr>
          <w:rFonts w:hint="eastAsia" w:ascii="宋体" w:hAnsi="宋体"/>
          <w:sz w:val="21"/>
          <w:szCs w:val="21"/>
        </w:rPr>
        <w:t xml:space="preserve">招标文件；</w:t>
      </w:r>
      <w:r/>
    </w:p>
    <w:p>
      <w:pPr>
        <w:numPr>
          <w:ilvl w:val="0"/>
          <w:numId w:val="7"/>
        </w:numPr>
        <w:ind w:left="1080" w:right="-153" w:hanging="540"/>
        <w:spacing w:line="400" w:lineRule="exact"/>
        <w:widowControl w:val="off"/>
        <w:tabs>
          <w:tab w:val="left" w:pos="1080" w:leader="none"/>
        </w:tabs>
        <w:rPr>
          <w:rFonts w:ascii="宋体" w:hAnsi="宋体"/>
          <w:sz w:val="21"/>
          <w:szCs w:val="21"/>
        </w:rPr>
      </w:pPr>
      <w:r>
        <w:rPr>
          <w:rFonts w:hint="eastAsia" w:ascii="宋体" w:hAnsi="宋体"/>
          <w:sz w:val="21"/>
          <w:szCs w:val="21"/>
        </w:rPr>
        <w:t xml:space="preserve">乙方在招投标过程中所作的其他承诺、声明、书面澄清等。</w:t>
      </w:r>
      <w:r/>
    </w:p>
    <w:p>
      <w:pPr>
        <w:numPr>
          <w:ilvl w:val="1"/>
          <w:numId w:val="4"/>
        </w:numPr>
        <w:ind w:left="540" w:hanging="540"/>
        <w:spacing w:line="400" w:lineRule="exact"/>
        <w:widowControl w:val="off"/>
        <w:tabs>
          <w:tab w:val="left" w:pos="540" w:leader="none"/>
        </w:tabs>
        <w:rPr>
          <w:rFonts w:ascii="宋体" w:hAnsi="宋体"/>
          <w:sz w:val="21"/>
          <w:szCs w:val="21"/>
        </w:rPr>
      </w:pPr>
      <w:r>
        <w:rPr>
          <w:rFonts w:hint="eastAsia" w:ascii="宋体" w:hAnsi="宋体"/>
          <w:sz w:val="21"/>
          <w:szCs w:val="21"/>
        </w:rPr>
        <w:t xml:space="preserve">合同在执行过程中出现的未尽事宜，双方在不违背本合同和采购文件的原则下协商解决，协商结果以书面形式盖章记录在案，作为本合同的附件，与本合同具有同等效力，并提交苏州公正建设咨询房地产评估有限公司备存。</w:t>
      </w:r>
      <w:r/>
    </w:p>
    <w:p>
      <w:pPr>
        <w:numPr>
          <w:ilvl w:val="0"/>
          <w:numId w:val="4"/>
        </w:numPr>
        <w:ind w:left="540" w:hanging="540"/>
        <w:spacing w:line="400" w:lineRule="exact"/>
        <w:widowControl w:val="off"/>
        <w:tabs>
          <w:tab w:val="left" w:pos="-180" w:leader="none"/>
        </w:tabs>
        <w:rPr>
          <w:rFonts w:ascii="宋体" w:hAnsi="宋体"/>
          <w:b/>
          <w:sz w:val="21"/>
          <w:szCs w:val="21"/>
        </w:rPr>
      </w:pPr>
      <w:r>
        <w:rPr>
          <w:rFonts w:hint="eastAsia" w:ascii="宋体" w:hAnsi="宋体"/>
          <w:b/>
          <w:sz w:val="21"/>
          <w:szCs w:val="21"/>
        </w:rPr>
        <w:t xml:space="preserve">未尽事宜</w:t>
      </w:r>
      <w:r/>
    </w:p>
    <w:p>
      <w:pPr>
        <w:ind w:left="0" w:firstLine="539"/>
        <w:spacing w:line="400" w:lineRule="exact"/>
        <w:widowControl w:val="off"/>
        <w:rPr>
          <w:rFonts w:ascii="宋体" w:hAnsi="宋体"/>
          <w:sz w:val="21"/>
          <w:szCs w:val="21"/>
        </w:rPr>
      </w:pPr>
      <w:r>
        <w:rPr>
          <w:rFonts w:hint="eastAsia" w:ascii="宋体" w:hAnsi="宋体"/>
          <w:sz w:val="21"/>
          <w:szCs w:val="21"/>
        </w:rPr>
        <w:t xml:space="preserve">未尽事宜应按照《中华人民共和国民法典》、《中华人民共和国政府采购法》等相关法律法规之规定解释。</w:t>
      </w:r>
      <w:r/>
    </w:p>
    <w:p>
      <w:pPr>
        <w:numPr>
          <w:ilvl w:val="0"/>
          <w:numId w:val="4"/>
        </w:numPr>
        <w:ind w:left="540" w:hanging="540"/>
        <w:spacing w:line="400" w:lineRule="exact"/>
        <w:widowControl w:val="off"/>
        <w:tabs>
          <w:tab w:val="left" w:pos="540" w:leader="none"/>
        </w:tabs>
        <w:rPr>
          <w:rFonts w:ascii="宋体" w:hAnsi="宋体"/>
          <w:b/>
          <w:sz w:val="21"/>
          <w:szCs w:val="21"/>
        </w:rPr>
      </w:pPr>
      <w:r>
        <w:rPr>
          <w:rFonts w:hint="eastAsia" w:ascii="宋体" w:hAnsi="宋体"/>
          <w:b/>
          <w:sz w:val="21"/>
          <w:szCs w:val="21"/>
        </w:rPr>
        <w:t xml:space="preserve">附则</w:t>
      </w:r>
      <w:r/>
    </w:p>
    <w:p>
      <w:pPr>
        <w:ind w:left="0" w:firstLine="539"/>
        <w:spacing w:line="400" w:lineRule="exact"/>
        <w:widowControl w:val="off"/>
        <w:rPr>
          <w:rFonts w:ascii="宋体" w:hAnsi="宋体"/>
          <w:bCs/>
          <w:sz w:val="21"/>
          <w:szCs w:val="21"/>
        </w:rPr>
      </w:pPr>
      <w:r>
        <w:rPr>
          <w:rFonts w:hint="eastAsia" w:ascii="宋体" w:hAnsi="宋体"/>
          <w:bCs/>
          <w:sz w:val="21"/>
          <w:szCs w:val="21"/>
        </w:rPr>
        <w:t xml:space="preserve">本合同一式</w:t>
      </w:r>
      <w:r>
        <w:rPr>
          <w:rFonts w:hint="eastAsia" w:ascii="宋体" w:hAnsi="宋体"/>
          <w:bCs/>
          <w:sz w:val="21"/>
          <w:szCs w:val="21"/>
          <w:u w:val="single"/>
        </w:rPr>
        <w:t xml:space="preserve">   </w:t>
      </w:r>
      <w:r>
        <w:rPr>
          <w:rFonts w:hint="eastAsia" w:ascii="宋体" w:hAnsi="宋体"/>
          <w:bCs/>
          <w:sz w:val="21"/>
          <w:szCs w:val="21"/>
        </w:rPr>
        <w:t xml:space="preserve">份，甲方执</w:t>
      </w:r>
      <w:r>
        <w:rPr>
          <w:rFonts w:hint="eastAsia" w:ascii="宋体" w:hAnsi="宋体"/>
          <w:bCs/>
          <w:sz w:val="21"/>
          <w:szCs w:val="21"/>
          <w:u w:val="single"/>
        </w:rPr>
        <w:t xml:space="preserve">  </w:t>
      </w:r>
      <w:r>
        <w:rPr>
          <w:rFonts w:hint="eastAsia" w:ascii="宋体" w:hAnsi="宋体"/>
          <w:bCs/>
          <w:sz w:val="21"/>
          <w:szCs w:val="21"/>
        </w:rPr>
        <w:t xml:space="preserve">份，乙方执</w:t>
      </w:r>
      <w:r>
        <w:rPr>
          <w:rFonts w:hint="eastAsia" w:ascii="宋体" w:hAnsi="宋体"/>
          <w:bCs/>
          <w:sz w:val="21"/>
          <w:szCs w:val="21"/>
          <w:u w:val="single"/>
        </w:rPr>
        <w:t xml:space="preserve">   </w:t>
      </w:r>
      <w:r>
        <w:rPr>
          <w:rFonts w:hint="eastAsia" w:ascii="宋体" w:hAnsi="宋体"/>
          <w:bCs/>
          <w:sz w:val="21"/>
          <w:szCs w:val="21"/>
        </w:rPr>
        <w:t xml:space="preserve">份，采购代理机构二份。</w:t>
      </w:r>
      <w:r/>
    </w:p>
    <w:p>
      <w:pPr>
        <w:ind w:left="0"/>
        <w:widowControl w:val="off"/>
        <w:rPr>
          <w:rFonts w:ascii="宋体" w:hAnsi="宋体"/>
          <w:sz w:val="28"/>
        </w:rPr>
      </w:pPr>
      <w:r>
        <w:rPr>
          <w:rFonts w:ascii="宋体" w:hAnsi="宋体"/>
          <w:sz w:val="28"/>
        </w:rPr>
      </w:r>
      <w:r/>
    </w:p>
    <w:p>
      <w:pPr>
        <w:ind w:left="0" w:firstLine="420"/>
        <w:spacing w:line="360" w:lineRule="auto"/>
        <w:widowControl w:val="off"/>
        <w:tabs>
          <w:tab w:val="left" w:pos="540" w:leader="none"/>
        </w:tabs>
        <w:rPr>
          <w:rFonts w:ascii="宋体" w:hAnsi="宋体" w:cs="仿宋_GB2312"/>
          <w:bCs/>
          <w:sz w:val="21"/>
          <w:szCs w:val="21"/>
        </w:rPr>
      </w:pPr>
      <w:r>
        <w:rPr>
          <w:rFonts w:hint="eastAsia" w:ascii="宋体" w:hAnsi="宋体" w:cs="仿宋_GB2312"/>
          <w:bCs/>
          <w:sz w:val="21"/>
          <w:szCs w:val="21"/>
        </w:rPr>
        <w:t xml:space="preserve">甲方（盖章）：                           </w:t>
      </w:r>
      <w:r>
        <w:rPr>
          <w:rFonts w:hint="eastAsia" w:ascii="宋体" w:hAnsi="宋体" w:cs="仿宋_GB2312"/>
          <w:bCs/>
          <w:sz w:val="21"/>
          <w:szCs w:val="21"/>
        </w:rPr>
        <w:tab/>
        <w:t xml:space="preserve">乙方（盖章）：</w:t>
      </w:r>
      <w:r/>
    </w:p>
    <w:p>
      <w:pPr>
        <w:ind w:left="0" w:firstLine="420"/>
        <w:spacing w:line="360" w:lineRule="auto"/>
        <w:widowControl w:val="off"/>
        <w:tabs>
          <w:tab w:val="left" w:pos="540" w:leader="none"/>
        </w:tabs>
        <w:rPr>
          <w:rFonts w:ascii="宋体" w:hAnsi="宋体" w:cs="仿宋_GB2312"/>
          <w:bCs/>
          <w:sz w:val="21"/>
          <w:szCs w:val="21"/>
        </w:rPr>
      </w:pPr>
      <w:r>
        <w:rPr>
          <w:rFonts w:hint="eastAsia" w:ascii="宋体" w:hAnsi="宋体" w:cs="仿宋_GB2312"/>
          <w:bCs/>
          <w:sz w:val="21"/>
          <w:szCs w:val="21"/>
        </w:rPr>
        <w:t xml:space="preserve">法定（授权）代表人（签字）：             </w:t>
      </w:r>
      <w:r>
        <w:rPr>
          <w:rFonts w:hint="eastAsia" w:ascii="宋体" w:hAnsi="宋体" w:cs="仿宋_GB2312"/>
          <w:bCs/>
          <w:sz w:val="21"/>
          <w:szCs w:val="21"/>
        </w:rPr>
        <w:tab/>
        <w:t xml:space="preserve">法定（授权）代表人（签字）：</w:t>
      </w:r>
      <w:r/>
    </w:p>
    <w:p>
      <w:pPr>
        <w:ind w:left="0" w:firstLine="420"/>
        <w:spacing w:after="120" w:line="360" w:lineRule="auto"/>
        <w:widowControl w:val="off"/>
        <w:rPr>
          <w:rFonts w:ascii="宋体" w:hAnsi="宋体" w:cs="Times New Roman"/>
          <w:b/>
          <w:sz w:val="44"/>
          <w:szCs w:val="44"/>
        </w:rPr>
      </w:pPr>
      <w:r>
        <w:rPr>
          <w:rFonts w:hint="eastAsia" w:ascii="宋体" w:hAnsi="宋体" w:cs="仿宋_GB2312"/>
          <w:bCs/>
          <w:sz w:val="21"/>
          <w:szCs w:val="21"/>
        </w:rPr>
        <w:t xml:space="preserve">日期：                                   </w:t>
      </w:r>
      <w:r>
        <w:rPr>
          <w:rFonts w:hint="eastAsia" w:ascii="宋体" w:hAnsi="宋体" w:cs="仿宋_GB2312"/>
          <w:bCs/>
          <w:sz w:val="21"/>
          <w:szCs w:val="21"/>
        </w:rPr>
        <w:tab/>
        <w:t xml:space="preserve">日期：</w:t>
      </w:r>
      <w:r>
        <w:rPr>
          <w:rFonts w:ascii="宋体" w:hAnsi="宋体" w:cs="Times New Roman"/>
          <w:b/>
          <w:sz w:val="44"/>
          <w:szCs w:val="44"/>
        </w:rPr>
        <w:t xml:space="preserve"> </w:t>
      </w:r>
      <w:r/>
    </w:p>
    <w:p>
      <w:pPr>
        <w:ind w:left="0"/>
        <w:jc w:val="left"/>
        <w:rPr>
          <w:rFonts w:ascii="宋体" w:hAnsi="宋体" w:cs="Times New Roman"/>
          <w:b/>
          <w:sz w:val="21"/>
          <w:szCs w:val="21"/>
          <w:lang w:val="zh-CN"/>
        </w:rPr>
      </w:pPr>
      <w:r>
        <w:rPr>
          <w:rFonts w:ascii="宋体" w:hAnsi="宋体" w:cs="Times New Roman"/>
          <w:b/>
          <w:sz w:val="21"/>
          <w:szCs w:val="21"/>
          <w:lang w:val="zh-CN"/>
        </w:rPr>
        <w:br w:type="page" w:clear="all"/>
      </w:r>
      <w:r/>
    </w:p>
    <w:p>
      <w:pPr>
        <w:pStyle w:val="866"/>
        <w:ind w:left="0" w:firstLine="0"/>
        <w:jc w:val="center"/>
        <w:spacing w:line="240" w:lineRule="auto"/>
        <w:rPr>
          <w:rFonts w:ascii="宋体" w:hAnsi="宋体"/>
          <w:b/>
          <w:sz w:val="44"/>
          <w:szCs w:val="22"/>
        </w:rPr>
      </w:pPr>
      <w:r/>
      <w:bookmarkStart w:id="103" w:name="_Toc159146132"/>
      <w:r>
        <w:rPr>
          <w:rFonts w:hint="eastAsia" w:ascii="宋体" w:hAnsi="宋体"/>
          <w:b/>
          <w:sz w:val="44"/>
          <w:szCs w:val="22"/>
        </w:rPr>
        <w:t xml:space="preserve">第六章 </w:t>
      </w:r>
      <w:bookmarkStart w:id="104" w:name="评分要点"/>
      <w:r/>
      <w:bookmarkEnd w:id="104"/>
      <w:r>
        <w:rPr>
          <w:rFonts w:hint="eastAsia" w:ascii="宋体" w:hAnsi="宋体"/>
          <w:b/>
          <w:sz w:val="44"/>
          <w:szCs w:val="22"/>
        </w:rPr>
        <w:t xml:space="preserve">评标办法和评分标准</w:t>
      </w:r>
      <w:bookmarkEnd w:id="100"/>
      <w:r/>
      <w:bookmarkEnd w:id="101"/>
      <w:r/>
      <w:bookmarkEnd w:id="102"/>
      <w:r/>
      <w:bookmarkEnd w:id="103"/>
      <w:r/>
      <w:r/>
    </w:p>
    <w:p>
      <w:pPr>
        <w:ind w:left="0" w:firstLine="422"/>
        <w:spacing w:line="360" w:lineRule="auto"/>
        <w:rPr>
          <w:rFonts w:ascii="宋体" w:hAnsi="宋体"/>
          <w:b/>
          <w:sz w:val="21"/>
          <w:szCs w:val="21"/>
        </w:rPr>
      </w:pPr>
      <w:r/>
      <w:bookmarkStart w:id="105" w:name="_Toc17476"/>
      <w:r/>
      <w:bookmarkStart w:id="106" w:name="_Toc16264"/>
      <w:r/>
      <w:bookmarkStart w:id="107" w:name="_Toc698"/>
      <w:r>
        <w:rPr>
          <w:rFonts w:hint="eastAsia" w:ascii="宋体" w:hAnsi="宋体"/>
          <w:b/>
          <w:sz w:val="21"/>
          <w:szCs w:val="21"/>
        </w:rPr>
        <w:t xml:space="preserve">一、评标办法：</w:t>
      </w:r>
      <w:bookmarkEnd w:id="105"/>
      <w:r/>
      <w:bookmarkEnd w:id="106"/>
      <w:r/>
      <w:bookmarkEnd w:id="107"/>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w:t>
      </w:r>
      <w:r/>
    </w:p>
    <w:p>
      <w:pPr>
        <w:ind w:left="0" w:firstLine="420"/>
        <w:spacing w:line="360" w:lineRule="auto"/>
        <w:rPr>
          <w:rFonts w:ascii="宋体" w:hAnsi="宋体"/>
          <w:sz w:val="21"/>
        </w:rPr>
      </w:pPr>
      <w:r>
        <w:rPr>
          <w:rFonts w:hint="eastAsia" w:ascii="宋体" w:hAnsi="宋体"/>
          <w:sz w:val="21"/>
        </w:rPr>
        <w:t xml:space="preserve">4.如出现评审总得分最高的投标单位有两个或两个以上的，以报价较低者优先作为中标候选人，如果报价也相同的，则由招标方组织以抽签方式确定中标候选人。</w:t>
      </w:r>
      <w:r/>
    </w:p>
    <w:p>
      <w:pPr>
        <w:ind w:left="0" w:firstLine="420"/>
        <w:spacing w:line="360" w:lineRule="auto"/>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关于对参与供应商信用记录的政府采购要求</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1采购代理机构会在接收投标文件截止时间后，在苏州政府采购交易管理平台开标系统“供应商信用查询”模块查询供应商的信用记录，并将查询结果递交评审小组。苏州政府采购交易管理平台开标系统“供应商信用查询”模块提供来自中国政府采购网、信用中国、信用江苏、信用苏州网站的相关主体信用记录。</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rPr>
          <w:rFonts w:ascii="宋体" w:hAnsi="宋体"/>
          <w:sz w:val="21"/>
        </w:rPr>
      </w:pPr>
      <w:r>
        <w:rPr>
          <w:rFonts w:hint="eastAsia" w:ascii="宋体" w:hAnsi="宋体"/>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.4对存在失信信息的供应商，由失信供应商应签名确认。同时，采购代理机构工作人员应根据评审小组确认的失信信息，登陆到相关来源网站页面进行复核并打印，作为证据留存。</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5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ascii="宋体" w:hAnsi="宋体"/>
          <w:sz w:val="21"/>
        </w:rPr>
        <w:t xml:space="preserve">6</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b/>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w:t>
      </w:r>
      <w:r>
        <w:rPr>
          <w:rFonts w:hint="eastAsia" w:ascii="宋体" w:hAnsi="宋体"/>
          <w:sz w:val="21"/>
        </w:rPr>
        <w:t xml:space="preserve">印发&lt;苏州市政府采购促进中小企业发展实施意见&gt;的通知》（苏财购〔2022〕16号）的有关规定，对于符合上述文件规定情形的小微企业、残疾人福利性单位及监狱企业报价给予</w:t>
      </w:r>
      <w:r>
        <w:rPr>
          <w:rFonts w:hint="eastAsia" w:ascii="宋体" w:hAnsi="宋体"/>
          <w:b/>
          <w:sz w:val="21"/>
        </w:rPr>
        <w:t xml:space="preserve">20%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sz w:val="21"/>
        </w:rPr>
      </w:pPr>
      <w:r>
        <w:rPr>
          <w:rFonts w:hint="eastAsia" w:ascii="宋体" w:hAnsi="宋体"/>
          <w:sz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pStyle w:val="1383"/>
        <w:ind w:left="210" w:firstLine="21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rPr>
          <w:rFonts w:ascii="宋体" w:hAnsi="宋体"/>
          <w:b/>
          <w:sz w:val="21"/>
        </w:rPr>
      </w:pPr>
      <w:r>
        <w:rPr>
          <w:rFonts w:hint="eastAsia" w:ascii="宋体" w:hAnsi="宋体"/>
          <w:b/>
          <w:sz w:val="21"/>
        </w:rPr>
        <w:t xml:space="preserve">③本项目为专门面向中小企业采购的项目或者采购包，不再执行价格评审优惠的扶持政策。</w:t>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二、评分标准：</w:t>
      </w:r>
      <w:r/>
    </w:p>
    <w:p>
      <w:pPr>
        <w:ind w:left="0" w:firstLine="422"/>
        <w:spacing w:line="400" w:lineRule="exact"/>
        <w:widowControl w:val="off"/>
        <w:tabs>
          <w:tab w:val="left" w:pos="567" w:leader="none"/>
        </w:tabs>
        <w:rPr>
          <w:rFonts w:ascii="宋体" w:hAnsi="宋体"/>
          <w:b/>
          <w:bCs/>
          <w:sz w:val="21"/>
          <w:szCs w:val="21"/>
        </w:rPr>
        <w:outlineLvl w:val="2"/>
      </w:pPr>
      <w:r>
        <w:rPr>
          <w:rFonts w:hint="eastAsia" w:ascii="宋体" w:hAnsi="宋体"/>
          <w:b/>
          <w:bCs/>
          <w:sz w:val="21"/>
          <w:szCs w:val="21"/>
        </w:rPr>
        <w:t xml:space="preserve">（一）</w:t>
      </w:r>
      <w:r>
        <w:rPr>
          <w:rFonts w:hint="eastAsia" w:ascii="宋体" w:hAnsi="宋体"/>
          <w:b/>
          <w:bCs/>
          <w:sz w:val="21"/>
          <w:szCs w:val="21"/>
        </w:rPr>
        <w:t xml:space="preserve">价格分（30分）</w:t>
      </w:r>
      <w:r/>
    </w:p>
    <w:p>
      <w:pPr>
        <w:ind w:left="0" w:firstLine="420"/>
        <w:spacing w:line="400" w:lineRule="exact"/>
        <w:widowControl w:val="off"/>
        <w:tabs>
          <w:tab w:val="left" w:pos="420" w:leader="none"/>
        </w:tabs>
        <w:rPr>
          <w:rFonts w:ascii="宋体" w:hAnsi="宋体"/>
          <w:sz w:val="21"/>
          <w:szCs w:val="21"/>
        </w:rPr>
      </w:pPr>
      <w:r>
        <w:rPr>
          <w:rFonts w:hint="eastAsia" w:ascii="宋体" w:hAnsi="宋体"/>
          <w:sz w:val="21"/>
          <w:szCs w:val="21"/>
        </w:rPr>
        <w:t xml:space="preserve">1、投标报价不超过采购预算价格的，为有效投标报价。超出此范围的投标报价为无效投标报价。无效投标报价的投标文件不进行评审，也不得标。</w:t>
      </w:r>
      <w:r/>
    </w:p>
    <w:p>
      <w:pPr>
        <w:ind w:left="0" w:firstLine="420"/>
        <w:spacing w:line="400" w:lineRule="exact"/>
        <w:widowControl w:val="off"/>
        <w:tabs>
          <w:tab w:val="left" w:pos="420" w:leader="none"/>
        </w:tabs>
        <w:rPr>
          <w:rFonts w:ascii="宋体" w:hAnsi="宋体"/>
          <w:sz w:val="21"/>
          <w:szCs w:val="21"/>
        </w:rPr>
      </w:pPr>
      <w:r>
        <w:rPr>
          <w:rFonts w:hint="eastAsia" w:ascii="宋体" w:hAnsi="宋体"/>
          <w:sz w:val="21"/>
          <w:szCs w:val="21"/>
        </w:rPr>
        <w:t xml:space="preserve">2、价格得分计算方法：根据各投标人通过符合性审查的有效投标报价中的最低价作为评标基准价，其价格分为最高分。</w:t>
      </w:r>
      <w:r/>
    </w:p>
    <w:p>
      <w:pPr>
        <w:ind w:left="0" w:firstLine="420"/>
        <w:spacing w:line="400" w:lineRule="exact"/>
        <w:widowControl w:val="off"/>
        <w:tabs>
          <w:tab w:val="left" w:pos="420" w:leader="none"/>
        </w:tabs>
        <w:rPr>
          <w:rFonts w:ascii="宋体" w:hAnsi="宋体"/>
          <w:sz w:val="21"/>
          <w:szCs w:val="21"/>
        </w:rPr>
      </w:pPr>
      <w:r>
        <w:rPr>
          <w:rFonts w:hint="eastAsia" w:ascii="宋体" w:hAnsi="宋体"/>
          <w:sz w:val="21"/>
          <w:szCs w:val="21"/>
        </w:rPr>
        <w:t xml:space="preserve">3、其他投标人的价格分统一按照下列公式计算：</w:t>
      </w:r>
      <w:r/>
    </w:p>
    <w:p>
      <w:pPr>
        <w:ind w:left="560"/>
        <w:spacing w:line="400" w:lineRule="exact"/>
        <w:widowControl w:val="off"/>
        <w:rPr>
          <w:rFonts w:ascii="宋体" w:hAnsi="宋体"/>
          <w:sz w:val="21"/>
          <w:szCs w:val="21"/>
        </w:rPr>
      </w:pPr>
      <w:r>
        <w:rPr>
          <w:rFonts w:hint="eastAsia" w:ascii="宋体" w:hAnsi="宋体"/>
          <w:sz w:val="21"/>
          <w:szCs w:val="21"/>
        </w:rPr>
        <w:t xml:space="preserve">投标报价得分=(评标基准价／投标报价)×价格权值×100，小数点后保留两位。</w:t>
      </w:r>
      <w:r/>
    </w:p>
    <w:p>
      <w:pPr>
        <w:ind w:left="0" w:firstLine="420"/>
        <w:jc w:val="left"/>
        <w:spacing w:line="400" w:lineRule="exact"/>
        <w:tabs>
          <w:tab w:val="left" w:pos="420" w:leader="none"/>
        </w:tabs>
        <w:rPr>
          <w:rFonts w:ascii="宋体" w:hAnsi="宋体"/>
          <w:b/>
          <w:sz w:val="21"/>
          <w:szCs w:val="21"/>
        </w:rPr>
      </w:pPr>
      <w:r>
        <w:rPr>
          <w:rFonts w:hint="eastAsia" w:ascii="宋体" w:hAnsi="宋体"/>
          <w:b/>
          <w:sz w:val="21"/>
          <w:szCs w:val="21"/>
        </w:rPr>
        <w:t xml:space="preserve">（二）投标产品技术质量（</w:t>
      </w:r>
      <w:r>
        <w:rPr>
          <w:rFonts w:ascii="宋体" w:hAnsi="宋体"/>
          <w:b/>
          <w:sz w:val="21"/>
          <w:szCs w:val="21"/>
        </w:rPr>
        <w:t xml:space="preserve">40</w:t>
      </w:r>
      <w:r>
        <w:rPr>
          <w:rFonts w:hint="eastAsia" w:ascii="宋体" w:hAnsi="宋体"/>
          <w:b/>
          <w:sz w:val="21"/>
          <w:szCs w:val="21"/>
        </w:rPr>
        <w:t xml:space="preserve">分）</w:t>
      </w:r>
      <w:r/>
    </w:p>
    <w:p>
      <w:pPr>
        <w:ind w:left="0" w:firstLine="420"/>
        <w:jc w:val="left"/>
        <w:spacing w:line="400" w:lineRule="exact"/>
        <w:tabs>
          <w:tab w:val="left" w:pos="420" w:leader="none"/>
        </w:tabs>
        <w:rPr>
          <w:rFonts w:ascii="宋体" w:hAnsi="宋体"/>
          <w:sz w:val="21"/>
          <w:szCs w:val="21"/>
        </w:rPr>
      </w:pPr>
      <w:r>
        <w:rPr>
          <w:rFonts w:hint="eastAsia" w:ascii="宋体" w:hAnsi="宋体"/>
          <w:sz w:val="21"/>
          <w:szCs w:val="21"/>
        </w:rPr>
        <w:t xml:space="preserve">1、所投产品清单中，标“</w:t>
      </w:r>
      <w:r>
        <w:rPr>
          <w:rFonts w:hint="eastAsia" w:ascii="宋体" w:hAnsi="宋体"/>
        </w:rPr>
        <w:t xml:space="preserve">▲</w:t>
      </w:r>
      <w:r>
        <w:rPr>
          <w:rFonts w:hint="eastAsia" w:ascii="宋体" w:hAnsi="宋体"/>
          <w:sz w:val="21"/>
          <w:szCs w:val="21"/>
        </w:rPr>
        <w:t xml:space="preserve">”参数完全满足或优于招标文件技术参数要求的得2</w:t>
      </w:r>
      <w:r>
        <w:rPr>
          <w:rFonts w:ascii="宋体" w:hAnsi="宋体"/>
          <w:sz w:val="21"/>
          <w:szCs w:val="21"/>
        </w:rPr>
        <w:t xml:space="preserve">0</w:t>
      </w:r>
      <w:r>
        <w:rPr>
          <w:rFonts w:hint="eastAsia" w:ascii="宋体" w:hAnsi="宋体"/>
          <w:sz w:val="21"/>
          <w:szCs w:val="21"/>
        </w:rPr>
        <w:t xml:space="preserve">分，其中每负偏离一项扣</w:t>
      </w:r>
      <w:r>
        <w:rPr>
          <w:rFonts w:ascii="宋体" w:hAnsi="宋体"/>
          <w:sz w:val="21"/>
          <w:szCs w:val="21"/>
        </w:rPr>
        <w:t xml:space="preserve">1</w:t>
      </w:r>
      <w:r>
        <w:rPr>
          <w:rFonts w:hint="eastAsia" w:ascii="宋体" w:hAnsi="宋体"/>
          <w:sz w:val="21"/>
          <w:szCs w:val="21"/>
        </w:rPr>
        <w:t xml:space="preserve">分，扣完为止。注：需提供国家认可的第三方检测检验机构出具的检测检验报告，否则评委可视为负偏离处理。</w:t>
      </w:r>
      <w:r/>
    </w:p>
    <w:p>
      <w:pPr>
        <w:ind w:left="0" w:firstLine="420"/>
        <w:jc w:val="left"/>
        <w:spacing w:line="400" w:lineRule="exact"/>
        <w:tabs>
          <w:tab w:val="left" w:pos="420" w:leader="none"/>
        </w:tabs>
        <w:rPr>
          <w:rFonts w:ascii="宋体" w:hAnsi="宋体"/>
          <w:sz w:val="21"/>
          <w:szCs w:val="21"/>
        </w:rPr>
      </w:pPr>
      <w:r>
        <w:rPr>
          <w:rFonts w:hint="eastAsia" w:ascii="宋体" w:hAnsi="宋体"/>
          <w:sz w:val="21"/>
          <w:szCs w:val="21"/>
        </w:rPr>
        <w:t xml:space="preserve">2、招标文件中（除核心产品外）所有货物的技术参数（不含中标后需提供的检测报告）完全满足招标文件要求得20分，每有一项负偏离的扣</w:t>
      </w:r>
      <w:r>
        <w:rPr>
          <w:rFonts w:ascii="宋体" w:hAnsi="宋体"/>
          <w:sz w:val="21"/>
          <w:szCs w:val="21"/>
        </w:rPr>
        <w:t xml:space="preserve">0.5</w:t>
      </w:r>
      <w:r>
        <w:rPr>
          <w:rFonts w:hint="eastAsia" w:ascii="宋体" w:hAnsi="宋体"/>
          <w:sz w:val="21"/>
          <w:szCs w:val="21"/>
        </w:rPr>
        <w:t xml:space="preserve">分，扣完为止。</w:t>
      </w:r>
      <w:r/>
    </w:p>
    <w:p>
      <w:pPr>
        <w:ind w:left="420"/>
        <w:spacing w:line="400" w:lineRule="exact"/>
        <w:widowControl w:val="off"/>
        <w:tabs>
          <w:tab w:val="left" w:pos="567" w:leader="none"/>
        </w:tabs>
        <w:rPr>
          <w:rFonts w:ascii="宋体" w:hAnsi="宋体"/>
          <w:sz w:val="21"/>
          <w:szCs w:val="21"/>
        </w:rPr>
        <w:outlineLvl w:val="2"/>
      </w:pPr>
      <w:r>
        <w:rPr>
          <w:rFonts w:hint="eastAsia" w:ascii="宋体" w:hAnsi="宋体"/>
          <w:b/>
          <w:bCs/>
          <w:sz w:val="21"/>
          <w:szCs w:val="21"/>
        </w:rPr>
        <w:t xml:space="preserve">（三）实施进度、安装调试、售后服务方案</w:t>
      </w:r>
      <w:r>
        <w:rPr>
          <w:rFonts w:hint="eastAsia" w:ascii="宋体" w:hAnsi="宋体"/>
          <w:b/>
          <w:sz w:val="21"/>
          <w:szCs w:val="21"/>
        </w:rPr>
        <w:t xml:space="preserve">（</w:t>
      </w:r>
      <w:r>
        <w:rPr>
          <w:rFonts w:ascii="宋体" w:hAnsi="宋体"/>
          <w:b/>
          <w:sz w:val="21"/>
          <w:szCs w:val="21"/>
        </w:rPr>
        <w:t xml:space="preserve">22</w:t>
      </w:r>
      <w:r>
        <w:rPr>
          <w:rFonts w:hint="eastAsia" w:ascii="宋体" w:hAnsi="宋体"/>
          <w:b/>
          <w:sz w:val="21"/>
          <w:szCs w:val="21"/>
        </w:rPr>
        <w:t xml:space="preserve">分）</w:t>
      </w:r>
      <w:r/>
    </w:p>
    <w:p>
      <w:pPr>
        <w:ind w:left="0" w:firstLine="420"/>
        <w:jc w:val="left"/>
        <w:spacing w:line="400" w:lineRule="exact"/>
        <w:tabs>
          <w:tab w:val="left" w:pos="420" w:leader="none"/>
        </w:tabs>
        <w:rPr>
          <w:rFonts w:ascii="宋体" w:hAnsi="宋体"/>
          <w:sz w:val="21"/>
          <w:szCs w:val="21"/>
        </w:rPr>
      </w:pPr>
      <w:r>
        <w:rPr>
          <w:rFonts w:hint="eastAsia" w:ascii="宋体" w:hAnsi="宋体"/>
          <w:sz w:val="21"/>
          <w:szCs w:val="21"/>
        </w:rPr>
        <w:t xml:space="preserve">1、针对本项目采购需求提供项目实施方案和进度计划内容。应包含但不限于项目进度实施计划、任务分工及人员安排、设备采购及运送计划、交货时间及地点、质量管理计划、验收计划、调试方案及操作规程和常见问题解决方案等内容。内容完整、详实可行的方案，有很强的针对性，得</w:t>
      </w:r>
      <w:r>
        <w:rPr>
          <w:rFonts w:ascii="宋体" w:hAnsi="宋体"/>
          <w:sz w:val="21"/>
          <w:szCs w:val="21"/>
        </w:rPr>
        <w:t xml:space="preserve">4</w:t>
      </w:r>
      <w:r>
        <w:rPr>
          <w:rFonts w:hint="eastAsia" w:ascii="宋体" w:hAnsi="宋体"/>
          <w:sz w:val="21"/>
          <w:szCs w:val="21"/>
        </w:rPr>
        <w:t xml:space="preserve">分；提供了常规、通用的方案，基本符合采购需求，得</w:t>
      </w:r>
      <w:r>
        <w:rPr>
          <w:rFonts w:ascii="宋体" w:hAnsi="宋体"/>
          <w:sz w:val="21"/>
          <w:szCs w:val="21"/>
        </w:rPr>
        <w:t xml:space="preserve">2</w:t>
      </w:r>
      <w:r>
        <w:rPr>
          <w:rFonts w:hint="eastAsia" w:ascii="宋体" w:hAnsi="宋体"/>
          <w:sz w:val="21"/>
          <w:szCs w:val="21"/>
        </w:rPr>
        <w:t xml:space="preserve">分；方案有缺陷、不合理，得1分；未提供相应方案，得 0 分。</w:t>
      </w:r>
      <w:r/>
    </w:p>
    <w:p>
      <w:pPr>
        <w:ind w:left="0" w:firstLine="420"/>
        <w:jc w:val="left"/>
        <w:spacing w:line="400" w:lineRule="exact"/>
        <w:tabs>
          <w:tab w:val="left" w:pos="420" w:leader="none"/>
        </w:tabs>
        <w:rPr>
          <w:rFonts w:ascii="宋体" w:hAnsi="宋体"/>
          <w:sz w:val="21"/>
          <w:szCs w:val="21"/>
        </w:rPr>
      </w:pPr>
      <w:r>
        <w:rPr>
          <w:rFonts w:hint="eastAsia" w:ascii="宋体" w:hAnsi="宋体"/>
          <w:sz w:val="21"/>
          <w:szCs w:val="21"/>
        </w:rPr>
        <w:t xml:space="preserve">2、针对本项目安装调试方案应包括但不限于安装调试进度计划、环境保障要求、设备拆箱要求及标准、设备安装步骤及检验标准、软件安装及使用、调试参数及验收标准和常见问题解决方案等内容。内容</w:t>
      </w:r>
      <w:r>
        <w:rPr>
          <w:rFonts w:hint="eastAsia" w:ascii="宋体" w:hAnsi="宋体"/>
          <w:sz w:val="21"/>
          <w:szCs w:val="21"/>
        </w:rPr>
        <w:t xml:space="preserve">完整、详实可行的方案，有很强的针对性，得 </w:t>
      </w:r>
      <w:r>
        <w:rPr>
          <w:rFonts w:ascii="宋体" w:hAnsi="宋体"/>
          <w:sz w:val="21"/>
          <w:szCs w:val="21"/>
        </w:rPr>
        <w:t xml:space="preserve">4</w:t>
      </w:r>
      <w:r>
        <w:rPr>
          <w:rFonts w:hint="eastAsia" w:ascii="宋体" w:hAnsi="宋体"/>
          <w:sz w:val="21"/>
          <w:szCs w:val="21"/>
        </w:rPr>
        <w:t xml:space="preserve">分；提供了常规、通用的方案，基本符合采购需求，得</w:t>
      </w:r>
      <w:r>
        <w:rPr>
          <w:rFonts w:ascii="宋体" w:hAnsi="宋体"/>
          <w:sz w:val="21"/>
          <w:szCs w:val="21"/>
        </w:rPr>
        <w:t xml:space="preserve">2</w:t>
      </w:r>
      <w:r>
        <w:rPr>
          <w:rFonts w:hint="eastAsia" w:ascii="宋体" w:hAnsi="宋体"/>
          <w:sz w:val="21"/>
          <w:szCs w:val="21"/>
        </w:rPr>
        <w:t xml:space="preserve">分；方案有缺陷、不合理，得1分；未提供相应方案，得 0 分。</w:t>
      </w:r>
      <w:r/>
    </w:p>
    <w:p>
      <w:pPr>
        <w:ind w:left="0" w:firstLine="420"/>
        <w:jc w:val="left"/>
        <w:spacing w:line="400" w:lineRule="exact"/>
        <w:tabs>
          <w:tab w:val="left" w:pos="420" w:leader="none"/>
        </w:tabs>
        <w:rPr>
          <w:rFonts w:ascii="宋体" w:hAnsi="宋体"/>
          <w:sz w:val="21"/>
          <w:szCs w:val="21"/>
        </w:rPr>
      </w:pPr>
      <w:r>
        <w:rPr>
          <w:rFonts w:hint="eastAsia" w:ascii="宋体" w:hAnsi="宋体"/>
          <w:sz w:val="21"/>
          <w:szCs w:val="21"/>
        </w:rPr>
        <w:t xml:space="preserve">3、售后服务方案应包括但不限于售后服务范围、售后服务机构及专业技术人员配置、售后服务响应及保障计划、售后服务承诺书和设备使用情况回访计划等内容。内容完整、详实可行的方案，有很强的针对性，得</w:t>
      </w:r>
      <w:r>
        <w:rPr>
          <w:rFonts w:ascii="宋体" w:hAnsi="宋体"/>
          <w:sz w:val="21"/>
          <w:szCs w:val="21"/>
        </w:rPr>
        <w:t xml:space="preserve">4</w:t>
      </w:r>
      <w:r>
        <w:rPr>
          <w:rFonts w:hint="eastAsia" w:ascii="宋体" w:hAnsi="宋体"/>
          <w:sz w:val="21"/>
          <w:szCs w:val="21"/>
        </w:rPr>
        <w:t xml:space="preserve">分；提供了常规、通用的方案，基本符合采购需求，得</w:t>
      </w:r>
      <w:r>
        <w:rPr>
          <w:rFonts w:ascii="宋体" w:hAnsi="宋体"/>
          <w:sz w:val="21"/>
          <w:szCs w:val="21"/>
        </w:rPr>
        <w:t xml:space="preserve">2</w:t>
      </w:r>
      <w:r>
        <w:rPr>
          <w:rFonts w:hint="eastAsia" w:ascii="宋体" w:hAnsi="宋体"/>
          <w:sz w:val="21"/>
          <w:szCs w:val="21"/>
        </w:rPr>
        <w:t xml:space="preserve">分；方案有缺陷、不合理，得1分；未提供相应方案，得 0 分。</w:t>
      </w:r>
      <w:r/>
    </w:p>
    <w:p>
      <w:pPr>
        <w:ind w:left="0" w:firstLine="420"/>
        <w:jc w:val="left"/>
        <w:spacing w:line="400" w:lineRule="exact"/>
        <w:tabs>
          <w:tab w:val="left" w:pos="420" w:leader="none"/>
        </w:tabs>
        <w:rPr>
          <w:rFonts w:ascii="宋体" w:hAnsi="宋体"/>
          <w:sz w:val="21"/>
          <w:szCs w:val="21"/>
        </w:rPr>
      </w:pPr>
      <w:r>
        <w:rPr>
          <w:rFonts w:hint="eastAsia" w:ascii="宋体" w:hAnsi="宋体"/>
          <w:sz w:val="21"/>
          <w:szCs w:val="21"/>
        </w:rPr>
        <w:t xml:space="preserve">4、技术培训方案内容应包括但不限于培训计划、培训人员数量、培训组织时间及地点、设备及软件的安装及操作、设备维护及故障排除等内容。内容完整、详实可行的方案，有很强的针对性，得5分；提供了常规、通用的方案，基本符合采购需求，得 2 分；方案有缺陷、不合理，得1分；未提供相应方案，得 0 分。</w:t>
      </w:r>
      <w:r/>
    </w:p>
    <w:p>
      <w:pPr>
        <w:ind w:left="0" w:firstLine="420"/>
        <w:jc w:val="left"/>
        <w:spacing w:line="400" w:lineRule="exact"/>
        <w:tabs>
          <w:tab w:val="left" w:pos="420" w:leader="none"/>
        </w:tabs>
        <w:rPr>
          <w:rFonts w:ascii="宋体" w:hAnsi="宋体"/>
          <w:sz w:val="21"/>
          <w:szCs w:val="21"/>
        </w:rPr>
      </w:pPr>
      <w:r>
        <w:rPr>
          <w:rFonts w:hint="eastAsia" w:ascii="宋体" w:hAnsi="宋体"/>
          <w:sz w:val="21"/>
          <w:szCs w:val="21"/>
        </w:rPr>
        <w:t xml:space="preserve">5、针对本项目质保期满后的售后服务项目内容完整、详实可行的方案，有很强的针对性，得</w:t>
      </w:r>
      <w:r>
        <w:rPr>
          <w:rFonts w:ascii="宋体" w:hAnsi="宋体"/>
          <w:sz w:val="21"/>
          <w:szCs w:val="21"/>
        </w:rPr>
        <w:t xml:space="preserve">4</w:t>
      </w:r>
      <w:r>
        <w:rPr>
          <w:rFonts w:hint="eastAsia" w:ascii="宋体" w:hAnsi="宋体"/>
          <w:sz w:val="21"/>
          <w:szCs w:val="21"/>
        </w:rPr>
        <w:t xml:space="preserve">分；提供了常规、通用的方案，基本符合采购需求，得2分；方案有缺陷、不合理，得1分；未提供相应方案，得 0 分。</w:t>
      </w:r>
      <w:r/>
    </w:p>
    <w:p>
      <w:pPr>
        <w:ind w:left="0" w:firstLine="420"/>
        <w:jc w:val="left"/>
        <w:spacing w:line="400" w:lineRule="exact"/>
        <w:tabs>
          <w:tab w:val="left" w:pos="420" w:leader="none"/>
        </w:tabs>
        <w:rPr>
          <w:rFonts w:ascii="宋体" w:hAnsi="宋体"/>
          <w:sz w:val="21"/>
          <w:szCs w:val="21"/>
        </w:rPr>
      </w:pPr>
      <w:r>
        <w:rPr>
          <w:rFonts w:hint="eastAsia" w:ascii="宋体" w:hAnsi="宋体"/>
          <w:sz w:val="21"/>
          <w:szCs w:val="21"/>
        </w:rPr>
        <w:t xml:space="preserve">6、投标人针对本项目提供优惠措施的得 </w:t>
      </w:r>
      <w:r>
        <w:rPr>
          <w:rFonts w:ascii="宋体" w:hAnsi="宋体"/>
          <w:sz w:val="21"/>
          <w:szCs w:val="21"/>
        </w:rPr>
        <w:t xml:space="preserve">1</w:t>
      </w:r>
      <w:r>
        <w:rPr>
          <w:rFonts w:hint="eastAsia" w:ascii="宋体" w:hAnsi="宋体"/>
          <w:sz w:val="21"/>
          <w:szCs w:val="21"/>
        </w:rPr>
        <w:t xml:space="preserve">分。</w:t>
      </w:r>
      <w:r/>
    </w:p>
    <w:p>
      <w:pPr>
        <w:ind w:left="0" w:firstLine="422"/>
        <w:jc w:val="left"/>
        <w:spacing w:line="400" w:lineRule="exact"/>
        <w:rPr>
          <w:rFonts w:ascii="宋体" w:hAnsi="宋体"/>
          <w:b/>
          <w:bCs/>
          <w:sz w:val="21"/>
          <w:szCs w:val="21"/>
        </w:rPr>
      </w:pPr>
      <w:r>
        <w:rPr>
          <w:rFonts w:hint="eastAsia" w:ascii="宋体" w:hAnsi="宋体"/>
          <w:b/>
          <w:bCs/>
          <w:sz w:val="21"/>
          <w:szCs w:val="21"/>
        </w:rPr>
        <w:t xml:space="preserve">（四）综合实力（</w:t>
      </w:r>
      <w:r>
        <w:rPr>
          <w:rFonts w:ascii="宋体" w:hAnsi="宋体"/>
          <w:b/>
          <w:bCs/>
          <w:sz w:val="21"/>
          <w:szCs w:val="21"/>
        </w:rPr>
        <w:t xml:space="preserve">8</w:t>
      </w:r>
      <w:r>
        <w:rPr>
          <w:rFonts w:hint="eastAsia" w:ascii="宋体" w:hAnsi="宋体"/>
          <w:b/>
          <w:bCs/>
          <w:sz w:val="21"/>
          <w:szCs w:val="21"/>
        </w:rPr>
        <w:t xml:space="preserve">分）</w:t>
      </w:r>
      <w:r/>
    </w:p>
    <w:p>
      <w:pPr>
        <w:ind w:left="0" w:firstLine="420"/>
        <w:jc w:val="left"/>
        <w:spacing w:line="400" w:lineRule="exact"/>
        <w:rPr>
          <w:rFonts w:ascii="宋体" w:hAnsi="宋体"/>
          <w:sz w:val="21"/>
          <w:szCs w:val="21"/>
        </w:rPr>
      </w:pPr>
      <w:r>
        <w:rPr>
          <w:rFonts w:hint="eastAsia" w:ascii="宋体" w:hAnsi="宋体"/>
          <w:sz w:val="21"/>
          <w:szCs w:val="21"/>
        </w:rPr>
        <w:t xml:space="preserve">1、类似项目业绩（</w:t>
      </w:r>
      <w:r>
        <w:rPr>
          <w:rFonts w:ascii="宋体" w:hAnsi="宋体"/>
          <w:sz w:val="21"/>
          <w:szCs w:val="21"/>
        </w:rPr>
        <w:t xml:space="preserve">5</w:t>
      </w:r>
      <w:r>
        <w:rPr>
          <w:rFonts w:hint="eastAsia" w:ascii="宋体" w:hAnsi="宋体"/>
          <w:sz w:val="21"/>
          <w:szCs w:val="21"/>
        </w:rPr>
        <w:t xml:space="preserve">分）</w:t>
      </w:r>
      <w:r/>
    </w:p>
    <w:p>
      <w:pPr>
        <w:ind w:left="0" w:firstLine="420"/>
        <w:jc w:val="left"/>
        <w:spacing w:line="400" w:lineRule="exact"/>
        <w:rPr>
          <w:rFonts w:ascii="宋体" w:hAnsi="宋体"/>
          <w:sz w:val="21"/>
          <w:szCs w:val="21"/>
        </w:rPr>
      </w:pPr>
      <w:r>
        <w:rPr>
          <w:rFonts w:hint="eastAsia" w:ascii="宋体" w:hAnsi="宋体"/>
          <w:sz w:val="21"/>
          <w:szCs w:val="21"/>
        </w:rPr>
        <w:t xml:space="preserve">投标人提供自202</w:t>
      </w:r>
      <w:r>
        <w:rPr>
          <w:rFonts w:ascii="宋体" w:hAnsi="宋体"/>
          <w:sz w:val="21"/>
          <w:szCs w:val="21"/>
        </w:rPr>
        <w:t xml:space="preserve">3</w:t>
      </w:r>
      <w:r>
        <w:rPr>
          <w:rFonts w:hint="eastAsia" w:ascii="宋体" w:hAnsi="宋体"/>
          <w:sz w:val="21"/>
          <w:szCs w:val="21"/>
        </w:rPr>
        <w:t xml:space="preserve">年以来承担过的类似业绩，每提供一个合同得</w:t>
      </w:r>
      <w:r>
        <w:rPr>
          <w:rFonts w:ascii="宋体" w:hAnsi="宋体"/>
          <w:sz w:val="21"/>
          <w:szCs w:val="21"/>
        </w:rPr>
        <w:t xml:space="preserve">1</w:t>
      </w:r>
      <w:r>
        <w:rPr>
          <w:rFonts w:hint="eastAsia" w:ascii="宋体" w:hAnsi="宋体"/>
          <w:sz w:val="21"/>
          <w:szCs w:val="21"/>
        </w:rPr>
        <w:t xml:space="preserve">分，本项共5分。注：投标人须提供合同扫描件。</w:t>
      </w:r>
      <w:r/>
    </w:p>
    <w:p>
      <w:pPr>
        <w:ind w:left="0" w:firstLine="420"/>
        <w:jc w:val="left"/>
        <w:spacing w:line="400" w:lineRule="exact"/>
        <w:rPr>
          <w:rFonts w:ascii="宋体" w:hAnsi="宋体"/>
          <w:sz w:val="21"/>
          <w:szCs w:val="21"/>
        </w:rPr>
      </w:pPr>
      <w:r>
        <w:rPr>
          <w:rFonts w:hint="eastAsia" w:ascii="宋体" w:hAnsi="宋体"/>
          <w:sz w:val="21"/>
          <w:szCs w:val="21"/>
        </w:rPr>
        <w:t xml:space="preserve">2、管理体系认证（</w:t>
      </w:r>
      <w:r>
        <w:rPr>
          <w:rFonts w:ascii="宋体" w:hAnsi="宋体"/>
          <w:sz w:val="21"/>
          <w:szCs w:val="21"/>
        </w:rPr>
        <w:t xml:space="preserve">3</w:t>
      </w:r>
      <w:r>
        <w:rPr>
          <w:rFonts w:hint="eastAsia" w:ascii="宋体" w:hAnsi="宋体"/>
          <w:sz w:val="21"/>
          <w:szCs w:val="21"/>
        </w:rPr>
        <w:t xml:space="preserve">分）</w:t>
      </w:r>
      <w:r/>
    </w:p>
    <w:p>
      <w:pPr>
        <w:ind w:left="0" w:firstLine="420"/>
        <w:jc w:val="left"/>
        <w:spacing w:line="400" w:lineRule="exact"/>
        <w:rPr>
          <w:rFonts w:ascii="宋体" w:hAnsi="宋体"/>
          <w:sz w:val="21"/>
          <w:szCs w:val="21"/>
        </w:rPr>
      </w:pPr>
      <w:r>
        <w:rPr>
          <w:rFonts w:hint="eastAsia" w:ascii="宋体" w:hAnsi="宋体"/>
          <w:sz w:val="21"/>
          <w:szCs w:val="21"/>
        </w:rPr>
        <w:t xml:space="preserve">投标人具有有效期内的质量管理体系认证、环境管理体系认证、职业健康安全管理体系认证，每提供一个证书得</w:t>
      </w:r>
      <w:r>
        <w:rPr>
          <w:rFonts w:ascii="宋体" w:hAnsi="宋体"/>
          <w:sz w:val="21"/>
          <w:szCs w:val="21"/>
        </w:rPr>
        <w:t xml:space="preserve">1</w:t>
      </w:r>
      <w:r>
        <w:rPr>
          <w:rFonts w:hint="eastAsia" w:ascii="宋体" w:hAnsi="宋体"/>
          <w:sz w:val="21"/>
          <w:szCs w:val="21"/>
        </w:rPr>
        <w:t xml:space="preserve">分，本项共</w:t>
      </w:r>
      <w:r>
        <w:rPr>
          <w:rFonts w:ascii="宋体" w:hAnsi="宋体"/>
          <w:sz w:val="21"/>
          <w:szCs w:val="21"/>
        </w:rPr>
        <w:t xml:space="preserve">3</w:t>
      </w:r>
      <w:r>
        <w:rPr>
          <w:rFonts w:hint="eastAsia" w:ascii="宋体" w:hAnsi="宋体"/>
          <w:sz w:val="21"/>
          <w:szCs w:val="21"/>
        </w:rPr>
        <w:t xml:space="preserve">分。 注：投标文件中需提供认证证书扫描件及全国认证认可信息公共服务平台官网证书信息查询截图。</w:t>
      </w:r>
      <w:r/>
    </w:p>
    <w:p>
      <w:pPr>
        <w:ind w:left="0" w:hanging="284"/>
        <w:jc w:val="right"/>
        <w:spacing w:line="360" w:lineRule="auto"/>
        <w:widowControl w:val="off"/>
        <w:rPr>
          <w:rFonts w:ascii="宋体" w:hAnsi="宋体" w:cs="Times New Roman"/>
          <w:bCs/>
          <w:sz w:val="21"/>
          <w:szCs w:val="21"/>
        </w:rPr>
      </w:pPr>
      <w:r>
        <w:rPr>
          <w:rFonts w:hint="eastAsia" w:ascii="宋体" w:hAnsi="宋体"/>
          <w:sz w:val="21"/>
        </w:rPr>
        <w:t xml:space="preserve">（全文完）</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Segoe UI">
    <w:panose1 w:val="020B0502040204020203"/>
  </w:font>
  <w:font w:name="Symbol">
    <w:panose1 w:val="05050102010706020507"/>
  </w:font>
  <w:font w:name="Wingdings">
    <w:panose1 w:val="05000000000000000000"/>
  </w:font>
  <w:font w:name="??????_GBK">
    <w:panose1 w:val="020B0503020202020204"/>
  </w:font>
  <w:font w:name="等线">
    <w:panose1 w:val="0201060003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微软雅黑">
    <w:panose1 w:val="020B05030202040202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8"/>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8"/>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8"/>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8"/>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08"/>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08"/>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ascii="宋体" w:hAnsi="宋体"/>
        <w:sz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ind w:firstLine="0"/>
      <w:jc w:val="both"/>
      <w:pBdr>
        <w:bottom w:val="single" w:color="auto" w:sz="4"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2579" w:hanging="420"/>
        <w:tabs>
          <w:tab w:val="left" w:pos="2579" w:leader="none"/>
        </w:tabs>
      </w:p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space"/>
      <w:lvlText w:val="%1."/>
      <w:lvlJc w:val="left"/>
      <w:pPr>
        <w:ind w:left="315"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center"/>
      <w:pPr>
        <w:ind w:left="0" w:firstLine="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2"/>
      <w:numFmt w:val="decimal"/>
      <w:isLgl w:val="false"/>
      <w:suff w:val="tab"/>
      <w:lvlText w:val="（%1）"/>
      <w:lvlJc w:val="left"/>
      <w:pPr>
        <w:ind w:left="1140" w:hanging="7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8">
    <w:multiLevelType w:val="hybridMultilevel"/>
    <w:lvl w:ilvl="0">
      <w:start w:val="1"/>
      <w:numFmt w:val="japaneseCounting"/>
      <w:isLgl w:val="false"/>
      <w:suff w:val="tab"/>
      <w:lvlText w:val="（%1）"/>
      <w:lvlJc w:val="left"/>
      <w:pPr>
        <w:ind w:left="1140" w:hanging="72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9">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space"/>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425" w:hanging="425"/>
        <w:tabs>
          <w:tab w:val="left" w:pos="425" w:leader="none"/>
        </w:tabs>
      </w:pPr>
    </w:lvl>
    <w:lvl w:ilvl="1">
      <w:start w:val="1"/>
      <w:numFmt w:val="decimal"/>
      <w:isLgl w:val="false"/>
      <w:suff w:val="tab"/>
      <w:lvlText w:val="%1.%2"/>
      <w:lvlJc w:val="left"/>
      <w:pPr>
        <w:ind w:left="567" w:hanging="567"/>
        <w:tabs>
          <w:tab w:val="left" w:pos="567" w:leader="none"/>
        </w:tabs>
      </w:pPr>
      <w:rPr>
        <w:b w:val="0"/>
      </w:r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3">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ind w:left="2579" w:hanging="420"/>
        <w:tabs>
          <w:tab w:val="left" w:pos="2579" w:leader="none"/>
        </w:tabs>
      </w:p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num w:numId="1">
    <w:abstractNumId w:val="3"/>
  </w:num>
  <w:num w:numId="2">
    <w:abstractNumId w:val="1"/>
  </w:num>
  <w:num w:numId="3">
    <w:abstractNumId w:val="11"/>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3"/>
  </w:num>
  <w:num w:numId="10">
    <w:abstractNumId w:val="14"/>
  </w:num>
  <w:num w:numId="11">
    <w:abstractNumId w:val="10"/>
  </w:num>
  <w:num w:numId="12">
    <w:abstractNumId w:val="6"/>
  </w:num>
  <w:num w:numId="13">
    <w:abstractNumId w:val="5"/>
  </w:num>
  <w:num w:numId="14">
    <w:abstractNumId w:val="9"/>
  </w:num>
  <w:num w:numId="15">
    <w:abstractNumId w:val="2"/>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0">
    <w:name w:val="Heading 1 Char"/>
    <w:basedOn w:val="875"/>
    <w:link w:val="866"/>
    <w:uiPriority w:val="9"/>
    <w:rPr>
      <w:rFonts w:ascii="Arial" w:hAnsi="Arial" w:eastAsia="Arial" w:cs="Arial"/>
      <w:sz w:val="40"/>
      <w:szCs w:val="40"/>
    </w:rPr>
  </w:style>
  <w:style w:type="character" w:styleId="831">
    <w:name w:val="Heading 2 Char"/>
    <w:basedOn w:val="875"/>
    <w:link w:val="867"/>
    <w:uiPriority w:val="9"/>
    <w:rPr>
      <w:rFonts w:ascii="Arial" w:hAnsi="Arial" w:eastAsia="Arial" w:cs="Arial"/>
      <w:sz w:val="34"/>
    </w:rPr>
  </w:style>
  <w:style w:type="character" w:styleId="832">
    <w:name w:val="Heading 3 Char"/>
    <w:basedOn w:val="875"/>
    <w:link w:val="868"/>
    <w:uiPriority w:val="9"/>
    <w:rPr>
      <w:rFonts w:ascii="Arial" w:hAnsi="Arial" w:eastAsia="Arial" w:cs="Arial"/>
      <w:sz w:val="30"/>
      <w:szCs w:val="30"/>
    </w:rPr>
  </w:style>
  <w:style w:type="character" w:styleId="833">
    <w:name w:val="Heading 4 Char"/>
    <w:basedOn w:val="875"/>
    <w:link w:val="869"/>
    <w:uiPriority w:val="9"/>
    <w:rPr>
      <w:rFonts w:ascii="Arial" w:hAnsi="Arial" w:eastAsia="Arial" w:cs="Arial"/>
      <w:b/>
      <w:bCs/>
      <w:sz w:val="26"/>
      <w:szCs w:val="26"/>
    </w:rPr>
  </w:style>
  <w:style w:type="character" w:styleId="834">
    <w:name w:val="Heading 5 Char"/>
    <w:basedOn w:val="875"/>
    <w:link w:val="870"/>
    <w:uiPriority w:val="9"/>
    <w:rPr>
      <w:rFonts w:ascii="Arial" w:hAnsi="Arial" w:eastAsia="Arial" w:cs="Arial"/>
      <w:b/>
      <w:bCs/>
      <w:sz w:val="24"/>
      <w:szCs w:val="24"/>
    </w:rPr>
  </w:style>
  <w:style w:type="character" w:styleId="835">
    <w:name w:val="Heading 6 Char"/>
    <w:basedOn w:val="875"/>
    <w:link w:val="871"/>
    <w:uiPriority w:val="9"/>
    <w:rPr>
      <w:rFonts w:ascii="Arial" w:hAnsi="Arial" w:eastAsia="Arial" w:cs="Arial"/>
      <w:b/>
      <w:bCs/>
      <w:sz w:val="22"/>
      <w:szCs w:val="22"/>
    </w:rPr>
  </w:style>
  <w:style w:type="character" w:styleId="836">
    <w:name w:val="Heading 7 Char"/>
    <w:basedOn w:val="875"/>
    <w:link w:val="872"/>
    <w:uiPriority w:val="9"/>
    <w:rPr>
      <w:rFonts w:ascii="Arial" w:hAnsi="Arial" w:eastAsia="Arial" w:cs="Arial"/>
      <w:b/>
      <w:bCs/>
      <w:i/>
      <w:iCs/>
      <w:sz w:val="22"/>
      <w:szCs w:val="22"/>
    </w:rPr>
  </w:style>
  <w:style w:type="character" w:styleId="837">
    <w:name w:val="Heading 8 Char"/>
    <w:basedOn w:val="875"/>
    <w:link w:val="873"/>
    <w:uiPriority w:val="9"/>
    <w:rPr>
      <w:rFonts w:ascii="Arial" w:hAnsi="Arial" w:eastAsia="Arial" w:cs="Arial"/>
      <w:i/>
      <w:iCs/>
      <w:sz w:val="22"/>
      <w:szCs w:val="22"/>
    </w:rPr>
  </w:style>
  <w:style w:type="character" w:styleId="838">
    <w:name w:val="Heading 9 Char"/>
    <w:basedOn w:val="875"/>
    <w:link w:val="874"/>
    <w:uiPriority w:val="9"/>
    <w:rPr>
      <w:rFonts w:ascii="Arial" w:hAnsi="Arial" w:eastAsia="Arial" w:cs="Arial"/>
      <w:i/>
      <w:iCs/>
      <w:sz w:val="21"/>
      <w:szCs w:val="21"/>
    </w:rPr>
  </w:style>
  <w:style w:type="character" w:styleId="839">
    <w:name w:val="Title Char"/>
    <w:basedOn w:val="875"/>
    <w:link w:val="926"/>
    <w:uiPriority w:val="10"/>
    <w:rPr>
      <w:sz w:val="48"/>
      <w:szCs w:val="48"/>
    </w:rPr>
  </w:style>
  <w:style w:type="character" w:styleId="840">
    <w:name w:val="Subtitle Char"/>
    <w:basedOn w:val="875"/>
    <w:link w:val="912"/>
    <w:uiPriority w:val="11"/>
    <w:rPr>
      <w:sz w:val="24"/>
      <w:szCs w:val="24"/>
    </w:rPr>
  </w:style>
  <w:style w:type="character" w:styleId="841">
    <w:name w:val="Quote Char"/>
    <w:link w:val="950"/>
    <w:uiPriority w:val="29"/>
    <w:rPr>
      <w:i/>
    </w:rPr>
  </w:style>
  <w:style w:type="character" w:styleId="842">
    <w:name w:val="Intense Quote Char"/>
    <w:link w:val="952"/>
    <w:uiPriority w:val="30"/>
    <w:rPr>
      <w:i/>
    </w:rPr>
  </w:style>
  <w:style w:type="table" w:styleId="843">
    <w:name w:val="Plain Table 1"/>
    <w:basedOn w:val="8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4">
    <w:name w:val="Plain Table 2"/>
    <w:basedOn w:val="8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5">
    <w:name w:val="Plain Table 3"/>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6">
    <w:name w:val="Plain Table 4"/>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7">
    <w:name w:val="Plain Table 5"/>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8">
    <w:name w:val="Grid Table 1 Light"/>
    <w:basedOn w:val="8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9">
    <w:name w:val="Grid Table 2"/>
    <w:basedOn w:val="8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0">
    <w:name w:val="Grid Table 3"/>
    <w:basedOn w:val="8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4"/>
    <w:basedOn w:val="8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name w:val="Grid Table 5 Dark"/>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3">
    <w:name w:val="Grid Table 6 Colorful"/>
    <w:basedOn w:val="8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4">
    <w:name w:val="Grid Table 7 Colorful"/>
    <w:basedOn w:val="8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5">
    <w:name w:val="List Table 1 Light"/>
    <w:basedOn w:val="8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name w:val="List Table 2"/>
    <w:basedOn w:val="8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7">
    <w:name w:val="List Table 3"/>
    <w:basedOn w:val="8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8">
    <w:name w:val="List Table 4"/>
    <w:basedOn w:val="8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5 Dark"/>
    <w:basedOn w:val="8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6 Colorful"/>
    <w:basedOn w:val="8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1">
    <w:name w:val="List Table 7 Colorful"/>
    <w:basedOn w:val="8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62">
    <w:name w:val="Footnote Text Char"/>
    <w:link w:val="915"/>
    <w:uiPriority w:val="99"/>
    <w:rPr>
      <w:sz w:val="18"/>
    </w:rPr>
  </w:style>
  <w:style w:type="character" w:styleId="863">
    <w:name w:val="Endnote Text Char"/>
    <w:link w:val="905"/>
    <w:uiPriority w:val="99"/>
    <w:rPr>
      <w:sz w:val="20"/>
    </w:rPr>
  </w:style>
  <w:style w:type="paragraph" w:styleId="864">
    <w:name w:val="TOC Heading"/>
    <w:uiPriority w:val="39"/>
    <w:unhideWhenUsed/>
  </w:style>
  <w:style w:type="paragraph" w:styleId="865" w:default="1">
    <w:name w:val="Normal"/>
    <w:next w:val="878"/>
    <w:qFormat/>
    <w:pPr>
      <w:ind w:left="1024"/>
      <w:jc w:val="both"/>
    </w:pPr>
    <w:rPr>
      <w:rFonts w:ascii="Calibri" w:hAnsi="Calibri"/>
    </w:rPr>
  </w:style>
  <w:style w:type="paragraph" w:styleId="866">
    <w:name w:val="Heading 1"/>
    <w:basedOn w:val="865"/>
    <w:next w:val="865"/>
    <w:link w:val="937"/>
    <w:qFormat/>
    <w:pPr>
      <w:ind w:left="432" w:firstLine="18"/>
      <w:spacing w:before="340" w:after="330" w:line="578" w:lineRule="auto"/>
      <w:outlineLvl w:val="0"/>
    </w:pPr>
  </w:style>
  <w:style w:type="paragraph" w:styleId="867">
    <w:name w:val="Heading 2"/>
    <w:basedOn w:val="865"/>
    <w:next w:val="865"/>
    <w:link w:val="938"/>
    <w:qFormat/>
    <w:pPr>
      <w:ind w:left="576" w:firstLine="24"/>
      <w:spacing w:before="260" w:after="260" w:line="416" w:lineRule="auto"/>
      <w:outlineLvl w:val="1"/>
    </w:pPr>
    <w:rPr>
      <w:rFonts w:ascii="Times New Roman" w:hAnsi="Times New Roman" w:cs="Times New Roman"/>
    </w:rPr>
  </w:style>
  <w:style w:type="paragraph" w:styleId="868">
    <w:name w:val="Heading 3"/>
    <w:basedOn w:val="865"/>
    <w:next w:val="879"/>
    <w:link w:val="939"/>
    <w:qFormat/>
    <w:pPr>
      <w:ind w:left="720"/>
      <w:spacing w:before="260" w:after="260" w:line="416" w:lineRule="auto"/>
      <w:outlineLvl w:val="2"/>
    </w:pPr>
    <w:rPr>
      <w:rFonts w:ascii="Times New Roman" w:hAnsi="Times New Roman" w:cs="Times New Roman"/>
    </w:rPr>
  </w:style>
  <w:style w:type="paragraph" w:styleId="869">
    <w:name w:val="Heading 4"/>
    <w:basedOn w:val="866"/>
    <w:next w:val="865"/>
    <w:link w:val="940"/>
    <w:qFormat/>
    <w:pPr>
      <w:ind w:left="864" w:firstLine="24"/>
      <w:spacing w:before="280" w:after="290" w:line="376" w:lineRule="auto"/>
      <w:outlineLvl w:val="3"/>
    </w:pPr>
    <w:rPr>
      <w:rFonts w:ascii="Times New Roman" w:hAnsi="Times New Roman" w:cs="Times New Roman"/>
    </w:rPr>
  </w:style>
  <w:style w:type="paragraph" w:styleId="870">
    <w:name w:val="Heading 5"/>
    <w:basedOn w:val="866"/>
    <w:next w:val="865"/>
    <w:link w:val="941"/>
    <w:qFormat/>
    <w:pPr>
      <w:ind w:left="1008"/>
      <w:spacing w:before="280" w:after="290" w:line="376" w:lineRule="auto"/>
      <w:outlineLvl w:val="4"/>
    </w:pPr>
    <w:rPr>
      <w:rFonts w:ascii="Times New Roman" w:hAnsi="Times New Roman" w:cs="Times New Roman"/>
    </w:rPr>
  </w:style>
  <w:style w:type="paragraph" w:styleId="871">
    <w:name w:val="Heading 6"/>
    <w:basedOn w:val="866"/>
    <w:next w:val="865"/>
    <w:link w:val="942"/>
    <w:qFormat/>
    <w:pPr>
      <w:ind w:left="1152" w:firstLine="20"/>
      <w:spacing w:before="240" w:after="64" w:line="320" w:lineRule="auto"/>
      <w:outlineLvl w:val="5"/>
    </w:pPr>
    <w:rPr>
      <w:rFonts w:ascii="Times New Roman" w:hAnsi="Times New Roman" w:cs="Times New Roman"/>
    </w:rPr>
  </w:style>
  <w:style w:type="paragraph" w:styleId="872">
    <w:name w:val="Heading 7"/>
    <w:basedOn w:val="866"/>
    <w:next w:val="865"/>
    <w:link w:val="943"/>
    <w:qFormat/>
    <w:pPr>
      <w:ind w:left="1296" w:firstLine="14"/>
      <w:spacing w:before="240" w:after="64" w:line="320" w:lineRule="auto"/>
      <w:outlineLvl w:val="6"/>
    </w:pPr>
    <w:rPr>
      <w:rFonts w:ascii="Times New Roman" w:hAnsi="Times New Roman" w:cs="Times New Roman"/>
    </w:rPr>
  </w:style>
  <w:style w:type="paragraph" w:styleId="873">
    <w:name w:val="Heading 8"/>
    <w:basedOn w:val="866"/>
    <w:next w:val="865"/>
    <w:link w:val="944"/>
    <w:qFormat/>
    <w:pPr>
      <w:ind w:left="1440"/>
      <w:spacing w:before="240" w:after="64" w:line="320" w:lineRule="auto"/>
      <w:outlineLvl w:val="7"/>
    </w:pPr>
    <w:rPr>
      <w:rFonts w:ascii="Times New Roman" w:hAnsi="Times New Roman" w:cs="Times New Roman"/>
    </w:rPr>
  </w:style>
  <w:style w:type="paragraph" w:styleId="874">
    <w:name w:val="Heading 9"/>
    <w:basedOn w:val="866"/>
    <w:next w:val="865"/>
    <w:link w:val="945"/>
    <w:qFormat/>
    <w:pPr>
      <w:ind w:left="1584" w:firstLine="22"/>
      <w:spacing w:before="240" w:after="64" w:line="320" w:lineRule="auto"/>
      <w:outlineLvl w:val="8"/>
    </w:pPr>
    <w:rPr>
      <w:rFonts w:ascii="Times New Roman" w:hAnsi="Times New Roman" w:cs="Times New Roman"/>
    </w:rPr>
  </w:style>
  <w:style w:type="character" w:styleId="875" w:default="1">
    <w:name w:val="Default Paragraph Font"/>
    <w:uiPriority w:val="1"/>
    <w:semiHidden/>
    <w:unhideWhenUsed/>
  </w:style>
  <w:style w:type="table" w:styleId="876" w:default="1">
    <w:name w:val="Normal Table"/>
    <w:uiPriority w:val="99"/>
    <w:semiHidden/>
    <w:unhideWhenUsed/>
    <w:tblPr>
      <w:tblInd w:w="0" w:type="dxa"/>
      <w:tblCellMar>
        <w:left w:w="108" w:type="dxa"/>
        <w:top w:w="0" w:type="dxa"/>
        <w:right w:w="108" w:type="dxa"/>
        <w:bottom w:w="0" w:type="dxa"/>
      </w:tblCellMar>
    </w:tblPr>
  </w:style>
  <w:style w:type="numbering" w:styleId="877" w:default="1">
    <w:name w:val="No List"/>
    <w:uiPriority w:val="99"/>
    <w:semiHidden/>
    <w:unhideWhenUsed/>
  </w:style>
  <w:style w:type="paragraph" w:styleId="878">
    <w:name w:val="Body Text Indent"/>
    <w:basedOn w:val="865"/>
    <w:next w:val="865"/>
    <w:link w:val="1438"/>
    <w:qFormat/>
    <w:pPr>
      <w:ind w:left="420" w:firstLine="1188"/>
      <w:spacing w:line="360" w:lineRule="exact"/>
    </w:pPr>
    <w:rPr>
      <w:rFonts w:ascii="Times New Roman" w:hAnsi="Times New Roman" w:cs="Times New Roman"/>
    </w:rPr>
  </w:style>
  <w:style w:type="paragraph" w:styleId="879" w:customStyle="1">
    <w:name w:val="正文2"/>
    <w:basedOn w:val="865"/>
    <w:next w:val="865"/>
    <w:qFormat/>
    <w:pPr>
      <w:ind w:left="0" w:hanging="2155"/>
      <w:spacing w:line="360" w:lineRule="auto"/>
      <w:shd w:val="clear" w:color="auto" w:fill="ffffff"/>
    </w:pPr>
    <w:rPr>
      <w:rFonts w:ascii="宋体" w:hAnsi="宋体"/>
    </w:rPr>
  </w:style>
  <w:style w:type="paragraph" w:styleId="880">
    <w:name w:val="toc 7"/>
    <w:basedOn w:val="866"/>
    <w:next w:val="865"/>
    <w:qFormat/>
    <w:pPr>
      <w:ind w:left="1640" w:firstLine="3784"/>
      <w:spacing w:before="0" w:after="0" w:line="360" w:lineRule="auto"/>
    </w:pPr>
    <w:rPr>
      <w:rFonts w:ascii="Times New Roman" w:hAnsi="Times New Roman" w:cs="Times New Roman"/>
    </w:rPr>
  </w:style>
  <w:style w:type="paragraph" w:styleId="881">
    <w:name w:val="List Bullet 4"/>
    <w:basedOn w:val="866"/>
    <w:next w:val="882"/>
    <w:qFormat/>
    <w:pPr>
      <w:ind w:left="1620" w:firstLine="2652"/>
      <w:spacing w:before="0" w:after="0" w:line="360" w:lineRule="auto"/>
    </w:pPr>
    <w:rPr>
      <w:rFonts w:ascii="Times New Roman" w:hAnsi="Times New Roman" w:cs="Times New Roman"/>
    </w:rPr>
  </w:style>
  <w:style w:type="paragraph" w:styleId="882">
    <w:name w:val="List Bullet 2"/>
    <w:basedOn w:val="866"/>
    <w:next w:val="865"/>
    <w:qFormat/>
    <w:pPr>
      <w:ind w:left="900" w:firstLine="2652"/>
      <w:spacing w:before="0" w:after="0" w:line="360" w:lineRule="auto"/>
    </w:pPr>
    <w:rPr>
      <w:rFonts w:ascii="Times New Roman" w:hAnsi="Times New Roman" w:cs="Times New Roman"/>
    </w:rPr>
  </w:style>
  <w:style w:type="paragraph" w:styleId="883">
    <w:name w:val="List Number"/>
    <w:basedOn w:val="866"/>
    <w:next w:val="865"/>
    <w:qFormat/>
    <w:pPr>
      <w:ind w:left="454" w:firstLine="2788"/>
      <w:spacing w:before="0" w:after="0" w:line="240" w:lineRule="auto"/>
    </w:pPr>
    <w:rPr>
      <w:rFonts w:ascii="Times New Roman" w:hAnsi="Times New Roman" w:cs="Times New Roman"/>
    </w:rPr>
  </w:style>
  <w:style w:type="paragraph" w:styleId="884">
    <w:name w:val="Normal Indent"/>
    <w:basedOn w:val="865"/>
    <w:next w:val="865"/>
    <w:link w:val="1084"/>
    <w:qFormat/>
    <w:pPr>
      <w:ind w:left="420" w:firstLine="4772"/>
    </w:pPr>
  </w:style>
  <w:style w:type="paragraph" w:styleId="885">
    <w:name w:val="Caption"/>
    <w:basedOn w:val="866"/>
    <w:next w:val="865"/>
    <w:qFormat/>
    <w:pPr>
      <w:ind w:left="200" w:firstLine="2248"/>
      <w:jc w:val="center"/>
      <w:spacing w:before="0" w:after="0" w:line="240" w:lineRule="auto"/>
    </w:pPr>
    <w:rPr>
      <w:rFonts w:ascii="Times New Roman" w:hAnsi="Times New Roman" w:cs="Times New Roman"/>
    </w:rPr>
  </w:style>
  <w:style w:type="paragraph" w:styleId="886">
    <w:name w:val="List Bullet"/>
    <w:basedOn w:val="866"/>
    <w:next w:val="865"/>
    <w:qFormat/>
    <w:pPr>
      <w:ind w:left="900" w:firstLine="2652"/>
      <w:spacing w:before="0" w:after="0" w:line="360" w:lineRule="auto"/>
    </w:pPr>
    <w:rPr>
      <w:rFonts w:ascii="Times New Roman" w:hAnsi="Times New Roman" w:cs="Times New Roman"/>
    </w:rPr>
  </w:style>
  <w:style w:type="paragraph" w:styleId="887">
    <w:name w:val="Document Map"/>
    <w:basedOn w:val="866"/>
    <w:next w:val="888"/>
    <w:qFormat/>
    <w:pPr>
      <w:ind w:left="0" w:firstLine="4"/>
      <w:spacing w:before="0" w:after="0" w:line="240" w:lineRule="auto"/>
      <w:shd w:val="clear" w:color="000000" w:fill="000080"/>
    </w:pPr>
    <w:rPr>
      <w:rFonts w:ascii="Times New Roman" w:hAnsi="Times New Roman" w:cs="Times New Roman"/>
    </w:rPr>
  </w:style>
  <w:style w:type="paragraph" w:styleId="888">
    <w:name w:val="annotation subject"/>
    <w:next w:val="865"/>
    <w:qFormat/>
    <w:pPr>
      <w:ind w:firstLine="4608"/>
      <w:spacing w:line="360" w:lineRule="auto"/>
    </w:pPr>
    <w:rPr>
      <w:rFonts w:ascii="Calibri" w:hAnsi="Calibri"/>
    </w:rPr>
  </w:style>
  <w:style w:type="paragraph" w:styleId="889">
    <w:name w:val="annotation text"/>
    <w:basedOn w:val="866"/>
    <w:next w:val="865"/>
    <w:qFormat/>
    <w:pPr>
      <w:ind w:left="0" w:firstLine="3584"/>
      <w:spacing w:before="0" w:after="0" w:line="360" w:lineRule="auto"/>
    </w:pPr>
    <w:rPr>
      <w:rFonts w:ascii="Times New Roman" w:hAnsi="Times New Roman" w:cs="Times New Roman"/>
    </w:rPr>
  </w:style>
  <w:style w:type="paragraph" w:styleId="890">
    <w:name w:val="Body Text 3"/>
    <w:basedOn w:val="866"/>
    <w:next w:val="865"/>
    <w:link w:val="1439"/>
    <w:qFormat/>
    <w:pPr>
      <w:ind w:left="0" w:firstLine="2048"/>
      <w:spacing w:before="0" w:after="0" w:line="500" w:lineRule="exact"/>
    </w:pPr>
    <w:rPr>
      <w:rFonts w:ascii="Times New Roman" w:hAnsi="Times New Roman" w:cs="Times New Roman"/>
    </w:rPr>
  </w:style>
  <w:style w:type="paragraph" w:styleId="891">
    <w:name w:val="List Bullet 3"/>
    <w:basedOn w:val="866"/>
    <w:next w:val="865"/>
    <w:qFormat/>
    <w:pPr>
      <w:ind w:left="900" w:firstLine="2652"/>
      <w:spacing w:before="0" w:after="0" w:line="360" w:lineRule="auto"/>
    </w:pPr>
    <w:rPr>
      <w:rFonts w:ascii="Times New Roman" w:hAnsi="Times New Roman" w:cs="Times New Roman"/>
    </w:rPr>
  </w:style>
  <w:style w:type="paragraph" w:styleId="892">
    <w:name w:val="Body Text"/>
    <w:basedOn w:val="865"/>
    <w:next w:val="865"/>
    <w:qFormat/>
    <w:pPr>
      <w:ind w:left="0" w:firstLine="2560"/>
    </w:pPr>
    <w:rPr>
      <w:rFonts w:ascii="Times New Roman" w:hAnsi="Times New Roman" w:cs="Times New Roman"/>
    </w:rPr>
  </w:style>
  <w:style w:type="paragraph" w:styleId="893">
    <w:name w:val="List Number 3"/>
    <w:basedOn w:val="866"/>
    <w:next w:val="865"/>
    <w:qFormat/>
    <w:pPr>
      <w:ind w:left="420" w:firstLine="3584"/>
      <w:spacing w:before="0" w:after="0" w:line="240" w:lineRule="auto"/>
    </w:pPr>
    <w:rPr>
      <w:rFonts w:ascii="Times New Roman" w:hAnsi="Times New Roman" w:cs="Times New Roman"/>
    </w:rPr>
  </w:style>
  <w:style w:type="paragraph" w:styleId="894">
    <w:name w:val="List 2"/>
    <w:basedOn w:val="866"/>
    <w:next w:val="880"/>
    <w:qFormat/>
    <w:pPr>
      <w:ind w:left="100" w:firstLine="3640"/>
      <w:spacing w:before="0" w:after="0" w:line="240" w:lineRule="auto"/>
    </w:pPr>
    <w:rPr>
      <w:rFonts w:ascii="Times New Roman" w:hAnsi="Times New Roman" w:cs="Times New Roman"/>
    </w:rPr>
  </w:style>
  <w:style w:type="paragraph" w:styleId="895">
    <w:name w:val="Block Text"/>
    <w:basedOn w:val="866"/>
    <w:next w:val="865"/>
    <w:qFormat/>
    <w:pPr>
      <w:ind w:left="420" w:right="33" w:firstLine="2560"/>
      <w:spacing w:before="0" w:after="0" w:line="240" w:lineRule="auto"/>
    </w:pPr>
    <w:rPr>
      <w:rFonts w:ascii="Times New Roman" w:hAnsi="Times New Roman" w:cs="Times New Roman"/>
    </w:rPr>
  </w:style>
  <w:style w:type="paragraph" w:styleId="896">
    <w:name w:val="toc 5"/>
    <w:basedOn w:val="866"/>
    <w:next w:val="865"/>
    <w:qFormat/>
    <w:pPr>
      <w:ind w:left="1160" w:firstLine="3784"/>
      <w:spacing w:before="0" w:after="0" w:line="360" w:lineRule="auto"/>
    </w:pPr>
    <w:rPr>
      <w:rFonts w:ascii="Times New Roman" w:hAnsi="Times New Roman" w:cs="Times New Roman"/>
    </w:rPr>
  </w:style>
  <w:style w:type="paragraph" w:styleId="897">
    <w:name w:val="toc 3"/>
    <w:basedOn w:val="866"/>
    <w:next w:val="865"/>
    <w:qFormat/>
    <w:pPr>
      <w:ind w:left="0" w:firstLine="1024"/>
      <w:spacing w:before="0" w:after="0" w:line="360" w:lineRule="auto"/>
    </w:pPr>
    <w:rPr>
      <w:rFonts w:ascii="Times New Roman" w:hAnsi="Times New Roman" w:cs="Times New Roman"/>
    </w:rPr>
  </w:style>
  <w:style w:type="paragraph" w:styleId="898">
    <w:name w:val="Plain Text"/>
    <w:basedOn w:val="866"/>
    <w:next w:val="899"/>
    <w:link w:val="1440"/>
    <w:qFormat/>
    <w:pPr>
      <w:ind w:left="0" w:firstLine="2048"/>
      <w:spacing w:before="0" w:after="0" w:line="240" w:lineRule="auto"/>
    </w:pPr>
    <w:rPr>
      <w:rFonts w:ascii="Times New Roman" w:hAnsi="Times New Roman" w:cs="Times New Roman"/>
    </w:rPr>
  </w:style>
  <w:style w:type="paragraph" w:styleId="899">
    <w:name w:val="toc 1"/>
    <w:basedOn w:val="866"/>
    <w:next w:val="865"/>
    <w:uiPriority w:val="39"/>
    <w:qFormat/>
    <w:pPr>
      <w:ind w:left="0" w:firstLine="4608"/>
      <w:spacing w:before="0" w:after="0" w:line="240" w:lineRule="auto"/>
    </w:pPr>
    <w:rPr>
      <w:rFonts w:ascii="Times New Roman" w:hAnsi="Times New Roman" w:cs="Times New Roman"/>
    </w:rPr>
  </w:style>
  <w:style w:type="paragraph" w:styleId="900">
    <w:name w:val="List Bullet 5"/>
    <w:basedOn w:val="866"/>
    <w:next w:val="901"/>
    <w:qFormat/>
    <w:pPr>
      <w:ind w:left="2040" w:firstLine="2560"/>
      <w:spacing w:before="0" w:after="0" w:line="360" w:lineRule="auto"/>
    </w:pPr>
    <w:rPr>
      <w:rFonts w:ascii="Times New Roman" w:hAnsi="Times New Roman" w:cs="Times New Roman"/>
    </w:rPr>
  </w:style>
  <w:style w:type="paragraph" w:styleId="901" w:customStyle="1">
    <w:name w:val="正文首行缩进1"/>
    <w:next w:val="893"/>
    <w:qFormat/>
    <w:pPr>
      <w:ind w:left="420" w:firstLine="2724"/>
      <w:spacing w:after="120" w:line="360" w:lineRule="auto"/>
    </w:pPr>
    <w:rPr>
      <w:rFonts w:ascii="Calibri" w:hAnsi="Calibri"/>
    </w:rPr>
  </w:style>
  <w:style w:type="paragraph" w:styleId="902">
    <w:name w:val="toc 8"/>
    <w:basedOn w:val="866"/>
    <w:next w:val="865"/>
    <w:qFormat/>
    <w:pPr>
      <w:ind w:left="1880" w:firstLine="3784"/>
      <w:spacing w:before="0" w:after="0" w:line="360" w:lineRule="auto"/>
    </w:pPr>
    <w:rPr>
      <w:rFonts w:ascii="Times New Roman" w:hAnsi="Times New Roman" w:cs="Times New Roman"/>
    </w:rPr>
  </w:style>
  <w:style w:type="paragraph" w:styleId="903">
    <w:name w:val="Date"/>
    <w:basedOn w:val="866"/>
    <w:next w:val="865"/>
    <w:link w:val="1441"/>
    <w:qFormat/>
    <w:pPr>
      <w:ind w:left="0" w:firstLine="2560"/>
      <w:spacing w:before="0" w:after="0" w:line="240" w:lineRule="auto"/>
    </w:pPr>
    <w:rPr>
      <w:rFonts w:ascii="Times New Roman" w:hAnsi="Times New Roman" w:cs="Times New Roman"/>
    </w:rPr>
  </w:style>
  <w:style w:type="paragraph" w:styleId="904">
    <w:name w:val="Body Text Indent 2"/>
    <w:basedOn w:val="866"/>
    <w:next w:val="878"/>
    <w:link w:val="1442"/>
    <w:qFormat/>
    <w:pPr>
      <w:ind w:left="481" w:firstLine="2784"/>
      <w:spacing w:before="0" w:after="0" w:line="400" w:lineRule="exact"/>
    </w:pPr>
    <w:rPr>
      <w:rFonts w:ascii="Times New Roman" w:hAnsi="Times New Roman" w:cs="Times New Roman"/>
    </w:rPr>
  </w:style>
  <w:style w:type="paragraph" w:styleId="905">
    <w:name w:val="endnote text"/>
    <w:basedOn w:val="866"/>
    <w:next w:val="906"/>
    <w:link w:val="1082"/>
    <w:qFormat/>
    <w:pPr>
      <w:ind w:left="0" w:firstLine="2560"/>
      <w:spacing w:before="0" w:after="0" w:line="360" w:lineRule="auto"/>
    </w:pPr>
    <w:rPr>
      <w:rFonts w:ascii="Times New Roman" w:hAnsi="Times New Roman" w:cs="Times New Roman"/>
    </w:rPr>
  </w:style>
  <w:style w:type="paragraph" w:styleId="906" w:customStyle="1">
    <w:name w:val="Char11"/>
    <w:basedOn w:val="866"/>
    <w:next w:val="865"/>
    <w:qFormat/>
    <w:pPr>
      <w:ind w:left="0" w:firstLine="3584"/>
      <w:spacing w:before="0" w:after="0" w:line="240" w:lineRule="auto"/>
    </w:pPr>
    <w:rPr>
      <w:rFonts w:ascii="Times New Roman" w:hAnsi="Times New Roman" w:cs="Times New Roman"/>
    </w:rPr>
  </w:style>
  <w:style w:type="paragraph" w:styleId="907">
    <w:name w:val="Balloon Text"/>
    <w:basedOn w:val="866"/>
    <w:next w:val="883"/>
    <w:qFormat/>
    <w:pPr>
      <w:ind w:left="0" w:firstLine="2048"/>
      <w:spacing w:before="0" w:after="0" w:line="240" w:lineRule="auto"/>
    </w:pPr>
    <w:rPr>
      <w:rFonts w:ascii="Times New Roman" w:hAnsi="Times New Roman" w:cs="Times New Roman"/>
    </w:rPr>
  </w:style>
  <w:style w:type="paragraph" w:styleId="908">
    <w:name w:val="Footer"/>
    <w:basedOn w:val="865"/>
    <w:next w:val="909"/>
    <w:link w:val="1085"/>
    <w:qFormat/>
    <w:pPr>
      <w:ind w:left="0" w:firstLine="3584"/>
    </w:pPr>
  </w:style>
  <w:style w:type="paragraph" w:styleId="909" w:customStyle="1">
    <w:name w:val="Char Char Char Char Char Char Char Char Char Char Char Char Char"/>
    <w:basedOn w:val="866"/>
    <w:next w:val="865"/>
    <w:qFormat/>
    <w:pPr>
      <w:ind w:left="0" w:firstLine="3584"/>
      <w:spacing w:before="0" w:after="160" w:line="240" w:lineRule="exact"/>
    </w:pPr>
    <w:rPr>
      <w:rFonts w:ascii="Times New Roman" w:hAnsi="Times New Roman" w:cs="Times New Roman"/>
    </w:rPr>
  </w:style>
  <w:style w:type="paragraph" w:styleId="910">
    <w:name w:val="Header"/>
    <w:basedOn w:val="866"/>
    <w:next w:val="903"/>
    <w:link w:val="1086"/>
    <w:qFormat/>
    <w:pPr>
      <w:ind w:left="0" w:firstLine="3584"/>
      <w:jc w:val="center"/>
      <w:spacing w:before="0" w:after="0" w:line="240" w:lineRule="auto"/>
    </w:pPr>
  </w:style>
  <w:style w:type="paragraph" w:styleId="911">
    <w:name w:val="toc 4"/>
    <w:basedOn w:val="866"/>
    <w:next w:val="865"/>
    <w:qFormat/>
    <w:pPr>
      <w:ind w:left="1260" w:firstLine="1024"/>
      <w:spacing w:before="0" w:after="0" w:line="240" w:lineRule="auto"/>
    </w:pPr>
    <w:rPr>
      <w:rFonts w:ascii="Times New Roman" w:hAnsi="Times New Roman" w:cs="Times New Roman"/>
    </w:rPr>
  </w:style>
  <w:style w:type="paragraph" w:styleId="912">
    <w:name w:val="Subtitle"/>
    <w:next w:val="865"/>
    <w:link w:val="948"/>
    <w:qFormat/>
    <w:pPr>
      <w:ind w:left="1024"/>
      <w:jc w:val="center"/>
      <w:spacing w:after="60"/>
    </w:pPr>
    <w:rPr>
      <w:rFonts w:ascii="Calibri" w:hAnsi="Calibri"/>
    </w:rPr>
  </w:style>
  <w:style w:type="paragraph" w:styleId="913">
    <w:name w:val="List"/>
    <w:basedOn w:val="866"/>
    <w:next w:val="914"/>
    <w:qFormat/>
    <w:pPr>
      <w:ind w:left="200" w:firstLine="3640"/>
      <w:spacing w:before="0" w:after="0" w:line="240" w:lineRule="auto"/>
    </w:pPr>
    <w:rPr>
      <w:rFonts w:ascii="Times New Roman" w:hAnsi="Times New Roman" w:cs="Times New Roman"/>
    </w:rPr>
  </w:style>
  <w:style w:type="paragraph" w:styleId="914">
    <w:name w:val="Body Text First Indent"/>
    <w:next w:val="865"/>
    <w:link w:val="1443"/>
    <w:qFormat/>
    <w:pPr>
      <w:ind w:left="420" w:firstLine="3748"/>
      <w:spacing w:after="120"/>
    </w:pPr>
    <w:rPr>
      <w:rFonts w:ascii="Calibri" w:hAnsi="Calibri"/>
    </w:rPr>
  </w:style>
  <w:style w:type="paragraph" w:styleId="915">
    <w:name w:val="footnote text"/>
    <w:basedOn w:val="866"/>
    <w:next w:val="895"/>
    <w:link w:val="1081"/>
    <w:qFormat/>
    <w:pPr>
      <w:ind w:left="0" w:firstLine="3584"/>
      <w:spacing w:before="0" w:after="0" w:line="360" w:lineRule="auto"/>
    </w:pPr>
    <w:rPr>
      <w:rFonts w:ascii="Times New Roman" w:hAnsi="Times New Roman" w:cs="Times New Roman"/>
    </w:rPr>
  </w:style>
  <w:style w:type="paragraph" w:styleId="916">
    <w:name w:val="toc 6"/>
    <w:basedOn w:val="866"/>
    <w:next w:val="865"/>
    <w:qFormat/>
    <w:pPr>
      <w:ind w:left="1400" w:firstLine="3784"/>
      <w:spacing w:before="0" w:after="0" w:line="360" w:lineRule="auto"/>
    </w:pPr>
    <w:rPr>
      <w:rFonts w:ascii="Times New Roman" w:hAnsi="Times New Roman" w:cs="Times New Roman"/>
    </w:rPr>
  </w:style>
  <w:style w:type="paragraph" w:styleId="917">
    <w:name w:val="List 5"/>
    <w:basedOn w:val="866"/>
    <w:next w:val="892"/>
    <w:qFormat/>
    <w:pPr>
      <w:ind w:left="2100" w:firstLine="3676"/>
      <w:spacing w:before="0" w:after="0" w:line="240" w:lineRule="auto"/>
    </w:pPr>
    <w:rPr>
      <w:rFonts w:ascii="Times New Roman" w:hAnsi="Times New Roman" w:cs="Times New Roman"/>
    </w:rPr>
  </w:style>
  <w:style w:type="paragraph" w:styleId="918">
    <w:name w:val="Body Text Indent 3"/>
    <w:basedOn w:val="866"/>
    <w:next w:val="916"/>
    <w:qFormat/>
    <w:pPr>
      <w:ind w:left="480" w:firstLine="2784"/>
      <w:spacing w:before="0" w:after="0" w:line="400" w:lineRule="exact"/>
    </w:pPr>
    <w:rPr>
      <w:rFonts w:ascii="Times New Roman" w:hAnsi="Times New Roman" w:cs="Times New Roman"/>
    </w:rPr>
  </w:style>
  <w:style w:type="paragraph" w:styleId="919">
    <w:name w:val="table of figures"/>
    <w:basedOn w:val="865"/>
    <w:next w:val="865"/>
    <w:uiPriority w:val="99"/>
    <w:unhideWhenUsed/>
    <w:qFormat/>
  </w:style>
  <w:style w:type="paragraph" w:styleId="920">
    <w:name w:val="toc 2"/>
    <w:basedOn w:val="866"/>
    <w:next w:val="865"/>
    <w:qFormat/>
    <w:pPr>
      <w:ind w:left="0" w:firstLine="1024"/>
      <w:spacing w:before="0" w:after="0" w:line="360" w:lineRule="auto"/>
    </w:pPr>
    <w:rPr>
      <w:rFonts w:ascii="Times New Roman" w:hAnsi="Times New Roman" w:cs="Times New Roman"/>
    </w:rPr>
  </w:style>
  <w:style w:type="paragraph" w:styleId="921">
    <w:name w:val="toc 9"/>
    <w:basedOn w:val="866"/>
    <w:next w:val="865"/>
    <w:qFormat/>
    <w:pPr>
      <w:ind w:left="2120" w:firstLine="3784"/>
      <w:spacing w:before="0" w:after="0" w:line="360" w:lineRule="auto"/>
    </w:pPr>
    <w:rPr>
      <w:rFonts w:ascii="Times New Roman" w:hAnsi="Times New Roman" w:cs="Times New Roman"/>
    </w:rPr>
  </w:style>
  <w:style w:type="paragraph" w:styleId="922">
    <w:name w:val="Body Text 2"/>
    <w:basedOn w:val="866"/>
    <w:next w:val="886"/>
    <w:link w:val="1444"/>
    <w:qFormat/>
    <w:pPr>
      <w:ind w:left="0" w:firstLine="1024"/>
      <w:spacing w:before="0" w:after="120" w:line="480" w:lineRule="auto"/>
    </w:pPr>
    <w:rPr>
      <w:rFonts w:ascii="Times New Roman" w:hAnsi="Times New Roman" w:cs="Times New Roman"/>
    </w:rPr>
  </w:style>
  <w:style w:type="paragraph" w:styleId="923">
    <w:name w:val="HTML Preformatted"/>
    <w:basedOn w:val="866"/>
    <w:next w:val="885"/>
    <w:link w:val="1445"/>
    <w:qFormat/>
    <w:pPr>
      <w:ind w:left="0" w:firstLine="2048"/>
      <w:spacing w:before="0" w:after="0" w:line="253" w:lineRule="atLeast"/>
    </w:pPr>
    <w:rPr>
      <w:rFonts w:ascii="Times New Roman" w:hAnsi="Times New Roman" w:cs="Times New Roman"/>
    </w:rPr>
  </w:style>
  <w:style w:type="paragraph" w:styleId="924">
    <w:name w:val="Normal (Web)"/>
    <w:basedOn w:val="865"/>
    <w:next w:val="894"/>
    <w:qFormat/>
    <w:pPr>
      <w:ind w:left="15" w:right="15" w:firstLine="4608"/>
      <w:spacing w:before="60" w:after="60" w:line="312" w:lineRule="auto"/>
    </w:pPr>
    <w:rPr>
      <w:rFonts w:ascii="Times New Roman" w:hAnsi="Times New Roman" w:cs="Times New Roman"/>
    </w:rPr>
  </w:style>
  <w:style w:type="paragraph" w:styleId="925">
    <w:name w:val="index 1"/>
    <w:basedOn w:val="866"/>
    <w:next w:val="865"/>
    <w:qFormat/>
    <w:pPr>
      <w:ind w:left="0" w:firstLine="3584"/>
      <w:spacing w:before="0" w:after="0" w:line="240" w:lineRule="auto"/>
    </w:pPr>
    <w:rPr>
      <w:rFonts w:ascii="Times New Roman" w:hAnsi="Times New Roman" w:cs="Times New Roman"/>
    </w:rPr>
  </w:style>
  <w:style w:type="paragraph" w:styleId="926">
    <w:name w:val="Title"/>
    <w:basedOn w:val="865"/>
    <w:next w:val="865"/>
    <w:link w:val="947"/>
    <w:uiPriority w:val="10"/>
    <w:qFormat/>
    <w:pPr>
      <w:contextualSpacing/>
      <w:spacing w:before="300" w:after="200"/>
    </w:pPr>
    <w:rPr>
      <w:sz w:val="48"/>
      <w:szCs w:val="48"/>
    </w:rPr>
  </w:style>
  <w:style w:type="paragraph" w:styleId="927">
    <w:name w:val="Body Text First Indent 2"/>
    <w:basedOn w:val="878"/>
    <w:link w:val="1446"/>
    <w:unhideWhenUsed/>
    <w:qFormat/>
    <w:pPr>
      <w:ind w:firstLine="420"/>
    </w:pPr>
  </w:style>
  <w:style w:type="table" w:styleId="928">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29">
    <w:name w:val="Strong"/>
    <w:qFormat/>
    <w:rPr>
      <w:rFonts w:ascii="Times New Roman" w:hAnsi="Times New Roman" w:eastAsia="宋体" w:cs="Times New Roman"/>
      <w:b/>
      <w:sz w:val="20"/>
    </w:rPr>
  </w:style>
  <w:style w:type="character" w:styleId="930">
    <w:name w:val="endnote reference"/>
    <w:basedOn w:val="875"/>
    <w:uiPriority w:val="99"/>
    <w:semiHidden/>
    <w:unhideWhenUsed/>
    <w:qFormat/>
    <w:rPr>
      <w:vertAlign w:val="superscript"/>
    </w:rPr>
  </w:style>
  <w:style w:type="character" w:styleId="931">
    <w:name w:val="page number"/>
    <w:qFormat/>
    <w:rPr>
      <w:rFonts w:ascii="Times New Roman" w:hAnsi="Times New Roman" w:eastAsia="宋体" w:cs="Times New Roman"/>
      <w:sz w:val="20"/>
    </w:rPr>
  </w:style>
  <w:style w:type="character" w:styleId="932">
    <w:name w:val="FollowedHyperlink"/>
    <w:qFormat/>
    <w:rPr>
      <w:rFonts w:ascii="Times New Roman" w:hAnsi="Times New Roman" w:eastAsia="宋体" w:cs="Times New Roman"/>
      <w:color w:val="800080"/>
      <w:sz w:val="20"/>
      <w:u w:val="single"/>
    </w:rPr>
  </w:style>
  <w:style w:type="character" w:styleId="933">
    <w:name w:val="Emphasis"/>
    <w:qFormat/>
    <w:rPr>
      <w:rFonts w:ascii="Times New Roman" w:hAnsi="Times New Roman" w:eastAsia="宋体" w:cs="Times New Roman"/>
      <w:i/>
      <w:sz w:val="21"/>
    </w:rPr>
  </w:style>
  <w:style w:type="character" w:styleId="934">
    <w:name w:val="Hyperlink"/>
    <w:uiPriority w:val="99"/>
    <w:qFormat/>
    <w:rPr>
      <w:rFonts w:ascii="Times New Roman" w:hAnsi="Times New Roman" w:eastAsia="宋体" w:cs="Times New Roman"/>
      <w:color w:val="0000ff"/>
      <w:sz w:val="20"/>
      <w:u w:val="single"/>
    </w:rPr>
  </w:style>
  <w:style w:type="character" w:styleId="935">
    <w:name w:val="annotation reference"/>
    <w:qFormat/>
    <w:rPr>
      <w:rFonts w:ascii="Times New Roman" w:hAnsi="Times New Roman" w:eastAsia="宋体" w:cs="Times New Roman"/>
      <w:sz w:val="20"/>
    </w:rPr>
  </w:style>
  <w:style w:type="character" w:styleId="936">
    <w:name w:val="footnote reference"/>
    <w:qFormat/>
    <w:rPr>
      <w:rFonts w:ascii="Times New Roman" w:hAnsi="Times New Roman" w:eastAsia="宋体" w:cs="Times New Roman"/>
      <w:vertAlign w:val="superscript"/>
    </w:rPr>
  </w:style>
  <w:style w:type="character" w:styleId="937" w:customStyle="1">
    <w:name w:val="标题 1 字符"/>
    <w:basedOn w:val="875"/>
    <w:link w:val="866"/>
    <w:qFormat/>
    <w:rPr>
      <w:rFonts w:ascii="Arial" w:hAnsi="Arial" w:eastAsia="Arial" w:cs="Arial"/>
      <w:sz w:val="40"/>
      <w:szCs w:val="40"/>
    </w:rPr>
  </w:style>
  <w:style w:type="character" w:styleId="938" w:customStyle="1">
    <w:name w:val="标题 2 字符"/>
    <w:basedOn w:val="875"/>
    <w:link w:val="867"/>
    <w:qFormat/>
    <w:rPr>
      <w:rFonts w:ascii="Arial" w:hAnsi="Arial" w:eastAsia="Arial" w:cs="Arial"/>
      <w:sz w:val="34"/>
    </w:rPr>
  </w:style>
  <w:style w:type="character" w:styleId="939" w:customStyle="1">
    <w:name w:val="标题 3 字符"/>
    <w:basedOn w:val="875"/>
    <w:link w:val="868"/>
    <w:qFormat/>
    <w:rPr>
      <w:rFonts w:ascii="Arial" w:hAnsi="Arial" w:eastAsia="Arial" w:cs="Arial"/>
      <w:sz w:val="30"/>
      <w:szCs w:val="30"/>
    </w:rPr>
  </w:style>
  <w:style w:type="character" w:styleId="940" w:customStyle="1">
    <w:name w:val="标题 4 字符"/>
    <w:basedOn w:val="875"/>
    <w:link w:val="869"/>
    <w:qFormat/>
    <w:rPr>
      <w:rFonts w:ascii="Arial" w:hAnsi="Arial" w:eastAsia="Arial" w:cs="Arial"/>
      <w:b/>
      <w:bCs/>
      <w:sz w:val="26"/>
      <w:szCs w:val="26"/>
    </w:rPr>
  </w:style>
  <w:style w:type="character" w:styleId="941" w:customStyle="1">
    <w:name w:val="标题 5 字符"/>
    <w:basedOn w:val="875"/>
    <w:link w:val="870"/>
    <w:qFormat/>
    <w:rPr>
      <w:rFonts w:ascii="Arial" w:hAnsi="Arial" w:eastAsia="Arial" w:cs="Arial"/>
      <w:b/>
      <w:bCs/>
      <w:sz w:val="24"/>
      <w:szCs w:val="24"/>
    </w:rPr>
  </w:style>
  <w:style w:type="character" w:styleId="942" w:customStyle="1">
    <w:name w:val="标题 6 字符"/>
    <w:basedOn w:val="875"/>
    <w:link w:val="871"/>
    <w:qFormat/>
    <w:rPr>
      <w:rFonts w:ascii="Arial" w:hAnsi="Arial" w:eastAsia="Arial" w:cs="Arial"/>
      <w:b/>
      <w:bCs/>
      <w:sz w:val="22"/>
      <w:szCs w:val="22"/>
    </w:rPr>
  </w:style>
  <w:style w:type="character" w:styleId="943" w:customStyle="1">
    <w:name w:val="标题 7 字符"/>
    <w:basedOn w:val="875"/>
    <w:link w:val="872"/>
    <w:qFormat/>
    <w:rPr>
      <w:rFonts w:ascii="Arial" w:hAnsi="Arial" w:eastAsia="Arial" w:cs="Arial"/>
      <w:b/>
      <w:bCs/>
      <w:i/>
      <w:iCs/>
      <w:sz w:val="22"/>
      <w:szCs w:val="22"/>
    </w:rPr>
  </w:style>
  <w:style w:type="character" w:styleId="944" w:customStyle="1">
    <w:name w:val="标题 8 字符"/>
    <w:basedOn w:val="875"/>
    <w:link w:val="873"/>
    <w:qFormat/>
    <w:rPr>
      <w:rFonts w:ascii="Arial" w:hAnsi="Arial" w:eastAsia="Arial" w:cs="Arial"/>
      <w:i/>
      <w:iCs/>
      <w:sz w:val="22"/>
      <w:szCs w:val="22"/>
    </w:rPr>
  </w:style>
  <w:style w:type="character" w:styleId="945" w:customStyle="1">
    <w:name w:val="标题 9 字符"/>
    <w:basedOn w:val="875"/>
    <w:link w:val="874"/>
    <w:qFormat/>
    <w:rPr>
      <w:rFonts w:ascii="Arial" w:hAnsi="Arial" w:eastAsia="Arial" w:cs="Arial"/>
      <w:i/>
      <w:iCs/>
      <w:sz w:val="21"/>
      <w:szCs w:val="21"/>
    </w:rPr>
  </w:style>
  <w:style w:type="paragraph" w:styleId="946">
    <w:name w:val="No Spacing"/>
    <w:uiPriority w:val="1"/>
    <w:qFormat/>
  </w:style>
  <w:style w:type="character" w:styleId="947" w:customStyle="1">
    <w:name w:val="标题 字符"/>
    <w:basedOn w:val="875"/>
    <w:link w:val="926"/>
    <w:uiPriority w:val="10"/>
    <w:qFormat/>
    <w:rPr>
      <w:sz w:val="48"/>
      <w:szCs w:val="48"/>
    </w:rPr>
  </w:style>
  <w:style w:type="character" w:styleId="948" w:customStyle="1">
    <w:name w:val="副标题 字符"/>
    <w:basedOn w:val="875"/>
    <w:link w:val="912"/>
    <w:qFormat/>
    <w:rPr>
      <w:sz w:val="24"/>
      <w:szCs w:val="24"/>
    </w:rPr>
  </w:style>
  <w:style w:type="character" w:styleId="949" w:customStyle="1">
    <w:name w:val="引用 字符"/>
    <w:link w:val="950"/>
    <w:uiPriority w:val="29"/>
    <w:qFormat/>
    <w:rPr>
      <w:i/>
    </w:rPr>
  </w:style>
  <w:style w:type="paragraph" w:styleId="950">
    <w:name w:val="Quote"/>
    <w:next w:val="865"/>
    <w:link w:val="949"/>
    <w:uiPriority w:val="29"/>
    <w:qFormat/>
    <w:pPr>
      <w:ind w:left="3680" w:right="864"/>
      <w:jc w:val="center"/>
      <w:spacing w:before="200" w:after="160"/>
    </w:pPr>
    <w:rPr>
      <w:rFonts w:ascii="Calibri" w:hAnsi="Calibri"/>
      <w:i/>
    </w:rPr>
  </w:style>
  <w:style w:type="character" w:styleId="951" w:customStyle="1">
    <w:name w:val="明显引用 字符"/>
    <w:link w:val="952"/>
    <w:uiPriority w:val="30"/>
    <w:qFormat/>
    <w:rPr>
      <w:i/>
    </w:rPr>
  </w:style>
  <w:style w:type="paragraph" w:styleId="952">
    <w:name w:val="Intense Quote"/>
    <w:next w:val="865"/>
    <w:link w:val="951"/>
    <w:uiPriority w:val="30"/>
    <w:qFormat/>
    <w:pPr>
      <w:ind w:left="3766" w:right="950"/>
      <w:jc w:val="center"/>
      <w:spacing w:before="360" w:after="360"/>
    </w:pPr>
    <w:rPr>
      <w:rFonts w:ascii="Calibri" w:hAnsi="Calibri"/>
      <w:i/>
    </w:rPr>
  </w:style>
  <w:style w:type="character" w:styleId="953" w:customStyle="1">
    <w:name w:val="Header Char"/>
    <w:basedOn w:val="875"/>
    <w:uiPriority w:val="99"/>
    <w:qFormat/>
  </w:style>
  <w:style w:type="character" w:styleId="954" w:customStyle="1">
    <w:name w:val="Footer Char"/>
    <w:basedOn w:val="875"/>
    <w:uiPriority w:val="99"/>
    <w:qFormat/>
  </w:style>
  <w:style w:type="character" w:styleId="955" w:customStyle="1">
    <w:name w:val="Caption Char"/>
    <w:uiPriority w:val="99"/>
    <w:qFormat/>
  </w:style>
  <w:style w:type="table" w:styleId="956" w:customStyle="1">
    <w:name w:val="Table Grid Light"/>
    <w:basedOn w:val="87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57" w:customStyle="1">
    <w:name w:val="无格式表格 11"/>
    <w:basedOn w:val="87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8" w:customStyle="1">
    <w:name w:val="无格式表格 21"/>
    <w:basedOn w:val="87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9" w:customStyle="1">
    <w:name w:val="无格式表格 31"/>
    <w:basedOn w:val="87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0" w:customStyle="1">
    <w:name w:val="无格式表格 41"/>
    <w:basedOn w:val="87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1" w:customStyle="1">
    <w:name w:val="无格式表格 51"/>
    <w:basedOn w:val="87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2" w:customStyle="1">
    <w:name w:val="网格表 1 浅色1"/>
    <w:basedOn w:val="876"/>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1"/>
    <w:basedOn w:val="876"/>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2"/>
    <w:basedOn w:val="876"/>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3"/>
    <w:basedOn w:val="87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4"/>
    <w:basedOn w:val="87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5"/>
    <w:basedOn w:val="876"/>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6"/>
    <w:basedOn w:val="87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9" w:customStyle="1">
    <w:name w:val="网格表 21"/>
    <w:basedOn w:val="87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70" w:customStyle="1">
    <w:name w:val="Grid Table 2 - Accent 1"/>
    <w:basedOn w:val="876"/>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71" w:customStyle="1">
    <w:name w:val="Grid Table 2 - Accent 2"/>
    <w:basedOn w:val="876"/>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72" w:customStyle="1">
    <w:name w:val="Grid Table 2 - Accent 3"/>
    <w:basedOn w:val="876"/>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73" w:customStyle="1">
    <w:name w:val="Grid Table 2 - Accent 4"/>
    <w:basedOn w:val="87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4" w:customStyle="1">
    <w:name w:val="Grid Table 2 - Accent 5"/>
    <w:basedOn w:val="87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5" w:customStyle="1">
    <w:name w:val="Grid Table 2 - Accent 6"/>
    <w:basedOn w:val="87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6" w:customStyle="1">
    <w:name w:val="网格表 31"/>
    <w:basedOn w:val="87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1"/>
    <w:basedOn w:val="876"/>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2"/>
    <w:basedOn w:val="876"/>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3"/>
    <w:basedOn w:val="876"/>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4"/>
    <w:basedOn w:val="87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5"/>
    <w:basedOn w:val="87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6"/>
    <w:basedOn w:val="87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网格表 41"/>
    <w:basedOn w:val="876"/>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4" w:customStyle="1">
    <w:name w:val="Grid Table 4 - Accent 1"/>
    <w:basedOn w:val="876"/>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85" w:customStyle="1">
    <w:name w:val="Grid Table 4 - Accent 2"/>
    <w:basedOn w:val="876"/>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86" w:customStyle="1">
    <w:name w:val="Grid Table 4 - Accent 3"/>
    <w:basedOn w:val="876"/>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87" w:customStyle="1">
    <w:name w:val="Grid Table 4 - Accent 4"/>
    <w:basedOn w:val="876"/>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8" w:customStyle="1">
    <w:name w:val="Grid Table 4 - Accent 5"/>
    <w:basedOn w:val="876"/>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9" w:customStyle="1">
    <w:name w:val="Grid Table 4 - Accent 6"/>
    <w:basedOn w:val="87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0" w:customStyle="1">
    <w:name w:val="网格表 5 深色1"/>
    <w:basedOn w:val="8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1" w:customStyle="1">
    <w:name w:val="Grid Table 5 Dark- Accent 1"/>
    <w:basedOn w:val="8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2" w:customStyle="1">
    <w:name w:val="Grid Table 5 Dark - Accent 2"/>
    <w:basedOn w:val="8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3" w:customStyle="1">
    <w:name w:val="Grid Table 5 Dark - Accent 3"/>
    <w:basedOn w:val="8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4" w:customStyle="1">
    <w:name w:val="Grid Table 5 Dark- Accent 4"/>
    <w:basedOn w:val="8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5" w:customStyle="1">
    <w:name w:val="Grid Table 5 Dark - Accent 5"/>
    <w:basedOn w:val="8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6" w:customStyle="1">
    <w:name w:val="Grid Table 5 Dark - Accent 6"/>
    <w:basedOn w:val="8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7" w:customStyle="1">
    <w:name w:val="网格表 6 彩色1"/>
    <w:basedOn w:val="876"/>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98" w:customStyle="1">
    <w:name w:val="Grid Table 6 Colorful - Accent 1"/>
    <w:basedOn w:val="876"/>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99" w:customStyle="1">
    <w:name w:val="Grid Table 6 Colorful - Accent 2"/>
    <w:basedOn w:val="876"/>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1000" w:customStyle="1">
    <w:name w:val="Grid Table 6 Colorful - Accent 3"/>
    <w:basedOn w:val="876"/>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001" w:customStyle="1">
    <w:name w:val="Grid Table 6 Colorful - Accent 4"/>
    <w:basedOn w:val="87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002" w:customStyle="1">
    <w:name w:val="Grid Table 6 Colorful - Accent 5"/>
    <w:basedOn w:val="876"/>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03" w:customStyle="1">
    <w:name w:val="Grid Table 6 Colorful - Accent 6"/>
    <w:basedOn w:val="87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04" w:customStyle="1">
    <w:name w:val="网格表 7 彩色1"/>
    <w:basedOn w:val="876"/>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05" w:customStyle="1">
    <w:name w:val="Grid Table 7 Colorful - Accent 1"/>
    <w:basedOn w:val="876"/>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6" w:customStyle="1">
    <w:name w:val="Grid Table 7 Colorful - Accent 2"/>
    <w:basedOn w:val="876"/>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07" w:customStyle="1">
    <w:name w:val="Grid Table 7 Colorful - Accent 3"/>
    <w:basedOn w:val="876"/>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008" w:customStyle="1">
    <w:name w:val="Grid Table 7 Colorful - Accent 4"/>
    <w:basedOn w:val="876"/>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9" w:customStyle="1">
    <w:name w:val="Grid Table 7 Colorful - Accent 5"/>
    <w:basedOn w:val="876"/>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0" w:customStyle="1">
    <w:name w:val="Grid Table 7 Colorful - Accent 6"/>
    <w:basedOn w:val="87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1" w:customStyle="1">
    <w:name w:val="清单表 1 浅色1"/>
    <w:basedOn w:val="876"/>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2" w:customStyle="1">
    <w:name w:val="List Table 1 Light - Accent 1"/>
    <w:basedOn w:val="876"/>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3" w:customStyle="1">
    <w:name w:val="List Table 1 Light - Accent 2"/>
    <w:basedOn w:val="876"/>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4" w:customStyle="1">
    <w:name w:val="List Table 1 Light - Accent 3"/>
    <w:basedOn w:val="876"/>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5" w:customStyle="1">
    <w:name w:val="List Table 1 Light - Accent 4"/>
    <w:basedOn w:val="876"/>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6" w:customStyle="1">
    <w:name w:val="List Table 1 Light - Accent 5"/>
    <w:basedOn w:val="876"/>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7" w:customStyle="1">
    <w:name w:val="List Table 1 Light - Accent 6"/>
    <w:basedOn w:val="876"/>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8" w:customStyle="1">
    <w:name w:val="清单表 21"/>
    <w:basedOn w:val="876"/>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19" w:customStyle="1">
    <w:name w:val="List Table 2 - Accent 1"/>
    <w:basedOn w:val="876"/>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0" w:customStyle="1">
    <w:name w:val="List Table 2 - Accent 2"/>
    <w:basedOn w:val="876"/>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021" w:customStyle="1">
    <w:name w:val="List Table 2 - Accent 3"/>
    <w:basedOn w:val="876"/>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2" w:customStyle="1">
    <w:name w:val="List Table 2 - Accent 4"/>
    <w:basedOn w:val="876"/>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3" w:customStyle="1">
    <w:name w:val="List Table 2 - Accent 5"/>
    <w:basedOn w:val="876"/>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4" w:customStyle="1">
    <w:name w:val="List Table 2 - Accent 6"/>
    <w:basedOn w:val="87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5" w:customStyle="1">
    <w:name w:val="清单表 31"/>
    <w:basedOn w:val="87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6" w:customStyle="1">
    <w:name w:val="List Table 3 - Accent 1"/>
    <w:basedOn w:val="876"/>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7" w:customStyle="1">
    <w:name w:val="List Table 3 - Accent 2"/>
    <w:basedOn w:val="876"/>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28" w:customStyle="1">
    <w:name w:val="List Table 3 - Accent 3"/>
    <w:basedOn w:val="876"/>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29" w:customStyle="1">
    <w:name w:val="List Table 3 - Accent 4"/>
    <w:basedOn w:val="87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0" w:customStyle="1">
    <w:name w:val="List Table 3 - Accent 5"/>
    <w:basedOn w:val="876"/>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1" w:customStyle="1">
    <w:name w:val="List Table 3 - Accent 6"/>
    <w:basedOn w:val="87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2" w:customStyle="1">
    <w:name w:val="清单表 41"/>
    <w:basedOn w:val="87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3" w:customStyle="1">
    <w:name w:val="List Table 4 - Accent 1"/>
    <w:basedOn w:val="876"/>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4" w:customStyle="1">
    <w:name w:val="List Table 4 - Accent 2"/>
    <w:basedOn w:val="876"/>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5" w:customStyle="1">
    <w:name w:val="List Table 4 - Accent 3"/>
    <w:basedOn w:val="876"/>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6" w:customStyle="1">
    <w:name w:val="List Table 4 - Accent 4"/>
    <w:basedOn w:val="876"/>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7" w:customStyle="1">
    <w:name w:val="List Table 4 - Accent 5"/>
    <w:basedOn w:val="876"/>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8" w:customStyle="1">
    <w:name w:val="List Table 4 - Accent 6"/>
    <w:basedOn w:val="87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9" w:customStyle="1">
    <w:name w:val="清单表 5 深色1"/>
    <w:basedOn w:val="876"/>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40" w:customStyle="1">
    <w:name w:val="List Table 5 Dark - Accent 1"/>
    <w:basedOn w:val="876"/>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41" w:customStyle="1">
    <w:name w:val="List Table 5 Dark - Accent 2"/>
    <w:basedOn w:val="876"/>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42" w:customStyle="1">
    <w:name w:val="List Table 5 Dark - Accent 3"/>
    <w:basedOn w:val="876"/>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43" w:customStyle="1">
    <w:name w:val="List Table 5 Dark - Accent 4"/>
    <w:basedOn w:val="876"/>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44" w:customStyle="1">
    <w:name w:val="List Table 5 Dark - Accent 5"/>
    <w:basedOn w:val="876"/>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45" w:customStyle="1">
    <w:name w:val="List Table 5 Dark - Accent 6"/>
    <w:basedOn w:val="87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46" w:customStyle="1">
    <w:name w:val="清单表 6 彩色1"/>
    <w:basedOn w:val="876"/>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47" w:customStyle="1">
    <w:name w:val="List Table 6 Colorful - Accent 1"/>
    <w:basedOn w:val="876"/>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48" w:customStyle="1">
    <w:name w:val="List Table 6 Colorful - Accent 2"/>
    <w:basedOn w:val="876"/>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49" w:customStyle="1">
    <w:name w:val="List Table 6 Colorful - Accent 3"/>
    <w:basedOn w:val="876"/>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50" w:customStyle="1">
    <w:name w:val="List Table 6 Colorful - Accent 4"/>
    <w:basedOn w:val="876"/>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51" w:customStyle="1">
    <w:name w:val="List Table 6 Colorful - Accent 5"/>
    <w:basedOn w:val="876"/>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52" w:customStyle="1">
    <w:name w:val="List Table 6 Colorful - Accent 6"/>
    <w:basedOn w:val="876"/>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53" w:customStyle="1">
    <w:name w:val="清单表 7 彩色1"/>
    <w:basedOn w:val="876"/>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54" w:customStyle="1">
    <w:name w:val="List Table 7 Colorful - Accent 1"/>
    <w:basedOn w:val="876"/>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5" w:customStyle="1">
    <w:name w:val="List Table 7 Colorful - Accent 2"/>
    <w:basedOn w:val="876"/>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56" w:customStyle="1">
    <w:name w:val="List Table 7 Colorful - Accent 3"/>
    <w:basedOn w:val="876"/>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57" w:customStyle="1">
    <w:name w:val="List Table 7 Colorful - Accent 4"/>
    <w:basedOn w:val="876"/>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8" w:customStyle="1">
    <w:name w:val="List Table 7 Colorful - Accent 5"/>
    <w:basedOn w:val="876"/>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9" w:customStyle="1">
    <w:name w:val="List Table 7 Colorful - Accent 6"/>
    <w:basedOn w:val="876"/>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0" w:customStyle="1">
    <w:name w:val="Lined - Accent"/>
    <w:basedOn w:val="87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61" w:customStyle="1">
    <w:name w:val="Lined - Accent 1"/>
    <w:basedOn w:val="87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62" w:customStyle="1">
    <w:name w:val="Lined - Accent 2"/>
    <w:basedOn w:val="87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63" w:customStyle="1">
    <w:name w:val="Lined - Accent 3"/>
    <w:basedOn w:val="87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64" w:customStyle="1">
    <w:name w:val="Lined - Accent 4"/>
    <w:basedOn w:val="87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5" w:customStyle="1">
    <w:name w:val="Lined - Accent 5"/>
    <w:basedOn w:val="87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6" w:customStyle="1">
    <w:name w:val="Lined - Accent 6"/>
    <w:basedOn w:val="87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7" w:customStyle="1">
    <w:name w:val="Bordered &amp; Lined - Accent"/>
    <w:basedOn w:val="876"/>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68" w:customStyle="1">
    <w:name w:val="Bordered &amp; Lined - Accent 1"/>
    <w:basedOn w:val="876"/>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69" w:customStyle="1">
    <w:name w:val="Bordered &amp; Lined - Accent 2"/>
    <w:basedOn w:val="876"/>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70" w:customStyle="1">
    <w:name w:val="Bordered &amp; Lined - Accent 3"/>
    <w:basedOn w:val="876"/>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71" w:customStyle="1">
    <w:name w:val="Bordered &amp; Lined - Accent 4"/>
    <w:basedOn w:val="876"/>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2" w:customStyle="1">
    <w:name w:val="Bordered &amp; Lined - Accent 5"/>
    <w:basedOn w:val="876"/>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3" w:customStyle="1">
    <w:name w:val="Bordered &amp; Lined - Accent 6"/>
    <w:basedOn w:val="87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4" w:customStyle="1">
    <w:name w:val="Bordered"/>
    <w:basedOn w:val="876"/>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75" w:customStyle="1">
    <w:name w:val="Bordered - Accent 1"/>
    <w:basedOn w:val="876"/>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6" w:customStyle="1">
    <w:name w:val="Bordered - Accent 2"/>
    <w:basedOn w:val="876"/>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77" w:customStyle="1">
    <w:name w:val="Bordered - Accent 3"/>
    <w:basedOn w:val="87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78" w:customStyle="1">
    <w:name w:val="Bordered - Accent 4"/>
    <w:basedOn w:val="87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9" w:customStyle="1">
    <w:name w:val="Bordered - Accent 5"/>
    <w:basedOn w:val="876"/>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0" w:customStyle="1">
    <w:name w:val="Bordered - Accent 6"/>
    <w:basedOn w:val="87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1" w:customStyle="1">
    <w:name w:val="脚注文本 字符"/>
    <w:link w:val="915"/>
    <w:qFormat/>
    <w:rPr>
      <w:sz w:val="18"/>
    </w:rPr>
  </w:style>
  <w:style w:type="character" w:styleId="1082" w:customStyle="1">
    <w:name w:val="尾注文本 字符"/>
    <w:link w:val="905"/>
    <w:qFormat/>
    <w:rPr>
      <w:sz w:val="20"/>
    </w:rPr>
  </w:style>
  <w:style w:type="paragraph" w:styleId="1083" w:customStyle="1">
    <w:name w:val="TOC 标题1"/>
    <w:uiPriority w:val="39"/>
    <w:unhideWhenUsed/>
    <w:qFormat/>
  </w:style>
  <w:style w:type="character" w:styleId="1084" w:customStyle="1">
    <w:name w:val="正文缩进 字符"/>
    <w:link w:val="884"/>
    <w:qFormat/>
    <w:rPr>
      <w:rFonts w:ascii="Calibri" w:hAnsi="Calibri" w:eastAsia="宋体" w:cs="Times New Roman"/>
    </w:rPr>
  </w:style>
  <w:style w:type="character" w:styleId="1085" w:customStyle="1">
    <w:name w:val="页脚 字符"/>
    <w:link w:val="908"/>
    <w:qFormat/>
    <w:rPr>
      <w:rFonts w:ascii="Calibri" w:hAnsi="Calibri" w:eastAsia="宋体" w:cs="Times New Roman"/>
    </w:rPr>
  </w:style>
  <w:style w:type="character" w:styleId="1086" w:customStyle="1">
    <w:name w:val="页眉 字符"/>
    <w:link w:val="910"/>
    <w:qFormat/>
    <w:rPr>
      <w:rFonts w:ascii="Calibri" w:hAnsi="Calibri" w:eastAsia="宋体" w:cs="Times New Roman"/>
    </w:rPr>
  </w:style>
  <w:style w:type="character" w:styleId="1087" w:customStyle="1">
    <w:name w:val="日期 Char"/>
    <w:qFormat/>
    <w:rPr>
      <w:rFonts w:ascii="Times New Roman" w:hAnsi="Times New Roman" w:eastAsia="宋体" w:cs="Times New Roman"/>
      <w:sz w:val="20"/>
    </w:rPr>
  </w:style>
  <w:style w:type="character" w:styleId="1088" w:customStyle="1">
    <w:name w:val="批注引用1"/>
    <w:qFormat/>
    <w:rPr>
      <w:rFonts w:ascii="Times New Roman" w:hAnsi="Times New Roman" w:eastAsia="宋体" w:cs="Times New Roman"/>
      <w:sz w:val="20"/>
    </w:rPr>
  </w:style>
  <w:style w:type="character" w:styleId="1089" w:customStyle="1">
    <w:name w:val="应答文本 Char Char"/>
    <w:qFormat/>
    <w:rPr>
      <w:rFonts w:ascii="Times New Roman" w:hAnsi="Times New Roman" w:eastAsia="宋体" w:cs="Times New Roman"/>
      <w:sz w:val="20"/>
    </w:rPr>
  </w:style>
  <w:style w:type="character" w:styleId="1090" w:customStyle="1">
    <w:name w:val="图片0 Char Char"/>
    <w:qFormat/>
    <w:rPr>
      <w:rFonts w:ascii="Times New Roman" w:hAnsi="Times New Roman" w:eastAsia="宋体" w:cs="Times New Roman"/>
      <w:sz w:val="20"/>
    </w:rPr>
  </w:style>
  <w:style w:type="character" w:styleId="1091" w:customStyle="1">
    <w:name w:val="尾注文本 Char"/>
    <w:qFormat/>
    <w:rPr>
      <w:rFonts w:ascii="Times New Roman" w:hAnsi="Times New Roman" w:eastAsia="宋体" w:cs="Times New Roman"/>
      <w:sz w:val="20"/>
    </w:rPr>
  </w:style>
  <w:style w:type="character" w:styleId="1092" w:customStyle="1">
    <w:name w:val="文档结构图 字符"/>
    <w:qFormat/>
    <w:rPr>
      <w:rFonts w:ascii="Microsoft YaHei UI" w:hAnsi="Times New Roman" w:eastAsia="Microsoft YaHei UI" w:cs="Times New Roman"/>
      <w:sz w:val="18"/>
      <w:szCs w:val="18"/>
    </w:rPr>
  </w:style>
  <w:style w:type="character" w:styleId="1093" w:customStyle="1">
    <w:name w:val="_Style 337"/>
    <w:qFormat/>
    <w:rPr>
      <w:rFonts w:ascii="Times New Roman" w:hAnsi="Times New Roman" w:eastAsia="宋体" w:cs="Times New Roman"/>
      <w:color w:val="auto"/>
      <w:sz w:val="21"/>
    </w:rPr>
  </w:style>
  <w:style w:type="character" w:styleId="1094" w:customStyle="1">
    <w:name w:val="正文文本 字符"/>
    <w:qFormat/>
    <w:rPr>
      <w:rFonts w:ascii="Times New Roman" w:hAnsi="Times New Roman" w:eastAsia="宋体" w:cs="Times New Roman"/>
      <w:sz w:val="21"/>
    </w:rPr>
  </w:style>
  <w:style w:type="character" w:styleId="1095" w:customStyle="1">
    <w:name w:val="批注文字 字符"/>
    <w:qFormat/>
    <w:rPr>
      <w:rFonts w:ascii="Times New Roman" w:hAnsi="Times New Roman" w:eastAsia="宋体" w:cs="Times New Roman"/>
      <w:sz w:val="20"/>
    </w:rPr>
  </w:style>
  <w:style w:type="character" w:styleId="1096" w:customStyle="1">
    <w:name w:val="批注文字 Char1"/>
    <w:qFormat/>
    <w:rPr>
      <w:rFonts w:ascii="Times New Roman" w:hAnsi="Times New Roman" w:eastAsia="宋体" w:cs="Times New Roman"/>
      <w:sz w:val="20"/>
    </w:rPr>
  </w:style>
  <w:style w:type="character" w:styleId="1097" w:customStyle="1">
    <w:name w:val="txt"/>
    <w:qFormat/>
    <w:rPr>
      <w:rFonts w:ascii="Times New Roman" w:hAnsi="Times New Roman" w:eastAsia="宋体" w:cs="Times New Roman"/>
      <w:sz w:val="20"/>
    </w:rPr>
  </w:style>
  <w:style w:type="character" w:styleId="1098" w:customStyle="1">
    <w:name w:val="标书正文 Char"/>
    <w:qFormat/>
    <w:rPr>
      <w:rFonts w:ascii="Times New Roman" w:hAnsi="Times New Roman" w:eastAsia="宋体" w:cs="Times New Roman"/>
      <w:sz w:val="20"/>
    </w:rPr>
  </w:style>
  <w:style w:type="character" w:styleId="1099" w:customStyle="1">
    <w:name w:val="font21"/>
    <w:qFormat/>
    <w:rPr>
      <w:rFonts w:hint="eastAsia" w:ascii="宋体" w:hAnsi="宋体" w:eastAsia="宋体" w:cs="宋体"/>
      <w:color w:val="ff0000"/>
      <w:sz w:val="24"/>
      <w:szCs w:val="24"/>
      <w:u w:val="none"/>
    </w:rPr>
  </w:style>
  <w:style w:type="character" w:styleId="1100" w:customStyle="1">
    <w:name w:val="apple-converted-space"/>
    <w:qFormat/>
    <w:rPr>
      <w:rFonts w:ascii="Times New Roman" w:hAnsi="Times New Roman" w:eastAsia="宋体" w:cs="Times New Roman"/>
      <w:sz w:val="20"/>
    </w:rPr>
  </w:style>
  <w:style w:type="character" w:styleId="1101" w:customStyle="1">
    <w:name w:val="纯文本 Char1"/>
    <w:qFormat/>
    <w:rPr>
      <w:rFonts w:ascii="Times New Roman" w:hAnsi="Times New Roman" w:eastAsia="宋体" w:cs="Times New Roman"/>
      <w:sz w:val="20"/>
    </w:rPr>
  </w:style>
  <w:style w:type="character" w:styleId="1102" w:customStyle="1">
    <w:name w:val="para1"/>
    <w:qFormat/>
    <w:rPr>
      <w:rFonts w:ascii="Times New Roman" w:hAnsi="Times New Roman" w:eastAsia="宋体" w:cs="Times New Roman"/>
      <w:sz w:val="20"/>
    </w:rPr>
  </w:style>
  <w:style w:type="character" w:styleId="1103" w:customStyle="1">
    <w:name w:val="HTML 预设格式 Char1"/>
    <w:qFormat/>
    <w:rPr>
      <w:rFonts w:ascii="Times New Roman" w:hAnsi="Times New Roman" w:eastAsia="宋体" w:cs="Times New Roman"/>
      <w:sz w:val="20"/>
    </w:rPr>
  </w:style>
  <w:style w:type="character" w:styleId="1104" w:customStyle="1">
    <w:name w:val="批注文字 Char"/>
    <w:qFormat/>
    <w:rPr>
      <w:rFonts w:ascii="Times New Roman" w:hAnsi="Times New Roman" w:eastAsia="宋体" w:cs="Times New Roman"/>
      <w:sz w:val="20"/>
    </w:rPr>
  </w:style>
  <w:style w:type="character" w:styleId="1105" w:customStyle="1">
    <w:name w:val="文档结构图 Char"/>
    <w:qFormat/>
    <w:rPr>
      <w:rFonts w:ascii="Times New Roman" w:hAnsi="Times New Roman" w:eastAsia="宋体" w:cs="Times New Roman"/>
      <w:sz w:val="20"/>
    </w:rPr>
  </w:style>
  <w:style w:type="character" w:styleId="1106" w:customStyle="1">
    <w:name w:val="超级链接"/>
    <w:qFormat/>
    <w:rPr>
      <w:rFonts w:ascii="Times New Roman" w:hAnsi="Times New Roman" w:eastAsia="宋体" w:cs="Times New Roman"/>
      <w:color w:val="0000ff"/>
      <w:sz w:val="20"/>
      <w:u w:val="single"/>
    </w:rPr>
  </w:style>
  <w:style w:type="character" w:styleId="1107" w:customStyle="1">
    <w:name w:val="p141"/>
    <w:qFormat/>
    <w:rPr>
      <w:rFonts w:ascii="Times New Roman" w:hAnsi="Times New Roman" w:eastAsia="宋体" w:cs="Times New Roman"/>
      <w:color w:val="000000"/>
      <w:sz w:val="20"/>
      <w:u w:val="none"/>
    </w:rPr>
  </w:style>
  <w:style w:type="character" w:styleId="1108" w:customStyle="1">
    <w:name w:val="宏文本 Char"/>
    <w:qFormat/>
    <w:rPr>
      <w:rFonts w:ascii="Times New Roman" w:hAnsi="Times New Roman" w:eastAsia="宋体" w:cs="Times New Roman"/>
      <w:sz w:val="20"/>
    </w:rPr>
  </w:style>
  <w:style w:type="character" w:styleId="1109" w:customStyle="1">
    <w:name w:val="_Style 313"/>
    <w:qFormat/>
    <w:rPr>
      <w:rFonts w:ascii="Times New Roman" w:hAnsi="Times New Roman" w:eastAsia="宋体" w:cs="Times New Roman"/>
      <w:b/>
      <w:i/>
      <w:sz w:val="21"/>
    </w:rPr>
  </w:style>
  <w:style w:type="character" w:styleId="1110" w:customStyle="1">
    <w:name w:val="页脚 Char1"/>
    <w:qFormat/>
    <w:rPr>
      <w:rFonts w:ascii="Times New Roman" w:hAnsi="Times New Roman" w:eastAsia="宋体" w:cs="Times New Roman"/>
      <w:sz w:val="20"/>
    </w:rPr>
  </w:style>
  <w:style w:type="character" w:styleId="1111" w:customStyle="1">
    <w:name w:val="页眉 Char"/>
    <w:qFormat/>
    <w:rPr>
      <w:rFonts w:ascii="Times New Roman" w:hAnsi="Times New Roman" w:eastAsia="宋体" w:cs="Times New Roman"/>
      <w:sz w:val="20"/>
    </w:rPr>
  </w:style>
  <w:style w:type="character" w:styleId="1112" w:customStyle="1">
    <w:name w:val="标题 7 Char"/>
    <w:qFormat/>
    <w:rPr>
      <w:rFonts w:ascii="Times New Roman" w:hAnsi="Times New Roman" w:eastAsia="宋体" w:cs="Times New Roman"/>
      <w:b/>
      <w:sz w:val="20"/>
    </w:rPr>
  </w:style>
  <w:style w:type="character" w:styleId="1113" w:customStyle="1">
    <w:name w:val="Char Char12"/>
    <w:qFormat/>
    <w:rPr>
      <w:rFonts w:ascii="Times New Roman" w:hAnsi="Times New Roman" w:eastAsia="宋体" w:cs="Times New Roman"/>
      <w:sz w:val="20"/>
    </w:rPr>
  </w:style>
  <w:style w:type="character" w:styleId="1114" w:customStyle="1">
    <w:name w:val="标题 3 Char"/>
    <w:qFormat/>
    <w:rPr>
      <w:rFonts w:ascii="Times New Roman" w:hAnsi="Times New Roman" w:eastAsia="宋体" w:cs="Times New Roman"/>
      <w:b/>
      <w:sz w:val="20"/>
    </w:rPr>
  </w:style>
  <w:style w:type="character" w:styleId="1115" w:customStyle="1">
    <w:name w:val="正文（首行缩进 2 字符） Char Char"/>
    <w:qFormat/>
    <w:rPr>
      <w:rFonts w:ascii="Times New Roman" w:hAnsi="Times New Roman" w:eastAsia="宋体" w:cs="Times New Roman"/>
      <w:sz w:val="20"/>
    </w:rPr>
  </w:style>
  <w:style w:type="character" w:styleId="1116" w:customStyle="1">
    <w:name w:val="表格用 Char Char"/>
    <w:qFormat/>
    <w:rPr>
      <w:rFonts w:ascii="Times New Roman" w:hAnsi="Times New Roman" w:eastAsia="宋体" w:cs="Times New Roman"/>
      <w:sz w:val="20"/>
    </w:rPr>
  </w:style>
  <w:style w:type="character" w:styleId="1117" w:customStyle="1">
    <w:name w:val="正文文本缩进 3 Char1"/>
    <w:qFormat/>
    <w:rPr>
      <w:rFonts w:ascii="Times New Roman" w:hAnsi="Times New Roman" w:eastAsia="宋体" w:cs="Times New Roman"/>
      <w:sz w:val="20"/>
    </w:rPr>
  </w:style>
  <w:style w:type="character" w:styleId="1118" w:customStyle="1">
    <w:name w:val="正文缩进 Char"/>
    <w:qFormat/>
    <w:rPr>
      <w:rFonts w:ascii="Times New Roman" w:hAnsi="Times New Roman" w:eastAsia="宋体" w:cs="Times New Roman"/>
      <w:sz w:val="20"/>
    </w:rPr>
  </w:style>
  <w:style w:type="character" w:styleId="1119" w:customStyle="1">
    <w:name w:val="批注框文本 Char1"/>
    <w:qFormat/>
    <w:rPr>
      <w:rFonts w:ascii="Times New Roman" w:hAnsi="Times New Roman" w:eastAsia="宋体" w:cs="Times New Roman"/>
      <w:sz w:val="20"/>
    </w:rPr>
  </w:style>
  <w:style w:type="character" w:styleId="1120" w:customStyle="1">
    <w:name w:val="Char Char13"/>
    <w:qFormat/>
    <w:rPr>
      <w:rFonts w:ascii="Times New Roman" w:hAnsi="Times New Roman" w:eastAsia="宋体" w:cs="Times New Roman"/>
      <w:sz w:val="20"/>
    </w:rPr>
  </w:style>
  <w:style w:type="character" w:styleId="1121" w:customStyle="1">
    <w:name w:val="样式2 Char"/>
    <w:qFormat/>
    <w:rPr>
      <w:rFonts w:ascii="Times New Roman" w:hAnsi="Times New Roman" w:eastAsia="宋体" w:cs="Times New Roman"/>
      <w:b/>
      <w:sz w:val="20"/>
    </w:rPr>
  </w:style>
  <w:style w:type="character" w:styleId="1122" w:customStyle="1">
    <w:name w:val="页脚 Char"/>
    <w:qFormat/>
    <w:rPr>
      <w:rFonts w:ascii="Times New Roman" w:hAnsi="Times New Roman" w:eastAsia="宋体" w:cs="Times New Roman"/>
      <w:sz w:val="20"/>
    </w:rPr>
  </w:style>
  <w:style w:type="character" w:styleId="1123" w:customStyle="1">
    <w:name w:val="标准文本 Char"/>
    <w:qFormat/>
    <w:rPr>
      <w:rFonts w:ascii="Times New Roman" w:hAnsi="Times New Roman" w:eastAsia="宋体" w:cs="Times New Roman"/>
      <w:sz w:val="20"/>
    </w:rPr>
  </w:style>
  <w:style w:type="character" w:styleId="1124" w:customStyle="1">
    <w:name w:val="font01"/>
    <w:qFormat/>
    <w:rPr>
      <w:rFonts w:hint="eastAsia" w:ascii="宋体" w:hAnsi="宋体" w:eastAsia="宋体" w:cs="宋体"/>
      <w:color w:val="000000"/>
      <w:sz w:val="24"/>
      <w:szCs w:val="24"/>
      <w:u w:val="none"/>
    </w:rPr>
  </w:style>
  <w:style w:type="character" w:styleId="1125" w:customStyle="1">
    <w:name w:val="标题 3 Char1"/>
    <w:qFormat/>
    <w:rPr>
      <w:rFonts w:ascii="Times New Roman" w:hAnsi="Times New Roman" w:eastAsia="宋体" w:cs="Times New Roman"/>
      <w:b/>
      <w:sz w:val="20"/>
      <w:u w:val="single"/>
    </w:rPr>
  </w:style>
  <w:style w:type="character" w:styleId="1126" w:customStyle="1">
    <w:name w:val="表格 Char Char"/>
    <w:qFormat/>
    <w:rPr>
      <w:rFonts w:ascii="Times New Roman" w:hAnsi="Times New Roman" w:eastAsia="宋体" w:cs="Times New Roman"/>
      <w:sz w:val="20"/>
    </w:rPr>
  </w:style>
  <w:style w:type="character" w:styleId="1127" w:customStyle="1">
    <w:name w:val="正文首行缩进 Char"/>
    <w:qFormat/>
    <w:rPr>
      <w:rFonts w:ascii="Times New Roman" w:hAnsi="Times New Roman" w:eastAsia="宋体" w:cs="Times New Roman"/>
      <w:sz w:val="20"/>
    </w:rPr>
  </w:style>
  <w:style w:type="character" w:styleId="1128" w:customStyle="1">
    <w:name w:val="标题 9 Char"/>
    <w:qFormat/>
    <w:rPr>
      <w:rFonts w:ascii="Times New Roman" w:hAnsi="Times New Roman" w:eastAsia="宋体" w:cs="Times New Roman"/>
      <w:sz w:val="20"/>
    </w:rPr>
  </w:style>
  <w:style w:type="character" w:styleId="1129" w:customStyle="1">
    <w:name w:val="lh151"/>
    <w:qFormat/>
    <w:rPr>
      <w:rFonts w:ascii="Times New Roman" w:hAnsi="Times New Roman" w:eastAsia="宋体" w:cs="Times New Roman"/>
      <w:color w:val="666666"/>
      <w:sz w:val="20"/>
    </w:rPr>
  </w:style>
  <w:style w:type="character" w:styleId="1130" w:customStyle="1">
    <w:name w:val="日期 Char1"/>
    <w:qFormat/>
    <w:rPr>
      <w:rFonts w:ascii="Times New Roman" w:hAnsi="Times New Roman" w:eastAsia="宋体" w:cs="Times New Roman"/>
      <w:sz w:val="20"/>
    </w:rPr>
  </w:style>
  <w:style w:type="character" w:styleId="1131" w:customStyle="1">
    <w:name w:val="图片 Char Char"/>
    <w:qFormat/>
    <w:rPr>
      <w:rFonts w:ascii="Times New Roman" w:hAnsi="Times New Roman" w:eastAsia="宋体" w:cs="Times New Roman"/>
      <w:sz w:val="20"/>
    </w:rPr>
  </w:style>
  <w:style w:type="character" w:styleId="1132" w:customStyle="1">
    <w:name w:val="批注框文本 字符"/>
    <w:qFormat/>
    <w:rPr>
      <w:rFonts w:ascii="Times New Roman" w:hAnsi="Times New Roman" w:eastAsia="宋体" w:cs="Times New Roman"/>
      <w:sz w:val="20"/>
    </w:rPr>
  </w:style>
  <w:style w:type="character" w:styleId="1133" w:customStyle="1">
    <w:name w:val="HTML 预设格式 Char"/>
    <w:qFormat/>
    <w:rPr>
      <w:rFonts w:ascii="Times New Roman" w:hAnsi="Times New Roman" w:eastAsia="宋体" w:cs="Times New Roman"/>
      <w:sz w:val="20"/>
    </w:rPr>
  </w:style>
  <w:style w:type="character" w:styleId="1134" w:customStyle="1">
    <w:name w:val="列出段落 Char"/>
    <w:qFormat/>
    <w:rPr>
      <w:rFonts w:ascii="Times New Roman" w:hAnsi="Times New Roman" w:eastAsia="宋体" w:cs="Times New Roman"/>
      <w:sz w:val="20"/>
    </w:rPr>
  </w:style>
  <w:style w:type="character" w:styleId="1135" w:customStyle="1">
    <w:name w:val="标题 5 Char"/>
    <w:qFormat/>
    <w:rPr>
      <w:rFonts w:ascii="Times New Roman" w:hAnsi="Times New Roman" w:eastAsia="宋体" w:cs="Times New Roman"/>
      <w:b/>
      <w:sz w:val="20"/>
    </w:rPr>
  </w:style>
  <w:style w:type="character" w:styleId="1136" w:customStyle="1">
    <w:name w:val="链接"/>
    <w:qFormat/>
    <w:rPr>
      <w:rFonts w:ascii="Times New Roman" w:hAnsi="Times New Roman" w:eastAsia="宋体" w:cs="Times New Roman"/>
      <w:color w:val="0000ff"/>
      <w:sz w:val="20"/>
      <w:u w:val="single"/>
    </w:rPr>
  </w:style>
  <w:style w:type="character" w:styleId="1137" w:customStyle="1">
    <w:name w:val="18h1"/>
    <w:qFormat/>
    <w:rPr>
      <w:rFonts w:ascii="Times New Roman" w:hAnsi="Times New Roman" w:eastAsia="宋体" w:cs="Times New Roman"/>
      <w:color w:val="3b3b3b"/>
      <w:sz w:val="20"/>
    </w:rPr>
  </w:style>
  <w:style w:type="character" w:styleId="1138" w:customStyle="1">
    <w:name w:val="表格文字（两侧对齐） Char Char"/>
    <w:qFormat/>
    <w:rPr>
      <w:rFonts w:ascii="Times New Roman" w:hAnsi="Times New Roman" w:eastAsia="宋体" w:cs="Times New Roman"/>
      <w:sz w:val="20"/>
    </w:rPr>
  </w:style>
  <w:style w:type="character" w:styleId="1139" w:customStyle="1">
    <w:name w:val="正文文本缩进 2 Char"/>
    <w:qFormat/>
    <w:rPr>
      <w:rFonts w:ascii="Times New Roman" w:hAnsi="Times New Roman" w:eastAsia="宋体" w:cs="Times New Roman"/>
      <w:sz w:val="20"/>
    </w:rPr>
  </w:style>
  <w:style w:type="character" w:styleId="1140" w:customStyle="1">
    <w:name w:val="Char Char14"/>
    <w:qFormat/>
    <w:rPr>
      <w:rFonts w:ascii="Times New Roman" w:hAnsi="Times New Roman" w:eastAsia="宋体" w:cs="Times New Roman"/>
      <w:sz w:val="20"/>
    </w:rPr>
  </w:style>
  <w:style w:type="character" w:styleId="1141" w:customStyle="1">
    <w:name w:val="标题 1 Char1"/>
    <w:qFormat/>
    <w:rPr>
      <w:rFonts w:ascii="Times New Roman" w:hAnsi="Times New Roman" w:eastAsia="宋体" w:cs="Times New Roman"/>
      <w:b/>
      <w:sz w:val="20"/>
    </w:rPr>
  </w:style>
  <w:style w:type="character" w:styleId="1142" w:customStyle="1">
    <w:name w:val="批注框文本 Char"/>
    <w:qFormat/>
    <w:rPr>
      <w:rFonts w:ascii="Times New Roman" w:hAnsi="Times New Roman" w:eastAsia="宋体" w:cs="Times New Roman"/>
      <w:sz w:val="20"/>
    </w:rPr>
  </w:style>
  <w:style w:type="character" w:styleId="1143" w:customStyle="1">
    <w:name w:val="apple-style-span"/>
    <w:qFormat/>
    <w:rPr>
      <w:rFonts w:ascii="Times New Roman" w:hAnsi="Times New Roman" w:eastAsia="宋体" w:cs="Times New Roman"/>
      <w:sz w:val="20"/>
    </w:rPr>
  </w:style>
  <w:style w:type="character" w:styleId="1144" w:customStyle="1">
    <w:name w:val="插图 Char Char"/>
    <w:qFormat/>
    <w:rPr>
      <w:rFonts w:ascii="Times New Roman" w:hAnsi="Times New Roman" w:eastAsia="宋体" w:cs="Times New Roman"/>
      <w:sz w:val="20"/>
    </w:rPr>
  </w:style>
  <w:style w:type="character" w:styleId="1145" w:customStyle="1">
    <w:name w:val="标题 2 Char1"/>
    <w:qFormat/>
    <w:rPr>
      <w:rFonts w:ascii="Times New Roman" w:hAnsi="Times New Roman" w:eastAsia="宋体" w:cs="Times New Roman"/>
      <w:b/>
      <w:sz w:val="20"/>
    </w:rPr>
  </w:style>
  <w:style w:type="character" w:styleId="1146" w:customStyle="1">
    <w:name w:val="_Style 332"/>
    <w:qFormat/>
    <w:rPr>
      <w:rFonts w:ascii="Times New Roman" w:hAnsi="Times New Roman" w:eastAsia="宋体" w:cs="Times New Roman"/>
      <w:i/>
      <w:color w:val="auto"/>
      <w:sz w:val="21"/>
    </w:rPr>
  </w:style>
  <w:style w:type="character" w:styleId="1147" w:customStyle="1">
    <w:name w:val="正文文本 3 Char1"/>
    <w:qFormat/>
    <w:rPr>
      <w:rFonts w:ascii="Times New Roman" w:hAnsi="Times New Roman" w:eastAsia="宋体" w:cs="Times New Roman"/>
      <w:sz w:val="20"/>
    </w:rPr>
  </w:style>
  <w:style w:type="character" w:styleId="1148" w:customStyle="1">
    <w:name w:val="标题 5 Char1"/>
    <w:qFormat/>
    <w:rPr>
      <w:rFonts w:ascii="Times New Roman" w:hAnsi="Times New Roman" w:eastAsia="宋体" w:cs="Times New Roman"/>
      <w:b/>
      <w:sz w:val="20"/>
    </w:rPr>
  </w:style>
  <w:style w:type="character" w:styleId="1149" w:customStyle="1">
    <w:name w:val="批注主题 Char"/>
    <w:qFormat/>
    <w:rPr>
      <w:rFonts w:ascii="Times New Roman" w:hAnsi="Times New Roman" w:eastAsia="宋体" w:cs="Times New Roman"/>
      <w:b/>
      <w:sz w:val="20"/>
    </w:rPr>
  </w:style>
  <w:style w:type="character" w:styleId="1150" w:customStyle="1">
    <w:name w:val="标题 1 Char"/>
    <w:qFormat/>
    <w:rPr>
      <w:rFonts w:ascii="Times New Roman" w:hAnsi="Times New Roman" w:eastAsia="宋体" w:cs="Times New Roman"/>
      <w:b/>
      <w:sz w:val="20"/>
    </w:rPr>
  </w:style>
  <w:style w:type="character" w:styleId="1151" w:customStyle="1">
    <w:name w:val="正文文本 2 Char1"/>
    <w:qFormat/>
    <w:rPr>
      <w:rFonts w:ascii="Times New Roman" w:hAnsi="Times New Roman" w:eastAsia="宋体" w:cs="Times New Roman"/>
      <w:sz w:val="20"/>
    </w:rPr>
  </w:style>
  <w:style w:type="character" w:styleId="1152" w:customStyle="1">
    <w:name w:val="标题 4 Char1"/>
    <w:qFormat/>
    <w:rPr>
      <w:rFonts w:ascii="Times New Roman" w:hAnsi="Times New Roman" w:eastAsia="宋体" w:cs="Times New Roman"/>
      <w:b/>
      <w:sz w:val="20"/>
    </w:rPr>
  </w:style>
  <w:style w:type="character" w:styleId="1153" w:customStyle="1">
    <w:name w:val="正文文本 2 Char"/>
    <w:qFormat/>
    <w:rPr>
      <w:rFonts w:ascii="Times New Roman" w:hAnsi="Times New Roman" w:eastAsia="宋体" w:cs="Times New Roman"/>
      <w:sz w:val="20"/>
    </w:rPr>
  </w:style>
  <w:style w:type="character" w:styleId="1154" w:customStyle="1">
    <w:name w:val="_Style 376"/>
    <w:qFormat/>
    <w:rPr>
      <w:rFonts w:ascii="Times New Roman" w:hAnsi="Times New Roman" w:eastAsia="宋体" w:cs="Times New Roman"/>
      <w:b/>
      <w:color w:val="auto"/>
      <w:sz w:val="21"/>
    </w:rPr>
  </w:style>
  <w:style w:type="character" w:styleId="1155" w:customStyle="1">
    <w:name w:val="062"/>
    <w:qFormat/>
    <w:rPr>
      <w:rFonts w:ascii="Times New Roman" w:hAnsi="Times New Roman" w:eastAsia="宋体" w:cs="Times New Roman"/>
      <w:b/>
      <w:sz w:val="20"/>
    </w:rPr>
  </w:style>
  <w:style w:type="character" w:styleId="1156" w:customStyle="1">
    <w:name w:val="正文文本 Char1"/>
    <w:qFormat/>
    <w:rPr>
      <w:rFonts w:ascii="Times New Roman" w:hAnsi="Times New Roman" w:eastAsia="宋体" w:cs="Times New Roman"/>
      <w:sz w:val="20"/>
    </w:rPr>
  </w:style>
  <w:style w:type="character" w:styleId="1157" w:customStyle="1">
    <w:name w:val="题注 Char"/>
    <w:qFormat/>
    <w:rPr>
      <w:rFonts w:ascii="Times New Roman" w:hAnsi="Times New Roman" w:eastAsia="宋体" w:cs="Times New Roman"/>
      <w:sz w:val="20"/>
    </w:rPr>
  </w:style>
  <w:style w:type="character" w:styleId="1158" w:customStyle="1">
    <w:name w:val="脚注文本 Char"/>
    <w:qFormat/>
    <w:rPr>
      <w:rFonts w:ascii="Times New Roman" w:hAnsi="Times New Roman" w:eastAsia="宋体" w:cs="Times New Roman"/>
      <w:sz w:val="20"/>
    </w:rPr>
  </w:style>
  <w:style w:type="character" w:styleId="1159" w:customStyle="1">
    <w:name w:val="_Style 336"/>
    <w:qFormat/>
    <w:rPr>
      <w:rFonts w:ascii="Times New Roman" w:hAnsi="Times New Roman" w:eastAsia="宋体" w:cs="Times New Roman"/>
      <w:i/>
      <w:color w:val="auto"/>
      <w:sz w:val="21"/>
    </w:rPr>
  </w:style>
  <w:style w:type="character" w:styleId="1160" w:customStyle="1">
    <w:name w:val="表格 Char"/>
    <w:qFormat/>
    <w:rPr>
      <w:rFonts w:ascii="Times New Roman" w:hAnsi="Times New Roman" w:eastAsia="宋体" w:cs="Times New Roman"/>
      <w:color w:val="000000"/>
      <w:sz w:val="20"/>
    </w:rPr>
  </w:style>
  <w:style w:type="character" w:styleId="1161" w:customStyle="1">
    <w:name w:val="批注主题 字符"/>
    <w:qFormat/>
    <w:rPr>
      <w:rFonts w:ascii="Times New Roman" w:hAnsi="Times New Roman" w:eastAsia="宋体" w:cs="Times New Roman"/>
      <w:b/>
      <w:sz w:val="20"/>
    </w:rPr>
  </w:style>
  <w:style w:type="character" w:styleId="1162" w:customStyle="1">
    <w:name w:val="图注 Char Char"/>
    <w:qFormat/>
    <w:rPr>
      <w:rFonts w:ascii="Times New Roman" w:hAnsi="Times New Roman" w:eastAsia="宋体" w:cs="Times New Roman"/>
      <w:sz w:val="20"/>
    </w:rPr>
  </w:style>
  <w:style w:type="character" w:styleId="1163" w:customStyle="1">
    <w:name w:val="页码1"/>
    <w:qFormat/>
    <w:rPr>
      <w:rFonts w:ascii="Times New Roman" w:hAnsi="Times New Roman" w:eastAsia="宋体" w:cs="Times New Roman"/>
      <w:sz w:val="20"/>
    </w:rPr>
  </w:style>
  <w:style w:type="character" w:styleId="1164" w:customStyle="1">
    <w:name w:val="列表框1 Char Char"/>
    <w:qFormat/>
    <w:rPr>
      <w:rFonts w:ascii="Times New Roman" w:hAnsi="Times New Roman" w:eastAsia="宋体" w:cs="Times New Roman"/>
      <w:sz w:val="20"/>
    </w:rPr>
  </w:style>
  <w:style w:type="character" w:styleId="1165" w:customStyle="1">
    <w:name w:val="1ji Char"/>
    <w:qFormat/>
    <w:rPr>
      <w:rFonts w:ascii="Times New Roman" w:hAnsi="Times New Roman" w:eastAsia="宋体" w:cs="Times New Roman"/>
      <w:b/>
      <w:sz w:val="20"/>
    </w:rPr>
  </w:style>
  <w:style w:type="character" w:styleId="1166" w:customStyle="1">
    <w:name w:val="正文文本缩进 Char"/>
    <w:qFormat/>
    <w:rPr>
      <w:rFonts w:ascii="Times New Roman" w:hAnsi="Times New Roman" w:eastAsia="宋体" w:cs="Times New Roman"/>
      <w:sz w:val="20"/>
    </w:rPr>
  </w:style>
  <w:style w:type="character" w:styleId="1167" w:customStyle="1">
    <w:name w:val="标准文本 Char Char"/>
    <w:qFormat/>
    <w:rPr>
      <w:rFonts w:ascii="Times New Roman" w:hAnsi="Times New Roman" w:eastAsia="宋体" w:cs="Times New Roman"/>
      <w:sz w:val="20"/>
    </w:rPr>
  </w:style>
  <w:style w:type="character" w:styleId="1168" w:customStyle="1">
    <w:name w:val="表格用 Char"/>
    <w:qFormat/>
    <w:rPr>
      <w:rFonts w:ascii="Times New Roman" w:hAnsi="Times New Roman" w:eastAsia="宋体" w:cs="Times New Roman"/>
      <w:color w:val="000000"/>
      <w:sz w:val="20"/>
    </w:rPr>
  </w:style>
  <w:style w:type="character" w:styleId="1169" w:customStyle="1">
    <w:name w:val="标题 7 Char1"/>
    <w:qFormat/>
    <w:rPr>
      <w:rFonts w:ascii="Times New Roman" w:hAnsi="Times New Roman" w:eastAsia="宋体" w:cs="Times New Roman"/>
      <w:b/>
      <w:sz w:val="20"/>
    </w:rPr>
  </w:style>
  <w:style w:type="character" w:styleId="1170" w:customStyle="1">
    <w:name w:val="H 3 Char"/>
    <w:qFormat/>
    <w:rPr>
      <w:rFonts w:ascii="Times New Roman" w:hAnsi="Times New Roman" w:eastAsia="宋体" w:cs="Times New Roman"/>
      <w:b/>
      <w:sz w:val="20"/>
    </w:rPr>
  </w:style>
  <w:style w:type="character" w:styleId="1171" w:customStyle="1">
    <w:name w:val="正文文本缩进 3 字符"/>
    <w:qFormat/>
    <w:rPr>
      <w:rFonts w:ascii="Times New Roman" w:hAnsi="Times New Roman" w:eastAsia="宋体" w:cs="Times New Roman"/>
      <w:sz w:val="16"/>
      <w:szCs w:val="16"/>
    </w:rPr>
  </w:style>
  <w:style w:type="character" w:styleId="1172" w:customStyle="1">
    <w:name w:val="标题 Char"/>
    <w:qFormat/>
    <w:rPr>
      <w:rFonts w:ascii="Times New Roman" w:hAnsi="Times New Roman" w:eastAsia="宋体" w:cs="Times New Roman"/>
      <w:b/>
      <w:sz w:val="20"/>
    </w:rPr>
  </w:style>
  <w:style w:type="character" w:styleId="1173" w:customStyle="1">
    <w:name w:val="H 4 Char"/>
    <w:qFormat/>
    <w:rPr>
      <w:rFonts w:ascii="Times New Roman" w:hAnsi="Times New Roman" w:eastAsia="宋体" w:cs="Times New Roman"/>
      <w:b/>
      <w:sz w:val="20"/>
    </w:rPr>
  </w:style>
  <w:style w:type="character" w:styleId="1174" w:customStyle="1">
    <w:name w:val="批注主题 Char1"/>
    <w:qFormat/>
    <w:rPr>
      <w:rFonts w:ascii="Times New Roman" w:hAnsi="Times New Roman" w:eastAsia="宋体" w:cs="Times New Roman"/>
      <w:b/>
      <w:sz w:val="20"/>
    </w:rPr>
  </w:style>
  <w:style w:type="character" w:styleId="1175" w:customStyle="1">
    <w:name w:val="正文文本缩进 Char1"/>
    <w:qFormat/>
    <w:rPr>
      <w:rFonts w:ascii="Times New Roman" w:hAnsi="Times New Roman" w:eastAsia="宋体" w:cs="Times New Roman"/>
      <w:sz w:val="20"/>
    </w:rPr>
  </w:style>
  <w:style w:type="character" w:styleId="1176" w:customStyle="1">
    <w:name w:val="正文文本 3 Char"/>
    <w:qFormat/>
    <w:rPr>
      <w:rFonts w:ascii="Times New Roman" w:hAnsi="Times New Roman" w:eastAsia="宋体" w:cs="Times New Roman"/>
      <w:sz w:val="20"/>
    </w:rPr>
  </w:style>
  <w:style w:type="character" w:styleId="1177" w:customStyle="1">
    <w:name w:val="正文首行缩进 2 Char"/>
    <w:qFormat/>
    <w:rPr>
      <w:rFonts w:ascii="Times New Roman" w:hAnsi="Times New Roman" w:eastAsia="宋体" w:cs="Times New Roman"/>
      <w:sz w:val="20"/>
    </w:rPr>
  </w:style>
  <w:style w:type="character" w:styleId="1178" w:customStyle="1">
    <w:name w:val="页眉 Char1"/>
    <w:qFormat/>
    <w:rPr>
      <w:rFonts w:ascii="Times New Roman" w:hAnsi="Times New Roman" w:eastAsia="宋体" w:cs="Times New Roman"/>
      <w:sz w:val="20"/>
    </w:rPr>
  </w:style>
  <w:style w:type="character" w:styleId="1179" w:customStyle="1">
    <w:name w:val="Char Char2"/>
    <w:qFormat/>
    <w:rPr>
      <w:rFonts w:ascii="Times New Roman" w:hAnsi="Times New Roman" w:eastAsia="宋体" w:cs="Times New Roman"/>
      <w:sz w:val="20"/>
    </w:rPr>
  </w:style>
  <w:style w:type="character" w:styleId="1180" w:customStyle="1">
    <w:name w:val="样式 首行缩进:  2 字符 Char1"/>
    <w:qFormat/>
    <w:rPr>
      <w:rFonts w:ascii="Times New Roman" w:hAnsi="Times New Roman" w:eastAsia="宋体" w:cs="Times New Roman"/>
      <w:sz w:val="20"/>
    </w:rPr>
  </w:style>
  <w:style w:type="character" w:styleId="1181" w:customStyle="1">
    <w:name w:val="标题 2 Char"/>
    <w:qFormat/>
    <w:rPr>
      <w:rFonts w:ascii="Times New Roman" w:hAnsi="Times New Roman" w:eastAsia="宋体" w:cs="Times New Roman"/>
      <w:b/>
      <w:sz w:val="20"/>
    </w:rPr>
  </w:style>
  <w:style w:type="character" w:styleId="1182" w:customStyle="1">
    <w:name w:val="表格文字图表文字 Char Char"/>
    <w:qFormat/>
    <w:rPr>
      <w:rFonts w:ascii="Times New Roman" w:hAnsi="Times New Roman" w:eastAsia="宋体" w:cs="Times New Roman"/>
      <w:sz w:val="20"/>
    </w:rPr>
  </w:style>
  <w:style w:type="character" w:styleId="1183" w:customStyle="1">
    <w:name w:val="图片 Char"/>
    <w:qFormat/>
    <w:rPr>
      <w:rFonts w:ascii="Times New Roman" w:hAnsi="Times New Roman" w:eastAsia="宋体" w:cs="Times New Roman"/>
      <w:sz w:val="20"/>
    </w:rPr>
  </w:style>
  <w:style w:type="character" w:styleId="1184" w:customStyle="1">
    <w:name w:val="标题 6 Char"/>
    <w:qFormat/>
    <w:rPr>
      <w:rFonts w:ascii="Times New Roman" w:hAnsi="Times New Roman" w:eastAsia="宋体" w:cs="Times New Roman"/>
      <w:b/>
      <w:sz w:val="20"/>
    </w:rPr>
  </w:style>
  <w:style w:type="character" w:styleId="1185" w:customStyle="1">
    <w:name w:val="标题 4 Char"/>
    <w:qFormat/>
    <w:rPr>
      <w:rFonts w:ascii="Times New Roman" w:hAnsi="Times New Roman" w:eastAsia="宋体" w:cs="Times New Roman"/>
      <w:b/>
      <w:sz w:val="20"/>
    </w:rPr>
  </w:style>
  <w:style w:type="character" w:styleId="1186" w:customStyle="1">
    <w:name w:val="文档结构图 Char1"/>
    <w:qFormat/>
    <w:rPr>
      <w:rFonts w:ascii="Times New Roman" w:hAnsi="Times New Roman" w:eastAsia="宋体" w:cs="Times New Roman"/>
      <w:sz w:val="20"/>
    </w:rPr>
  </w:style>
  <w:style w:type="character" w:styleId="1187" w:customStyle="1">
    <w:name w:val="项目符0 Char"/>
    <w:qFormat/>
    <w:rPr>
      <w:rFonts w:ascii="Times New Roman" w:hAnsi="Times New Roman" w:eastAsia="宋体" w:cs="Times New Roman"/>
      <w:sz w:val="20"/>
    </w:rPr>
  </w:style>
  <w:style w:type="character" w:styleId="1188" w:customStyle="1">
    <w:name w:val="正文文本缩进 3 Char"/>
    <w:qFormat/>
    <w:rPr>
      <w:rFonts w:ascii="Times New Roman" w:hAnsi="Times New Roman" w:eastAsia="宋体" w:cs="Times New Roman"/>
      <w:sz w:val="20"/>
    </w:rPr>
  </w:style>
  <w:style w:type="character" w:styleId="1189" w:customStyle="1">
    <w:name w:val="Char Char3"/>
    <w:qFormat/>
    <w:rPr>
      <w:rFonts w:ascii="Times New Roman" w:hAnsi="Times New Roman" w:eastAsia="宋体" w:cs="Times New Roman"/>
      <w:sz w:val="20"/>
    </w:rPr>
  </w:style>
  <w:style w:type="character" w:styleId="1190" w:customStyle="1">
    <w:name w:val="纯文本 Char"/>
    <w:qFormat/>
    <w:rPr>
      <w:rFonts w:ascii="Times New Roman" w:hAnsi="Times New Roman" w:eastAsia="宋体" w:cs="Times New Roman"/>
      <w:sz w:val="20"/>
    </w:rPr>
  </w:style>
  <w:style w:type="character" w:styleId="1191" w:customStyle="1">
    <w:name w:val="正文文本缩进 2 Char1"/>
    <w:qFormat/>
    <w:rPr>
      <w:rFonts w:ascii="Times New Roman" w:hAnsi="Times New Roman" w:eastAsia="宋体" w:cs="Times New Roman"/>
      <w:sz w:val="20"/>
    </w:rPr>
  </w:style>
  <w:style w:type="character" w:styleId="1192" w:customStyle="1">
    <w:name w:val="标题 8 Char"/>
    <w:qFormat/>
    <w:rPr>
      <w:rFonts w:ascii="Times New Roman" w:hAnsi="Times New Roman" w:eastAsia="宋体" w:cs="Times New Roman"/>
      <w:sz w:val="20"/>
    </w:rPr>
  </w:style>
  <w:style w:type="character" w:styleId="1193" w:customStyle="1">
    <w:name w:val="标题 6 Char1"/>
    <w:qFormat/>
    <w:rPr>
      <w:rFonts w:ascii="Times New Roman" w:hAnsi="Times New Roman" w:eastAsia="宋体" w:cs="Times New Roman"/>
      <w:b/>
      <w:sz w:val="20"/>
    </w:rPr>
  </w:style>
  <w:style w:type="character" w:styleId="1194" w:customStyle="1">
    <w:name w:val="case31"/>
    <w:qFormat/>
    <w:rPr>
      <w:rFonts w:ascii="Times New Roman" w:hAnsi="Times New Roman" w:eastAsia="宋体" w:cs="Times New Roman"/>
      <w:sz w:val="20"/>
    </w:rPr>
  </w:style>
  <w:style w:type="character" w:styleId="1195" w:customStyle="1">
    <w:name w:val="正文文本 Char"/>
    <w:qFormat/>
    <w:rPr>
      <w:rFonts w:ascii="Times New Roman" w:hAnsi="Times New Roman" w:eastAsia="宋体" w:cs="Times New Roman"/>
      <w:sz w:val="20"/>
    </w:rPr>
  </w:style>
  <w:style w:type="paragraph" w:styleId="1196" w:customStyle="1">
    <w:name w:val="节标题"/>
    <w:basedOn w:val="866"/>
    <w:next w:val="1197"/>
    <w:qFormat/>
    <w:pPr>
      <w:ind w:left="0" w:firstLine="5120"/>
      <w:jc w:val="center"/>
      <w:spacing w:before="0" w:after="0" w:line="289" w:lineRule="atLeast"/>
    </w:pPr>
    <w:rPr>
      <w:rFonts w:ascii="Times New Roman" w:hAnsi="Times New Roman" w:cs="Times New Roman"/>
    </w:rPr>
  </w:style>
  <w:style w:type="paragraph" w:styleId="1197" w:customStyle="1">
    <w:name w:val="文档标题6"/>
    <w:basedOn w:val="872"/>
    <w:next w:val="865"/>
    <w:qFormat/>
    <w:pPr>
      <w:ind w:left="1134" w:firstLine="20"/>
      <w:spacing w:before="280" w:after="280" w:line="360" w:lineRule="auto"/>
      <w:outlineLvl w:val="5"/>
    </w:pPr>
  </w:style>
  <w:style w:type="paragraph" w:styleId="1198" w:customStyle="1">
    <w:name w:val="正文段"/>
    <w:basedOn w:val="866"/>
    <w:next w:val="1199"/>
    <w:qFormat/>
    <w:pPr>
      <w:ind w:left="454" w:firstLine="1222"/>
      <w:spacing w:before="0" w:after="240" w:line="240" w:lineRule="atLeast"/>
    </w:pPr>
    <w:rPr>
      <w:rFonts w:ascii="Times New Roman" w:hAnsi="Times New Roman" w:cs="Times New Roman"/>
    </w:rPr>
  </w:style>
  <w:style w:type="paragraph" w:styleId="1199" w:customStyle="1">
    <w:name w:val="批注主题1"/>
    <w:next w:val="865"/>
    <w:qFormat/>
    <w:pPr>
      <w:ind w:left="200" w:firstLine="4808"/>
      <w:spacing w:line="360" w:lineRule="auto"/>
    </w:pPr>
    <w:rPr>
      <w:rFonts w:ascii="Calibri" w:hAnsi="Calibri"/>
    </w:rPr>
  </w:style>
  <w:style w:type="paragraph" w:styleId="1200" w:customStyle="1">
    <w:name w:val="_Style 224"/>
    <w:next w:val="1201"/>
    <w:qFormat/>
    <w:pPr>
      <w:ind w:firstLine="3584"/>
    </w:pPr>
    <w:rPr>
      <w:rFonts w:ascii="Calibri" w:hAnsi="Calibri"/>
    </w:rPr>
  </w:style>
  <w:style w:type="paragraph" w:styleId="1201" w:customStyle="1">
    <w:name w:val="编号1"/>
    <w:basedOn w:val="866"/>
    <w:next w:val="1202"/>
    <w:qFormat/>
    <w:pPr>
      <w:ind w:left="360" w:right="210" w:firstLine="2200"/>
      <w:spacing w:before="0" w:after="0" w:line="240" w:lineRule="auto"/>
    </w:pPr>
    <w:rPr>
      <w:rFonts w:ascii="Times New Roman" w:hAnsi="Times New Roman" w:cs="Times New Roman"/>
    </w:rPr>
  </w:style>
  <w:style w:type="paragraph" w:styleId="1202" w:customStyle="1">
    <w:name w:val="图片"/>
    <w:basedOn w:val="866"/>
    <w:next w:val="1203"/>
    <w:qFormat/>
    <w:pPr>
      <w:ind w:left="-283" w:firstLine="2674"/>
      <w:jc w:val="center"/>
      <w:spacing w:before="0" w:after="0" w:line="360" w:lineRule="auto"/>
    </w:pPr>
    <w:rPr>
      <w:rFonts w:ascii="Times New Roman" w:hAnsi="Times New Roman" w:cs="Times New Roman"/>
    </w:rPr>
  </w:style>
  <w:style w:type="paragraph" w:styleId="1203" w:customStyle="1">
    <w:name w:val="样式 目录 3 + 左侧:  2 字符"/>
    <w:next w:val="918"/>
    <w:qFormat/>
    <w:pPr>
      <w:ind w:left="400" w:firstLine="5120"/>
      <w:spacing w:line="360" w:lineRule="auto"/>
      <w:widowControl w:val="off"/>
    </w:pPr>
    <w:rPr>
      <w:rFonts w:ascii="Calibri" w:hAnsi="Calibri"/>
    </w:rPr>
  </w:style>
  <w:style w:type="paragraph" w:styleId="1204" w:customStyle="1">
    <w:name w:val="图注"/>
    <w:next w:val="1205"/>
    <w:qFormat/>
    <w:pPr>
      <w:ind w:left="360" w:firstLine="2152"/>
      <w:jc w:val="center"/>
    </w:pPr>
    <w:rPr>
      <w:rFonts w:ascii="Calibri" w:hAnsi="Calibri"/>
    </w:rPr>
  </w:style>
  <w:style w:type="paragraph" w:styleId="1205" w:customStyle="1">
    <w:name w:val="列表编号 41"/>
    <w:basedOn w:val="866"/>
    <w:next w:val="1206"/>
    <w:qFormat/>
    <w:pPr>
      <w:ind w:left="1620" w:firstLine="2712"/>
      <w:spacing w:before="0" w:after="0" w:line="360" w:lineRule="auto"/>
    </w:pPr>
    <w:rPr>
      <w:rFonts w:ascii="Times New Roman" w:hAnsi="Times New Roman" w:cs="Times New Roman"/>
    </w:rPr>
  </w:style>
  <w:style w:type="paragraph" w:styleId="1206" w:customStyle="1">
    <w:name w:val="项目符0"/>
    <w:basedOn w:val="866"/>
    <w:next w:val="1207"/>
    <w:qFormat/>
    <w:pPr>
      <w:ind w:left="300" w:right="57" w:firstLine="2760"/>
      <w:spacing w:before="0" w:after="0" w:line="300" w:lineRule="auto"/>
    </w:pPr>
    <w:rPr>
      <w:rFonts w:ascii="Times New Roman" w:hAnsi="Times New Roman" w:cs="Times New Roman"/>
    </w:rPr>
  </w:style>
  <w:style w:type="paragraph" w:styleId="1207" w:customStyle="1">
    <w:name w:val="宏文本1"/>
    <w:next w:val="1208"/>
    <w:qFormat/>
    <w:pPr>
      <w:ind w:firstLine="5632"/>
      <w:widowControl w:val="off"/>
    </w:pPr>
    <w:rPr>
      <w:rFonts w:ascii="Calibri" w:hAnsi="Calibri"/>
    </w:rPr>
  </w:style>
  <w:style w:type="paragraph" w:styleId="1208" w:customStyle="1">
    <w:name w:val="Item Step in Table"/>
    <w:next w:val="1209"/>
    <w:qFormat/>
    <w:pPr>
      <w:ind w:left="397" w:firstLine="3699"/>
      <w:jc w:val="both"/>
      <w:spacing w:before="40" w:after="40"/>
    </w:pPr>
    <w:rPr>
      <w:rFonts w:ascii="Calibri" w:hAnsi="Calibri"/>
    </w:rPr>
  </w:style>
  <w:style w:type="paragraph" w:styleId="1209" w:customStyle="1">
    <w:name w:val="Char Char Char Char Char Char1 Char Char Char Char Char Char"/>
    <w:basedOn w:val="866"/>
    <w:next w:val="1210"/>
    <w:qFormat/>
    <w:pPr>
      <w:ind w:left="0" w:firstLine="2560"/>
      <w:spacing w:before="0" w:after="0" w:line="240" w:lineRule="auto"/>
    </w:pPr>
    <w:rPr>
      <w:rFonts w:ascii="Times New Roman" w:hAnsi="Times New Roman" w:cs="Times New Roman"/>
    </w:rPr>
  </w:style>
  <w:style w:type="paragraph" w:styleId="1210" w:customStyle="1">
    <w:name w:val="Char Char1"/>
    <w:basedOn w:val="866"/>
    <w:next w:val="1211"/>
    <w:qFormat/>
    <w:pPr>
      <w:ind w:left="0" w:firstLine="3584"/>
      <w:spacing w:before="0" w:after="160" w:line="240" w:lineRule="exact"/>
    </w:pPr>
    <w:rPr>
      <w:rFonts w:ascii="Times New Roman" w:hAnsi="Times New Roman" w:cs="Times New Roman"/>
    </w:rPr>
  </w:style>
  <w:style w:type="paragraph" w:styleId="1211" w:customStyle="1">
    <w:name w:val="样式 标题 3 + 行距: 1.5 倍行距"/>
    <w:basedOn w:val="869"/>
    <w:next w:val="925"/>
    <w:qFormat/>
    <w:pPr>
      <w:ind w:left="200" w:firstLine="18"/>
      <w:spacing w:before="0" w:after="0" w:line="360" w:lineRule="auto"/>
      <w:outlineLvl w:val="2"/>
    </w:pPr>
  </w:style>
  <w:style w:type="paragraph" w:styleId="1212" w:customStyle="1">
    <w:name w:val="xl76"/>
    <w:basedOn w:val="866"/>
    <w:next w:val="922"/>
    <w:qFormat/>
    <w:pPr>
      <w:ind w:left="0" w:firstLine="3584"/>
      <w:jc w:val="center"/>
      <w:spacing w:before="280" w:after="280" w:line="240" w:lineRule="auto"/>
    </w:pPr>
    <w:rPr>
      <w:rFonts w:ascii="Times New Roman" w:hAnsi="Times New Roman" w:cs="Times New Roman"/>
    </w:rPr>
  </w:style>
  <w:style w:type="paragraph" w:styleId="1213" w:customStyle="1">
    <w:name w:val="xl26"/>
    <w:basedOn w:val="866"/>
    <w:next w:val="1214"/>
    <w:qFormat/>
    <w:pPr>
      <w:ind w:left="0" w:firstLine="20"/>
      <w:jc w:val="center"/>
      <w:spacing w:before="280" w:after="280" w:line="240" w:lineRule="auto"/>
      <w:shd w:val="clear" w:color="000000" w:fill="ffffff"/>
    </w:pPr>
    <w:rPr>
      <w:rFonts w:ascii="Times New Roman" w:hAnsi="Times New Roman" w:cs="Times New Roman"/>
    </w:rPr>
  </w:style>
  <w:style w:type="paragraph" w:styleId="1214" w:customStyle="1">
    <w:name w:val="Char1 Char Char"/>
    <w:basedOn w:val="866"/>
    <w:next w:val="904"/>
    <w:qFormat/>
    <w:pPr>
      <w:ind w:left="0" w:firstLine="2560"/>
      <w:spacing w:before="0" w:after="0" w:line="240" w:lineRule="auto"/>
    </w:pPr>
    <w:rPr>
      <w:rFonts w:ascii="Times New Roman" w:hAnsi="Times New Roman" w:cs="Times New Roman"/>
    </w:rPr>
  </w:style>
  <w:style w:type="paragraph" w:styleId="1215" w:customStyle="1">
    <w:name w:val="纯文本2"/>
    <w:basedOn w:val="866"/>
    <w:next w:val="1216"/>
    <w:qFormat/>
    <w:pPr>
      <w:ind w:left="0" w:firstLine="3584"/>
      <w:spacing w:before="0" w:after="0" w:line="240" w:lineRule="auto"/>
    </w:pPr>
    <w:rPr>
      <w:rFonts w:ascii="Times New Roman" w:hAnsi="Times New Roman" w:cs="Times New Roman"/>
    </w:rPr>
  </w:style>
  <w:style w:type="paragraph" w:styleId="1216" w:customStyle="1">
    <w:name w:val="xl69"/>
    <w:basedOn w:val="866"/>
    <w:next w:val="1217"/>
    <w:qFormat/>
    <w:pPr>
      <w:ind w:left="0" w:firstLine="3584"/>
      <w:spacing w:before="280" w:after="280" w:line="240" w:lineRule="auto"/>
    </w:pPr>
    <w:rPr>
      <w:rFonts w:ascii="Times New Roman" w:hAnsi="Times New Roman" w:cs="Times New Roman"/>
    </w:rPr>
  </w:style>
  <w:style w:type="paragraph" w:styleId="1217" w:customStyle="1">
    <w:name w:val="Char Char Char"/>
    <w:basedOn w:val="866"/>
    <w:next w:val="1218"/>
    <w:qFormat/>
    <w:pPr>
      <w:ind w:left="0" w:firstLine="2560"/>
      <w:spacing w:before="0" w:after="0" w:line="240" w:lineRule="auto"/>
    </w:pPr>
    <w:rPr>
      <w:rFonts w:ascii="Times New Roman" w:hAnsi="Times New Roman" w:cs="Times New Roman"/>
    </w:rPr>
  </w:style>
  <w:style w:type="paragraph" w:styleId="1218" w:customStyle="1">
    <w:name w:val="表格"/>
    <w:basedOn w:val="866"/>
    <w:next w:val="1213"/>
    <w:qFormat/>
    <w:pPr>
      <w:ind w:left="0" w:firstLine="2560"/>
      <w:spacing w:before="0" w:after="0" w:line="360" w:lineRule="auto"/>
    </w:pPr>
    <w:rPr>
      <w:rFonts w:ascii="Times New Roman" w:hAnsi="Times New Roman" w:cs="Times New Roman"/>
    </w:rPr>
  </w:style>
  <w:style w:type="paragraph" w:styleId="1219" w:customStyle="1">
    <w:name w:val="xl68"/>
    <w:basedOn w:val="866"/>
    <w:next w:val="1220"/>
    <w:qFormat/>
    <w:pPr>
      <w:ind w:left="100" w:firstLine="5220"/>
      <w:spacing w:before="280" w:after="280" w:line="240" w:lineRule="auto"/>
    </w:pPr>
    <w:rPr>
      <w:rFonts w:ascii="Times New Roman" w:hAnsi="Times New Roman" w:cs="Times New Roman"/>
    </w:rPr>
  </w:style>
  <w:style w:type="paragraph" w:styleId="1220" w:customStyle="1">
    <w:name w:val="Char1"/>
    <w:basedOn w:val="866"/>
    <w:next w:val="1221"/>
    <w:qFormat/>
    <w:pPr>
      <w:ind w:left="0" w:firstLine="2560"/>
      <w:spacing w:before="0" w:after="0" w:line="240" w:lineRule="auto"/>
    </w:pPr>
    <w:rPr>
      <w:rFonts w:ascii="Times New Roman" w:hAnsi="Times New Roman" w:cs="Times New Roman"/>
    </w:rPr>
  </w:style>
  <w:style w:type="paragraph" w:styleId="1221" w:customStyle="1">
    <w:name w:val="需求文档正文样式"/>
    <w:basedOn w:val="866"/>
    <w:next w:val="1222"/>
    <w:qFormat/>
    <w:pPr>
      <w:ind w:left="437" w:firstLine="2741"/>
      <w:spacing w:before="0" w:after="0" w:line="360" w:lineRule="auto"/>
    </w:pPr>
    <w:rPr>
      <w:rFonts w:ascii="Times New Roman" w:hAnsi="Times New Roman" w:cs="Times New Roman"/>
    </w:rPr>
  </w:style>
  <w:style w:type="paragraph" w:styleId="1222" w:customStyle="1">
    <w:name w:val="xl74"/>
    <w:basedOn w:val="866"/>
    <w:next w:val="1223"/>
    <w:qFormat/>
    <w:pPr>
      <w:ind w:left="0" w:firstLine="16"/>
      <w:jc w:val="center"/>
      <w:spacing w:before="280" w:after="280" w:line="240" w:lineRule="auto"/>
      <w:shd w:val="clear" w:color="000000" w:fill="538dd5"/>
    </w:pPr>
    <w:rPr>
      <w:rFonts w:ascii="Times New Roman" w:hAnsi="Times New Roman" w:cs="Times New Roman"/>
    </w:rPr>
  </w:style>
  <w:style w:type="paragraph" w:styleId="1223" w:customStyle="1">
    <w:name w:val="xl88"/>
    <w:basedOn w:val="866"/>
    <w:next w:val="1224"/>
    <w:qFormat/>
    <w:pPr>
      <w:ind w:left="0" w:firstLine="5120"/>
      <w:spacing w:before="280" w:after="280" w:line="240" w:lineRule="auto"/>
    </w:pPr>
    <w:rPr>
      <w:rFonts w:ascii="Times New Roman" w:hAnsi="Times New Roman" w:cs="Times New Roman"/>
    </w:rPr>
  </w:style>
  <w:style w:type="paragraph" w:styleId="1224" w:customStyle="1">
    <w:name w:val="xl70"/>
    <w:basedOn w:val="866"/>
    <w:next w:val="921"/>
    <w:qFormat/>
    <w:pPr>
      <w:ind w:left="0" w:firstLine="1024"/>
      <w:spacing w:before="280" w:after="280" w:line="240" w:lineRule="auto"/>
    </w:pPr>
    <w:rPr>
      <w:rFonts w:ascii="Times New Roman" w:hAnsi="Times New Roman" w:cs="Times New Roman"/>
    </w:rPr>
  </w:style>
  <w:style w:type="paragraph" w:styleId="1225" w:customStyle="1">
    <w:name w:val="文档标题5"/>
    <w:basedOn w:val="871"/>
    <w:next w:val="865"/>
    <w:qFormat/>
    <w:pPr>
      <w:ind w:left="992" w:firstLine="18"/>
      <w:spacing w:before="280" w:after="280" w:line="360" w:lineRule="auto"/>
      <w:outlineLvl w:val="4"/>
    </w:pPr>
  </w:style>
  <w:style w:type="paragraph" w:styleId="1226" w:customStyle="1">
    <w:name w:val="样式 加粗 居中"/>
    <w:basedOn w:val="866"/>
    <w:next w:val="1227"/>
    <w:qFormat/>
    <w:pPr>
      <w:ind w:left="0" w:firstLine="2560"/>
      <w:jc w:val="center"/>
      <w:spacing w:before="0" w:after="0" w:line="360" w:lineRule="auto"/>
    </w:pPr>
    <w:rPr>
      <w:rFonts w:ascii="Times New Roman" w:hAnsi="Times New Roman" w:cs="Times New Roman"/>
    </w:rPr>
  </w:style>
  <w:style w:type="paragraph" w:styleId="1227" w:customStyle="1">
    <w:name w:val="_Style 12"/>
    <w:next w:val="1228"/>
    <w:qFormat/>
    <w:pPr>
      <w:ind w:firstLine="14"/>
      <w:spacing w:line="360" w:lineRule="auto"/>
      <w:shd w:val="clear" w:color="000000" w:fill="000080"/>
    </w:pPr>
    <w:rPr>
      <w:rFonts w:ascii="Calibri" w:hAnsi="Calibri"/>
    </w:rPr>
  </w:style>
  <w:style w:type="paragraph" w:styleId="1228" w:customStyle="1">
    <w:name w:val="正文文本缩进1"/>
    <w:basedOn w:val="866"/>
    <w:next w:val="1229"/>
    <w:qFormat/>
    <w:pPr>
      <w:ind w:left="420" w:firstLine="3584"/>
      <w:spacing w:before="0" w:after="120" w:line="240" w:lineRule="auto"/>
    </w:pPr>
    <w:rPr>
      <w:rFonts w:ascii="Times New Roman" w:hAnsi="Times New Roman" w:cs="Times New Roman"/>
    </w:rPr>
  </w:style>
  <w:style w:type="paragraph" w:styleId="1229" w:customStyle="1">
    <w:name w:val="列表编号 31"/>
    <w:basedOn w:val="866"/>
    <w:next w:val="923"/>
    <w:qFormat/>
    <w:pPr>
      <w:ind w:left="1200" w:firstLine="2712"/>
      <w:spacing w:before="0" w:after="0" w:line="360" w:lineRule="auto"/>
    </w:pPr>
    <w:rPr>
      <w:rFonts w:ascii="Times New Roman" w:hAnsi="Times New Roman" w:cs="Times New Roman"/>
    </w:rPr>
  </w:style>
  <w:style w:type="paragraph" w:styleId="1230" w:customStyle="1">
    <w:name w:val="三号 居中"/>
    <w:basedOn w:val="866"/>
    <w:next w:val="1231"/>
    <w:qFormat/>
    <w:pPr>
      <w:ind w:left="0" w:firstLine="6144"/>
      <w:jc w:val="center"/>
      <w:spacing w:before="0" w:after="0" w:line="360" w:lineRule="auto"/>
    </w:pPr>
    <w:rPr>
      <w:rFonts w:ascii="Times New Roman" w:hAnsi="Times New Roman" w:cs="Times New Roman"/>
    </w:rPr>
  </w:style>
  <w:style w:type="paragraph" w:styleId="1231" w:customStyle="1">
    <w:name w:val="列出段落1"/>
    <w:basedOn w:val="866"/>
    <w:next w:val="1232"/>
    <w:qFormat/>
    <w:pPr>
      <w:ind w:left="420" w:firstLine="3748"/>
      <w:spacing w:before="0" w:after="0" w:line="240" w:lineRule="auto"/>
    </w:pPr>
    <w:rPr>
      <w:rFonts w:ascii="Times New Roman" w:hAnsi="Times New Roman" w:cs="Times New Roman"/>
    </w:rPr>
  </w:style>
  <w:style w:type="paragraph" w:styleId="1232" w:customStyle="1">
    <w:name w:val="Char Char Char Char Char Char1 Char Char Char1 Char Char Char"/>
    <w:basedOn w:val="866"/>
    <w:next w:val="1233"/>
    <w:qFormat/>
    <w:pPr>
      <w:ind w:left="0" w:firstLine="2560"/>
      <w:spacing w:before="0" w:after="0" w:line="240" w:lineRule="auto"/>
    </w:pPr>
    <w:rPr>
      <w:rFonts w:ascii="Times New Roman" w:hAnsi="Times New Roman" w:cs="Times New Roman"/>
    </w:rPr>
  </w:style>
  <w:style w:type="paragraph" w:styleId="1233" w:customStyle="1">
    <w:name w:val="Char Char Char Char Char Char1 Char Char Char1 Char"/>
    <w:basedOn w:val="866"/>
    <w:next w:val="1234"/>
    <w:qFormat/>
    <w:pPr>
      <w:ind w:left="0" w:firstLine="2560"/>
      <w:spacing w:before="0" w:after="0" w:line="240" w:lineRule="auto"/>
    </w:pPr>
    <w:rPr>
      <w:rFonts w:ascii="Times New Roman" w:hAnsi="Times New Roman" w:cs="Times New Roman"/>
    </w:rPr>
  </w:style>
  <w:style w:type="paragraph" w:styleId="1234" w:customStyle="1">
    <w:name w:val="正文符号4"/>
    <w:basedOn w:val="866"/>
    <w:next w:val="1226"/>
    <w:qFormat/>
    <w:pPr>
      <w:ind w:left="0" w:firstLine="5632"/>
      <w:spacing w:before="0" w:after="0" w:line="240" w:lineRule="auto"/>
    </w:pPr>
    <w:rPr>
      <w:rFonts w:ascii="Times New Roman" w:hAnsi="Times New Roman" w:cs="Times New Roman"/>
    </w:rPr>
  </w:style>
  <w:style w:type="paragraph" w:styleId="1235" w:customStyle="1">
    <w:name w:val="加粗（居中）"/>
    <w:next w:val="1236"/>
    <w:qFormat/>
    <w:pPr>
      <w:ind w:firstLine="2560"/>
    </w:pPr>
    <w:rPr>
      <w:rFonts w:ascii="Calibri" w:hAnsi="Calibri"/>
    </w:rPr>
  </w:style>
  <w:style w:type="paragraph" w:styleId="1236" w:customStyle="1">
    <w:name w:val="xl65"/>
    <w:basedOn w:val="866"/>
    <w:next w:val="1196"/>
    <w:qFormat/>
    <w:pPr>
      <w:ind w:left="0" w:firstLine="5120"/>
      <w:spacing w:before="280" w:after="280" w:line="240" w:lineRule="auto"/>
    </w:pPr>
    <w:rPr>
      <w:rFonts w:ascii="Times New Roman" w:hAnsi="Times New Roman" w:cs="Times New Roman"/>
    </w:rPr>
  </w:style>
  <w:style w:type="paragraph" w:styleId="1237" w:customStyle="1">
    <w:name w:val="WPSOffice手动目录 3"/>
    <w:qFormat/>
    <w:pPr>
      <w:ind w:left="400"/>
    </w:pPr>
  </w:style>
  <w:style w:type="paragraph" w:styleId="1238" w:customStyle="1">
    <w:name w:val="xl77"/>
    <w:basedOn w:val="866"/>
    <w:next w:val="1239"/>
    <w:qFormat/>
    <w:pPr>
      <w:ind w:left="0" w:firstLine="3584"/>
      <w:spacing w:before="280" w:after="280" w:line="240" w:lineRule="auto"/>
    </w:pPr>
    <w:rPr>
      <w:rFonts w:ascii="Times New Roman" w:hAnsi="Times New Roman" w:cs="Times New Roman"/>
    </w:rPr>
  </w:style>
  <w:style w:type="paragraph" w:styleId="1239" w:customStyle="1">
    <w:name w:val="Char Char Char1"/>
    <w:basedOn w:val="866"/>
    <w:next w:val="1240"/>
    <w:qFormat/>
    <w:pPr>
      <w:ind w:left="900" w:firstLine="2096"/>
      <w:spacing w:before="0" w:after="0" w:line="240" w:lineRule="auto"/>
    </w:pPr>
    <w:rPr>
      <w:rFonts w:ascii="Times New Roman" w:hAnsi="Times New Roman" w:cs="Times New Roman"/>
    </w:rPr>
  </w:style>
  <w:style w:type="paragraph" w:styleId="1240" w:customStyle="1">
    <w:name w:val="索引 21"/>
    <w:basedOn w:val="866"/>
    <w:next w:val="865"/>
    <w:qFormat/>
    <w:pPr>
      <w:ind w:left="200" w:firstLine="2560"/>
      <w:jc w:val="center"/>
      <w:spacing w:before="0" w:after="0" w:line="360" w:lineRule="auto"/>
    </w:pPr>
    <w:rPr>
      <w:rFonts w:ascii="Times New Roman" w:hAnsi="Times New Roman" w:cs="Times New Roman"/>
    </w:rPr>
  </w:style>
  <w:style w:type="paragraph" w:styleId="1241" w:customStyle="1">
    <w:name w:val="正文（首行缩进 2 字符）"/>
    <w:next w:val="1242"/>
    <w:qFormat/>
    <w:pPr>
      <w:ind w:left="480" w:firstLine="2784"/>
      <w:jc w:val="center"/>
      <w:spacing w:line="300" w:lineRule="auto"/>
    </w:pPr>
    <w:rPr>
      <w:rFonts w:ascii="Calibri" w:hAnsi="Calibri"/>
    </w:rPr>
  </w:style>
  <w:style w:type="paragraph" w:styleId="1242" w:customStyle="1">
    <w:name w:val="xl28"/>
    <w:basedOn w:val="866"/>
    <w:next w:val="1243"/>
    <w:qFormat/>
    <w:pPr>
      <w:ind w:left="0" w:firstLine="20"/>
      <w:spacing w:before="280" w:after="280" w:line="240" w:lineRule="auto"/>
      <w:shd w:val="clear" w:color="000000" w:fill="ffffff"/>
    </w:pPr>
    <w:rPr>
      <w:rFonts w:ascii="Times New Roman" w:hAnsi="Times New Roman" w:cs="Times New Roman"/>
    </w:rPr>
  </w:style>
  <w:style w:type="paragraph" w:styleId="1243" w:customStyle="1">
    <w:name w:val="HTML 预设格式1"/>
    <w:basedOn w:val="866"/>
    <w:next w:val="1244"/>
    <w:qFormat/>
    <w:pPr>
      <w:ind w:left="0" w:firstLine="3584"/>
      <w:spacing w:before="0" w:after="0" w:line="253" w:lineRule="atLeast"/>
    </w:pPr>
    <w:rPr>
      <w:rFonts w:ascii="Times New Roman" w:hAnsi="Times New Roman" w:cs="Times New Roman"/>
    </w:rPr>
  </w:style>
  <w:style w:type="paragraph" w:styleId="1244" w:customStyle="1">
    <w:name w:val="项目符号：一级"/>
    <w:basedOn w:val="866"/>
    <w:next w:val="865"/>
    <w:qFormat/>
    <w:pPr>
      <w:ind w:left="425" w:firstLine="1111"/>
      <w:spacing w:before="0" w:after="0" w:line="360" w:lineRule="auto"/>
    </w:pPr>
    <w:rPr>
      <w:rFonts w:ascii="Times New Roman" w:hAnsi="Times New Roman" w:cs="Times New Roman"/>
    </w:rPr>
  </w:style>
  <w:style w:type="paragraph" w:styleId="1245" w:customStyle="1">
    <w:name w:val="Default"/>
    <w:next w:val="900"/>
    <w:qFormat/>
    <w:pPr>
      <w:ind w:firstLine="5120"/>
      <w:widowControl w:val="off"/>
    </w:pPr>
    <w:rPr>
      <w:rFonts w:ascii="Calibri" w:hAnsi="Calibri"/>
    </w:rPr>
  </w:style>
  <w:style w:type="paragraph" w:styleId="1246" w:customStyle="1">
    <w:name w:val="xl84"/>
    <w:basedOn w:val="866"/>
    <w:next w:val="1247"/>
    <w:qFormat/>
    <w:pPr>
      <w:ind w:left="0" w:firstLine="2048"/>
      <w:jc w:val="center"/>
      <w:spacing w:before="280" w:after="280" w:line="240" w:lineRule="auto"/>
    </w:pPr>
    <w:rPr>
      <w:rFonts w:ascii="Times New Roman" w:hAnsi="Times New Roman" w:cs="Times New Roman"/>
    </w:rPr>
  </w:style>
  <w:style w:type="paragraph" w:styleId="1247" w:customStyle="1">
    <w:name w:val="2-2ji"/>
    <w:basedOn w:val="868"/>
    <w:next w:val="1248"/>
    <w:qFormat/>
    <w:pPr>
      <w:ind w:left="0" w:firstLine="24"/>
      <w:jc w:val="center"/>
      <w:spacing w:before="0" w:after="0" w:line="360" w:lineRule="auto"/>
      <w:outlineLvl w:val="1"/>
    </w:pPr>
  </w:style>
  <w:style w:type="paragraph" w:styleId="1248" w:customStyle="1">
    <w:name w:val="应答文本"/>
    <w:basedOn w:val="866"/>
    <w:next w:val="1249"/>
    <w:qFormat/>
    <w:pPr>
      <w:ind w:left="1296" w:firstLine="2112"/>
      <w:spacing w:before="0" w:after="0" w:line="460" w:lineRule="exact"/>
    </w:pPr>
    <w:rPr>
      <w:rFonts w:ascii="Times New Roman" w:hAnsi="Times New Roman" w:cs="Times New Roman"/>
    </w:rPr>
  </w:style>
  <w:style w:type="paragraph" w:styleId="1249" w:customStyle="1">
    <w:name w:val="引文目录1"/>
    <w:basedOn w:val="866"/>
    <w:next w:val="865"/>
    <w:qFormat/>
    <w:pPr>
      <w:ind w:left="420" w:firstLine="2560"/>
      <w:jc w:val="center"/>
      <w:spacing w:before="0" w:after="0" w:line="360" w:lineRule="auto"/>
    </w:pPr>
    <w:rPr>
      <w:rFonts w:ascii="Times New Roman" w:hAnsi="Times New Roman" w:cs="Times New Roman"/>
    </w:rPr>
  </w:style>
  <w:style w:type="paragraph" w:styleId="1250" w:customStyle="1">
    <w:name w:val="首行缩进"/>
    <w:basedOn w:val="865"/>
    <w:qFormat/>
    <w:pPr>
      <w:ind w:firstLine="480"/>
    </w:pPr>
    <w:rPr>
      <w:rFonts w:ascii="Times New Roman" w:hAnsi="Times New Roman" w:cs="Times New Roman"/>
      <w:lang w:val="zh-CN"/>
    </w:rPr>
  </w:style>
  <w:style w:type="paragraph" w:styleId="1251" w:customStyle="1">
    <w:name w:val="font9"/>
    <w:basedOn w:val="866"/>
    <w:next w:val="1252"/>
    <w:qFormat/>
    <w:pPr>
      <w:ind w:left="0" w:firstLine="7168"/>
      <w:spacing w:before="280" w:after="280" w:line="240" w:lineRule="auto"/>
    </w:pPr>
    <w:rPr>
      <w:rFonts w:ascii="Times New Roman" w:hAnsi="Times New Roman" w:cs="Times New Roman"/>
    </w:rPr>
  </w:style>
  <w:style w:type="paragraph" w:styleId="1252" w:customStyle="1">
    <w:name w:val="样式 标题 3 + (中文) 黑体 小四 非加粗 段前: 7.8 磅 段后: 0 磅 行距: 固定值 20 磅"/>
    <w:basedOn w:val="869"/>
    <w:next w:val="1253"/>
    <w:qFormat/>
    <w:pPr>
      <w:ind w:left="0"/>
      <w:spacing w:before="0" w:after="0" w:line="400" w:lineRule="exact"/>
      <w:outlineLvl w:val="2"/>
    </w:pPr>
  </w:style>
  <w:style w:type="paragraph" w:styleId="1253" w:customStyle="1">
    <w:name w:val="标书正文"/>
    <w:basedOn w:val="866"/>
    <w:next w:val="1254"/>
    <w:qFormat/>
    <w:pPr>
      <w:ind w:left="440" w:right="100" w:firstLine="2760"/>
      <w:spacing w:before="0" w:after="0" w:line="360" w:lineRule="auto"/>
    </w:pPr>
    <w:rPr>
      <w:rFonts w:ascii="Times New Roman" w:hAnsi="Times New Roman" w:cs="Times New Roman"/>
    </w:rPr>
  </w:style>
  <w:style w:type="paragraph" w:styleId="1254" w:customStyle="1">
    <w:name w:val="xl67"/>
    <w:basedOn w:val="866"/>
    <w:next w:val="1255"/>
    <w:qFormat/>
    <w:pPr>
      <w:ind w:left="0" w:firstLine="5120"/>
      <w:spacing w:before="280" w:after="280" w:line="240" w:lineRule="auto"/>
    </w:pPr>
    <w:rPr>
      <w:rFonts w:ascii="Times New Roman" w:hAnsi="Times New Roman" w:cs="Times New Roman"/>
    </w:rPr>
  </w:style>
  <w:style w:type="paragraph" w:styleId="1255" w:customStyle="1">
    <w:name w:val="索引 61"/>
    <w:basedOn w:val="866"/>
    <w:next w:val="865"/>
    <w:qFormat/>
    <w:pPr>
      <w:ind w:left="1000" w:firstLine="2560"/>
      <w:jc w:val="center"/>
      <w:spacing w:before="0" w:after="0" w:line="360" w:lineRule="auto"/>
    </w:pPr>
    <w:rPr>
      <w:rFonts w:ascii="Times New Roman" w:hAnsi="Times New Roman" w:cs="Times New Roman"/>
    </w:rPr>
  </w:style>
  <w:style w:type="paragraph" w:styleId="1256" w:customStyle="1">
    <w:name w:val="目录3"/>
    <w:basedOn w:val="866"/>
    <w:next w:val="865"/>
    <w:qFormat/>
    <w:pPr>
      <w:ind w:left="419" w:firstLine="5283"/>
      <w:spacing w:before="0" w:after="0" w:line="317" w:lineRule="atLeast"/>
    </w:pPr>
    <w:rPr>
      <w:rFonts w:ascii="Times New Roman" w:hAnsi="Times New Roman" w:cs="Times New Roman"/>
    </w:rPr>
  </w:style>
  <w:style w:type="paragraph" w:styleId="1257" w:customStyle="1">
    <w:name w:val="xl90"/>
    <w:basedOn w:val="866"/>
    <w:next w:val="1258"/>
    <w:qFormat/>
    <w:pPr>
      <w:ind w:left="0" w:firstLine="3584"/>
      <w:spacing w:before="280" w:after="280" w:line="240" w:lineRule="auto"/>
    </w:pPr>
    <w:rPr>
      <w:rFonts w:ascii="Times New Roman" w:hAnsi="Times New Roman" w:cs="Times New Roman"/>
    </w:rPr>
  </w:style>
  <w:style w:type="paragraph" w:styleId="1258" w:customStyle="1">
    <w:name w:val="列表框1"/>
    <w:next w:val="1249"/>
    <w:qFormat/>
    <w:pPr>
      <w:ind w:firstLine="2048"/>
      <w:spacing w:line="460" w:lineRule="exact"/>
    </w:pPr>
    <w:rPr>
      <w:rFonts w:ascii="Calibri" w:hAnsi="Calibri"/>
    </w:rPr>
  </w:style>
  <w:style w:type="paragraph" w:styleId="1259" w:customStyle="1">
    <w:name w:val="1ji"/>
    <w:basedOn w:val="867"/>
    <w:next w:val="1238"/>
    <w:qFormat/>
    <w:pPr>
      <w:ind w:left="0" w:firstLine="18"/>
      <w:jc w:val="center"/>
      <w:spacing w:before="0" w:after="0" w:line="240" w:lineRule="auto"/>
      <w:outlineLvl w:val="0"/>
    </w:pPr>
  </w:style>
  <w:style w:type="paragraph" w:styleId="1260" w:customStyle="1">
    <w:name w:val="索引 81"/>
    <w:basedOn w:val="866"/>
    <w:next w:val="865"/>
    <w:qFormat/>
    <w:pPr>
      <w:ind w:left="1400" w:firstLine="2560"/>
      <w:jc w:val="center"/>
      <w:spacing w:before="0" w:after="0" w:line="360" w:lineRule="auto"/>
    </w:pPr>
    <w:rPr>
      <w:rFonts w:ascii="Times New Roman" w:hAnsi="Times New Roman" w:cs="Times New Roman"/>
    </w:rPr>
  </w:style>
  <w:style w:type="paragraph" w:styleId="1261" w:customStyle="1">
    <w:name w:val="正文1"/>
    <w:basedOn w:val="865"/>
    <w:next w:val="865"/>
    <w:qFormat/>
    <w:pPr>
      <w:spacing w:line="312" w:lineRule="atLeast"/>
    </w:pPr>
    <w:rPr>
      <w:rFonts w:ascii="楷体_GB2312" w:hAnsi="Times New Roman" w:eastAsia="楷体_GB2312" w:cs="Times New Roman"/>
      <w:sz w:val="24"/>
    </w:rPr>
  </w:style>
  <w:style w:type="paragraph" w:styleId="1262" w:customStyle="1">
    <w:name w:val="Char Char Char Char Char Char1 Char Char Char1 Char Char Char Char Char Char Char Char Char Char Char Char Char Char Char Char Char Char"/>
    <w:basedOn w:val="866"/>
    <w:next w:val="1263"/>
    <w:qFormat/>
    <w:pPr>
      <w:ind w:left="0" w:firstLine="2560"/>
      <w:spacing w:before="0" w:after="0" w:line="240" w:lineRule="auto"/>
    </w:pPr>
    <w:rPr>
      <w:rFonts w:ascii="Times New Roman" w:hAnsi="Times New Roman" w:cs="Times New Roman"/>
    </w:rPr>
  </w:style>
  <w:style w:type="paragraph" w:styleId="1263" w:customStyle="1">
    <w:name w:val="样式 加粗 居中11"/>
    <w:basedOn w:val="866"/>
    <w:next w:val="1264"/>
    <w:qFormat/>
    <w:pPr>
      <w:ind w:left="0" w:firstLine="2560"/>
      <w:jc w:val="center"/>
      <w:spacing w:before="0" w:after="0" w:line="360" w:lineRule="auto"/>
    </w:pPr>
    <w:rPr>
      <w:rFonts w:ascii="Times New Roman" w:hAnsi="Times New Roman" w:cs="Times New Roman"/>
    </w:rPr>
  </w:style>
  <w:style w:type="paragraph" w:styleId="1264" w:customStyle="1">
    <w:name w:val="xl89"/>
    <w:basedOn w:val="866"/>
    <w:next w:val="1265"/>
    <w:qFormat/>
    <w:pPr>
      <w:ind w:left="0" w:firstLine="3584"/>
      <w:spacing w:before="280" w:after="280" w:line="240" w:lineRule="auto"/>
    </w:pPr>
    <w:rPr>
      <w:rFonts w:ascii="Times New Roman" w:hAnsi="Times New Roman" w:cs="Times New Roman"/>
    </w:rPr>
  </w:style>
  <w:style w:type="paragraph" w:styleId="1265" w:customStyle="1">
    <w:name w:val="Char Char Char Char Char Char1 Char Char Char Char Char Char1 Char Char Char Char Char Char Char Char Char"/>
    <w:basedOn w:val="866"/>
    <w:next w:val="1266"/>
    <w:qFormat/>
    <w:pPr>
      <w:ind w:left="0" w:firstLine="2560"/>
      <w:spacing w:before="0" w:after="0" w:line="240" w:lineRule="auto"/>
    </w:pPr>
    <w:rPr>
      <w:rFonts w:ascii="Times New Roman" w:hAnsi="Times New Roman" w:cs="Times New Roman"/>
    </w:rPr>
  </w:style>
  <w:style w:type="paragraph" w:styleId="1266" w:customStyle="1">
    <w:name w:val="文章附标题"/>
    <w:basedOn w:val="866"/>
    <w:next w:val="866"/>
    <w:qFormat/>
    <w:pPr>
      <w:ind w:left="0" w:firstLine="5120"/>
      <w:jc w:val="center"/>
      <w:spacing w:before="187" w:after="175" w:line="374" w:lineRule="atLeast"/>
    </w:pPr>
    <w:rPr>
      <w:rFonts w:ascii="Times New Roman" w:hAnsi="Times New Roman" w:cs="Times New Roman"/>
    </w:rPr>
  </w:style>
  <w:style w:type="paragraph" w:styleId="1267" w:customStyle="1">
    <w:name w:val="Default Paragraph Font Para Char Char Char Char Char Char"/>
    <w:basedOn w:val="866"/>
    <w:next w:val="1268"/>
    <w:qFormat/>
    <w:pPr>
      <w:ind w:left="0" w:firstLine="3584"/>
      <w:spacing w:before="0" w:after="160" w:line="240" w:lineRule="exact"/>
    </w:pPr>
    <w:rPr>
      <w:rFonts w:ascii="Times New Roman" w:hAnsi="Times New Roman" w:cs="Times New Roman"/>
    </w:rPr>
  </w:style>
  <w:style w:type="paragraph" w:styleId="1268" w:customStyle="1">
    <w:name w:val="xl23"/>
    <w:basedOn w:val="866"/>
    <w:next w:val="902"/>
    <w:qFormat/>
    <w:pPr>
      <w:ind w:left="0" w:firstLine="20"/>
      <w:spacing w:before="280" w:after="280" w:line="240" w:lineRule="auto"/>
      <w:shd w:val="clear" w:color="000000" w:fill="ffffff"/>
    </w:pPr>
    <w:rPr>
      <w:rFonts w:ascii="Times New Roman" w:hAnsi="Times New Roman" w:cs="Times New Roman"/>
    </w:rPr>
  </w:style>
  <w:style w:type="paragraph" w:styleId="1269" w:customStyle="1">
    <w:name w:val="列出段落11"/>
    <w:basedOn w:val="866"/>
    <w:next w:val="1270"/>
    <w:qFormat/>
    <w:pPr>
      <w:ind w:left="420" w:firstLine="3748"/>
      <w:spacing w:before="0" w:after="0" w:line="240" w:lineRule="auto"/>
    </w:pPr>
    <w:rPr>
      <w:rFonts w:ascii="Times New Roman" w:hAnsi="Times New Roman" w:cs="Times New Roman"/>
    </w:rPr>
  </w:style>
  <w:style w:type="paragraph" w:styleId="1270" w:customStyle="1">
    <w:name w:val="样式 标题 2 + (西文) 宋体 非加粗 居中"/>
    <w:basedOn w:val="868"/>
    <w:next w:val="1271"/>
    <w:qFormat/>
    <w:pPr>
      <w:ind w:left="0" w:firstLine="24"/>
      <w:jc w:val="center"/>
      <w:spacing w:line="412" w:lineRule="auto"/>
      <w:outlineLvl w:val="1"/>
    </w:pPr>
  </w:style>
  <w:style w:type="paragraph" w:styleId="1271" w:customStyle="1">
    <w:name w:val="页脚 Char Char"/>
    <w:basedOn w:val="866"/>
    <w:next w:val="1272"/>
    <w:qFormat/>
    <w:pPr>
      <w:ind w:left="0" w:firstLine="5120"/>
      <w:spacing w:before="0" w:after="0" w:line="240" w:lineRule="auto"/>
    </w:pPr>
    <w:rPr>
      <w:rFonts w:ascii="Times New Roman" w:hAnsi="Times New Roman" w:cs="Times New Roman"/>
    </w:rPr>
  </w:style>
  <w:style w:type="paragraph" w:styleId="1272" w:customStyle="1">
    <w:name w:val="样式 标题 1 + 段前: 16 磅 段后: 16 磅"/>
    <w:basedOn w:val="867"/>
    <w:next w:val="1273"/>
    <w:qFormat/>
    <w:pPr>
      <w:ind w:left="0" w:firstLine="18"/>
      <w:jc w:val="center"/>
      <w:spacing w:before="120" w:after="0" w:line="360" w:lineRule="auto"/>
      <w:outlineLvl w:val="0"/>
    </w:pPr>
  </w:style>
  <w:style w:type="paragraph" w:styleId="1273" w:customStyle="1">
    <w:name w:val="Char1 Char Char Char Char Char Char"/>
    <w:basedOn w:val="866"/>
    <w:next w:val="1274"/>
    <w:qFormat/>
    <w:pPr>
      <w:ind w:left="0" w:firstLine="2560"/>
      <w:spacing w:before="0" w:after="0" w:line="240" w:lineRule="auto"/>
    </w:pPr>
    <w:rPr>
      <w:rFonts w:ascii="Times New Roman" w:hAnsi="Times New Roman" w:cs="Times New Roman"/>
    </w:rPr>
  </w:style>
  <w:style w:type="paragraph" w:styleId="1274" w:customStyle="1">
    <w:name w:val="文档标题4"/>
    <w:basedOn w:val="870"/>
    <w:next w:val="865"/>
    <w:qFormat/>
    <w:pPr>
      <w:ind w:left="851" w:firstLine="30"/>
      <w:spacing w:after="280" w:line="360" w:lineRule="auto"/>
      <w:outlineLvl w:val="3"/>
    </w:pPr>
  </w:style>
  <w:style w:type="paragraph" w:styleId="1275" w:customStyle="1">
    <w:name w:val="font0"/>
    <w:basedOn w:val="866"/>
    <w:next w:val="1251"/>
    <w:qFormat/>
    <w:pPr>
      <w:ind w:left="0" w:firstLine="1024"/>
      <w:spacing w:before="280" w:after="280" w:line="240" w:lineRule="auto"/>
    </w:pPr>
    <w:rPr>
      <w:rFonts w:ascii="Times New Roman" w:hAnsi="Times New Roman" w:cs="Times New Roman"/>
    </w:rPr>
  </w:style>
  <w:style w:type="paragraph" w:styleId="1276" w:customStyle="1">
    <w:name w:val="CM5"/>
    <w:basedOn w:val="866"/>
    <w:next w:val="865"/>
    <w:qFormat/>
    <w:pPr>
      <w:ind w:left="200" w:firstLine="2760"/>
      <w:spacing w:before="0" w:after="0" w:line="400" w:lineRule="atLeast"/>
    </w:pPr>
    <w:rPr>
      <w:rFonts w:ascii="Times New Roman" w:hAnsi="Times New Roman" w:cs="Times New Roman"/>
    </w:rPr>
  </w:style>
  <w:style w:type="paragraph" w:styleId="1277" w:customStyle="1">
    <w:name w:val="Pa0"/>
    <w:basedOn w:val="866"/>
    <w:next w:val="865"/>
    <w:qFormat/>
    <w:pPr>
      <w:ind w:left="0" w:firstLine="4608"/>
      <w:spacing w:before="0" w:after="0" w:line="241" w:lineRule="atLeast"/>
    </w:pPr>
    <w:rPr>
      <w:rFonts w:ascii="Times New Roman" w:hAnsi="Times New Roman" w:cs="Times New Roman"/>
    </w:rPr>
  </w:style>
  <w:style w:type="paragraph" w:styleId="1278" w:customStyle="1">
    <w:name w:val="招标文件》"/>
    <w:basedOn w:val="866"/>
    <w:next w:val="1215"/>
    <w:qFormat/>
    <w:pPr>
      <w:ind w:left="420" w:firstLine="2140"/>
      <w:spacing w:before="120" w:after="120" w:line="300" w:lineRule="auto"/>
    </w:pPr>
    <w:rPr>
      <w:rFonts w:ascii="Times New Roman" w:hAnsi="Times New Roman" w:cs="Times New Roman"/>
    </w:rPr>
  </w:style>
  <w:style w:type="paragraph" w:styleId="1279" w:customStyle="1">
    <w:name w:val="段"/>
    <w:next w:val="865"/>
    <w:qFormat/>
    <w:pPr>
      <w:ind w:firstLine="200"/>
      <w:jc w:val="both"/>
      <w:spacing w:line="360" w:lineRule="auto"/>
    </w:pPr>
    <w:rPr>
      <w:sz w:val="24"/>
      <w:szCs w:val="22"/>
    </w:rPr>
  </w:style>
  <w:style w:type="paragraph" w:styleId="1280" w:customStyle="1">
    <w:name w:val="标书_正文"/>
    <w:basedOn w:val="866"/>
    <w:next w:val="1281"/>
    <w:qFormat/>
    <w:pPr>
      <w:ind w:left="420" w:firstLine="1188"/>
      <w:spacing w:before="0" w:after="0" w:line="360" w:lineRule="auto"/>
    </w:pPr>
    <w:rPr>
      <w:rFonts w:ascii="Times New Roman" w:hAnsi="Times New Roman" w:cs="Times New Roman"/>
    </w:rPr>
  </w:style>
  <w:style w:type="paragraph" w:styleId="1281" w:customStyle="1">
    <w:name w:val="样式 标题 2 + Times New Roman 四号 非加粗 段前: 5 磅 段后: 0 磅 行距: 固定值 20..."/>
    <w:basedOn w:val="868"/>
    <w:next w:val="1230"/>
    <w:qFormat/>
    <w:pPr>
      <w:ind w:left="0" w:firstLine="24"/>
      <w:spacing w:before="100" w:after="0" w:line="400" w:lineRule="exact"/>
      <w:outlineLvl w:val="1"/>
    </w:pPr>
  </w:style>
  <w:style w:type="paragraph" w:styleId="1282" w:customStyle="1">
    <w:name w:val="图片0"/>
    <w:basedOn w:val="866"/>
    <w:next w:val="913"/>
    <w:qFormat/>
    <w:pPr>
      <w:ind w:left="-161" w:firstLine="1187"/>
      <w:spacing w:before="0" w:after="0" w:line="276" w:lineRule="auto"/>
    </w:pPr>
    <w:rPr>
      <w:rFonts w:ascii="Times New Roman" w:hAnsi="Times New Roman" w:cs="Times New Roman"/>
    </w:rPr>
  </w:style>
  <w:style w:type="paragraph" w:styleId="1283" w:customStyle="1">
    <w:name w:val="Char Char Char2 Char Char Char2 Char"/>
    <w:basedOn w:val="866"/>
    <w:next w:val="1256"/>
    <w:qFormat/>
    <w:pPr>
      <w:ind w:left="560" w:firstLine="3632"/>
      <w:spacing w:before="0" w:after="160" w:line="240" w:lineRule="exact"/>
    </w:pPr>
    <w:rPr>
      <w:rFonts w:ascii="Times New Roman" w:hAnsi="Times New Roman" w:cs="Times New Roman"/>
    </w:rPr>
  </w:style>
  <w:style w:type="paragraph" w:styleId="1284" w:customStyle="1">
    <w:name w:val="Char Char Char Char"/>
    <w:next w:val="1285"/>
    <w:qFormat/>
    <w:pPr>
      <w:ind w:firstLine="10"/>
      <w:spacing w:line="360" w:lineRule="auto"/>
      <w:shd w:val="clear" w:color="000000" w:fill="000080"/>
    </w:pPr>
    <w:rPr>
      <w:rFonts w:ascii="Calibri" w:hAnsi="Calibri"/>
    </w:rPr>
  </w:style>
  <w:style w:type="paragraph" w:styleId="1285" w:customStyle="1">
    <w:name w:val="杨昂超式样黑体主"/>
    <w:basedOn w:val="866"/>
    <w:next w:val="1286"/>
    <w:qFormat/>
    <w:pPr>
      <w:ind w:left="0" w:firstLine="4608"/>
      <w:spacing w:before="0" w:after="0" w:line="240" w:lineRule="auto"/>
    </w:pPr>
    <w:rPr>
      <w:rFonts w:ascii="Times New Roman" w:hAnsi="Times New Roman" w:cs="Times New Roman"/>
    </w:rPr>
  </w:style>
  <w:style w:type="paragraph" w:styleId="1286" w:customStyle="1">
    <w:name w:val="Char Char Char Char Char Char1 Char Char Char Char Char Char Char Char Char Char"/>
    <w:basedOn w:val="866"/>
    <w:next w:val="1287"/>
    <w:qFormat/>
    <w:pPr>
      <w:ind w:left="0" w:firstLine="2560"/>
      <w:spacing w:before="0" w:after="0" w:line="240" w:lineRule="auto"/>
    </w:pPr>
    <w:rPr>
      <w:rFonts w:ascii="Times New Roman" w:hAnsi="Times New Roman" w:cs="Times New Roman"/>
    </w:rPr>
  </w:style>
  <w:style w:type="paragraph" w:styleId="1287" w:customStyle="1">
    <w:name w:val="目录1"/>
    <w:basedOn w:val="866"/>
    <w:next w:val="865"/>
    <w:qFormat/>
    <w:pPr>
      <w:ind w:left="0" w:firstLine="7168"/>
      <w:spacing w:before="0" w:after="136" w:line="289" w:lineRule="atLeast"/>
    </w:pPr>
    <w:rPr>
      <w:rFonts w:ascii="Times New Roman" w:hAnsi="Times New Roman" w:cs="Times New Roman"/>
    </w:rPr>
  </w:style>
  <w:style w:type="paragraph" w:styleId="1288" w:customStyle="1">
    <w:name w:val="文档结构图1"/>
    <w:basedOn w:val="866"/>
    <w:next w:val="1289"/>
    <w:qFormat/>
    <w:pPr>
      <w:ind w:left="200" w:firstLine="2248"/>
      <w:spacing w:before="0" w:after="0" w:line="360" w:lineRule="auto"/>
    </w:pPr>
    <w:rPr>
      <w:rFonts w:ascii="Times New Roman" w:hAnsi="Times New Roman" w:cs="Times New Roman"/>
    </w:rPr>
  </w:style>
  <w:style w:type="paragraph" w:styleId="1289" w:customStyle="1">
    <w:name w:val="2ji"/>
    <w:basedOn w:val="868"/>
    <w:next w:val="908"/>
    <w:qFormat/>
    <w:pPr>
      <w:ind w:left="0" w:firstLine="24"/>
      <w:spacing w:before="0" w:after="0" w:line="360" w:lineRule="auto"/>
      <w:outlineLvl w:val="1"/>
    </w:pPr>
  </w:style>
  <w:style w:type="paragraph" w:styleId="1290" w:customStyle="1">
    <w:name w:val="xl91"/>
    <w:basedOn w:val="866"/>
    <w:next w:val="1212"/>
    <w:qFormat/>
    <w:pPr>
      <w:ind w:left="0" w:firstLine="3584"/>
      <w:spacing w:before="280" w:after="280" w:line="240" w:lineRule="auto"/>
    </w:pPr>
    <w:rPr>
      <w:rFonts w:ascii="Times New Roman" w:hAnsi="Times New Roman" w:cs="Times New Roman"/>
    </w:rPr>
  </w:style>
  <w:style w:type="paragraph" w:styleId="1291" w:customStyle="1">
    <w:name w:val="Text Body"/>
    <w:basedOn w:val="866"/>
    <w:next w:val="1292"/>
    <w:qFormat/>
    <w:pPr>
      <w:ind w:left="0" w:firstLine="4096"/>
      <w:spacing w:before="0" w:after="120" w:line="240" w:lineRule="auto"/>
    </w:pPr>
    <w:rPr>
      <w:rFonts w:ascii="Times New Roman" w:hAnsi="Times New Roman" w:cs="Times New Roman"/>
    </w:rPr>
  </w:style>
  <w:style w:type="paragraph" w:styleId="1292" w:customStyle="1">
    <w:name w:val="项目符1"/>
    <w:basedOn w:val="866"/>
    <w:next w:val="1293"/>
    <w:qFormat/>
    <w:pPr>
      <w:ind w:left="1365" w:right="100" w:firstLine="2728"/>
      <w:spacing w:before="78" w:after="78" w:line="300" w:lineRule="auto"/>
    </w:pPr>
    <w:rPr>
      <w:rFonts w:ascii="Times New Roman" w:hAnsi="Times New Roman" w:cs="Times New Roman"/>
    </w:rPr>
  </w:style>
  <w:style w:type="paragraph" w:styleId="1293" w:customStyle="1">
    <w:name w:val="引文目录标题1"/>
    <w:basedOn w:val="866"/>
    <w:next w:val="865"/>
    <w:qFormat/>
    <w:pPr>
      <w:ind w:left="0" w:firstLine="4608"/>
      <w:jc w:val="center"/>
      <w:spacing w:before="120" w:after="0" w:line="360" w:lineRule="auto"/>
    </w:pPr>
    <w:rPr>
      <w:rFonts w:ascii="Times New Roman" w:hAnsi="Times New Roman" w:cs="Times New Roman"/>
    </w:rPr>
  </w:style>
  <w:style w:type="paragraph" w:styleId="1294" w:customStyle="1">
    <w:name w:val="样式 标题 3 + (西文) 黑体 (中文) 黑体 (符号) 宋体 小四 段前: 5 磅 段后: 5 磅 行距: 1..."/>
    <w:basedOn w:val="869"/>
    <w:next w:val="1295"/>
    <w:qFormat/>
    <w:pPr>
      <w:ind w:left="1429" w:firstLine="18"/>
      <w:spacing w:before="100" w:after="100" w:line="360" w:lineRule="auto"/>
      <w:outlineLvl w:val="2"/>
    </w:pPr>
  </w:style>
  <w:style w:type="paragraph" w:styleId="1295" w:customStyle="1">
    <w:name w:val="xl22"/>
    <w:basedOn w:val="866"/>
    <w:next w:val="1296"/>
    <w:qFormat/>
    <w:pPr>
      <w:ind w:left="0" w:firstLine="20"/>
      <w:jc w:val="right"/>
      <w:spacing w:before="280" w:after="280" w:line="240" w:lineRule="auto"/>
      <w:shd w:val="clear" w:color="000000" w:fill="ffffff"/>
    </w:pPr>
    <w:rPr>
      <w:rFonts w:ascii="Times New Roman" w:hAnsi="Times New Roman" w:cs="Times New Roman"/>
    </w:rPr>
  </w:style>
  <w:style w:type="paragraph" w:styleId="1296" w:customStyle="1">
    <w:name w:val="自定义一"/>
    <w:basedOn w:val="866"/>
    <w:next w:val="865"/>
    <w:qFormat/>
    <w:pPr>
      <w:ind w:left="0"/>
      <w:spacing w:before="0" w:after="0" w:line="360" w:lineRule="auto"/>
    </w:pPr>
    <w:rPr>
      <w:rFonts w:ascii="Times New Roman" w:hAnsi="Times New Roman" w:cs="Times New Roman"/>
    </w:rPr>
  </w:style>
  <w:style w:type="paragraph" w:styleId="1297" w:customStyle="1">
    <w:name w:val="xl78"/>
    <w:basedOn w:val="866"/>
    <w:next w:val="1298"/>
    <w:qFormat/>
    <w:pPr>
      <w:ind w:left="0" w:firstLine="3584"/>
      <w:jc w:val="center"/>
      <w:spacing w:before="280" w:after="280" w:line="240" w:lineRule="auto"/>
    </w:pPr>
    <w:rPr>
      <w:rFonts w:ascii="Times New Roman" w:hAnsi="Times New Roman" w:cs="Times New Roman"/>
    </w:rPr>
  </w:style>
  <w:style w:type="paragraph" w:styleId="1298" w:customStyle="1">
    <w:name w:val="段落正文"/>
    <w:next w:val="1241"/>
    <w:qFormat/>
    <w:pPr>
      <w:ind w:firstLine="4608"/>
      <w:jc w:val="center"/>
      <w:spacing w:line="360" w:lineRule="auto"/>
    </w:pPr>
    <w:rPr>
      <w:rFonts w:ascii="Calibri" w:hAnsi="Calibri"/>
    </w:rPr>
  </w:style>
  <w:style w:type="paragraph" w:styleId="1299" w:customStyle="1">
    <w:name w:val="_Style 169"/>
    <w:next w:val="865"/>
    <w:qFormat/>
    <w:pPr>
      <w:ind w:left="2560"/>
    </w:pPr>
    <w:rPr>
      <w:rFonts w:ascii="Calibri" w:hAnsi="Calibri"/>
    </w:rPr>
  </w:style>
  <w:style w:type="paragraph" w:styleId="1300" w:customStyle="1">
    <w:name w:val="样式 小四 行距: 1.5 倍行距 首行缩进:  2 字符"/>
    <w:basedOn w:val="866"/>
    <w:next w:val="1246"/>
    <w:qFormat/>
    <w:pPr>
      <w:ind w:left="480" w:firstLine="2784"/>
      <w:spacing w:before="0" w:after="0" w:line="360" w:lineRule="auto"/>
    </w:pPr>
    <w:rPr>
      <w:rFonts w:ascii="Times New Roman" w:hAnsi="Times New Roman" w:cs="Times New Roman"/>
    </w:rPr>
  </w:style>
  <w:style w:type="paragraph" w:styleId="1301" w:customStyle="1">
    <w:name w:val="小节标题"/>
    <w:basedOn w:val="866"/>
    <w:next w:val="865"/>
    <w:qFormat/>
    <w:pPr>
      <w:ind w:left="0" w:firstLine="7168"/>
      <w:spacing w:before="175" w:after="102" w:line="351" w:lineRule="atLeast"/>
    </w:pPr>
    <w:rPr>
      <w:rFonts w:ascii="Times New Roman" w:hAnsi="Times New Roman" w:cs="Times New Roman"/>
    </w:rPr>
  </w:style>
  <w:style w:type="paragraph" w:styleId="1302" w:customStyle="1">
    <w:name w:val="TOC 标题2"/>
    <w:basedOn w:val="866"/>
    <w:next w:val="865"/>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03" w:customStyle="1">
    <w:name w:val="表格文字（两侧对齐）"/>
    <w:basedOn w:val="866"/>
    <w:next w:val="1304"/>
    <w:qFormat/>
    <w:pPr>
      <w:ind w:left="0" w:firstLine="3584"/>
      <w:spacing w:before="0" w:after="0" w:line="240" w:lineRule="auto"/>
    </w:pPr>
    <w:rPr>
      <w:rFonts w:ascii="Times New Roman" w:hAnsi="Times New Roman" w:cs="Times New Roman"/>
    </w:rPr>
  </w:style>
  <w:style w:type="paragraph" w:styleId="1304" w:customStyle="1">
    <w:name w:val="Char"/>
    <w:basedOn w:val="866"/>
    <w:next w:val="1283"/>
    <w:qFormat/>
    <w:pPr>
      <w:ind w:left="900" w:firstLine="2608"/>
      <w:spacing w:before="0" w:after="0" w:line="240" w:lineRule="auto"/>
    </w:pPr>
    <w:rPr>
      <w:rFonts w:ascii="Times New Roman" w:hAnsi="Times New Roman" w:cs="Times New Roman"/>
    </w:rPr>
  </w:style>
  <w:style w:type="paragraph" w:styleId="1305" w:customStyle="1">
    <w:name w:val="xl86"/>
    <w:basedOn w:val="866"/>
    <w:next w:val="1306"/>
    <w:qFormat/>
    <w:pPr>
      <w:ind w:left="0" w:firstLine="5120"/>
      <w:spacing w:before="280" w:after="280" w:line="240" w:lineRule="auto"/>
    </w:pPr>
    <w:rPr>
      <w:rFonts w:ascii="Times New Roman" w:hAnsi="Times New Roman" w:cs="Times New Roman"/>
    </w:rPr>
  </w:style>
  <w:style w:type="paragraph" w:styleId="1306" w:customStyle="1">
    <w:name w:val="索引 71"/>
    <w:basedOn w:val="866"/>
    <w:next w:val="865"/>
    <w:qFormat/>
    <w:pPr>
      <w:ind w:left="1200" w:firstLine="2560"/>
      <w:jc w:val="center"/>
      <w:spacing w:before="0" w:after="0" w:line="360" w:lineRule="auto"/>
    </w:pPr>
    <w:rPr>
      <w:rFonts w:ascii="Times New Roman" w:hAnsi="Times New Roman" w:cs="Times New Roman"/>
    </w:rPr>
  </w:style>
  <w:style w:type="paragraph" w:styleId="1307" w:customStyle="1">
    <w:name w:val="111"/>
    <w:next w:val="1308"/>
    <w:qFormat/>
    <w:pPr>
      <w:ind w:left="480" w:firstLine="4320"/>
      <w:spacing w:line="440" w:lineRule="exact"/>
    </w:pPr>
    <w:rPr>
      <w:rFonts w:ascii="Calibri" w:hAnsi="Calibri"/>
    </w:rPr>
  </w:style>
  <w:style w:type="paragraph" w:styleId="1308" w:customStyle="1">
    <w:name w:val="4"/>
    <w:basedOn w:val="866"/>
    <w:next w:val="878"/>
    <w:qFormat/>
    <w:pPr>
      <w:ind w:left="409" w:firstLine="3737"/>
      <w:spacing w:before="0" w:after="0" w:line="420" w:lineRule="exact"/>
    </w:pPr>
    <w:rPr>
      <w:rFonts w:ascii="Times New Roman" w:hAnsi="Times New Roman" w:cs="Times New Roman"/>
    </w:rPr>
  </w:style>
  <w:style w:type="paragraph" w:styleId="1309" w:customStyle="1">
    <w:name w:val="Char Char Char Char Char Char1 Char Char Char1 Char Char Char Char Char Char"/>
    <w:basedOn w:val="866"/>
    <w:next w:val="1294"/>
    <w:qFormat/>
    <w:pPr>
      <w:ind w:left="0" w:firstLine="2560"/>
      <w:spacing w:before="0" w:after="0" w:line="240" w:lineRule="auto"/>
    </w:pPr>
    <w:rPr>
      <w:rFonts w:ascii="Times New Roman" w:hAnsi="Times New Roman" w:cs="Times New Roman"/>
    </w:rPr>
  </w:style>
  <w:style w:type="paragraph" w:styleId="1310" w:customStyle="1">
    <w:name w:val="Char Char Char Char Char Char1 Char Char Char Char Char Char1 Char Char Char"/>
    <w:basedOn w:val="866"/>
    <w:next w:val="1311"/>
    <w:qFormat/>
    <w:pPr>
      <w:ind w:left="0" w:firstLine="2560"/>
      <w:spacing w:before="0" w:after="0" w:line="240" w:lineRule="auto"/>
    </w:pPr>
    <w:rPr>
      <w:rFonts w:ascii="Times New Roman" w:hAnsi="Times New Roman" w:cs="Times New Roman"/>
    </w:rPr>
  </w:style>
  <w:style w:type="paragraph" w:styleId="1311" w:customStyle="1">
    <w:name w:val="正文符号1"/>
    <w:basedOn w:val="866"/>
    <w:next w:val="1312"/>
    <w:qFormat/>
    <w:pPr>
      <w:ind w:left="987" w:firstLine="5724"/>
      <w:spacing w:before="0" w:after="0" w:line="240" w:lineRule="auto"/>
    </w:pPr>
    <w:rPr>
      <w:rFonts w:ascii="Times New Roman" w:hAnsi="Times New Roman" w:cs="Times New Roman"/>
    </w:rPr>
  </w:style>
  <w:style w:type="paragraph" w:styleId="1312" w:customStyle="1">
    <w:name w:val="索引 31"/>
    <w:basedOn w:val="866"/>
    <w:next w:val="865"/>
    <w:qFormat/>
    <w:pPr>
      <w:ind w:left="400" w:firstLine="2560"/>
      <w:jc w:val="center"/>
      <w:spacing w:before="0" w:after="0" w:line="360" w:lineRule="auto"/>
    </w:pPr>
    <w:rPr>
      <w:rFonts w:ascii="Times New Roman" w:hAnsi="Times New Roman" w:cs="Times New Roman"/>
    </w:rPr>
  </w:style>
  <w:style w:type="paragraph" w:styleId="1313" w:customStyle="1">
    <w:name w:val="目录4"/>
    <w:basedOn w:val="866"/>
    <w:next w:val="865"/>
    <w:qFormat/>
    <w:pPr>
      <w:ind w:left="629" w:firstLine="5237"/>
      <w:spacing w:before="0" w:after="0" w:line="317" w:lineRule="atLeast"/>
    </w:pPr>
    <w:rPr>
      <w:rFonts w:ascii="Times New Roman" w:hAnsi="Times New Roman" w:cs="Times New Roman"/>
    </w:rPr>
  </w:style>
  <w:style w:type="paragraph" w:styleId="1314" w:customStyle="1">
    <w:name w:val="p15"/>
    <w:basedOn w:val="865"/>
    <w:qFormat/>
    <w:pPr>
      <w:ind w:left="0"/>
    </w:pPr>
    <w:rPr>
      <w:rFonts w:ascii="宋体" w:hAnsi="宋体"/>
      <w:sz w:val="28"/>
      <w:szCs w:val="28"/>
    </w:rPr>
  </w:style>
  <w:style w:type="paragraph" w:styleId="1315" w:customStyle="1">
    <w:name w:val="四号 居中"/>
    <w:basedOn w:val="866"/>
    <w:next w:val="1309"/>
    <w:qFormat/>
    <w:pPr>
      <w:ind w:left="0" w:firstLine="6144"/>
      <w:jc w:val="center"/>
      <w:spacing w:before="0" w:after="0" w:line="360" w:lineRule="auto"/>
    </w:pPr>
    <w:rPr>
      <w:rFonts w:ascii="Times New Roman" w:hAnsi="Times New Roman" w:cs="Times New Roman"/>
    </w:rPr>
  </w:style>
  <w:style w:type="paragraph" w:styleId="1316" w:customStyle="1">
    <w:name w:val="p0"/>
    <w:next w:val="865"/>
    <w:qFormat/>
    <w:pPr>
      <w:ind w:firstLine="2048"/>
      <w:spacing w:line="360" w:lineRule="auto"/>
    </w:pPr>
    <w:rPr>
      <w:rFonts w:ascii="Calibri" w:hAnsi="Calibri"/>
    </w:rPr>
  </w:style>
  <w:style w:type="paragraph" w:styleId="1317" w:customStyle="1">
    <w:name w:val="列表编号 21"/>
    <w:basedOn w:val="866"/>
    <w:next w:val="1318"/>
    <w:qFormat/>
    <w:pPr>
      <w:ind w:left="0" w:firstLine="2560"/>
      <w:spacing w:before="0" w:after="0" w:line="360" w:lineRule="auto"/>
    </w:pPr>
    <w:rPr>
      <w:rFonts w:ascii="Times New Roman" w:hAnsi="Times New Roman" w:cs="Times New Roman"/>
    </w:rPr>
  </w:style>
  <w:style w:type="paragraph" w:styleId="1318" w:customStyle="1">
    <w:name w:val="正文文本 21"/>
    <w:basedOn w:val="866"/>
    <w:next w:val="1200"/>
    <w:qFormat/>
    <w:pPr>
      <w:ind w:left="0" w:firstLine="2560"/>
      <w:jc w:val="center"/>
      <w:spacing w:before="0" w:after="120" w:line="480" w:lineRule="auto"/>
    </w:pPr>
    <w:rPr>
      <w:rFonts w:ascii="Times New Roman" w:hAnsi="Times New Roman" w:cs="Times New Roman"/>
    </w:rPr>
  </w:style>
  <w:style w:type="paragraph" w:styleId="1319" w:customStyle="1">
    <w:name w:val="a2"/>
    <w:basedOn w:val="866"/>
    <w:next w:val="905"/>
    <w:qFormat/>
    <w:pPr>
      <w:ind w:left="0" w:firstLine="1024"/>
      <w:spacing w:before="280" w:after="280" w:line="240" w:lineRule="auto"/>
    </w:pPr>
    <w:rPr>
      <w:rFonts w:ascii="Times New Roman" w:hAnsi="Times New Roman" w:cs="Times New Roman"/>
    </w:rPr>
  </w:style>
  <w:style w:type="paragraph" w:styleId="1320" w:customStyle="1">
    <w:name w:val="font8"/>
    <w:basedOn w:val="866"/>
    <w:next w:val="1245"/>
    <w:qFormat/>
    <w:pPr>
      <w:ind w:left="0" w:firstLine="2048"/>
      <w:spacing w:before="280" w:after="280" w:line="240" w:lineRule="auto"/>
    </w:pPr>
    <w:rPr>
      <w:rFonts w:ascii="Times New Roman" w:hAnsi="Times New Roman" w:cs="Times New Roman"/>
    </w:rPr>
  </w:style>
  <w:style w:type="paragraph" w:styleId="1321" w:customStyle="1">
    <w:name w:val="Char Char Char Char Char Char1 Char Char Char Char Char Char1 Char Char Char Char Char Char Char"/>
    <w:basedOn w:val="866"/>
    <w:next w:val="1322"/>
    <w:qFormat/>
    <w:pPr>
      <w:ind w:left="0" w:firstLine="2560"/>
      <w:spacing w:before="0" w:after="0" w:line="240" w:lineRule="auto"/>
    </w:pPr>
    <w:rPr>
      <w:rFonts w:ascii="Times New Roman" w:hAnsi="Times New Roman" w:cs="Times New Roman"/>
    </w:rPr>
  </w:style>
  <w:style w:type="paragraph" w:styleId="1322" w:customStyle="1">
    <w:name w:val="xl87"/>
    <w:basedOn w:val="866"/>
    <w:next w:val="1278"/>
    <w:qFormat/>
    <w:pPr>
      <w:ind w:left="0" w:firstLine="5120"/>
      <w:spacing w:before="280" w:after="280" w:line="240" w:lineRule="auto"/>
    </w:pPr>
    <w:rPr>
      <w:rFonts w:ascii="Times New Roman" w:hAnsi="Times New Roman" w:cs="Times New Roman"/>
    </w:rPr>
  </w:style>
  <w:style w:type="paragraph" w:styleId="1323" w:customStyle="1">
    <w:name w:val="444"/>
    <w:basedOn w:val="866"/>
    <w:next w:val="887"/>
    <w:qFormat/>
    <w:pPr>
      <w:ind w:left="0" w:firstLine="4608"/>
      <w:jc w:val="center"/>
      <w:spacing w:before="0" w:after="0" w:line="312" w:lineRule="atLeast"/>
    </w:pPr>
    <w:rPr>
      <w:rFonts w:ascii="Times New Roman" w:hAnsi="Times New Roman" w:cs="Times New Roman"/>
    </w:rPr>
  </w:style>
  <w:style w:type="paragraph" w:styleId="1324" w:customStyle="1">
    <w:name w:val="表格文字图表文字"/>
    <w:basedOn w:val="866"/>
    <w:next w:val="1325"/>
    <w:qFormat/>
    <w:pPr>
      <w:ind w:left="0" w:firstLine="3584"/>
      <w:jc w:val="center"/>
      <w:spacing w:before="0" w:after="0" w:line="240" w:lineRule="auto"/>
    </w:pPr>
    <w:rPr>
      <w:rFonts w:ascii="Times New Roman" w:hAnsi="Times New Roman" w:cs="Times New Roman"/>
    </w:rPr>
  </w:style>
  <w:style w:type="paragraph" w:styleId="1325" w:customStyle="1">
    <w:name w:val="样式 目录 3 + 左侧:  2 字符1"/>
    <w:next w:val="1326"/>
    <w:qFormat/>
    <w:pPr>
      <w:ind w:left="960" w:firstLine="5120"/>
      <w:spacing w:line="360" w:lineRule="auto"/>
      <w:widowControl w:val="off"/>
    </w:pPr>
    <w:rPr>
      <w:rFonts w:ascii="Calibri" w:hAnsi="Calibri"/>
    </w:rPr>
  </w:style>
  <w:style w:type="paragraph" w:styleId="1326" w:customStyle="1">
    <w:name w:val="文档正文"/>
    <w:basedOn w:val="866"/>
    <w:next w:val="1327"/>
    <w:qFormat/>
    <w:pPr>
      <w:ind w:left="567" w:firstLine="3639"/>
      <w:spacing w:before="0" w:after="0" w:line="480" w:lineRule="atLeast"/>
    </w:pPr>
    <w:rPr>
      <w:rFonts w:ascii="Times New Roman" w:hAnsi="Times New Roman" w:cs="Times New Roman"/>
    </w:rPr>
  </w:style>
  <w:style w:type="paragraph" w:styleId="1327" w:customStyle="1">
    <w:name w:val="列表框2"/>
    <w:next w:val="1328"/>
    <w:qFormat/>
    <w:pPr>
      <w:ind w:firstLine="2048"/>
      <w:spacing w:line="460" w:lineRule="exact"/>
    </w:pPr>
    <w:rPr>
      <w:rFonts w:ascii="Calibri" w:hAnsi="Calibri"/>
    </w:rPr>
  </w:style>
  <w:style w:type="paragraph" w:styleId="1328" w:customStyle="1">
    <w:name w:val="font10"/>
    <w:basedOn w:val="866"/>
    <w:next w:val="898"/>
    <w:qFormat/>
    <w:pPr>
      <w:ind w:left="0" w:firstLine="3584"/>
      <w:spacing w:before="280" w:after="280" w:line="240" w:lineRule="auto"/>
    </w:pPr>
    <w:rPr>
      <w:rFonts w:ascii="Times New Roman" w:hAnsi="Times New Roman" w:cs="Times New Roman"/>
    </w:rPr>
  </w:style>
  <w:style w:type="paragraph" w:styleId="1329" w:customStyle="1">
    <w:name w:val="纯文本1"/>
    <w:basedOn w:val="866"/>
    <w:next w:val="910"/>
    <w:qFormat/>
    <w:pPr>
      <w:ind w:left="0" w:firstLine="3584"/>
      <w:spacing w:before="0" w:after="0" w:line="240" w:lineRule="auto"/>
    </w:pPr>
    <w:rPr>
      <w:rFonts w:ascii="Times New Roman" w:hAnsi="Times New Roman" w:cs="Times New Roman"/>
    </w:rPr>
  </w:style>
  <w:style w:type="paragraph" w:styleId="1330" w:customStyle="1">
    <w:name w:val="索引 91"/>
    <w:basedOn w:val="866"/>
    <w:next w:val="865"/>
    <w:qFormat/>
    <w:pPr>
      <w:ind w:left="1600" w:firstLine="2560"/>
      <w:jc w:val="center"/>
      <w:spacing w:before="0" w:after="0" w:line="360" w:lineRule="auto"/>
    </w:pPr>
    <w:rPr>
      <w:rFonts w:ascii="Times New Roman" w:hAnsi="Times New Roman" w:cs="Times New Roman"/>
    </w:rPr>
  </w:style>
  <w:style w:type="paragraph" w:styleId="1331" w:customStyle="1">
    <w:name w:val="xl79"/>
    <w:basedOn w:val="866"/>
    <w:next w:val="1307"/>
    <w:qFormat/>
    <w:pPr>
      <w:ind w:left="0" w:firstLine="3584"/>
      <w:jc w:val="center"/>
      <w:spacing w:before="280" w:after="280" w:line="240" w:lineRule="auto"/>
    </w:pPr>
    <w:rPr>
      <w:rFonts w:ascii="Times New Roman" w:hAnsi="Times New Roman" w:cs="Times New Roman"/>
    </w:rPr>
  </w:style>
  <w:style w:type="paragraph" w:styleId="1332" w:customStyle="1">
    <w:name w:val="表格文字（4号居中）"/>
    <w:next w:val="1333"/>
    <w:qFormat/>
    <w:pPr>
      <w:ind w:firstLine="2560"/>
      <w:jc w:val="center"/>
    </w:pPr>
    <w:rPr>
      <w:rFonts w:ascii="Calibri" w:hAnsi="Calibri"/>
    </w:rPr>
  </w:style>
  <w:style w:type="paragraph" w:styleId="1333" w:customStyle="1">
    <w:name w:val="!方块加粗"/>
    <w:basedOn w:val="866"/>
    <w:next w:val="1300"/>
    <w:qFormat/>
    <w:pPr>
      <w:ind w:left="600" w:firstLine="5212"/>
      <w:spacing w:before="0" w:after="0" w:line="360" w:lineRule="auto"/>
    </w:pPr>
    <w:rPr>
      <w:rFonts w:ascii="Times New Roman" w:hAnsi="Times New Roman" w:cs="Times New Roman"/>
    </w:rPr>
  </w:style>
  <w:style w:type="paragraph" w:styleId="1334" w:customStyle="1">
    <w:name w:val="xl75"/>
    <w:basedOn w:val="866"/>
    <w:next w:val="911"/>
    <w:qFormat/>
    <w:pPr>
      <w:ind w:left="0" w:firstLine="3584"/>
      <w:jc w:val="center"/>
      <w:spacing w:before="280" w:after="280" w:line="240" w:lineRule="auto"/>
    </w:pPr>
    <w:rPr>
      <w:rFonts w:ascii="Times New Roman" w:hAnsi="Times New Roman" w:cs="Times New Roman"/>
    </w:rPr>
  </w:style>
  <w:style w:type="paragraph" w:styleId="1335" w:customStyle="1">
    <w:name w:val="xl81"/>
    <w:basedOn w:val="866"/>
    <w:next w:val="1336"/>
    <w:qFormat/>
    <w:pPr>
      <w:ind w:left="0" w:firstLine="5120"/>
      <w:spacing w:before="280" w:after="280" w:line="240" w:lineRule="auto"/>
    </w:pPr>
    <w:rPr>
      <w:rFonts w:ascii="Times New Roman" w:hAnsi="Times New Roman" w:cs="Times New Roman"/>
    </w:rPr>
  </w:style>
  <w:style w:type="paragraph" w:styleId="1336" w:customStyle="1">
    <w:name w:val="xl25"/>
    <w:basedOn w:val="866"/>
    <w:next w:val="1337"/>
    <w:qFormat/>
    <w:pPr>
      <w:ind w:left="0" w:firstLine="14"/>
      <w:spacing w:before="280" w:after="280" w:line="240" w:lineRule="auto"/>
      <w:shd w:val="clear" w:color="000000" w:fill="ffffff"/>
    </w:pPr>
    <w:rPr>
      <w:rFonts w:ascii="Times New Roman" w:hAnsi="Times New Roman" w:cs="Times New Roman"/>
    </w:rPr>
  </w:style>
  <w:style w:type="paragraph" w:styleId="1337" w:customStyle="1">
    <w:name w:val="普通(网站)1"/>
    <w:basedOn w:val="866"/>
    <w:next w:val="1338"/>
    <w:qFormat/>
    <w:pPr>
      <w:ind w:left="200" w:firstLine="1224"/>
      <w:spacing w:before="280" w:after="280" w:line="240" w:lineRule="auto"/>
    </w:pPr>
    <w:rPr>
      <w:rFonts w:ascii="Times New Roman" w:hAnsi="Times New Roman" w:cs="Times New Roman"/>
    </w:rPr>
  </w:style>
  <w:style w:type="paragraph" w:styleId="1338" w:customStyle="1">
    <w:name w:val="xl27"/>
    <w:basedOn w:val="866"/>
    <w:next w:val="1324"/>
    <w:qFormat/>
    <w:pPr>
      <w:ind w:left="0" w:firstLine="20"/>
      <w:spacing w:before="280" w:after="280" w:line="240" w:lineRule="auto"/>
      <w:shd w:val="clear" w:color="000000" w:fill="ffffff"/>
    </w:pPr>
    <w:rPr>
      <w:rFonts w:ascii="Times New Roman" w:hAnsi="Times New Roman" w:cs="Times New Roman"/>
    </w:rPr>
  </w:style>
  <w:style w:type="paragraph" w:styleId="1339" w:customStyle="1">
    <w:name w:val="H 4"/>
    <w:basedOn w:val="870"/>
    <w:next w:val="1340"/>
    <w:qFormat/>
    <w:pPr>
      <w:ind w:left="426" w:firstLine="24"/>
      <w:spacing w:before="0" w:after="0" w:line="360" w:lineRule="auto"/>
      <w:outlineLvl w:val="3"/>
    </w:pPr>
  </w:style>
  <w:style w:type="paragraph" w:styleId="1340" w:customStyle="1">
    <w:name w:val="xl82"/>
    <w:basedOn w:val="866"/>
    <w:next w:val="1335"/>
    <w:qFormat/>
    <w:pPr>
      <w:ind w:left="0" w:firstLine="5120"/>
      <w:spacing w:before="280" w:after="280" w:line="240" w:lineRule="auto"/>
    </w:pPr>
    <w:rPr>
      <w:rFonts w:ascii="Times New Roman" w:hAnsi="Times New Roman" w:cs="Times New Roman"/>
    </w:rPr>
  </w:style>
  <w:style w:type="paragraph" w:styleId="1341" w:customStyle="1">
    <w:name w:val="Char Char Char Char Char Char Char Char"/>
    <w:next w:val="1342"/>
    <w:qFormat/>
    <w:pPr>
      <w:ind w:firstLine="14"/>
      <w:jc w:val="both"/>
      <w:shd w:val="clear" w:color="000000" w:fill="000080"/>
      <w:widowControl w:val="off"/>
    </w:pPr>
    <w:rPr>
      <w:rFonts w:ascii="Calibri" w:hAnsi="Calibri"/>
    </w:rPr>
  </w:style>
  <w:style w:type="paragraph" w:styleId="1342" w:customStyle="1">
    <w:name w:val="Char Char Char Char Char Char1 Char Char Char1 Char Char Char Char Char Char Char Char Char Char Char Char Char Char Char"/>
    <w:basedOn w:val="866"/>
    <w:next w:val="1343"/>
    <w:qFormat/>
    <w:pPr>
      <w:ind w:left="0" w:firstLine="2560"/>
      <w:spacing w:before="0" w:after="0" w:line="240" w:lineRule="auto"/>
    </w:pPr>
    <w:rPr>
      <w:rFonts w:ascii="Times New Roman" w:hAnsi="Times New Roman" w:cs="Times New Roman"/>
    </w:rPr>
  </w:style>
  <w:style w:type="paragraph" w:styleId="1343" w:customStyle="1">
    <w:name w:val="样式1"/>
    <w:basedOn w:val="866"/>
    <w:next w:val="1344"/>
    <w:qFormat/>
    <w:pPr>
      <w:ind w:left="0" w:firstLine="1536"/>
      <w:spacing w:before="120" w:after="120" w:line="300" w:lineRule="auto"/>
    </w:pPr>
    <w:rPr>
      <w:rFonts w:ascii="Times New Roman" w:hAnsi="Times New Roman" w:cs="Times New Roman"/>
    </w:rPr>
  </w:style>
  <w:style w:type="paragraph" w:styleId="1344" w:customStyle="1">
    <w:name w:val="索引 41"/>
    <w:basedOn w:val="866"/>
    <w:next w:val="865"/>
    <w:qFormat/>
    <w:pPr>
      <w:ind w:left="600" w:firstLine="2560"/>
      <w:jc w:val="center"/>
      <w:spacing w:before="0" w:after="0" w:line="360" w:lineRule="auto"/>
    </w:pPr>
    <w:rPr>
      <w:rFonts w:ascii="Times New Roman" w:hAnsi="Times New Roman" w:cs="Times New Roman"/>
    </w:rPr>
  </w:style>
  <w:style w:type="paragraph" w:styleId="1345" w:customStyle="1">
    <w:name w:val="自定义二"/>
    <w:basedOn w:val="866"/>
    <w:next w:val="865"/>
    <w:qFormat/>
    <w:pPr>
      <w:ind w:left="0" w:firstLine="14"/>
      <w:spacing w:before="0" w:after="0" w:line="360" w:lineRule="auto"/>
      <w:outlineLvl w:val="1"/>
    </w:pPr>
    <w:rPr>
      <w:rFonts w:ascii="Times New Roman" w:hAnsi="Times New Roman" w:cs="Times New Roman"/>
    </w:rPr>
  </w:style>
  <w:style w:type="paragraph" w:styleId="1346" w:customStyle="1">
    <w:name w:val="Bullet"/>
    <w:next w:val="1284"/>
    <w:qFormat/>
    <w:pPr>
      <w:ind w:left="567" w:right="2835" w:firstLine="3584"/>
      <w:spacing w:after="60"/>
    </w:pPr>
    <w:rPr>
      <w:rFonts w:ascii="Calibri" w:hAnsi="Calibri"/>
    </w:rPr>
  </w:style>
  <w:style w:type="paragraph" w:styleId="1347" w:customStyle="1">
    <w:name w:val="Char Char Char Char Char Char1"/>
    <w:basedOn w:val="866"/>
    <w:next w:val="1348"/>
    <w:qFormat/>
    <w:pPr>
      <w:ind w:left="0" w:firstLine="2560"/>
      <w:spacing w:before="0" w:after="0" w:line="240" w:lineRule="auto"/>
    </w:pPr>
    <w:rPr>
      <w:rFonts w:ascii="Times New Roman" w:hAnsi="Times New Roman" w:cs="Times New Roman"/>
    </w:rPr>
  </w:style>
  <w:style w:type="paragraph" w:styleId="1348" w:customStyle="1">
    <w:name w:val="正文缩进2"/>
    <w:basedOn w:val="866"/>
    <w:next w:val="1349"/>
    <w:qFormat/>
    <w:pPr>
      <w:ind w:left="420" w:firstLine="1188"/>
      <w:spacing w:before="0" w:after="0" w:line="240" w:lineRule="auto"/>
    </w:pPr>
    <w:rPr>
      <w:rFonts w:ascii="Times New Roman" w:hAnsi="Times New Roman" w:cs="Times New Roman"/>
    </w:rPr>
  </w:style>
  <w:style w:type="paragraph" w:styleId="1349" w:customStyle="1">
    <w:name w:val="列出段落2"/>
    <w:basedOn w:val="866"/>
    <w:next w:val="1350"/>
    <w:qFormat/>
    <w:pPr>
      <w:ind w:left="420" w:firstLine="3748"/>
      <w:spacing w:before="0" w:after="0" w:line="240" w:lineRule="auto"/>
    </w:pPr>
    <w:rPr>
      <w:rFonts w:ascii="Times New Roman" w:hAnsi="Times New Roman" w:cs="Times New Roman"/>
    </w:rPr>
  </w:style>
  <w:style w:type="paragraph" w:styleId="1350" w:customStyle="1">
    <w:name w:val="正文文本缩进 31"/>
    <w:basedOn w:val="866"/>
    <w:next w:val="1351"/>
    <w:qFormat/>
    <w:pPr>
      <w:ind w:left="1200" w:firstLine="1248"/>
      <w:spacing w:before="120" w:after="0" w:line="22" w:lineRule="atLeast"/>
    </w:pPr>
    <w:rPr>
      <w:rFonts w:ascii="Times New Roman" w:hAnsi="Times New Roman" w:cs="Times New Roman"/>
    </w:rPr>
  </w:style>
  <w:style w:type="paragraph" w:styleId="1351" w:customStyle="1">
    <w:name w:val="样式 正文首行缩进 + 首行缩进:  2 字符5"/>
    <w:next w:val="1352"/>
    <w:qFormat/>
    <w:pPr>
      <w:ind w:left="200" w:firstLine="3784"/>
      <w:spacing w:line="300" w:lineRule="auto"/>
    </w:pPr>
    <w:rPr>
      <w:rFonts w:ascii="Calibri" w:hAnsi="Calibri"/>
    </w:rPr>
  </w:style>
  <w:style w:type="paragraph" w:styleId="1352" w:customStyle="1">
    <w:name w:val="Char2"/>
    <w:basedOn w:val="866"/>
    <w:next w:val="1346"/>
    <w:qFormat/>
    <w:pPr>
      <w:ind w:left="0" w:firstLine="3584"/>
      <w:spacing w:before="0" w:after="160" w:line="240" w:lineRule="exact"/>
    </w:pPr>
    <w:rPr>
      <w:rFonts w:ascii="Times New Roman" w:hAnsi="Times New Roman" w:cs="Times New Roman"/>
    </w:rPr>
  </w:style>
  <w:style w:type="paragraph" w:styleId="1353" w:customStyle="1">
    <w:name w:val="WPSOffice手动目录 1"/>
    <w:qFormat/>
  </w:style>
  <w:style w:type="paragraph" w:styleId="1354" w:customStyle="1">
    <w:name w:val="纯文本4"/>
    <w:basedOn w:val="865"/>
    <w:qFormat/>
    <w:pPr>
      <w:ind w:left="0"/>
      <w:widowControl w:val="off"/>
    </w:pPr>
    <w:rPr>
      <w:rFonts w:ascii="宋体" w:hAnsi="Courier New" w:eastAsia="楷体_GB2312" w:cs="Times New Roman"/>
      <w:sz w:val="26"/>
    </w:rPr>
  </w:style>
  <w:style w:type="paragraph" w:styleId="1355" w:customStyle="1">
    <w:name w:val="Char Char Char Char Char Char Char Char Char Char Char Char Char Char Char Char"/>
    <w:basedOn w:val="866"/>
    <w:next w:val="1356"/>
    <w:qFormat/>
    <w:pPr>
      <w:ind w:left="682" w:firstLine="1224"/>
      <w:spacing w:before="0" w:after="0" w:line="360" w:lineRule="auto"/>
    </w:pPr>
    <w:rPr>
      <w:rFonts w:ascii="Times New Roman" w:hAnsi="Times New Roman" w:cs="Times New Roman"/>
    </w:rPr>
  </w:style>
  <w:style w:type="paragraph" w:styleId="1356" w:customStyle="1">
    <w:name w:val="列表编号 51"/>
    <w:basedOn w:val="866"/>
    <w:next w:val="1357"/>
    <w:qFormat/>
    <w:pPr>
      <w:ind w:left="900" w:firstLine="2652"/>
      <w:spacing w:before="0" w:after="0" w:line="360" w:lineRule="auto"/>
    </w:pPr>
    <w:rPr>
      <w:rFonts w:ascii="Times New Roman" w:hAnsi="Times New Roman" w:cs="Times New Roman"/>
    </w:rPr>
  </w:style>
  <w:style w:type="paragraph" w:styleId="1357" w:customStyle="1">
    <w:name w:val="样式 标题 1 + 黑体 (符号) 宋体 三号 段前: 7.8 磅 段后: 7.8 磅 行距: 1.5 倍行距"/>
    <w:basedOn w:val="867"/>
    <w:next w:val="1358"/>
    <w:qFormat/>
    <w:pPr>
      <w:ind w:left="432" w:firstLine="18"/>
      <w:spacing w:before="40" w:after="40" w:line="360" w:lineRule="auto"/>
      <w:outlineLvl w:val="0"/>
    </w:pPr>
  </w:style>
  <w:style w:type="paragraph" w:styleId="1358" w:customStyle="1">
    <w:name w:val="表格用"/>
    <w:basedOn w:val="866"/>
    <w:next w:val="1315"/>
    <w:qFormat/>
    <w:pPr>
      <w:ind w:left="0" w:firstLine="1024"/>
      <w:spacing w:before="0" w:after="0" w:line="360" w:lineRule="auto"/>
    </w:pPr>
    <w:rPr>
      <w:rFonts w:ascii="Times New Roman" w:hAnsi="Times New Roman" w:cs="Times New Roman"/>
    </w:rPr>
  </w:style>
  <w:style w:type="paragraph" w:styleId="1359" w:customStyle="1">
    <w:name w:val="xl71"/>
    <w:basedOn w:val="866"/>
    <w:next w:val="1360"/>
    <w:qFormat/>
    <w:pPr>
      <w:ind w:left="0" w:firstLine="1536"/>
      <w:spacing w:before="280" w:after="280" w:line="240" w:lineRule="auto"/>
    </w:pPr>
    <w:rPr>
      <w:rFonts w:ascii="Times New Roman" w:hAnsi="Times New Roman" w:cs="Times New Roman"/>
    </w:rPr>
  </w:style>
  <w:style w:type="paragraph" w:styleId="1360" w:customStyle="1">
    <w:name w:val="正文文本 31"/>
    <w:basedOn w:val="866"/>
    <w:next w:val="1361"/>
    <w:qFormat/>
    <w:pPr>
      <w:ind w:left="0" w:firstLine="3584"/>
      <w:jc w:val="center"/>
      <w:spacing w:before="0" w:after="120" w:line="360" w:lineRule="auto"/>
    </w:pPr>
    <w:rPr>
      <w:rFonts w:ascii="Times New Roman" w:hAnsi="Times New Roman" w:cs="Times New Roman"/>
    </w:rPr>
  </w:style>
  <w:style w:type="paragraph" w:styleId="1361" w:customStyle="1">
    <w:name w:val="列出段落111"/>
    <w:basedOn w:val="866"/>
    <w:next w:val="1297"/>
    <w:qFormat/>
    <w:pPr>
      <w:ind w:left="420" w:firstLine="3748"/>
      <w:spacing w:before="0" w:after="0" w:line="240" w:lineRule="auto"/>
    </w:pPr>
    <w:rPr>
      <w:rFonts w:ascii="Times New Roman" w:hAnsi="Times New Roman" w:cs="Times New Roman"/>
    </w:rPr>
  </w:style>
  <w:style w:type="paragraph" w:styleId="1362" w:customStyle="1">
    <w:name w:val="修订1"/>
    <w:qFormat/>
    <w:rPr>
      <w:rFonts w:ascii="Calibri" w:hAnsi="Calibri"/>
    </w:rPr>
  </w:style>
  <w:style w:type="paragraph" w:styleId="1363" w:customStyle="1">
    <w:name w:val="正文文本缩进 21"/>
    <w:basedOn w:val="866"/>
    <w:next w:val="1303"/>
    <w:qFormat/>
    <w:pPr>
      <w:ind w:left="480" w:firstLine="4832"/>
      <w:spacing w:before="0" w:after="0" w:line="240" w:lineRule="auto"/>
    </w:pPr>
    <w:rPr>
      <w:rFonts w:ascii="Times New Roman" w:hAnsi="Times New Roman" w:cs="Times New Roman"/>
    </w:rPr>
  </w:style>
  <w:style w:type="paragraph" w:styleId="1364" w:customStyle="1">
    <w:name w:val="Char Char4 Char Char"/>
    <w:basedOn w:val="866"/>
    <w:next w:val="1313"/>
    <w:qFormat/>
    <w:pPr>
      <w:ind w:left="0" w:firstLine="2560"/>
      <w:spacing w:before="0" w:after="0" w:line="240" w:lineRule="auto"/>
    </w:pPr>
    <w:rPr>
      <w:rFonts w:ascii="Times New Roman" w:hAnsi="Times New Roman" w:cs="Times New Roman"/>
    </w:rPr>
  </w:style>
  <w:style w:type="paragraph" w:styleId="1365" w:customStyle="1">
    <w:name w:val="样式"/>
    <w:next w:val="865"/>
    <w:qFormat/>
    <w:pPr>
      <w:ind w:firstLine="3584"/>
      <w:widowControl w:val="off"/>
    </w:pPr>
    <w:rPr>
      <w:rFonts w:ascii="Calibri" w:hAnsi="Calibri"/>
    </w:rPr>
  </w:style>
  <w:style w:type="paragraph" w:styleId="1366" w:customStyle="1">
    <w:name w:val="TOC 标题11"/>
    <w:basedOn w:val="867"/>
    <w:next w:val="865"/>
    <w:qFormat/>
    <w:pPr>
      <w:ind w:left="0" w:firstLine="6144"/>
      <w:spacing w:before="480" w:after="0" w:line="276" w:lineRule="auto"/>
    </w:pPr>
    <w:rPr>
      <w:b/>
      <w:sz w:val="30"/>
    </w:rPr>
  </w:style>
  <w:style w:type="paragraph" w:styleId="1367" w:customStyle="1">
    <w:name w:val="纯文本3"/>
    <w:basedOn w:val="865"/>
    <w:qFormat/>
    <w:rPr>
      <w:rFonts w:ascii="宋体" w:hAnsi="Courier New" w:cs="Times New Roman"/>
    </w:rPr>
  </w:style>
  <w:style w:type="paragraph" w:styleId="1368" w:customStyle="1">
    <w:name w:val="afont"/>
    <w:basedOn w:val="866"/>
    <w:next w:val="891"/>
    <w:qFormat/>
    <w:pPr>
      <w:ind w:left="0" w:firstLine="2048"/>
      <w:spacing w:before="100" w:after="100" w:line="285" w:lineRule="atLeast"/>
    </w:pPr>
    <w:rPr>
      <w:rFonts w:ascii="Times New Roman" w:hAnsi="Times New Roman" w:cs="Times New Roman"/>
    </w:rPr>
  </w:style>
  <w:style w:type="paragraph" w:styleId="1369" w:customStyle="1">
    <w:name w:val="xl85"/>
    <w:basedOn w:val="866"/>
    <w:next w:val="1370"/>
    <w:qFormat/>
    <w:pPr>
      <w:ind w:left="0" w:firstLine="2048"/>
      <w:jc w:val="center"/>
      <w:spacing w:before="280" w:after="280" w:line="240" w:lineRule="auto"/>
    </w:pPr>
    <w:rPr>
      <w:rFonts w:ascii="Times New Roman" w:hAnsi="Times New Roman" w:cs="Times New Roman"/>
    </w:rPr>
  </w:style>
  <w:style w:type="paragraph" w:styleId="1370" w:customStyle="1">
    <w:name w:val="文章总标题"/>
    <w:basedOn w:val="866"/>
    <w:next w:val="1371"/>
    <w:qFormat/>
    <w:pPr>
      <w:ind w:left="0" w:firstLine="7168"/>
      <w:jc w:val="center"/>
      <w:spacing w:before="566" w:after="544" w:line="566" w:lineRule="atLeast"/>
    </w:pPr>
    <w:rPr>
      <w:rFonts w:ascii="Times New Roman" w:hAnsi="Times New Roman" w:cs="Times New Roman"/>
    </w:rPr>
  </w:style>
  <w:style w:type="paragraph" w:styleId="1371" w:customStyle="1">
    <w:name w:val="样式 首行缩进:  2 字符"/>
    <w:basedOn w:val="866"/>
    <w:next w:val="1334"/>
    <w:qFormat/>
    <w:pPr>
      <w:ind w:left="200" w:firstLine="1224"/>
      <w:spacing w:before="0" w:after="0" w:line="400" w:lineRule="exact"/>
    </w:pPr>
    <w:rPr>
      <w:rFonts w:ascii="Times New Roman" w:hAnsi="Times New Roman" w:cs="Times New Roman"/>
    </w:rPr>
  </w:style>
  <w:style w:type="paragraph" w:styleId="1372" w:customStyle="1">
    <w:name w:val="二级条标题"/>
    <w:basedOn w:val="866"/>
    <w:next w:val="865"/>
    <w:qFormat/>
    <w:pPr>
      <w:ind w:left="0" w:firstLine="8"/>
      <w:spacing w:before="0" w:after="0" w:line="240" w:lineRule="auto"/>
      <w:outlineLvl w:val="3"/>
    </w:pPr>
    <w:rPr>
      <w:rFonts w:ascii="Times New Roman" w:hAnsi="Times New Roman" w:cs="Times New Roman"/>
    </w:rPr>
  </w:style>
  <w:style w:type="paragraph" w:styleId="1373" w:customStyle="1">
    <w:name w:val="Plain Text*"/>
    <w:basedOn w:val="865"/>
    <w:qFormat/>
    <w:pPr>
      <w:ind w:left="0"/>
      <w:jc w:val="left"/>
    </w:pPr>
    <w:rPr>
      <w:rFonts w:ascii="宋体" w:hAnsi="宋体" w:eastAsia="楷体_GB2312" w:cs="Courier New"/>
      <w:sz w:val="26"/>
      <w:lang w:val="zh-CN"/>
    </w:rPr>
  </w:style>
  <w:style w:type="paragraph" w:styleId="1374" w:customStyle="1">
    <w:name w:val="样式 加粗 居中2"/>
    <w:basedOn w:val="866"/>
    <w:next w:val="1227"/>
    <w:qFormat/>
    <w:pPr>
      <w:ind w:left="0" w:firstLine="2560"/>
      <w:jc w:val="center"/>
      <w:spacing w:before="0" w:after="0" w:line="360" w:lineRule="auto"/>
    </w:pPr>
    <w:rPr>
      <w:rFonts w:ascii="Times New Roman" w:hAnsi="Times New Roman" w:cs="Times New Roman"/>
    </w:rPr>
  </w:style>
  <w:style w:type="paragraph" w:styleId="1375" w:customStyle="1">
    <w:name w:val="标准文本"/>
    <w:basedOn w:val="866"/>
    <w:next w:val="1329"/>
    <w:qFormat/>
    <w:pPr>
      <w:ind w:left="480" w:firstLine="2784"/>
      <w:spacing w:before="0" w:after="0" w:line="360" w:lineRule="auto"/>
    </w:pPr>
    <w:rPr>
      <w:rFonts w:ascii="Times New Roman" w:hAnsi="Times New Roman" w:cs="Times New Roman"/>
    </w:rPr>
  </w:style>
  <w:style w:type="paragraph" w:styleId="1376" w:customStyle="1">
    <w:name w:val="font5"/>
    <w:basedOn w:val="866"/>
    <w:next w:val="1377"/>
    <w:qFormat/>
    <w:pPr>
      <w:ind w:left="0" w:firstLine="5120"/>
      <w:spacing w:before="280" w:after="280" w:line="240" w:lineRule="auto"/>
    </w:pPr>
    <w:rPr>
      <w:rFonts w:ascii="Times New Roman" w:hAnsi="Times New Roman" w:cs="Times New Roman"/>
    </w:rPr>
  </w:style>
  <w:style w:type="paragraph" w:styleId="1377" w:customStyle="1">
    <w:name w:val="索引标题1"/>
    <w:basedOn w:val="866"/>
    <w:next w:val="1257"/>
    <w:qFormat/>
    <w:pPr>
      <w:ind w:left="0" w:firstLine="4608"/>
      <w:jc w:val="center"/>
      <w:spacing w:before="0" w:after="0" w:line="360" w:lineRule="auto"/>
    </w:pPr>
    <w:rPr>
      <w:rFonts w:ascii="Times New Roman" w:hAnsi="Times New Roman" w:cs="Times New Roman"/>
    </w:rPr>
  </w:style>
  <w:style w:type="paragraph" w:styleId="1378" w:customStyle="1">
    <w:name w:val="Char Char Char Char Char Char1 Char Char Char1 Char Char Char Char Char Char Char Char Char Char Char Char Char Char Char Char"/>
    <w:basedOn w:val="866"/>
    <w:next w:val="1379"/>
    <w:qFormat/>
    <w:pPr>
      <w:ind w:left="0" w:firstLine="2560"/>
      <w:spacing w:before="0" w:after="0" w:line="240" w:lineRule="auto"/>
    </w:pPr>
    <w:rPr>
      <w:rFonts w:ascii="Times New Roman" w:hAnsi="Times New Roman" w:cs="Times New Roman"/>
    </w:rPr>
  </w:style>
  <w:style w:type="paragraph" w:styleId="1379" w:customStyle="1">
    <w:name w:val="1正文"/>
    <w:basedOn w:val="866"/>
    <w:next w:val="1380"/>
    <w:qFormat/>
    <w:pPr>
      <w:ind w:left="480" w:firstLine="2784"/>
      <w:spacing w:before="0" w:after="0" w:line="300" w:lineRule="auto"/>
    </w:pPr>
    <w:rPr>
      <w:rFonts w:ascii="Times New Roman" w:hAnsi="Times New Roman" w:cs="Times New Roman"/>
    </w:rPr>
  </w:style>
  <w:style w:type="paragraph" w:styleId="1380" w:customStyle="1">
    <w:name w:val="目录2"/>
    <w:basedOn w:val="866"/>
    <w:next w:val="865"/>
    <w:qFormat/>
    <w:pPr>
      <w:ind w:left="209" w:firstLine="5329"/>
      <w:spacing w:before="0" w:after="0" w:line="317" w:lineRule="atLeast"/>
    </w:pPr>
    <w:rPr>
      <w:rFonts w:ascii="Times New Roman" w:hAnsi="Times New Roman" w:cs="Times New Roman"/>
    </w:rPr>
  </w:style>
  <w:style w:type="paragraph" w:styleId="1381" w:customStyle="1">
    <w:name w:val="图表目录1"/>
    <w:basedOn w:val="866"/>
    <w:next w:val="865"/>
    <w:qFormat/>
    <w:pPr>
      <w:ind w:left="200" w:firstLine="2616"/>
      <w:jc w:val="center"/>
      <w:spacing w:before="0" w:after="0" w:line="360" w:lineRule="auto"/>
    </w:pPr>
    <w:rPr>
      <w:rFonts w:ascii="Times New Roman" w:hAnsi="Times New Roman" w:cs="Times New Roman"/>
    </w:rPr>
  </w:style>
  <w:style w:type="paragraph" w:styleId="1382" w:customStyle="1">
    <w:name w:val="xl63"/>
    <w:basedOn w:val="866"/>
    <w:next w:val="1332"/>
    <w:qFormat/>
    <w:pPr>
      <w:ind w:left="0" w:firstLine="5120"/>
      <w:spacing w:before="280" w:after="280" w:line="240" w:lineRule="auto"/>
    </w:pPr>
    <w:rPr>
      <w:rFonts w:ascii="Times New Roman" w:hAnsi="Times New Roman" w:cs="Times New Roman"/>
    </w:rPr>
  </w:style>
  <w:style w:type="paragraph" w:styleId="1383">
    <w:name w:val="List Paragraph"/>
    <w:basedOn w:val="865"/>
    <w:next w:val="1290"/>
    <w:uiPriority w:val="34"/>
    <w:qFormat/>
    <w:pPr>
      <w:ind w:left="420" w:firstLine="3748"/>
    </w:pPr>
    <w:rPr>
      <w:rFonts w:ascii="Times New Roman" w:hAnsi="Times New Roman" w:cs="Times New Roman"/>
    </w:rPr>
  </w:style>
  <w:style w:type="paragraph" w:styleId="1384" w:customStyle="1">
    <w:name w:val="xl73"/>
    <w:basedOn w:val="866"/>
    <w:next w:val="1385"/>
    <w:qFormat/>
    <w:pPr>
      <w:ind w:left="0" w:firstLine="3584"/>
      <w:spacing w:before="280" w:after="280" w:line="240" w:lineRule="auto"/>
    </w:pPr>
    <w:rPr>
      <w:rFonts w:ascii="Times New Roman" w:hAnsi="Times New Roman" w:cs="Times New Roman"/>
    </w:rPr>
  </w:style>
  <w:style w:type="paragraph" w:styleId="1385" w:customStyle="1">
    <w:name w:val="xl80"/>
    <w:basedOn w:val="866"/>
    <w:next w:val="1386"/>
    <w:qFormat/>
    <w:pPr>
      <w:ind w:left="0" w:firstLine="3584"/>
      <w:jc w:val="center"/>
      <w:spacing w:before="280" w:after="280" w:line="240" w:lineRule="auto"/>
    </w:pPr>
    <w:rPr>
      <w:rFonts w:ascii="Times New Roman" w:hAnsi="Times New Roman" w:cs="Times New Roman"/>
    </w:rPr>
  </w:style>
  <w:style w:type="paragraph" w:styleId="1386" w:customStyle="1">
    <w:name w:val="样式2"/>
    <w:basedOn w:val="871"/>
    <w:next w:val="1387"/>
    <w:qFormat/>
    <w:pPr>
      <w:ind w:left="1134" w:firstLine="18"/>
      <w:spacing w:before="0" w:after="0" w:line="360" w:lineRule="auto"/>
      <w:outlineLvl w:val="4"/>
    </w:pPr>
  </w:style>
  <w:style w:type="paragraph" w:styleId="1387" w:customStyle="1">
    <w:name w:val="日期1"/>
    <w:basedOn w:val="866"/>
    <w:next w:val="865"/>
    <w:qFormat/>
    <w:pPr>
      <w:ind w:left="100" w:firstLine="6144"/>
      <w:spacing w:before="0" w:after="0" w:line="240" w:lineRule="auto"/>
    </w:pPr>
    <w:rPr>
      <w:rFonts w:ascii="Times New Roman" w:hAnsi="Times New Roman" w:cs="Times New Roman"/>
    </w:rPr>
  </w:style>
  <w:style w:type="paragraph" w:styleId="1388" w:customStyle="1">
    <w:name w:val="图1"/>
    <w:basedOn w:val="866"/>
    <w:next w:val="865"/>
    <w:qFormat/>
    <w:pPr>
      <w:ind w:left="1105" w:firstLine="2580"/>
      <w:jc w:val="center"/>
      <w:spacing w:before="0" w:after="0" w:line="360" w:lineRule="auto"/>
    </w:pPr>
    <w:rPr>
      <w:rFonts w:ascii="Times New Roman" w:hAnsi="Times New Roman" w:cs="Times New Roman"/>
    </w:rPr>
  </w:style>
  <w:style w:type="paragraph" w:styleId="1389" w:customStyle="1">
    <w:name w:val="Char Char Char Char Char Char1 Char Char Char1 Char Char Char Char Char Char Char Char Char Char Char Char"/>
    <w:basedOn w:val="866"/>
    <w:next w:val="1369"/>
    <w:qFormat/>
    <w:pPr>
      <w:ind w:left="0" w:firstLine="2560"/>
      <w:spacing w:before="0" w:after="0" w:line="240" w:lineRule="auto"/>
    </w:pPr>
    <w:rPr>
      <w:rFonts w:ascii="Times New Roman" w:hAnsi="Times New Roman" w:cs="Times New Roman"/>
    </w:rPr>
  </w:style>
  <w:style w:type="paragraph" w:styleId="1390" w:customStyle="1">
    <w:name w:val="Char Char Char Char Char Char Char"/>
    <w:basedOn w:val="866"/>
    <w:next w:val="1275"/>
    <w:qFormat/>
    <w:pPr>
      <w:ind w:left="200" w:firstLine="4808"/>
      <w:spacing w:before="0" w:after="0" w:line="360" w:lineRule="auto"/>
    </w:pPr>
    <w:rPr>
      <w:rFonts w:ascii="Times New Roman" w:hAnsi="Times New Roman" w:cs="Times New Roman"/>
    </w:rPr>
  </w:style>
  <w:style w:type="paragraph" w:styleId="1391" w:customStyle="1">
    <w:name w:val="Char Char Char Char Char Char Char Char Char Char Char Char Char Char Char"/>
    <w:basedOn w:val="866"/>
    <w:next w:val="1366"/>
    <w:qFormat/>
    <w:pPr>
      <w:ind w:left="0" w:firstLine="3584"/>
      <w:jc w:val="center"/>
      <w:spacing w:before="0" w:after="0" w:line="400" w:lineRule="exact"/>
    </w:pPr>
    <w:rPr>
      <w:rFonts w:ascii="Times New Roman" w:hAnsi="Times New Roman" w:cs="Times New Roman"/>
    </w:rPr>
  </w:style>
  <w:style w:type="paragraph" w:styleId="1392" w:customStyle="1">
    <w:name w:val="索引 51"/>
    <w:basedOn w:val="866"/>
    <w:next w:val="865"/>
    <w:qFormat/>
    <w:pPr>
      <w:ind w:left="800" w:firstLine="2560"/>
      <w:jc w:val="center"/>
      <w:spacing w:before="0" w:after="0" w:line="360" w:lineRule="auto"/>
    </w:pPr>
    <w:rPr>
      <w:rFonts w:ascii="Times New Roman" w:hAnsi="Times New Roman" w:cs="Times New Roman"/>
    </w:rPr>
  </w:style>
  <w:style w:type="paragraph" w:styleId="1393" w:customStyle="1">
    <w:name w:val="图表"/>
    <w:basedOn w:val="866"/>
    <w:next w:val="1394"/>
    <w:qFormat/>
    <w:pPr>
      <w:ind w:left="0" w:firstLine="2048"/>
      <w:jc w:val="center"/>
      <w:spacing w:before="0" w:after="0" w:line="240" w:lineRule="auto"/>
    </w:pPr>
    <w:rPr>
      <w:rFonts w:ascii="Times New Roman" w:hAnsi="Times New Roman" w:cs="Times New Roman"/>
    </w:rPr>
  </w:style>
  <w:style w:type="paragraph" w:styleId="1394" w:customStyle="1">
    <w:name w:val="reader-word-layer"/>
    <w:basedOn w:val="866"/>
    <w:next w:val="1395"/>
    <w:qFormat/>
    <w:pPr>
      <w:ind w:left="0" w:firstLine="1024"/>
      <w:spacing w:before="280" w:after="280" w:line="240" w:lineRule="auto"/>
    </w:pPr>
    <w:rPr>
      <w:rFonts w:ascii="Times New Roman" w:hAnsi="Times New Roman" w:cs="Times New Roman"/>
    </w:rPr>
  </w:style>
  <w:style w:type="paragraph" w:styleId="1395" w:customStyle="1">
    <w:name w:val="样式 加粗 居中1"/>
    <w:next w:val="1236"/>
    <w:qFormat/>
    <w:pPr>
      <w:ind w:firstLine="2560"/>
      <w:jc w:val="center"/>
    </w:pPr>
    <w:rPr>
      <w:rFonts w:ascii="Calibri" w:hAnsi="Calibri"/>
    </w:rPr>
  </w:style>
  <w:style w:type="paragraph" w:styleId="1396" w:customStyle="1">
    <w:name w:val="修订2"/>
    <w:qFormat/>
    <w:rPr>
      <w:rFonts w:ascii="Calibri" w:hAnsi="Calibri"/>
    </w:rPr>
  </w:style>
  <w:style w:type="paragraph" w:styleId="1397" w:customStyle="1">
    <w:name w:val="Body"/>
    <w:next w:val="1330"/>
    <w:qFormat/>
    <w:pPr>
      <w:ind w:left="567" w:right="2835" w:firstLine="3584"/>
      <w:spacing w:after="60"/>
    </w:pPr>
    <w:rPr>
      <w:rFonts w:ascii="Calibri" w:hAnsi="Calibri"/>
    </w:rPr>
  </w:style>
  <w:style w:type="paragraph" w:styleId="1398" w:customStyle="1">
    <w:name w:val="font6"/>
    <w:basedOn w:val="866"/>
    <w:next w:val="1399"/>
    <w:qFormat/>
    <w:pPr>
      <w:ind w:left="0" w:firstLine="5120"/>
      <w:spacing w:before="280" w:after="280" w:line="240" w:lineRule="auto"/>
    </w:pPr>
    <w:rPr>
      <w:rFonts w:ascii="Times New Roman" w:hAnsi="Times New Roman" w:cs="Times New Roman"/>
    </w:rPr>
  </w:style>
  <w:style w:type="paragraph" w:styleId="1399" w:customStyle="1">
    <w:name w:val="正文首行缩进 21"/>
    <w:basedOn w:val="878"/>
    <w:next w:val="1397"/>
    <w:qFormat/>
    <w:pPr>
      <w:ind w:left="200" w:firstLine="3784"/>
      <w:jc w:val="center"/>
      <w:spacing w:after="120" w:line="360" w:lineRule="auto"/>
    </w:pPr>
    <w:rPr>
      <w:rFonts w:ascii="Calibri" w:hAnsi="Calibri"/>
    </w:rPr>
  </w:style>
  <w:style w:type="paragraph" w:styleId="1400" w:customStyle="1">
    <w:name w:val="Char Char"/>
    <w:next w:val="1393"/>
    <w:qFormat/>
    <w:pPr>
      <w:ind w:firstLine="14"/>
      <w:spacing w:line="360" w:lineRule="auto"/>
      <w:shd w:val="clear" w:color="000000" w:fill="000080"/>
    </w:pPr>
    <w:rPr>
      <w:rFonts w:ascii="Calibri" w:hAnsi="Calibri"/>
    </w:rPr>
  </w:style>
  <w:style w:type="paragraph" w:styleId="1401" w:customStyle="1">
    <w:name w:val="正文_0_0"/>
    <w:next w:val="1235"/>
    <w:qFormat/>
    <w:pPr>
      <w:ind w:firstLine="3584"/>
      <w:jc w:val="both"/>
      <w:widowControl w:val="off"/>
    </w:pPr>
    <w:rPr>
      <w:rFonts w:ascii="Calibri" w:hAnsi="Calibri"/>
    </w:rPr>
  </w:style>
  <w:style w:type="paragraph" w:styleId="1402" w:customStyle="1">
    <w:name w:val="font7"/>
    <w:basedOn w:val="866"/>
    <w:next w:val="1403"/>
    <w:qFormat/>
    <w:pPr>
      <w:ind w:left="0" w:firstLine="3584"/>
      <w:spacing w:before="280" w:after="280" w:line="240" w:lineRule="auto"/>
    </w:pPr>
    <w:rPr>
      <w:rFonts w:ascii="Times New Roman" w:hAnsi="Times New Roman" w:cs="Times New Roman"/>
    </w:rPr>
  </w:style>
  <w:style w:type="paragraph" w:styleId="1403" w:customStyle="1">
    <w:name w:val="Char Char Char Char Char Char1 Char Char Char Char Char Char1 Char Char Char1"/>
    <w:basedOn w:val="866"/>
    <w:next w:val="1404"/>
    <w:qFormat/>
    <w:pPr>
      <w:ind w:left="0" w:firstLine="2560"/>
      <w:spacing w:before="0" w:after="0" w:line="240" w:lineRule="auto"/>
    </w:pPr>
    <w:rPr>
      <w:rFonts w:ascii="Times New Roman" w:hAnsi="Times New Roman" w:cs="Times New Roman"/>
    </w:rPr>
  </w:style>
  <w:style w:type="paragraph" w:styleId="1404" w:customStyle="1">
    <w:name w:val="xl64"/>
    <w:basedOn w:val="866"/>
    <w:next w:val="1372"/>
    <w:qFormat/>
    <w:pPr>
      <w:ind w:left="0" w:firstLine="3584"/>
      <w:spacing w:before="280" w:after="280" w:line="240" w:lineRule="auto"/>
    </w:pPr>
    <w:rPr>
      <w:rFonts w:ascii="Times New Roman" w:hAnsi="Times New Roman" w:cs="Times New Roman"/>
    </w:rPr>
  </w:style>
  <w:style w:type="paragraph" w:styleId="1405" w:customStyle="1">
    <w:name w:val="style16"/>
    <w:basedOn w:val="866"/>
    <w:next w:val="1398"/>
    <w:qFormat/>
    <w:pPr>
      <w:ind w:left="0" w:firstLine="2048"/>
      <w:spacing w:before="280" w:after="280" w:line="240" w:lineRule="auto"/>
    </w:pPr>
    <w:rPr>
      <w:rFonts w:ascii="Times New Roman" w:hAnsi="Times New Roman" w:cs="Times New Roman"/>
    </w:rPr>
  </w:style>
  <w:style w:type="paragraph" w:styleId="1406" w:customStyle="1">
    <w:name w:val="索引 11"/>
    <w:basedOn w:val="866"/>
    <w:next w:val="865"/>
    <w:qFormat/>
    <w:pPr>
      <w:ind w:left="0" w:firstLine="3584"/>
      <w:spacing w:before="0" w:after="0" w:line="240" w:lineRule="auto"/>
    </w:pPr>
    <w:rPr>
      <w:rFonts w:ascii="Times New Roman" w:hAnsi="Times New Roman" w:cs="Times New Roman"/>
    </w:rPr>
  </w:style>
  <w:style w:type="paragraph" w:styleId="1407" w:customStyle="1">
    <w:name w:val="H 3"/>
    <w:basedOn w:val="869"/>
    <w:next w:val="1408"/>
    <w:qFormat/>
    <w:pPr>
      <w:ind w:left="1429" w:firstLine="18"/>
      <w:spacing w:before="0" w:after="0" w:line="360" w:lineRule="auto"/>
      <w:outlineLvl w:val="2"/>
    </w:pPr>
  </w:style>
  <w:style w:type="paragraph" w:styleId="1408" w:customStyle="1">
    <w:name w:val="xl83"/>
    <w:basedOn w:val="866"/>
    <w:next w:val="1390"/>
    <w:qFormat/>
    <w:pPr>
      <w:ind w:left="0" w:firstLine="5120"/>
      <w:spacing w:before="280" w:after="280" w:line="240" w:lineRule="auto"/>
    </w:pPr>
    <w:rPr>
      <w:rFonts w:ascii="Times New Roman" w:hAnsi="Times New Roman" w:cs="Times New Roman"/>
    </w:rPr>
  </w:style>
  <w:style w:type="paragraph" w:styleId="1409" w:customStyle="1">
    <w:name w:val="表格文字（居中）"/>
    <w:basedOn w:val="866"/>
    <w:next w:val="1405"/>
    <w:qFormat/>
    <w:pPr>
      <w:ind w:left="0" w:firstLine="2560"/>
      <w:jc w:val="center"/>
      <w:spacing w:before="0" w:after="0" w:line="360" w:lineRule="auto"/>
    </w:pPr>
    <w:rPr>
      <w:rFonts w:ascii="Times New Roman" w:hAnsi="Times New Roman" w:cs="Times New Roman"/>
    </w:rPr>
  </w:style>
  <w:style w:type="paragraph" w:styleId="1410" w:customStyle="1">
    <w:name w:val="正文首行缩进两字符"/>
    <w:basedOn w:val="866"/>
    <w:next w:val="1392"/>
    <w:qFormat/>
    <w:pPr>
      <w:ind w:left="200" w:firstLine="3784"/>
      <w:spacing w:before="0" w:after="0" w:line="360" w:lineRule="auto"/>
    </w:pPr>
    <w:rPr>
      <w:rFonts w:ascii="Times New Roman" w:hAnsi="Times New Roman" w:cs="Times New Roman"/>
    </w:rPr>
  </w:style>
  <w:style w:type="paragraph" w:styleId="1411" w:customStyle="1">
    <w:name w:val="1"/>
    <w:basedOn w:val="866"/>
    <w:next w:val="899"/>
    <w:qFormat/>
    <w:pPr>
      <w:ind w:left="0" w:firstLine="2048"/>
      <w:spacing w:before="0" w:after="0" w:line="240" w:lineRule="auto"/>
    </w:pPr>
    <w:rPr>
      <w:rFonts w:ascii="Times New Roman" w:hAnsi="Times New Roman" w:cs="Times New Roman"/>
    </w:rPr>
  </w:style>
  <w:style w:type="paragraph" w:styleId="1412" w:customStyle="1">
    <w:name w:val="_Style 398"/>
    <w:basedOn w:val="866"/>
    <w:next w:val="865"/>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13" w:customStyle="1">
    <w:name w:val="Table Paragraph"/>
    <w:basedOn w:val="865"/>
    <w:uiPriority w:val="1"/>
    <w:qFormat/>
    <w:rPr>
      <w:rFonts w:ascii="宋体" w:hAnsi="宋体"/>
      <w:lang w:val="zh-CN" w:bidi="zh-CN"/>
    </w:rPr>
  </w:style>
  <w:style w:type="paragraph" w:styleId="1414" w:customStyle="1">
    <w:name w:val="_Style 400"/>
    <w:qFormat/>
    <w:rPr>
      <w:rFonts w:ascii="Calibri" w:hAnsi="Calibri"/>
    </w:rPr>
  </w:style>
  <w:style w:type="paragraph" w:styleId="1415" w:customStyle="1">
    <w:name w:val="Style1"/>
    <w:basedOn w:val="865"/>
    <w:qFormat/>
    <w:pPr>
      <w:ind w:left="0"/>
      <w:tabs>
        <w:tab w:val="left" w:pos="-720" w:leader="none"/>
      </w:tabs>
    </w:pPr>
    <w:rPr>
      <w:rFonts w:ascii="Times New Roman" w:hAnsi="Times New Roman" w:cs="Times New Roman"/>
      <w:spacing w:val="-3"/>
      <w:sz w:val="24"/>
      <w:szCs w:val="24"/>
      <w:lang w:val="en-AU" w:eastAsia="en-US"/>
    </w:rPr>
  </w:style>
  <w:style w:type="paragraph" w:styleId="1416" w:customStyle="1">
    <w:name w:val="msolistparagraph"/>
    <w:basedOn w:val="866"/>
    <w:next w:val="1282"/>
    <w:qFormat/>
    <w:pPr>
      <w:ind w:left="420" w:firstLine="3748"/>
      <w:spacing w:before="0" w:after="0" w:line="240" w:lineRule="auto"/>
    </w:pPr>
    <w:rPr>
      <w:rFonts w:ascii="Times New Roman" w:hAnsi="Times New Roman" w:cs="Times New Roman"/>
    </w:rPr>
  </w:style>
  <w:style w:type="paragraph" w:styleId="1417" w:customStyle="1">
    <w:name w:val="Char1 Char Char Char"/>
    <w:basedOn w:val="866"/>
    <w:next w:val="1418"/>
    <w:qFormat/>
    <w:pPr>
      <w:ind w:left="0" w:firstLine="2560"/>
      <w:spacing w:before="0" w:after="0" w:line="240" w:lineRule="auto"/>
    </w:pPr>
    <w:rPr>
      <w:rFonts w:ascii="Times New Roman" w:hAnsi="Times New Roman" w:cs="Times New Roman"/>
    </w:rPr>
  </w:style>
  <w:style w:type="paragraph" w:styleId="1418" w:customStyle="1">
    <w:name w:val="xl24"/>
    <w:basedOn w:val="866"/>
    <w:next w:val="1364"/>
    <w:qFormat/>
    <w:pPr>
      <w:ind w:left="0" w:firstLine="20"/>
      <w:jc w:val="center"/>
      <w:spacing w:before="280" w:after="280" w:line="240" w:lineRule="auto"/>
      <w:shd w:val="clear" w:color="000000" w:fill="ffffff"/>
    </w:pPr>
    <w:rPr>
      <w:rFonts w:ascii="Times New Roman" w:hAnsi="Times New Roman" w:cs="Times New Roman"/>
    </w:rPr>
  </w:style>
  <w:style w:type="paragraph" w:styleId="1419" w:customStyle="1">
    <w:name w:val="表格文字"/>
    <w:next w:val="1378"/>
    <w:qFormat/>
    <w:pPr>
      <w:ind w:firstLine="3584"/>
    </w:pPr>
    <w:rPr>
      <w:rFonts w:ascii="Calibri" w:hAnsi="Calibri"/>
    </w:rPr>
  </w:style>
  <w:style w:type="paragraph" w:styleId="1420" w:customStyle="1">
    <w:name w:val="xl72"/>
    <w:basedOn w:val="866"/>
    <w:next w:val="1277"/>
    <w:qFormat/>
    <w:pPr>
      <w:ind w:left="0" w:firstLine="3584"/>
      <w:spacing w:before="280" w:after="280" w:line="240" w:lineRule="auto"/>
    </w:pPr>
    <w:rPr>
      <w:rFonts w:ascii="Times New Roman" w:hAnsi="Times New Roman" w:cs="Times New Roman"/>
    </w:rPr>
  </w:style>
  <w:style w:type="paragraph" w:styleId="1421" w:customStyle="1">
    <w:name w:val="插图"/>
    <w:next w:val="865"/>
    <w:qFormat/>
    <w:pPr>
      <w:ind w:firstLine="4608"/>
      <w:jc w:val="center"/>
    </w:pPr>
    <w:rPr>
      <w:rFonts w:ascii="Calibri" w:hAnsi="Calibri"/>
    </w:rPr>
  </w:style>
  <w:style w:type="paragraph" w:styleId="1422" w:customStyle="1">
    <w:name w:val="列出段落3"/>
    <w:basedOn w:val="866"/>
    <w:next w:val="1317"/>
    <w:qFormat/>
    <w:pPr>
      <w:ind w:left="420" w:firstLine="3748"/>
      <w:spacing w:before="0" w:after="0" w:line="240" w:lineRule="auto"/>
    </w:pPr>
    <w:rPr>
      <w:rFonts w:ascii="Times New Roman" w:hAnsi="Times New Roman" w:cs="Times New Roman"/>
    </w:rPr>
  </w:style>
  <w:style w:type="paragraph" w:styleId="1423" w:customStyle="1">
    <w:name w:val="目录标题"/>
    <w:basedOn w:val="866"/>
    <w:next w:val="865"/>
    <w:qFormat/>
    <w:pPr>
      <w:ind w:left="419" w:firstLine="7331"/>
      <w:jc w:val="center"/>
      <w:spacing w:before="566" w:after="544" w:line="566" w:lineRule="atLeast"/>
    </w:pPr>
    <w:rPr>
      <w:rFonts w:ascii="Times New Roman" w:hAnsi="Times New Roman" w:cs="Times New Roman"/>
    </w:rPr>
  </w:style>
  <w:style w:type="paragraph" w:styleId="1424" w:customStyle="1">
    <w:name w:val="默认段落字体 Para Char Char Char Char Char Char Char Char Char1 Char Char Char Char"/>
    <w:basedOn w:val="866"/>
    <w:next w:val="1320"/>
    <w:qFormat/>
    <w:pPr>
      <w:ind w:left="0" w:firstLine="2560"/>
      <w:spacing w:before="0" w:after="0" w:line="240" w:lineRule="auto"/>
    </w:pPr>
    <w:rPr>
      <w:rFonts w:ascii="Times New Roman" w:hAnsi="Times New Roman" w:cs="Times New Roman"/>
    </w:rPr>
  </w:style>
  <w:style w:type="paragraph" w:styleId="1425" w:customStyle="1">
    <w:name w:val="WPSOffice手动目录 2"/>
    <w:qFormat/>
    <w:pPr>
      <w:ind w:left="200"/>
    </w:pPr>
  </w:style>
  <w:style w:type="paragraph" w:styleId="1426" w:customStyle="1">
    <w:name w:val="表内文字"/>
    <w:basedOn w:val="866"/>
    <w:next w:val="907"/>
    <w:qFormat/>
    <w:pPr>
      <w:ind w:left="0" w:firstLine="7680"/>
      <w:jc w:val="center"/>
      <w:spacing w:before="50" w:after="50" w:line="240" w:lineRule="auto"/>
    </w:pPr>
    <w:rPr>
      <w:rFonts w:ascii="Times New Roman" w:hAnsi="Times New Roman" w:cs="Times New Roman"/>
    </w:rPr>
  </w:style>
  <w:style w:type="paragraph" w:styleId="1427" w:customStyle="1">
    <w:name w:val="xl66"/>
    <w:basedOn w:val="866"/>
    <w:next w:val="1409"/>
    <w:qFormat/>
    <w:pPr>
      <w:ind w:left="0" w:firstLine="3584"/>
      <w:spacing w:before="280" w:after="280" w:line="240" w:lineRule="auto"/>
    </w:pPr>
    <w:rPr>
      <w:rFonts w:ascii="Times New Roman" w:hAnsi="Times New Roman" w:cs="Times New Roman"/>
    </w:rPr>
  </w:style>
  <w:style w:type="paragraph" w:styleId="1428" w:customStyle="1">
    <w:name w:val="*正文"/>
    <w:basedOn w:val="865"/>
    <w:qFormat/>
    <w:pPr>
      <w:ind w:left="0" w:firstLine="200"/>
      <w:spacing w:line="360" w:lineRule="auto"/>
    </w:pPr>
    <w:rPr>
      <w:rFonts w:ascii="仿宋_GB2312" w:hAnsi="Times New Roman" w:eastAsia="仿宋_GB2312" w:cs="Times New Roman"/>
      <w:sz w:val="24"/>
      <w:szCs w:val="28"/>
    </w:rPr>
  </w:style>
  <w:style w:type="paragraph" w:styleId="1429" w:customStyle="1">
    <w:name w:val="0"/>
    <w:basedOn w:val="866"/>
    <w:next w:val="1323"/>
    <w:qFormat/>
    <w:pPr>
      <w:ind w:left="0" w:firstLine="2815"/>
      <w:spacing w:before="0" w:after="0" w:line="360" w:lineRule="auto"/>
    </w:pPr>
    <w:rPr>
      <w:rFonts w:ascii="Times New Roman" w:hAnsi="Times New Roman" w:cs="Times New Roman"/>
    </w:rPr>
  </w:style>
  <w:style w:type="table" w:styleId="1430" w:customStyle="1">
    <w:name w:val="网格型1"/>
    <w:basedOn w:val="876"/>
    <w:uiPriority w:val="59"/>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31" w:customStyle="1">
    <w:name w:val="font61"/>
    <w:qFormat/>
    <w:rPr>
      <w:rFonts w:hint="default" w:ascii="Times New Roman" w:hAnsi="Times New Roman" w:cs="Times New Roman"/>
      <w:b/>
      <w:bCs/>
      <w:color w:val="000000"/>
      <w:sz w:val="24"/>
      <w:szCs w:val="24"/>
      <w:u w:val="none"/>
    </w:rPr>
  </w:style>
  <w:style w:type="paragraph" w:styleId="1432" w:customStyle="1">
    <w:name w:val="修订3"/>
    <w:hidden/>
    <w:uiPriority w:val="99"/>
    <w:semiHidden/>
    <w:qFormat/>
    <w:rPr>
      <w:rFonts w:ascii="Calibri" w:hAnsi="Calibri"/>
    </w:rPr>
  </w:style>
  <w:style w:type="character" w:styleId="1433" w:customStyle="1">
    <w:name w:val="text_h18us"/>
    <w:basedOn w:val="875"/>
    <w:qFormat/>
  </w:style>
  <w:style w:type="table" w:styleId="1434" w:customStyle="1">
    <w:name w:val="网格型2"/>
    <w:basedOn w:val="876"/>
    <w:uiPriority w:val="59"/>
    <w:rPr>
      <w:rFonts w:ascii="Calibri" w:hAnsi="Calibri" w:cs="Times New Roman"/>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35" w:customStyle="1">
    <w:name w:val="网格型11"/>
    <w:basedOn w:val="876"/>
    <w:uiPriority w:val="59"/>
    <w:rPr>
      <w:rFonts w:ascii="Calibri" w:hAnsi="Calibri" w:cs="Times New Roman"/>
      <w:sz w:val="21"/>
      <w:szCs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36" w:customStyle="1">
    <w:name w:val="网格型12"/>
    <w:basedOn w:val="876"/>
    <w:uiPriority w:val="59"/>
    <w:rPr>
      <w:rFonts w:ascii="Calibri" w:hAnsi="Calibri" w:cs="Times New Roman"/>
      <w:sz w:val="21"/>
      <w:szCs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37" w:customStyle="1">
    <w:name w:val="网格型3"/>
    <w:basedOn w:val="876"/>
    <w:uiPriority w:val="39"/>
    <w:rPr>
      <w:rFonts w:ascii="等线" w:hAnsi="等线" w:eastAsia="等线" w:cs="Times New Roman"/>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38" w:customStyle="1">
    <w:name w:val="正文文本缩进 字符"/>
    <w:link w:val="878"/>
    <w:rPr>
      <w:rFonts w:ascii="Times New Roman" w:hAnsi="Times New Roman" w:cs="Times New Roman"/>
    </w:rPr>
  </w:style>
  <w:style w:type="character" w:styleId="1439" w:customStyle="1">
    <w:name w:val="正文文本 3 字符"/>
    <w:link w:val="890"/>
    <w:rPr>
      <w:rFonts w:ascii="Times New Roman" w:hAnsi="Times New Roman" w:cs="Times New Roman"/>
    </w:rPr>
  </w:style>
  <w:style w:type="character" w:styleId="1440" w:customStyle="1">
    <w:name w:val="纯文本 字符"/>
    <w:link w:val="898"/>
    <w:rPr>
      <w:rFonts w:ascii="Times New Roman" w:hAnsi="Times New Roman" w:cs="Times New Roman"/>
    </w:rPr>
  </w:style>
  <w:style w:type="character" w:styleId="1441" w:customStyle="1">
    <w:name w:val="日期 字符"/>
    <w:link w:val="903"/>
    <w:rPr>
      <w:rFonts w:ascii="Times New Roman" w:hAnsi="Times New Roman" w:cs="Times New Roman"/>
    </w:rPr>
  </w:style>
  <w:style w:type="character" w:styleId="1442" w:customStyle="1">
    <w:name w:val="正文文本缩进 2 字符"/>
    <w:link w:val="904"/>
    <w:rPr>
      <w:rFonts w:ascii="Times New Roman" w:hAnsi="Times New Roman" w:cs="Times New Roman"/>
    </w:rPr>
  </w:style>
  <w:style w:type="character" w:styleId="1443" w:customStyle="1">
    <w:name w:val="正文首行缩进 字符"/>
    <w:link w:val="914"/>
    <w:rPr>
      <w:rFonts w:ascii="Calibri" w:hAnsi="Calibri"/>
    </w:rPr>
  </w:style>
  <w:style w:type="character" w:styleId="1444" w:customStyle="1">
    <w:name w:val="正文文本 2 字符"/>
    <w:link w:val="922"/>
    <w:rPr>
      <w:rFonts w:ascii="Times New Roman" w:hAnsi="Times New Roman" w:cs="Times New Roman"/>
    </w:rPr>
  </w:style>
  <w:style w:type="character" w:styleId="1445" w:customStyle="1">
    <w:name w:val="HTML 预设格式 字符"/>
    <w:link w:val="923"/>
    <w:rPr>
      <w:rFonts w:ascii="Times New Roman" w:hAnsi="Times New Roman" w:cs="Times New Roman"/>
    </w:rPr>
  </w:style>
  <w:style w:type="character" w:styleId="1446" w:customStyle="1">
    <w:name w:val="正文首行缩进 2 字符"/>
    <w:basedOn w:val="1438"/>
    <w:link w:val="927"/>
    <w:rPr>
      <w:rFonts w:ascii="Times New Roman" w:hAnsi="Times New Roman" w:cs="Times New Roman"/>
    </w:rPr>
  </w:style>
  <w:style w:type="character" w:styleId="1447" w:customStyle="1">
    <w:name w:val="引用 字符1"/>
    <w:uiPriority w:val="29"/>
    <w:rPr>
      <w:i/>
      <w:iCs/>
      <w:color w:val="404040"/>
    </w:rPr>
  </w:style>
  <w:style w:type="character" w:styleId="1448" w:customStyle="1">
    <w:name w:val="明显引用 字符1"/>
    <w:uiPriority w:val="30"/>
    <w:rPr>
      <w:i/>
      <w:iCs/>
      <w:color w:val="5b9bd5"/>
    </w:rPr>
  </w:style>
  <w:style w:type="table" w:styleId="1449" w:customStyle="1">
    <w:name w:val="Table Grid Light1"/>
    <w:basedOn w:val="876"/>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1450" w:customStyle="1">
    <w:name w:val="无格式表格 111"/>
    <w:basedOn w:val="876"/>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451" w:customStyle="1">
    <w:name w:val="无格式表格 211"/>
    <w:basedOn w:val="876"/>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452" w:customStyle="1">
    <w:name w:val="无格式表格 311"/>
    <w:basedOn w:val="876"/>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453" w:customStyle="1">
    <w:name w:val="无格式表格 411"/>
    <w:basedOn w:val="876"/>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454" w:customStyle="1">
    <w:name w:val="无格式表格 511"/>
    <w:basedOn w:val="876"/>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455" w:customStyle="1">
    <w:name w:val="网格表 1 浅色11"/>
    <w:basedOn w:val="876"/>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456" w:customStyle="1">
    <w:name w:val="Grid Table 1 Light - Accent 11"/>
    <w:basedOn w:val="876"/>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1457" w:customStyle="1">
    <w:name w:val="Grid Table 1 Light - Accent 21"/>
    <w:basedOn w:val="876"/>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458" w:customStyle="1">
    <w:name w:val="Grid Table 1 Light - Accent 31"/>
    <w:basedOn w:val="876"/>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459" w:customStyle="1">
    <w:name w:val="Grid Table 1 Light - Accent 41"/>
    <w:basedOn w:val="876"/>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460" w:customStyle="1">
    <w:name w:val="Grid Table 1 Light - Accent 51"/>
    <w:basedOn w:val="876"/>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461" w:customStyle="1">
    <w:name w:val="Grid Table 1 Light - Accent 61"/>
    <w:basedOn w:val="87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462" w:customStyle="1">
    <w:name w:val="网格表 211"/>
    <w:basedOn w:val="876"/>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463" w:customStyle="1">
    <w:name w:val="Grid Table 2 - Accent 11"/>
    <w:basedOn w:val="876"/>
    <w:uiPriority w:val="99"/>
    <w:qFormat/>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1464" w:customStyle="1">
    <w:name w:val="Grid Table 2 - Accent 21"/>
    <w:basedOn w:val="876"/>
    <w:uiPriority w:val="99"/>
    <w:qFormat/>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1465" w:customStyle="1">
    <w:name w:val="Grid Table 2 - Accent 31"/>
    <w:basedOn w:val="876"/>
    <w:uiPriority w:val="99"/>
    <w:qFormat/>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1466" w:customStyle="1">
    <w:name w:val="Grid Table 2 - Accent 41"/>
    <w:basedOn w:val="876"/>
    <w:uiPriority w:val="99"/>
    <w:qFormat/>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467" w:customStyle="1">
    <w:name w:val="Grid Table 2 - Accent 51"/>
    <w:basedOn w:val="876"/>
    <w:uiPriority w:val="99"/>
    <w:qFormat/>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468" w:customStyle="1">
    <w:name w:val="Grid Table 2 - Accent 61"/>
    <w:basedOn w:val="876"/>
    <w:uiPriority w:val="99"/>
    <w:qFormat/>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469" w:customStyle="1">
    <w:name w:val="网格表 311"/>
    <w:basedOn w:val="876"/>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70" w:customStyle="1">
    <w:name w:val="Grid Table 3 - Accent 11"/>
    <w:basedOn w:val="876"/>
    <w:uiPriority w:val="99"/>
    <w:qFormat/>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71" w:customStyle="1">
    <w:name w:val="Grid Table 3 - Accent 21"/>
    <w:basedOn w:val="876"/>
    <w:uiPriority w:val="99"/>
    <w:qFormat/>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72" w:customStyle="1">
    <w:name w:val="Grid Table 3 - Accent 31"/>
    <w:basedOn w:val="876"/>
    <w:uiPriority w:val="99"/>
    <w:qFormat/>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73" w:customStyle="1">
    <w:name w:val="Grid Table 3 - Accent 41"/>
    <w:basedOn w:val="876"/>
    <w:uiPriority w:val="99"/>
    <w:qFormat/>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74" w:customStyle="1">
    <w:name w:val="Grid Table 3 - Accent 51"/>
    <w:basedOn w:val="876"/>
    <w:uiPriority w:val="99"/>
    <w:qFormat/>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75" w:customStyle="1">
    <w:name w:val="Grid Table 3 - Accent 61"/>
    <w:basedOn w:val="876"/>
    <w:uiPriority w:val="99"/>
    <w:qFormat/>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76" w:customStyle="1">
    <w:name w:val="网格表 411"/>
    <w:basedOn w:val="876"/>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477" w:customStyle="1">
    <w:name w:val="Grid Table 4 - Accent 11"/>
    <w:basedOn w:val="876"/>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478" w:customStyle="1">
    <w:name w:val="Grid Table 4 - Accent 21"/>
    <w:basedOn w:val="876"/>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479" w:customStyle="1">
    <w:name w:val="Grid Table 4 - Accent 31"/>
    <w:basedOn w:val="876"/>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1480" w:customStyle="1">
    <w:name w:val="Grid Table 4 - Accent 41"/>
    <w:basedOn w:val="876"/>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481" w:customStyle="1">
    <w:name w:val="Grid Table 4 - Accent 51"/>
    <w:basedOn w:val="876"/>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482" w:customStyle="1">
    <w:name w:val="Grid Table 4 - Accent 61"/>
    <w:basedOn w:val="87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483" w:customStyle="1">
    <w:name w:val="网格表 5 深色11"/>
    <w:basedOn w:val="87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484" w:customStyle="1">
    <w:name w:val="Grid Table 5 Dark- Accent 11"/>
    <w:basedOn w:val="87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485" w:customStyle="1">
    <w:name w:val="Grid Table 5 Dark - Accent 21"/>
    <w:basedOn w:val="87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486" w:customStyle="1">
    <w:name w:val="Grid Table 5 Dark - Accent 31"/>
    <w:basedOn w:val="87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487" w:customStyle="1">
    <w:name w:val="Grid Table 5 Dark- Accent 41"/>
    <w:basedOn w:val="87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488" w:customStyle="1">
    <w:name w:val="Grid Table 5 Dark - Accent 51"/>
    <w:basedOn w:val="87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489" w:customStyle="1">
    <w:name w:val="Grid Table 5 Dark - Accent 61"/>
    <w:basedOn w:val="87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490" w:customStyle="1">
    <w:name w:val="网格表 6 彩色11"/>
    <w:basedOn w:val="876"/>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491" w:customStyle="1">
    <w:name w:val="Grid Table 6 Colorful - Accent 11"/>
    <w:basedOn w:val="876"/>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1492" w:customStyle="1">
    <w:name w:val="Grid Table 6 Colorful - Accent 21"/>
    <w:basedOn w:val="876"/>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1493" w:customStyle="1">
    <w:name w:val="Grid Table 6 Colorful - Accent 31"/>
    <w:basedOn w:val="876"/>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1494" w:customStyle="1">
    <w:name w:val="Grid Table 6 Colorful - Accent 41"/>
    <w:basedOn w:val="876"/>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1495" w:customStyle="1">
    <w:name w:val="Grid Table 6 Colorful - Accent 51"/>
    <w:basedOn w:val="876"/>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1496" w:customStyle="1">
    <w:name w:val="Grid Table 6 Colorful - Accent 61"/>
    <w:basedOn w:val="87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1497" w:customStyle="1">
    <w:name w:val="网格表 7 彩色11"/>
    <w:basedOn w:val="876"/>
    <w:uiPriority w:val="99"/>
    <w:qFormat/>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498" w:customStyle="1">
    <w:name w:val="Grid Table 7 Colorful - Accent 11"/>
    <w:basedOn w:val="876"/>
    <w:uiPriority w:val="99"/>
    <w:qFormat/>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499" w:customStyle="1">
    <w:name w:val="Grid Table 7 Colorful - Accent 21"/>
    <w:basedOn w:val="876"/>
    <w:uiPriority w:val="99"/>
    <w:qFormat/>
    <w:tblPr>
      <w:tblBorders>
        <w:bottom w:val="single" w:color="D99695" w:sz="4" w:space="0"/>
        <w:right w:val="single" w:color="D99695" w:sz="4" w:space="0"/>
        <w:insideH w:val="single" w:color="D99695" w:sz="4" w:space="0"/>
        <w:insideV w:val="single" w:color="D99695" w:sz="4" w:space="0"/>
      </w:tblBorders>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500" w:customStyle="1">
    <w:name w:val="Grid Table 7 Colorful - Accent 31"/>
    <w:basedOn w:val="876"/>
    <w:uiPriority w:val="99"/>
    <w:qFormat/>
    <w:tblPr>
      <w:tblBorders>
        <w:bottom w:val="single" w:color="9ABB59" w:sz="4" w:space="0"/>
        <w:right w:val="single" w:color="9ABB59" w:sz="4" w:space="0"/>
        <w:insideH w:val="single" w:color="9ABB59" w:sz="4" w:space="0"/>
        <w:insideV w:val="single" w:color="9ABB59" w:sz="4" w:space="0"/>
      </w:tblBorders>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1501" w:customStyle="1">
    <w:name w:val="Grid Table 7 Colorful - Accent 41"/>
    <w:basedOn w:val="876"/>
    <w:uiPriority w:val="99"/>
    <w:qFormat/>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502" w:customStyle="1">
    <w:name w:val="Grid Table 7 Colorful - Accent 51"/>
    <w:basedOn w:val="876"/>
    <w:uiPriority w:val="99"/>
    <w:qFormat/>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503" w:customStyle="1">
    <w:name w:val="Grid Table 7 Colorful - Accent 61"/>
    <w:basedOn w:val="876"/>
    <w:uiPriority w:val="99"/>
    <w:qFormat/>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504" w:customStyle="1">
    <w:name w:val="清单表 1 浅色11"/>
    <w:basedOn w:val="876"/>
    <w:uiPriority w:val="99"/>
    <w:qFormat/>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505" w:customStyle="1">
    <w:name w:val="List Table 1 Light - Accent 11"/>
    <w:basedOn w:val="876"/>
    <w:uiPriority w:val="99"/>
    <w:qFormat/>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506" w:customStyle="1">
    <w:name w:val="List Table 1 Light - Accent 21"/>
    <w:basedOn w:val="876"/>
    <w:uiPriority w:val="99"/>
    <w:qFormat/>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507" w:customStyle="1">
    <w:name w:val="List Table 1 Light - Accent 31"/>
    <w:basedOn w:val="876"/>
    <w:uiPriority w:val="99"/>
    <w:qFormat/>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508" w:customStyle="1">
    <w:name w:val="List Table 1 Light - Accent 41"/>
    <w:basedOn w:val="876"/>
    <w:uiPriority w:val="99"/>
    <w:qFormat/>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509" w:customStyle="1">
    <w:name w:val="List Table 1 Light - Accent 51"/>
    <w:basedOn w:val="876"/>
    <w:uiPriority w:val="99"/>
    <w:qFormat/>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510" w:customStyle="1">
    <w:name w:val="List Table 1 Light - Accent 61"/>
    <w:basedOn w:val="876"/>
    <w:uiPriority w:val="99"/>
    <w:qFormat/>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511" w:customStyle="1">
    <w:name w:val="清单表 211"/>
    <w:basedOn w:val="876"/>
    <w:uiPriority w:val="99"/>
    <w:qFormat/>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512" w:customStyle="1">
    <w:name w:val="List Table 2 - Accent 11"/>
    <w:basedOn w:val="876"/>
    <w:uiPriority w:val="99"/>
    <w:qFormat/>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513" w:customStyle="1">
    <w:name w:val="List Table 2 - Accent 21"/>
    <w:basedOn w:val="876"/>
    <w:uiPriority w:val="99"/>
    <w:qFormat/>
    <w:tblPr>
      <w:tblBorders>
        <w:top w:val="single" w:color="DB9B9A" w:sz="4" w:space="0"/>
        <w:bottom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514" w:customStyle="1">
    <w:name w:val="List Table 2 - Accent 31"/>
    <w:basedOn w:val="876"/>
    <w:uiPriority w:val="99"/>
    <w:qFormat/>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515" w:customStyle="1">
    <w:name w:val="List Table 2 - Accent 41"/>
    <w:basedOn w:val="876"/>
    <w:uiPriority w:val="99"/>
    <w:qFormat/>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516" w:customStyle="1">
    <w:name w:val="List Table 2 - Accent 51"/>
    <w:basedOn w:val="876"/>
    <w:uiPriority w:val="99"/>
    <w:qFormat/>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517" w:customStyle="1">
    <w:name w:val="List Table 2 - Accent 61"/>
    <w:basedOn w:val="876"/>
    <w:uiPriority w:val="99"/>
    <w:qFormat/>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518" w:customStyle="1">
    <w:name w:val="清单表 311"/>
    <w:basedOn w:val="876"/>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519" w:customStyle="1">
    <w:name w:val="List Table 3 - Accent 11"/>
    <w:basedOn w:val="876"/>
    <w:uiPriority w:val="99"/>
    <w:qFormat/>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520" w:customStyle="1">
    <w:name w:val="List Table 3 - Accent 21"/>
    <w:basedOn w:val="876"/>
    <w:uiPriority w:val="99"/>
    <w:qFormat/>
    <w:tblPr>
      <w:tblBorders>
        <w:top w:val="single" w:color="D99695" w:sz="4" w:space="0"/>
        <w:left w:val="single" w:color="D99695" w:sz="4" w:space="0"/>
        <w:bottom w:val="single" w:color="D99695" w:sz="4" w:space="0"/>
        <w:right w:val="single" w:color="D99695" w:sz="4" w:space="0"/>
      </w:tblBorders>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521" w:customStyle="1">
    <w:name w:val="List Table 3 - Accent 31"/>
    <w:basedOn w:val="876"/>
    <w:uiPriority w:val="99"/>
    <w:qFormat/>
    <w:tblPr>
      <w:tblBorders>
        <w:top w:val="single" w:color="C3D69B" w:sz="4" w:space="0"/>
        <w:left w:val="single" w:color="C3D69B" w:sz="4" w:space="0"/>
        <w:bottom w:val="single" w:color="C3D69B" w:sz="4" w:space="0"/>
        <w:right w:val="single" w:color="C3D69B" w:sz="4" w:space="0"/>
      </w:tblBorders>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522" w:customStyle="1">
    <w:name w:val="List Table 3 - Accent 41"/>
    <w:basedOn w:val="876"/>
    <w:uiPriority w:val="99"/>
    <w:qFormat/>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523" w:customStyle="1">
    <w:name w:val="List Table 3 - Accent 51"/>
    <w:basedOn w:val="876"/>
    <w:uiPriority w:val="99"/>
    <w:qFormat/>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524" w:customStyle="1">
    <w:name w:val="List Table 3 - Accent 61"/>
    <w:basedOn w:val="876"/>
    <w:uiPriority w:val="99"/>
    <w:qFormat/>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525" w:customStyle="1">
    <w:name w:val="清单表 411"/>
    <w:basedOn w:val="87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526" w:customStyle="1">
    <w:name w:val="List Table 4 - Accent 11"/>
    <w:basedOn w:val="876"/>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527" w:customStyle="1">
    <w:name w:val="List Table 4 - Accent 21"/>
    <w:basedOn w:val="876"/>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528" w:customStyle="1">
    <w:name w:val="List Table 4 - Accent 31"/>
    <w:basedOn w:val="876"/>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529" w:customStyle="1">
    <w:name w:val="List Table 4 - Accent 41"/>
    <w:basedOn w:val="876"/>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530" w:customStyle="1">
    <w:name w:val="List Table 4 - Accent 51"/>
    <w:basedOn w:val="876"/>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531" w:customStyle="1">
    <w:name w:val="List Table 4 - Accent 61"/>
    <w:basedOn w:val="87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532" w:customStyle="1">
    <w:name w:val="清单表 5 深色11"/>
    <w:basedOn w:val="876"/>
    <w:uiPriority w:val="99"/>
    <w:qFormat/>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533" w:customStyle="1">
    <w:name w:val="List Table 5 Dark - Accent 11"/>
    <w:basedOn w:val="876"/>
    <w:uiPriority w:val="99"/>
    <w:qFormat/>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534" w:customStyle="1">
    <w:name w:val="List Table 5 Dark - Accent 21"/>
    <w:basedOn w:val="876"/>
    <w:uiPriority w:val="99"/>
    <w:qFormat/>
    <w:tblPr>
      <w:tblBorders>
        <w:top w:val="single" w:color="D99695" w:sz="32" w:space="0"/>
        <w:left w:val="single" w:color="D99695" w:sz="32" w:space="0"/>
        <w:bottom w:val="single" w:color="D99695" w:sz="32" w:space="0"/>
        <w:right w:val="single" w:color="D99695" w:sz="32" w:space="0"/>
      </w:tblBorders>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535" w:customStyle="1">
    <w:name w:val="List Table 5 Dark - Accent 31"/>
    <w:basedOn w:val="876"/>
    <w:uiPriority w:val="99"/>
    <w:qFormat/>
    <w:tblPr>
      <w:tblBorders>
        <w:top w:val="single" w:color="C3D69B" w:sz="32" w:space="0"/>
        <w:left w:val="single" w:color="C3D69B" w:sz="32" w:space="0"/>
        <w:bottom w:val="single" w:color="C3D69B" w:sz="32" w:space="0"/>
        <w:right w:val="single" w:color="C3D69B" w:sz="32" w:space="0"/>
      </w:tblBorders>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536" w:customStyle="1">
    <w:name w:val="List Table 5 Dark - Accent 41"/>
    <w:basedOn w:val="876"/>
    <w:uiPriority w:val="99"/>
    <w:qFormat/>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537" w:customStyle="1">
    <w:name w:val="List Table 5 Dark - Accent 51"/>
    <w:basedOn w:val="876"/>
    <w:uiPriority w:val="99"/>
    <w:qFormat/>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538" w:customStyle="1">
    <w:name w:val="List Table 5 Dark - Accent 61"/>
    <w:basedOn w:val="876"/>
    <w:uiPriority w:val="99"/>
    <w:qFormat/>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539" w:customStyle="1">
    <w:name w:val="清单表 6 彩色11"/>
    <w:basedOn w:val="876"/>
    <w:uiPriority w:val="99"/>
    <w:qFormat/>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540" w:customStyle="1">
    <w:name w:val="List Table 6 Colorful - Accent 11"/>
    <w:basedOn w:val="876"/>
    <w:uiPriority w:val="99"/>
    <w:qFormat/>
    <w:tblPr>
      <w:tblBorders>
        <w:top w:val="single" w:color="4F81BD" w:sz="4" w:space="0"/>
        <w:bottom w:val="single" w:color="4F81BD" w:sz="4" w:space="0"/>
      </w:tblBorders>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1541" w:customStyle="1">
    <w:name w:val="List Table 6 Colorful - Accent 21"/>
    <w:basedOn w:val="876"/>
    <w:uiPriority w:val="99"/>
    <w:qFormat/>
    <w:tblPr>
      <w:tblBorders>
        <w:top w:val="single" w:color="D99695" w:sz="4" w:space="0"/>
        <w:bottom w:val="single" w:color="D99695" w:sz="4" w:space="0"/>
      </w:tblBorders>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1542" w:customStyle="1">
    <w:name w:val="List Table 6 Colorful - Accent 31"/>
    <w:basedOn w:val="876"/>
    <w:uiPriority w:val="99"/>
    <w:qFormat/>
    <w:tblPr>
      <w:tblBorders>
        <w:top w:val="single" w:color="C3D69B" w:sz="4" w:space="0"/>
        <w:bottom w:val="single" w:color="C3D69B" w:sz="4" w:space="0"/>
      </w:tblBorders>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1543" w:customStyle="1">
    <w:name w:val="List Table 6 Colorful - Accent 41"/>
    <w:basedOn w:val="876"/>
    <w:uiPriority w:val="99"/>
    <w:qFormat/>
    <w:tblPr>
      <w:tblBorders>
        <w:top w:val="single" w:color="B2A1C6" w:sz="4" w:space="0"/>
        <w:bottom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1544" w:customStyle="1">
    <w:name w:val="List Table 6 Colorful - Accent 51"/>
    <w:basedOn w:val="876"/>
    <w:uiPriority w:val="99"/>
    <w:qFormat/>
    <w:tblPr>
      <w:tblBorders>
        <w:top w:val="single" w:color="92CCDC" w:sz="4" w:space="0"/>
        <w:bottom w:val="single" w:color="92CCDC" w:sz="4" w:space="0"/>
      </w:tblBorders>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1545" w:customStyle="1">
    <w:name w:val="List Table 6 Colorful - Accent 61"/>
    <w:basedOn w:val="876"/>
    <w:uiPriority w:val="99"/>
    <w:qFormat/>
    <w:tblPr>
      <w:tblBorders>
        <w:top w:val="single" w:color="FAC090" w:sz="4" w:space="0"/>
        <w:bottom w:val="single" w:color="FAC090" w:sz="4" w:space="0"/>
      </w:tblBorders>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1546" w:customStyle="1">
    <w:name w:val="清单表 7 彩色11"/>
    <w:basedOn w:val="876"/>
    <w:uiPriority w:val="99"/>
    <w:qFormat/>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547" w:customStyle="1">
    <w:name w:val="List Table 7 Colorful - Accent 11"/>
    <w:basedOn w:val="876"/>
    <w:uiPriority w:val="99"/>
    <w:qFormat/>
    <w:tblPr>
      <w:tblBorders>
        <w:right w:val="single" w:color="4F81BD" w:sz="4" w:space="0"/>
      </w:tblBorders>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548" w:customStyle="1">
    <w:name w:val="List Table 7 Colorful - Accent 21"/>
    <w:basedOn w:val="876"/>
    <w:uiPriority w:val="99"/>
    <w:qFormat/>
    <w:tblPr>
      <w:tblBorders>
        <w:right w:val="single" w:color="D99695" w:sz="4" w:space="0"/>
      </w:tblBorders>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549" w:customStyle="1">
    <w:name w:val="List Table 7 Colorful - Accent 31"/>
    <w:basedOn w:val="876"/>
    <w:uiPriority w:val="99"/>
    <w:qFormat/>
    <w:tblPr>
      <w:tblBorders>
        <w:right w:val="single" w:color="C3D69B" w:sz="4" w:space="0"/>
      </w:tblBorders>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1550" w:customStyle="1">
    <w:name w:val="List Table 7 Colorful - Accent 41"/>
    <w:basedOn w:val="876"/>
    <w:uiPriority w:val="99"/>
    <w:qFormat/>
    <w:tblPr>
      <w:tblBorders>
        <w:right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551" w:customStyle="1">
    <w:name w:val="List Table 7 Colorful - Accent 51"/>
    <w:basedOn w:val="876"/>
    <w:uiPriority w:val="99"/>
    <w:qFormat/>
    <w:tblPr>
      <w:tblBorders>
        <w:right w:val="single" w:color="92CCDC" w:sz="4" w:space="0"/>
      </w:tblBorders>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552" w:customStyle="1">
    <w:name w:val="List Table 7 Colorful - Accent 61"/>
    <w:basedOn w:val="876"/>
    <w:uiPriority w:val="99"/>
    <w:qFormat/>
    <w:tblPr>
      <w:tblBorders>
        <w:right w:val="single" w:color="FAC090" w:sz="4" w:space="0"/>
      </w:tblBorders>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553" w:customStyle="1">
    <w:name w:val="Lined - Accent 1"/>
    <w:basedOn w:val="87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554" w:customStyle="1">
    <w:name w:val="Lined - Accent 11"/>
    <w:basedOn w:val="87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555" w:customStyle="1">
    <w:name w:val="Lined - Accent 21"/>
    <w:basedOn w:val="87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556" w:customStyle="1">
    <w:name w:val="Lined - Accent 31"/>
    <w:basedOn w:val="87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557" w:customStyle="1">
    <w:name w:val="Lined - Accent 41"/>
    <w:basedOn w:val="87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558" w:customStyle="1">
    <w:name w:val="Lined - Accent 51"/>
    <w:basedOn w:val="87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559" w:customStyle="1">
    <w:name w:val="Lined - Accent 61"/>
    <w:basedOn w:val="87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560" w:customStyle="1">
    <w:name w:val="Bordered &amp; Lined - Accent 1"/>
    <w:basedOn w:val="876"/>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561" w:customStyle="1">
    <w:name w:val="Bordered &amp; Lined - Accent 11"/>
    <w:basedOn w:val="876"/>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562" w:customStyle="1">
    <w:name w:val="Bordered &amp; Lined - Accent 21"/>
    <w:basedOn w:val="876"/>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563" w:customStyle="1">
    <w:name w:val="Bordered &amp; Lined - Accent 31"/>
    <w:basedOn w:val="876"/>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564" w:customStyle="1">
    <w:name w:val="Bordered &amp; Lined - Accent 41"/>
    <w:basedOn w:val="876"/>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565" w:customStyle="1">
    <w:name w:val="Bordered &amp; Lined - Accent 51"/>
    <w:basedOn w:val="876"/>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566" w:customStyle="1">
    <w:name w:val="Bordered &amp; Lined - Accent 61"/>
    <w:basedOn w:val="87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567" w:customStyle="1">
    <w:name w:val="Bordered1"/>
    <w:basedOn w:val="876"/>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568" w:customStyle="1">
    <w:name w:val="Bordered - Accent 11"/>
    <w:basedOn w:val="876"/>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569" w:customStyle="1">
    <w:name w:val="Bordered - Accent 21"/>
    <w:basedOn w:val="876"/>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570" w:customStyle="1">
    <w:name w:val="Bordered - Accent 31"/>
    <w:basedOn w:val="876"/>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571" w:customStyle="1">
    <w:name w:val="Bordered - Accent 41"/>
    <w:basedOn w:val="876"/>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572" w:customStyle="1">
    <w:name w:val="Bordered - Accent 51"/>
    <w:basedOn w:val="876"/>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573" w:customStyle="1">
    <w:name w:val="Bordered - Accent 61"/>
    <w:basedOn w:val="87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1574" w:customStyle="1">
    <w:name w:val="网格型21"/>
    <w:basedOn w:val="876"/>
    <w:uiPriority w:val="59"/>
    <w:rPr>
      <w:rFonts w:ascii="Calibri" w:hAnsi="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575" w:customStyle="1">
    <w:name w:val="网格型111"/>
    <w:basedOn w:val="876"/>
    <w:uiPriority w:val="59"/>
    <w:rPr>
      <w:rFonts w:ascii="Calibri" w:hAnsi="Calibri" w:cs="Times New Roman"/>
      <w:szCs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576" w:customStyle="1">
    <w:name w:val="网格型121"/>
    <w:basedOn w:val="876"/>
    <w:uiPriority w:val="59"/>
    <w:rPr>
      <w:rFonts w:ascii="Calibri" w:hAnsi="Calibri" w:cs="Times New Roman"/>
      <w:szCs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577" w:customStyle="1">
    <w:name w:val="网格型31"/>
    <w:basedOn w:val="876"/>
    <w:uiPriority w:val="39"/>
    <w:rPr>
      <w:rFonts w:ascii="等线" w:hAnsi="等线" w:eastAsia="等线"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578">
    <w:name w:val="Revision"/>
    <w:hidden/>
    <w:uiPriority w:val="99"/>
    <w:unhideWhenUsed/>
    <w:rPr>
      <w:rFonts w:ascii="Calibri" w:hAnsi="Calibri"/>
    </w:rPr>
  </w:style>
  <w:style w:type="paragraph" w:styleId="1579" w:customStyle="1">
    <w:name w:val="[基本段落]"/>
    <w:basedOn w:val="865"/>
    <w:qFormat/>
    <w:pPr>
      <w:ind w:left="0"/>
      <w:spacing w:line="288" w:lineRule="auto"/>
    </w:pPr>
    <w:rPr>
      <w:rFonts w:ascii="??????_GBK" w:hAnsi="??????_GBK" w:cs="Times New Roman"/>
      <w:color w:val="000000"/>
      <w:sz w:val="24"/>
      <w:szCs w:val="24"/>
    </w:rPr>
  </w:style>
  <w:style w:type="paragraph" w:styleId="1580" w:customStyle="1">
    <w:name w:val="Table Text"/>
    <w:basedOn w:val="865"/>
    <w:semiHidden/>
    <w:qFormat/>
    <w:pPr>
      <w:ind w:left="0"/>
      <w:jc w:val="left"/>
    </w:pPr>
    <w:rPr>
      <w:rFonts w:ascii="宋体" w:hAnsi="宋体"/>
      <w:color w:val="000000"/>
      <w:sz w:val="21"/>
      <w:szCs w:val="21"/>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3CDB44AE-B18D-4D42-8BC4-E6B2E2B4315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沈燕</cp:lastModifiedBy>
  <cp:revision>289</cp:revision>
  <dcterms:created xsi:type="dcterms:W3CDTF">2024-05-10T07:37:00Z</dcterms:created>
  <dcterms:modified xsi:type="dcterms:W3CDTF">2026-08-03T01:29:46Z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8AC27DE24823436BBF9EE1375428FCA8_13</vt:lpwstr>
  </property>
  <property fmtid="{D5CDD505-2E9C-101B-9397-08002B2CF9AE}" pid="4" name="commondata">
    <vt:lpwstr>eyJoZGlkIjoiMmU4NDdkODk2MjZlOTI5YjA5ZDk0Y2IwMDEyMjA1NGUifQ==</vt:lpwstr>
  </property>
  <property fmtid="{D5CDD505-2E9C-101B-9397-08002B2CF9AE}" pid="5" name="KSOTemplateDocerSaveRecord">
    <vt:lpwstr>eyJoZGlkIjoiM2MwMDQ0NDhkYjdiNTMzZGExMTIyNTNjZDJmNDA5ZGQiLCJ1c2VySWQiOiI4MTY3NjI1MTYifQ==</vt:lpwstr>
  </property>
</Properties>
</file>