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南通市能达初级中学教室课桌椅及讲台采购项目</w:t>
      </w:r>
      <w:r/>
    </w:p>
    <w:p>
      <w:pPr>
        <w:jc w:val="center"/>
        <w:spacing w:line="360" w:lineRule="auto"/>
        <w:rPr>
          <w:rFonts w:hint="eastAsia"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8</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18"/>
        <w:ind w:firstLine="0"/>
        <w:jc w:val="center"/>
        <w:spacing w:line="480" w:lineRule="exact"/>
        <w:rPr>
          <w:sz w:val="28"/>
          <w:highlight w:val="none"/>
        </w:rPr>
      </w:pPr>
      <w:r>
        <w:rPr>
          <w:highlight w:val="none"/>
          <w:lang w:eastAsia="zh-CN"/>
        </w:rPr>
        <w:br w:type="page" w:clear="all"/>
      </w:r>
      <w:r/>
    </w:p>
    <w:p>
      <w:pPr>
        <w:pStyle w:val="71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44</w:t>
          </w:r>
          <w:r>
            <w:rPr>
              <w:sz w:val="36"/>
              <w:szCs w:val="32"/>
              <w:highlight w:val="none"/>
            </w:rPr>
            <w:fldChar w:fldCharType="end"/>
          </w:r>
          <w:r>
            <w:rPr>
              <w:sz w:val="36"/>
              <w:szCs w:val="32"/>
              <w:highlight w:val="none"/>
              <w:lang w:eastAsia="zh-CN"/>
            </w:rPr>
            <w:fldChar w:fldCharType="end"/>
          </w:r>
          <w:r/>
        </w:p>
        <w:p>
          <w:pPr>
            <w:pStyle w:val="71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18"/>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南通市能达初级中学教室课桌椅及讲台采购项目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月25</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00（北京时间）前提交响应文件。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8"/>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1.项目编号：JSZC-320600-JZCG-X2026-0010</w:t>
      </w:r>
      <w:r>
        <w:rPr>
          <w:rFonts w:hint="eastAsia" w:ascii="仿宋" w:hAnsi="仿宋" w:eastAsia="仿宋" w:cs="仿宋"/>
          <w:sz w:val="28"/>
          <w:highlight w:val="none"/>
          <w:lang w:val="en-US" w:eastAsia="zh-CN"/>
        </w:rPr>
        <w:t xml:space="preserve">8</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highlight w:val="none"/>
          <w:lang w:eastAsia="zh-CN"/>
        </w:rPr>
        <w:t xml:space="preserve">2.项目名</w:t>
      </w:r>
      <w:r>
        <w:rPr>
          <w:rFonts w:hint="eastAsia" w:ascii="仿宋" w:hAnsi="仿宋" w:eastAsia="仿宋" w:cs="仿宋"/>
          <w:sz w:val="28"/>
          <w:szCs w:val="28"/>
          <w:highlight w:val="none"/>
          <w:lang w:eastAsia="zh-CN"/>
        </w:rPr>
        <w:t xml:space="preserve">称：南通市能达初级中学教室课桌椅及讲台采购项目</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3.预算金额：</w:t>
      </w:r>
      <w:r>
        <w:rPr>
          <w:rFonts w:hint="eastAsia" w:ascii="仿宋" w:hAnsi="仿宋" w:eastAsia="仿宋" w:cs="仿宋"/>
          <w:sz w:val="28"/>
          <w:szCs w:val="28"/>
          <w:highlight w:val="none"/>
        </w:rPr>
        <w:t xml:space="preserve">8.1796 万元</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szCs w:val="28"/>
          <w:highlight w:val="none"/>
        </w:rPr>
        <w:t xml:space="preserve">8.1796</w:t>
      </w:r>
      <w:r>
        <w:rPr>
          <w:rFonts w:hint="eastAsia" w:ascii="仿宋" w:hAnsi="仿宋" w:eastAsia="仿宋" w:cs="仿宋"/>
          <w:color w:val="000000"/>
          <w:sz w:val="28"/>
          <w:szCs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i w:val="0"/>
          <w:iCs w:val="0"/>
          <w:color w:val="auto"/>
          <w:sz w:val="28"/>
          <w:szCs w:val="28"/>
          <w:highlight w:val="none"/>
          <w:u w:val="none"/>
          <w:lang w:val="en-US" w:eastAsia="zh-CN" w:bidi="ar"/>
        </w:rPr>
        <w:t xml:space="preserve">学生桌凳220套、讲台4张</w:t>
      </w:r>
      <w:r>
        <w:rPr>
          <w:rFonts w:hint="eastAsia" w:ascii="仿宋" w:hAnsi="仿宋" w:eastAsia="仿宋" w:cs="仿宋"/>
          <w:sz w:val="28"/>
          <w:szCs w:val="28"/>
          <w:highlight w:val="none"/>
        </w:rPr>
        <w:t xml:space="preserve">。</w:t>
      </w:r>
      <w:r/>
    </w:p>
    <w:p>
      <w:pPr>
        <w:pStyle w:val="718"/>
        <w:ind w:firstLine="560"/>
        <w:keepLines w:val="0"/>
        <w:keepNext w:val="0"/>
        <w:pageBreakBefore w:val="0"/>
        <w:spacing w:line="480" w:lineRule="exact"/>
        <w:widowControl w:val="off"/>
        <w:rPr>
          <w:rFonts w:hint="eastAsia" w:ascii="仿宋" w:hAnsi="仿宋" w:eastAsia="仿宋" w:cs="仿宋"/>
          <w:sz w:val="28"/>
          <w:szCs w:val="28"/>
          <w:highlight w:val="none"/>
        </w:rPr>
        <w:outlineLvl w:val="1"/>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5个日历天内完成交付，并通过初步验收。</w:t>
      </w:r>
      <w:r/>
    </w:p>
    <w:p>
      <w:pPr>
        <w:pStyle w:val="718"/>
        <w:ind w:firstLine="562"/>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25</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25</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名    称：南通市能达初级中学</w:t>
      </w:r>
      <w:r/>
    </w:p>
    <w:p>
      <w:pPr>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地    址：南通市崇川区同仁路113号</w:t>
      </w:r>
      <w:r/>
    </w:p>
    <w:p>
      <w:pPr>
        <w:spacing w:line="48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联 系 人：谢</w:t>
      </w:r>
      <w:r>
        <w:rPr>
          <w:rFonts w:hint="eastAsia" w:ascii="仿宋" w:hAnsi="仿宋" w:eastAsia="仿宋" w:cs="仿宋"/>
          <w:sz w:val="28"/>
          <w:szCs w:val="28"/>
          <w:lang w:val="en-US" w:eastAsia="zh-CN"/>
        </w:rPr>
        <w:t xml:space="preserve">老师</w:t>
      </w:r>
      <w:r/>
    </w:p>
    <w:p>
      <w:pPr>
        <w:jc w:val="left"/>
        <w:spacing w:line="480" w:lineRule="exact"/>
        <w:rPr>
          <w:rFonts w:hint="default" w:ascii="黑体" w:hAnsi="黑体" w:eastAsia="仿宋" w:cs="黑体"/>
          <w:color w:val="000000"/>
          <w:sz w:val="44"/>
          <w:lang w:val="en-US" w:eastAsia="zh-CN"/>
        </w:rPr>
      </w:pPr>
      <w:r>
        <w:rPr>
          <w:rFonts w:hint="eastAsia" w:ascii="仿宋" w:hAnsi="仿宋" w:eastAsia="仿宋" w:cs="仿宋"/>
          <w:sz w:val="28"/>
          <w:szCs w:val="28"/>
        </w:rPr>
        <w:t xml:space="preserve">联系方式：18951310230</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z w:val="28"/>
          <w:szCs w:val="28"/>
          <w:highlight w:val="none"/>
        </w:rPr>
        <w:t xml:space="preserve">本项目政府采购活动中</w:t>
      </w:r>
      <w:r>
        <w:rPr>
          <w:rFonts w:hint="eastAsia" w:ascii="仿宋" w:hAnsi="仿宋" w:eastAsia="仿宋" w:cs="仿宋"/>
          <w:b/>
          <w:bCs/>
          <w:color w:val="000000"/>
          <w:sz w:val="28"/>
          <w:szCs w:val="28"/>
          <w:highlight w:val="none"/>
        </w:rPr>
        <w:t xml:space="preserve">既有本国产品又有非本国产品参与竞争的</w:t>
      </w:r>
      <w:r>
        <w:rPr>
          <w:rFonts w:hint="eastAsia" w:ascii="仿宋" w:hAnsi="仿宋" w:eastAsia="仿宋" w:cs="仿宋"/>
          <w:b w:val="0"/>
          <w:bCs w:val="0"/>
          <w:color w:val="000000"/>
          <w:sz w:val="28"/>
          <w:szCs w:val="28"/>
          <w:highlight w:val="none"/>
        </w:rPr>
        <w:t xml:space="preserve">，依法对本国产品给予价格评审优惠，对本国产品的报价给予20%的价格扣除，用扣除后的价格参与评审。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8"/>
        <w:ind w:firstLine="0"/>
        <w:spacing w:line="440" w:lineRule="exact"/>
        <w:rPr>
          <w:rFonts w:ascii="Times New Roman" w:hAnsi="Times New Roman"/>
          <w:b/>
          <w:bCs/>
          <w:sz w:val="32"/>
          <w:szCs w:val="32"/>
          <w:highlight w:val="none"/>
          <w:lang w:eastAsia="zh-CN"/>
        </w:rPr>
        <w:outlineLvl w:val="1"/>
      </w:pPr>
      <w:r>
        <w:rPr>
          <w:rFonts w:hint="eastAsia"/>
          <w:b/>
          <w:sz w:val="28"/>
          <w:highlight w:val="none"/>
          <w:lang w:eastAsia="zh-CN"/>
        </w:rPr>
        <w:t xml:space="preserve">项目属性：货物类</w:t>
      </w:r>
      <w:r/>
    </w:p>
    <w:p>
      <w:pPr>
        <w:pStyle w:val="718"/>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7"/>
        <w:tblW w:w="8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591"/>
        <w:gridCol w:w="1240"/>
        <w:gridCol w:w="1680"/>
        <w:gridCol w:w="593"/>
        <w:gridCol w:w="640"/>
        <w:gridCol w:w="3886"/>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Mar>
              <w:left w:w="20" w:type="dxa"/>
              <w:top w:w="20" w:type="dxa"/>
              <w:right w:w="20" w:type="dxa"/>
              <w:bottom w:w="20" w:type="dxa"/>
            </w:tcMar>
            <w:tcW w:w="3886" w:type="dxa"/>
            <w:vAlign w:val="center"/>
            <w:textDirection w:val="lrTb"/>
            <w:noWrap w:val="false"/>
          </w:tcPr>
          <w:p>
            <w:pPr>
              <w:ind w:left="0" w:right="0" w:firstLine="0"/>
              <w:jc w:val="center"/>
              <w:pageBreakBefore w:val="0"/>
              <w:spacing w:line="240" w:lineRule="auto"/>
              <w:rPr>
                <w:rFonts w:hint="default" w:ascii="仿宋" w:hAnsi="仿宋" w:eastAsia="仿宋" w:cs="仿宋"/>
                <w:b/>
                <w:color w:val="auto"/>
                <w:sz w:val="24"/>
                <w:szCs w:val="24"/>
                <w:highlight w:val="none"/>
                <w:lang w:val="en-US"/>
              </w:rPr>
            </w:pPr>
            <w:r>
              <w:rPr>
                <w:rFonts w:hint="eastAsia" w:ascii="仿宋" w:hAnsi="仿宋" w:eastAsia="仿宋" w:cs="仿宋"/>
                <w:b/>
                <w:bCs/>
                <w:color w:val="000000"/>
                <w:sz w:val="24"/>
                <w:szCs w:val="24"/>
                <w:highlight w:val="none"/>
              </w:rPr>
              <w:t xml:space="preserve">对应中小企业划分标准所属行业</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shd w:val="clear" w:color="auto" w:fill="auto"/>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学生桌凳</w:t>
            </w:r>
            <w:r/>
          </w:p>
        </w:tc>
        <w:tc>
          <w:tcPr>
            <w:shd w:val="clear" w:color="auto" w:fill="auto"/>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见技术参数</w:t>
            </w:r>
            <w:r/>
          </w:p>
        </w:tc>
        <w:tc>
          <w:tcPr>
            <w:shd w:val="clear" w:color="auto" w:fill="auto"/>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套</w:t>
            </w:r>
            <w:r/>
          </w:p>
        </w:tc>
        <w:tc>
          <w:tcPr>
            <w:shd w:val="clear" w:color="auto" w:fill="auto"/>
            <w:tcMar>
              <w:left w:w="20" w:type="dxa"/>
              <w:top w:w="20" w:type="dxa"/>
              <w:right w:w="20" w:type="dxa"/>
              <w:bottom w:w="20" w:type="dxa"/>
            </w:tcMar>
            <w:tcW w:w="0" w:type="auto"/>
            <w:vAlign w:val="center"/>
            <w:textDirection w:val="lrTb"/>
            <w:noWrap w:val="false"/>
          </w:tcPr>
          <w:p>
            <w:pPr>
              <w:ind w:left="0" w:right="0" w:firstLine="0"/>
              <w:jc w:val="center"/>
              <w:pageBreakBefore w:val="0"/>
              <w:spacing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220</w:t>
            </w:r>
            <w:r/>
          </w:p>
        </w:tc>
        <w:tc>
          <w:tcPr>
            <w:shd w:val="clear" w:color="auto" w:fill="auto"/>
            <w:tcMar>
              <w:left w:w="20" w:type="dxa"/>
              <w:top w:w="20" w:type="dxa"/>
              <w:right w:w="20" w:type="dxa"/>
              <w:bottom w:w="20" w:type="dxa"/>
            </w:tcMar>
            <w:tcW w:w="3886" w:type="dxa"/>
            <w:vAlign w:val="center"/>
            <w:textDirection w:val="lrTb"/>
            <w:noWrap w:val="false"/>
          </w:tcPr>
          <w:p>
            <w:pPr>
              <w:ind w:left="0" w:right="0" w:firstLine="0"/>
              <w:jc w:val="center"/>
              <w:pageBreakBefore w:val="0"/>
              <w:spacing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工业</w:t>
            </w:r>
            <w:r/>
          </w:p>
        </w:tc>
      </w:tr>
      <w:tr>
        <w:trPr>
          <w:jc w:val="center"/>
          <w:trHeight w:val="0"/>
        </w:trPr>
        <w:tc>
          <w:tcPr>
            <w:tcMar>
              <w:left w:w="20" w:type="dxa"/>
              <w:top w:w="20" w:type="dxa"/>
              <w:right w:w="20" w:type="dxa"/>
              <w:bottom w:w="20" w:type="dxa"/>
            </w:tcMar>
            <w:tcW w:w="591"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Mar>
              <w:left w:w="20" w:type="dxa"/>
              <w:top w:w="20" w:type="dxa"/>
              <w:right w:w="20" w:type="dxa"/>
              <w:bottom w:w="20" w:type="dxa"/>
            </w:tcMar>
            <w:tcW w:w="1240"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8"/>
                <w:highlight w:val="none"/>
                <w:lang w:val="en-US" w:eastAsia="zh-CN" w:bidi="ar-SA"/>
              </w:rPr>
            </w:pPr>
            <w:r>
              <w:rPr>
                <w:rFonts w:hint="eastAsia" w:ascii="仿宋" w:hAnsi="仿宋" w:eastAsia="仿宋" w:cs="仿宋"/>
                <w:color w:val="auto"/>
                <w:sz w:val="24"/>
                <w:szCs w:val="28"/>
                <w:highlight w:val="none"/>
                <w:lang w:val="en-US" w:eastAsia="zh-CN"/>
              </w:rPr>
              <w:t xml:space="preserve">讲台</w:t>
            </w:r>
            <w:r/>
          </w:p>
        </w:tc>
        <w:tc>
          <w:tcPr>
            <w:shd w:val="clear" w:color="auto" w:fill="auto"/>
            <w:tcMar>
              <w:left w:w="20" w:type="dxa"/>
              <w:top w:w="20" w:type="dxa"/>
              <w:right w:w="20" w:type="dxa"/>
              <w:bottom w:w="20" w:type="dxa"/>
            </w:tcMar>
            <w:tcW w:w="1680"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8"/>
                <w:highlight w:val="none"/>
                <w:lang w:val="en-US" w:eastAsia="zh-CN" w:bidi="ar-SA"/>
              </w:rPr>
            </w:pPr>
            <w:r>
              <w:rPr>
                <w:rFonts w:hint="eastAsia" w:ascii="仿宋" w:hAnsi="仿宋" w:eastAsia="仿宋" w:cs="仿宋"/>
                <w:color w:val="auto"/>
                <w:sz w:val="24"/>
                <w:szCs w:val="28"/>
                <w:highlight w:val="none"/>
              </w:rPr>
              <w:t xml:space="preserve">见技术参数</w:t>
            </w:r>
            <w:r/>
          </w:p>
        </w:tc>
        <w:tc>
          <w:tcPr>
            <w:shd w:val="clear" w:color="auto" w:fill="auto"/>
            <w:tcMar>
              <w:left w:w="20" w:type="dxa"/>
              <w:top w:w="20" w:type="dxa"/>
              <w:right w:w="20" w:type="dxa"/>
              <w:bottom w:w="20" w:type="dxa"/>
            </w:tcMar>
            <w:tcW w:w="593"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8"/>
                <w:highlight w:val="none"/>
                <w:lang w:val="en-US" w:eastAsia="zh-CN" w:bidi="ar-SA"/>
              </w:rPr>
            </w:pPr>
            <w:r>
              <w:rPr>
                <w:rFonts w:hint="eastAsia" w:ascii="仿宋" w:hAnsi="仿宋" w:eastAsia="仿宋" w:cs="仿宋"/>
                <w:color w:val="auto"/>
                <w:sz w:val="24"/>
                <w:szCs w:val="28"/>
                <w:highlight w:val="none"/>
                <w:lang w:val="en-US" w:eastAsia="zh-CN"/>
              </w:rPr>
              <w:t xml:space="preserve">张</w:t>
            </w:r>
            <w:r/>
          </w:p>
        </w:tc>
        <w:tc>
          <w:tcPr>
            <w:shd w:val="clear" w:color="auto" w:fill="auto"/>
            <w:tcMar>
              <w:left w:w="20" w:type="dxa"/>
              <w:top w:w="20" w:type="dxa"/>
              <w:right w:w="20" w:type="dxa"/>
              <w:bottom w:w="20" w:type="dxa"/>
            </w:tcMar>
            <w:tcW w:w="640"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8"/>
                <w:highlight w:val="none"/>
                <w:lang w:val="en-US" w:eastAsia="zh-CN" w:bidi="ar-SA"/>
              </w:rPr>
            </w:pPr>
            <w:r>
              <w:rPr>
                <w:rFonts w:hint="eastAsia" w:ascii="仿宋" w:hAnsi="仿宋" w:eastAsia="仿宋" w:cs="仿宋"/>
                <w:color w:val="auto"/>
                <w:sz w:val="24"/>
                <w:szCs w:val="28"/>
                <w:highlight w:val="none"/>
                <w:lang w:val="en-US" w:eastAsia="zh-CN"/>
              </w:rPr>
              <w:t xml:space="preserve">4</w:t>
            </w:r>
            <w:r/>
          </w:p>
        </w:tc>
        <w:tc>
          <w:tcPr>
            <w:shd w:val="clear" w:color="auto" w:fill="auto"/>
            <w:tcMar>
              <w:left w:w="20" w:type="dxa"/>
              <w:top w:w="20" w:type="dxa"/>
              <w:right w:w="20" w:type="dxa"/>
              <w:bottom w:w="20" w:type="dxa"/>
            </w:tcMar>
            <w:tcW w:w="3886" w:type="dxa"/>
            <w:vAlign w:val="center"/>
            <w:textDirection w:val="lrTb"/>
            <w:noWrap w:val="false"/>
          </w:tcPr>
          <w:p>
            <w:pPr>
              <w:ind w:left="0" w:right="0" w:firstLine="0"/>
              <w:jc w:val="center"/>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bl>
    <w:p>
      <w:pPr>
        <w:pStyle w:val="718"/>
        <w:ind w:firstLine="0"/>
        <w:spacing w:line="480" w:lineRule="exact"/>
        <w:rPr>
          <w:rFonts w:hint="eastAsia" w:ascii="仿宋" w:hAnsi="仿宋" w:eastAsia="仿宋" w:cs="仿宋"/>
          <w:b/>
          <w:color w:val="auto"/>
          <w:sz w:val="24"/>
          <w:szCs w:val="18"/>
          <w:highlight w:val="none"/>
          <w:lang w:val="en-US" w:eastAsia="zh-CN"/>
        </w:rPr>
        <w:outlineLvl w:val="1"/>
      </w:pPr>
      <w:r>
        <w:rPr>
          <w:rFonts w:hint="eastAsia" w:ascii="仿宋" w:hAnsi="仿宋" w:eastAsia="仿宋" w:cs="仿宋"/>
          <w:b/>
          <w:color w:val="auto"/>
          <w:sz w:val="24"/>
          <w:szCs w:val="18"/>
          <w:highlight w:val="none"/>
          <w:lang w:val="en-US" w:eastAsia="zh-CN"/>
        </w:rPr>
        <w:t xml:space="preserve">本项目核心产品：</w:t>
      </w:r>
      <w:r>
        <w:rPr>
          <w:rFonts w:hint="eastAsia" w:ascii="仿宋" w:hAnsi="仿宋" w:eastAsia="仿宋" w:cs="仿宋"/>
          <w:i w:val="0"/>
          <w:iCs w:val="0"/>
          <w:color w:val="auto"/>
          <w:sz w:val="24"/>
          <w:szCs w:val="24"/>
          <w:highlight w:val="none"/>
          <w:u w:val="none"/>
          <w:lang w:val="en-US" w:eastAsia="zh-CN" w:bidi="ar"/>
        </w:rPr>
        <w:t xml:space="preserve">学生桌凳</w:t>
      </w:r>
      <w:r/>
    </w:p>
    <w:p>
      <w:pPr>
        <w:pStyle w:val="718"/>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after="62" w:line="440" w:lineRule="exact"/>
        <w:widowControl w:val="off"/>
        <w:rPr>
          <w:rFonts w:hint="eastAsia" w:ascii="仿宋" w:hAnsi="仿宋" w:eastAsia="仿宋" w:cs="仿宋"/>
          <w:b w:val="0"/>
          <w:bCs w:val="0"/>
          <w:caps/>
          <w:color w:val="auto"/>
          <w:sz w:val="24"/>
          <w:szCs w:val="24"/>
          <w:highlight w:val="none"/>
          <w:lang w:val="en-US" w:eastAsia="zh-CN" w:bidi="ar-SA"/>
        </w:rPr>
      </w:pPr>
      <w:r>
        <w:rPr>
          <w:rFonts w:hint="eastAsia" w:ascii="Times New Roman" w:hAnsi="Times New Roman" w:eastAsia="仿宋" w:cs="Times New Roman"/>
          <w:bCs/>
          <w:sz w:val="24"/>
          <w:szCs w:val="24"/>
          <w:highlight w:val="none"/>
        </w:rPr>
        <w:t xml:space="preserve">为南通市能达初级中学配置课桌椅、教室讲台。</w:t>
      </w: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8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采购标的需满足的质量、安全、技术规格等要求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本项目所有成品家具均配套对应国标，从源头严控有害物质，满足校园室内密闭空间使用条件。</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1.整体必须符合GB18584-2024《家具中有害物质限量》强制限值。为确保成品达标，本项目要求所有人造板零部件所用基材须符合GB 18580-2025《室内装饰装修材料 人造板及其制品中甲醛释放限量》且达到E0级（≤0.050mg/m³，1 m³ 气候箱法）。</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2.所用木器涂料（含水性、UV、溶剂型等）及稀释剂、固化剂等配套辅助材料，其有害物质限量应符合 GB 30981.2-2025《涂料中有害物质限量 第2部分：工业涂料》中对应品类限值。</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3.所用胶粘剂应符合现行有效 GB 18583《室内装饰装修材料 胶粘剂中有害物质限量》对应品类限值。</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4.木家具应符合GB/T 3324-2024《木家具通用技术条件》相关要求；金属家具应符合GB/T3325-2024《金属家具通用技术条件》相关要求。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5.家具结构安全应符合GB 28008-2024《家具结构安全技术规范》要求；床类及可攀爬家具须满足相应专项安全规定。</w:t>
      </w:r>
      <w:r/>
    </w:p>
    <w:p>
      <w:pPr>
        <w:jc w:val="left"/>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产品参数要求</w:t>
      </w:r>
      <w:r/>
    </w:p>
    <w:p>
      <w:pPr>
        <w:jc w:val="left"/>
        <w:pageBreakBefore w:val="0"/>
        <w:spacing w:line="48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1.学生桌凳</w:t>
      </w:r>
      <w:r/>
    </w:p>
    <w:p>
      <w:pPr>
        <w:jc w:val="left"/>
        <w:pageBreakBefore w:val="0"/>
        <w:spacing w:line="4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1.1课桌</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尺寸</w:t>
      </w:r>
      <w:r>
        <w:rPr>
          <w:rFonts w:hint="eastAsia" w:ascii="仿宋" w:hAnsi="仿宋" w:eastAsia="仿宋" w:cs="仿宋"/>
          <w:b w:val="0"/>
          <w:bCs w:val="0"/>
          <w:color w:val="auto"/>
          <w:sz w:val="24"/>
          <w:szCs w:val="24"/>
          <w:highlight w:val="none"/>
        </w:rPr>
        <w:t xml:space="preserve">：长600mm*宽400mm</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高度</w:t>
      </w:r>
      <w:r>
        <w:rPr>
          <w:rFonts w:hint="eastAsia" w:ascii="仿宋" w:hAnsi="仿宋" w:eastAsia="仿宋" w:cs="仿宋"/>
          <w:b w:val="0"/>
          <w:bCs w:val="0"/>
          <w:color w:val="auto"/>
          <w:sz w:val="24"/>
          <w:szCs w:val="24"/>
          <w:highlight w:val="none"/>
          <w:lang w:val="en-US" w:eastAsia="zh-CN"/>
        </w:rPr>
        <w:t xml:space="preserve">760</w:t>
      </w:r>
      <w:r>
        <w:rPr>
          <w:rFonts w:hint="eastAsia" w:ascii="仿宋" w:hAnsi="仿宋" w:eastAsia="仿宋" w:cs="仿宋"/>
          <w:b w:val="0"/>
          <w:bCs w:val="0"/>
          <w:color w:val="auto"/>
          <w:sz w:val="24"/>
          <w:szCs w:val="24"/>
          <w:highlight w:val="none"/>
        </w:rPr>
        <w:t xml:space="preserve">mm</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详细尺寸见后附图纸。</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技术参数：材料选用20mm厚</w:t>
      </w:r>
      <w:r>
        <w:rPr>
          <w:rFonts w:hint="eastAsia" w:ascii="仿宋" w:hAnsi="仿宋" w:eastAsia="仿宋" w:cs="仿宋"/>
          <w:b w:val="0"/>
          <w:bCs w:val="0"/>
          <w:color w:val="auto"/>
          <w:sz w:val="24"/>
          <w:szCs w:val="24"/>
          <w:highlight w:val="none"/>
          <w:lang w:val="en-US" w:eastAsia="zh-CN"/>
        </w:rPr>
        <w:t xml:space="preserve">A</w:t>
      </w:r>
      <w:r>
        <w:rPr>
          <w:rFonts w:hint="eastAsia" w:ascii="仿宋" w:hAnsi="仿宋" w:eastAsia="仿宋" w:cs="仿宋"/>
          <w:b w:val="0"/>
          <w:bCs w:val="0"/>
          <w:color w:val="auto"/>
          <w:sz w:val="24"/>
          <w:szCs w:val="24"/>
          <w:highlight w:val="none"/>
        </w:rPr>
        <w:t xml:space="preserve">A</w:t>
      </w:r>
      <w:r>
        <w:rPr>
          <w:rFonts w:hint="eastAsia" w:ascii="仿宋" w:hAnsi="仿宋" w:eastAsia="仿宋" w:cs="仿宋"/>
          <w:b w:val="0"/>
          <w:bCs w:val="0"/>
          <w:color w:val="auto"/>
          <w:sz w:val="24"/>
          <w:szCs w:val="24"/>
          <w:highlight w:val="none"/>
          <w:lang w:val="en-US" w:eastAsia="zh-CN"/>
        </w:rPr>
        <w:t xml:space="preserve">级</w:t>
      </w:r>
      <w:r>
        <w:rPr>
          <w:rFonts w:hint="eastAsia" w:ascii="仿宋" w:hAnsi="仿宋" w:eastAsia="仿宋" w:cs="仿宋"/>
          <w:b w:val="0"/>
          <w:bCs w:val="0"/>
          <w:color w:val="auto"/>
          <w:sz w:val="24"/>
          <w:szCs w:val="24"/>
          <w:highlight w:val="none"/>
        </w:rPr>
        <w:t xml:space="preserve">橡胶木齿接板，木材必须经过烘干、杀虫等工艺处理，木材无裂缝、结疤、腐朽、刀痕等瑕疵，含水率≤10%。</w:t>
      </w:r>
      <w:r>
        <w:rPr>
          <w:rFonts w:hint="eastAsia" w:ascii="仿宋" w:hAnsi="仿宋" w:eastAsia="仿宋" w:cs="仿宋"/>
          <w:b w:val="0"/>
          <w:bCs w:val="0"/>
          <w:color w:val="auto"/>
          <w:sz w:val="24"/>
          <w:szCs w:val="24"/>
          <w:highlight w:val="none"/>
          <w:lang w:val="en-US" w:eastAsia="zh-CN"/>
        </w:rPr>
        <w:t xml:space="preserve">桌面四边精细化倒圆角处理，规避磕碰风险。</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面板与侧板结构处用三合一连接件和木条木</w:t>
      </w:r>
      <w:r>
        <w:rPr>
          <w:rFonts w:hint="eastAsia" w:ascii="仿宋" w:hAnsi="仿宋" w:eastAsia="仿宋" w:cs="仿宋"/>
          <w:b w:val="0"/>
          <w:bCs w:val="0"/>
          <w:color w:val="auto"/>
          <w:sz w:val="24"/>
          <w:szCs w:val="24"/>
          <w:highlight w:val="none"/>
          <w:lang w:val="en-US" w:eastAsia="zh-CN"/>
        </w:rPr>
        <w:t xml:space="preserve">螺钉</w:t>
      </w:r>
      <w:r>
        <w:rPr>
          <w:rFonts w:hint="eastAsia" w:ascii="仿宋" w:hAnsi="仿宋" w:eastAsia="仿宋" w:cs="仿宋"/>
          <w:b w:val="0"/>
          <w:bCs w:val="0"/>
          <w:color w:val="auto"/>
          <w:sz w:val="24"/>
          <w:szCs w:val="24"/>
          <w:highlight w:val="none"/>
        </w:rPr>
        <w:t xml:space="preserve">固定</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侧板与层板底板用圆棒榫及大头帽螺丝加固</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上下一共十三处固定点（具体见参考图）其中上桌肚5处，下桌肚5处，底板位置3处</w:t>
      </w:r>
      <w:r>
        <w:rPr>
          <w:rFonts w:hint="eastAsia" w:ascii="仿宋" w:hAnsi="仿宋" w:eastAsia="仿宋" w:cs="仿宋"/>
          <w:b w:val="0"/>
          <w:bCs w:val="0"/>
          <w:color w:val="auto"/>
          <w:sz w:val="24"/>
          <w:szCs w:val="24"/>
          <w:highlight w:val="none"/>
        </w:rPr>
        <w:t xml:space="preserve">。</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所有连接处不可用胶水，便于维修拆卸。</w:t>
      </w:r>
      <w:r>
        <w:rPr>
          <w:rFonts w:hint="eastAsia" w:ascii="仿宋" w:hAnsi="仿宋" w:eastAsia="仿宋" w:cs="仿宋"/>
          <w:b w:val="0"/>
          <w:bCs w:val="0"/>
          <w:color w:val="auto"/>
          <w:sz w:val="24"/>
          <w:szCs w:val="24"/>
          <w:highlight w:val="none"/>
          <w:lang w:val="en-US" w:eastAsia="zh-CN"/>
        </w:rPr>
        <w:t xml:space="preserve">桌面配有一个笔槽。</w:t>
      </w:r>
      <w:r>
        <w:rPr>
          <w:rFonts w:hint="eastAsia" w:ascii="仿宋" w:hAnsi="仿宋" w:eastAsia="仿宋" w:cs="仿宋"/>
          <w:b w:val="0"/>
          <w:bCs w:val="0"/>
          <w:color w:val="auto"/>
          <w:sz w:val="24"/>
          <w:szCs w:val="24"/>
          <w:highlight w:val="none"/>
        </w:rPr>
        <w:br/>
      </w:r>
      <w:r>
        <w:rPr>
          <w:rFonts w:hint="eastAsia" w:ascii="仿宋" w:hAnsi="仿宋" w:eastAsia="仿宋" w:cs="仿宋"/>
          <w:b w:val="0"/>
          <w:bCs w:val="0"/>
          <w:color w:val="auto"/>
          <w:sz w:val="24"/>
          <w:szCs w:val="24"/>
          <w:highlight w:val="none"/>
        </w:rPr>
        <w:t xml:space="preserve">油漆采用环保型UV漆（无味无毒）三底，环保水性面漆二遍，颜色为清水本色。</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环保标准：总成品甲醛释放量≤0.050mg/m³，符合GB 18580-2025《室内装饰装修材料人造板及其制品中甲醛释放限量》。</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1.2实木方凳：</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规格尺寸： 400mm（长）×280mm（宽）×460mm（高）。具体要求：</w:t>
      </w:r>
      <w:r/>
    </w:p>
    <w:p>
      <w:pPr>
        <w:numPr>
          <w:ilvl w:val="0"/>
          <w:numId w:val="0"/>
        </w:numPr>
        <w:jc w:val="left"/>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制作要求：凳腿为橡胶木，面板选用20mm双面A级橡胶木指接板。含水率≤10%，</w:t>
      </w:r>
      <w:bookmarkStart w:id="14" w:name="_GoBack"/>
      <w:r/>
      <w:bookmarkEnd w:id="14"/>
      <w:r>
        <w:rPr>
          <w:rFonts w:hint="eastAsia" w:ascii="仿宋" w:hAnsi="仿宋" w:eastAsia="仿宋" w:cs="仿宋"/>
          <w:b w:val="0"/>
          <w:bCs w:val="0"/>
          <w:color w:val="auto"/>
          <w:sz w:val="24"/>
          <w:szCs w:val="24"/>
          <w:highlight w:val="none"/>
          <w:lang w:val="en-US" w:eastAsia="zh-CN"/>
        </w:rPr>
        <w:t xml:space="preserve">A面无死结、活结≤5㎜、≤10个/m³，无色差；B面活结≤20个/m³，死结2个/m³；所有连接处不可用胶水，便于维修拆卸。凳面四边精细化倒圆角处理，规避磕碰风险。</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油漆采用环保型 UV 漆（无味无毒）三底，环保水性面漆二遍，颜色为清水本色。环保标准：总成品甲醛释放量≤0.05mg/m³，胶黏剂符合国标要求。档料连接处增加 4 个角码连接件，角码为一次性冲压成型。</w:t>
      </w:r>
      <w:r/>
    </w:p>
    <w:p>
      <w:pP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r>
      <w:r/>
    </w:p>
    <w:p>
      <w:pPr>
        <w:pStyle w:val="722"/>
        <w:jc w:val="center"/>
        <w:rPr>
          <w:rFonts w:hint="eastAsia"/>
          <w:color w:val="auto"/>
          <w:highlight w:val="none"/>
        </w:rPr>
      </w:pPr>
      <w:r>
        <w:rPr>
          <w:rFonts w:hint="eastAsia" w:asciiTheme="minorEastAsia" w:hAnsiTheme="minorEastAsia" w:eastAsiaTheme="minorEastAsia" w:cstheme="minorEastAsia"/>
          <w:color w:val="auto"/>
          <w:sz w:val="28"/>
          <w:szCs w:val="36"/>
          <w:highlight w:val="none"/>
          <w:lang w:val="en-US" w:eastAsia="zh-CN"/>
        </w:rPr>
        <w:t xml:space="preserve">实物照片（参考）</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inline xmlns:wp="http://schemas.openxmlformats.org/drawingml/2006/wordprocessingDrawing" distT="0" distB="0" distL="0" distR="0">
                <wp:extent cx="4554855" cy="3801745"/>
                <wp:effectExtent l="0" t="0" r="17145" b="8255"/>
                <wp:docPr id="3" name="图片 7"/>
                <wp:cNvGraphicFramePr/>
                <a:graphic xmlns:a="http://schemas.openxmlformats.org/drawingml/2006/main">
                  <a:graphicData uri="http://schemas.openxmlformats.org/drawingml/2006/picture">
                    <pic:pic xmlns:pic="http://schemas.openxmlformats.org/drawingml/2006/picture">
                      <pic:nvPicPr>
                        <pic:cNvPr id="3" name="图片 7"/>
                        <pic:cNvPicPr/>
                        <pic:nvPr/>
                      </pic:nvPicPr>
                      <pic:blipFill>
                        <a:blip r:embed="rId13"/>
                        <a:stretch/>
                      </pic:blipFill>
                      <pic:spPr bwMode="auto">
                        <a:xfrm>
                          <a:off x="0" y="0"/>
                          <a:ext cx="4554855" cy="380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6pt;height:299.3pt;mso-wrap-distance-left:0.0pt;mso-wrap-distance-top:0.0pt;mso-wrap-distance-right:0.0pt;mso-wrap-distance-bottom:0.0pt;" stroked="f">
                <v:path textboxrect="0,0,0,0"/>
                <v:imagedata r:id="rId13" o:title=""/>
              </v:shape>
            </w:pict>
          </mc:Fallback>
        </mc:AlternateContent>
      </w:r>
      <w:r/>
    </w:p>
    <w:p>
      <w:pPr>
        <w:pStyle w:val="72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2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mc:AlternateContent>
          <mc:Choice Requires="wpg">
            <w:drawing>
              <wp:inline xmlns:wp="http://schemas.openxmlformats.org/drawingml/2006/wordprocessingDrawing" distT="0" distB="0" distL="0" distR="0">
                <wp:extent cx="5271770" cy="5271770"/>
                <wp:effectExtent l="0" t="0" r="5080" b="5080"/>
                <wp:docPr id="4" name="图片 4" descr="74663ca226644a0f3358781aabc3cb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4663ca226644a0f3358781aabc3cb6b"/>
                        <pic:cNvPicPr>
                          <a:picLocks noChangeAspect="1"/>
                        </pic:cNvPicPr>
                        <pic:nvPr/>
                      </pic:nvPicPr>
                      <pic:blipFill>
                        <a:blip r:embed="rId14"/>
                        <a:stretch/>
                      </pic:blipFill>
                      <pic:spPr bwMode="auto">
                        <a:xfrm>
                          <a:off x="0" y="0"/>
                          <a:ext cx="5271770" cy="5271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415.1pt;mso-wrap-distance-left:0.0pt;mso-wrap-distance-top:0.0pt;mso-wrap-distance-right:0.0pt;mso-wrap-distance-bottom:0.0pt;" stroked="false">
                <v:path textboxrect="0,0,0,0"/>
                <v:imagedata r:id="rId14" o:title=""/>
              </v:shape>
            </w:pict>
          </mc:Fallback>
        </mc:AlternateContent>
      </w:r>
      <w:r/>
    </w:p>
    <w:p>
      <w:pPr>
        <w:pStyle w:val="718"/>
        <w:rPr>
          <w:rFonts w:hint="eastAsia"/>
          <w:lang w:eastAsia="zh-CN"/>
        </w:rPr>
      </w:pPr>
      <w:r>
        <w:rPr>
          <w:rFonts w:hint="eastAsia"/>
          <w:lang w:eastAsia="zh-CN"/>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3"/>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271770" cy="4396105"/>
                <wp:effectExtent l="0" t="0" r="5080" b="4445"/>
                <wp:docPr id="5" name="图片 5" descr="f512186a7b7a1c2429b7c7bcba21ba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512186a7b7a1c2429b7c7bcba21baf4"/>
                        <pic:cNvPicPr>
                          <a:picLocks noChangeAspect="1"/>
                        </pic:cNvPicPr>
                        <pic:nvPr/>
                      </pic:nvPicPr>
                      <pic:blipFill>
                        <a:blip r:embed="rId15"/>
                        <a:stretch/>
                      </pic:blipFill>
                      <pic:spPr bwMode="auto">
                        <a:xfrm>
                          <a:off x="0" y="0"/>
                          <a:ext cx="5271770" cy="4396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346.1pt;mso-wrap-distance-left:0.0pt;mso-wrap-distance-top:0.0pt;mso-wrap-distance-right:0.0pt;mso-wrap-distance-bottom:0.0pt;" stroked="false">
                <v:path textboxrect="0,0,0,0"/>
                <v:imagedata r:id="rId15" o:title=""/>
              </v:shape>
            </w:pict>
          </mc:Fallback>
        </mc:AlternateConten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22"/>
        <w:ind w:firstLine="140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8"/>
          <w:szCs w:val="36"/>
          <w:highlight w:val="none"/>
          <w:lang w:val="en-US" w:eastAsia="zh-CN"/>
        </w:rPr>
        <w:t xml:space="preserve">凳子</w:t>
      </w:r>
      <w:r>
        <w:rPr>
          <w:rFonts w:hint="eastAsia" w:asciiTheme="minorEastAsia" w:hAnsiTheme="minorEastAsia" w:eastAsiaTheme="minorEastAsia" w:cstheme="minorEastAsia"/>
          <w:color w:val="auto"/>
          <w:sz w:val="28"/>
          <w:szCs w:val="36"/>
          <w:highlight w:val="none"/>
        </w:rPr>
        <w:t xml:space="preserve">加强角码</w:t>
      </w:r>
      <w:r>
        <w:rPr>
          <w:rFonts w:hint="eastAsia" w:asciiTheme="minorEastAsia" w:hAnsiTheme="minorEastAsia" w:eastAsiaTheme="minorEastAsia" w:cstheme="minorEastAsia"/>
          <w:color w:val="auto"/>
          <w:sz w:val="28"/>
          <w:szCs w:val="36"/>
          <w:highlight w:val="none"/>
          <w:lang w:eastAsia="zh-CN"/>
        </w:rPr>
        <w:t xml:space="preserve">（</w:t>
      </w:r>
      <w:r>
        <w:rPr>
          <w:rFonts w:hint="eastAsia" w:asciiTheme="minorEastAsia" w:hAnsiTheme="minorEastAsia" w:eastAsiaTheme="minorEastAsia" w:cstheme="minorEastAsia"/>
          <w:color w:val="auto"/>
          <w:sz w:val="28"/>
          <w:szCs w:val="36"/>
          <w:highlight w:val="none"/>
          <w:lang w:val="en-US" w:eastAsia="zh-CN"/>
        </w:rPr>
        <w:t xml:space="preserve">参考图片</w:t>
      </w:r>
      <w:r>
        <w:rPr>
          <w:rFonts w:hint="eastAsia" w:asciiTheme="minorEastAsia" w:hAnsiTheme="minorEastAsia" w:eastAsiaTheme="minorEastAsia" w:cstheme="minorEastAsia"/>
          <w:color w:val="auto"/>
          <w:sz w:val="28"/>
          <w:szCs w:val="36"/>
          <w:highlight w:val="none"/>
          <w:lang w:eastAsia="zh-CN"/>
        </w:rPr>
        <w:t xml:space="preserve">）</w:t>
      </w:r>
      <w:r/>
    </w:p>
    <w:p>
      <w:pPr>
        <w:jc w:val="center"/>
        <w:rPr>
          <w:rFonts w:hint="eastAsia" w:ascii="仿宋" w:hAnsi="仿宋" w:eastAsia="仿宋" w:cs="仿宋"/>
          <w:color w:val="auto"/>
          <w:sz w:val="28"/>
          <w:szCs w:val="36"/>
          <w:highlight w:val="none"/>
          <w:lang w:eastAsia="zh-CN"/>
        </w:rPr>
      </w:pPr>
      <w:r>
        <w:rPr>
          <w:rFonts w:hint="eastAsia" w:ascii="仿宋" w:hAnsi="仿宋" w:eastAsia="仿宋" w:cs="仿宋"/>
          <w:color w:val="auto"/>
          <w:sz w:val="28"/>
          <w:szCs w:val="36"/>
          <w:highlight w:val="none"/>
        </w:rPr>
        <mc:AlternateContent>
          <mc:Choice Requires="wpg">
            <w:drawing>
              <wp:inline xmlns:wp="http://schemas.openxmlformats.org/drawingml/2006/wordprocessingDrawing" distT="0" distB="0" distL="0" distR="0">
                <wp:extent cx="1857375" cy="2476500"/>
                <wp:effectExtent l="0" t="0" r="9525" b="0"/>
                <wp:docPr id="6" name="图片 6" descr="78f5891573b8c2b43b108919e3ce96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8f5891573b8c2b43b108919e3ce96e8"/>
                        <pic:cNvPicPr>
                          <a:picLocks noChangeAspect="1"/>
                        </pic:cNvPicPr>
                        <pic:nvPr/>
                      </pic:nvPicPr>
                      <pic:blipFill>
                        <a:blip r:embed="rId16"/>
                        <a:stretch/>
                      </pic:blipFill>
                      <pic:spPr bwMode="auto">
                        <a:xfrm>
                          <a:off x="0" y="0"/>
                          <a:ext cx="1857375" cy="2476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6.2pt;height:195.0pt;mso-wrap-distance-left:0.0pt;mso-wrap-distance-top:0.0pt;mso-wrap-distance-right:0.0pt;mso-wrap-distance-bottom:0.0pt;" stroked="false">
                <v:path textboxrect="0,0,0,0"/>
                <v:imagedata r:id="rId16" o:title=""/>
              </v:shape>
            </w:pict>
          </mc:Fallback>
        </mc:AlternateConten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lang w:eastAsia="zh-CN"/>
        </w:rPr>
        <mc:AlternateContent>
          <mc:Choice Requires="wpg">
            <w:drawing>
              <wp:inline xmlns:wp="http://schemas.openxmlformats.org/drawingml/2006/wordprocessingDrawing" distT="0" distB="0" distL="0" distR="0">
                <wp:extent cx="1638300" cy="2447925"/>
                <wp:effectExtent l="0" t="0" r="0" b="9525"/>
                <wp:docPr id="7" name="图片 7" descr="b8dcece6f9cb5c78ee8aec7aa08354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8dcece6f9cb5c78ee8aec7aa083546e"/>
                        <pic:cNvPicPr>
                          <a:picLocks noChangeAspect="1"/>
                        </pic:cNvPicPr>
                        <pic:nvPr/>
                      </pic:nvPicPr>
                      <pic:blipFill>
                        <a:blip r:embed="rId17"/>
                        <a:stretch/>
                      </pic:blipFill>
                      <pic:spPr bwMode="auto">
                        <a:xfrm>
                          <a:off x="0" y="0"/>
                          <a:ext cx="1638300" cy="2447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9.0pt;height:192.8pt;mso-wrap-distance-left:0.0pt;mso-wrap-distance-top:0.0pt;mso-wrap-distance-right:0.0pt;mso-wrap-distance-bottom:0.0pt;" stroked="false">
                <v:path textboxrect="0,0,0,0"/>
                <v:imagedata r:id="rId17" o:title=""/>
              </v:shape>
            </w:pict>
          </mc:Fallback>
        </mc:AlternateContent>
      </w:r>
      <w:r/>
    </w:p>
    <w:p>
      <w:pPr>
        <w:pStyle w:val="718"/>
        <w:rPr>
          <w:rFonts w:hint="eastAsia"/>
          <w:lang w:eastAsia="zh-CN"/>
        </w:rPr>
      </w:pPr>
      <w:r>
        <w:rPr>
          <w:rFonts w:hint="eastAsia"/>
          <w:lang w:eastAsia="zh-CN"/>
        </w:rPr>
      </w:r>
      <w:r/>
    </w:p>
    <w:p>
      <w:pPr>
        <w:pStyle w:val="718"/>
        <w:rPr>
          <w:rFonts w:hint="eastAsia"/>
          <w:lang w:eastAsia="zh-CN"/>
        </w:rPr>
      </w:pPr>
      <w:r>
        <w:rPr>
          <w:rFonts w:hint="eastAsia"/>
          <w:lang w:eastAsia="zh-CN"/>
        </w:rPr>
      </w:r>
      <w:r/>
    </w:p>
    <w:p>
      <w:pPr>
        <w:jc w:val="center"/>
        <w:rPr>
          <w:rFonts w:hint="eastAsia" w:ascii="宋体" w:hAnsi="宋体" w:eastAsia="宋体" w:cs="Courier New"/>
          <w:b/>
          <w:bCs/>
          <w:color w:val="auto"/>
          <w:sz w:val="28"/>
          <w:szCs w:val="28"/>
          <w:highlight w:val="none"/>
          <w:lang w:val="en-US" w:eastAsia="zh-CN" w:bidi="ar-SA"/>
        </w:rPr>
      </w:pPr>
      <w:r>
        <w:rPr>
          <w:rFonts w:hint="eastAsia" w:ascii="宋体" w:hAnsi="宋体" w:eastAsia="宋体" w:cs="Courier New"/>
          <w:b/>
          <w:bCs/>
          <w:color w:val="auto"/>
          <w:sz w:val="28"/>
          <w:szCs w:val="28"/>
          <w:highlight w:val="none"/>
          <w:lang w:val="en-US" w:eastAsia="zh-CN" w:bidi="ar-SA"/>
        </w:rPr>
        <w:br w:type="page" w:clear="all"/>
      </w:r>
      <w:r/>
    </w:p>
    <w:p>
      <w:pPr>
        <w:numPr>
          <w:ilvl w:val="0"/>
          <w:numId w:val="0"/>
        </w:numPr>
        <w:keepLines w:val="0"/>
        <w:keepNext w:val="0"/>
        <w:pageBreakBefore w:val="0"/>
        <w:spacing w:line="240" w:lineRule="auto"/>
        <w:widowControl w:val="off"/>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mc:AlternateContent>
          <mc:Choice Requires="wpg">
            <w:drawing>
              <wp:inline xmlns:wp="http://schemas.openxmlformats.org/drawingml/2006/wordprocessingDrawing" distT="0" distB="0" distL="0" distR="0">
                <wp:extent cx="5398135" cy="3916680"/>
                <wp:effectExtent l="0" t="0" r="12065" b="7620"/>
                <wp:docPr id="8" name="图片 9" descr="微信图片_20260814143358_31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814143358_31_559"/>
                        <pic:cNvPicPr>
                          <a:picLocks noChangeAspect="1"/>
                        </pic:cNvPicPr>
                        <pic:nvPr/>
                      </pic:nvPicPr>
                      <pic:blipFill>
                        <a:blip r:embed="rId18"/>
                        <a:stretch/>
                      </pic:blipFill>
                      <pic:spPr bwMode="auto">
                        <a:xfrm>
                          <a:off x="0" y="0"/>
                          <a:ext cx="5398135" cy="39166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0pt;height:308.4pt;mso-wrap-distance-left:0.0pt;mso-wrap-distance-top:0.0pt;mso-wrap-distance-right:0.0pt;mso-wrap-distance-bottom:0.0pt;" stroked="false">
                <v:path textboxrect="0,0,0,0"/>
                <v:imagedata r:id="rId18" o:title=""/>
              </v:shape>
            </w:pict>
          </mc:Fallback>
        </mc:AlternateConten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numPr>
          <w:ilvl w:val="0"/>
          <w:numId w:val="0"/>
        </w:numPr>
        <w:keepLines w:val="0"/>
        <w:keepNext w:val="0"/>
        <w:pageBreakBefore w:val="0"/>
        <w:spacing w:line="480" w:lineRule="exact"/>
        <w:widowControl w:val="off"/>
        <w:tabs>
          <w:tab w:val="left" w:pos="0" w:leader="none"/>
        </w:tabs>
        <w:rPr>
          <w:rFonts w:hint="default"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2.钢木讲台</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尺寸：长</w:t>
      </w:r>
      <w:r>
        <w:rPr>
          <w:rFonts w:hint="eastAsia" w:ascii="仿宋" w:hAnsi="仿宋" w:eastAsia="仿宋" w:cs="仿宋"/>
          <w:b w:val="0"/>
          <w:bCs w:val="0"/>
          <w:color w:val="auto"/>
          <w:sz w:val="24"/>
          <w:szCs w:val="24"/>
          <w:highlight w:val="none"/>
        </w:rPr>
        <w:t xml:space="preserve">1200*</w:t>
      </w:r>
      <w:r>
        <w:rPr>
          <w:rFonts w:hint="eastAsia"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rPr>
        <w:t xml:space="preserve">700*</w:t>
      </w:r>
      <w:r>
        <w:rPr>
          <w:rFonts w:hint="eastAsia" w:ascii="仿宋" w:hAnsi="仿宋" w:eastAsia="仿宋" w:cs="仿宋"/>
          <w:b w:val="0"/>
          <w:bCs w:val="0"/>
          <w:color w:val="auto"/>
          <w:sz w:val="24"/>
          <w:szCs w:val="24"/>
          <w:highlight w:val="none"/>
          <w:lang w:val="en-US" w:eastAsia="zh-CN"/>
        </w:rPr>
        <w:t xml:space="preserve">高</w:t>
      </w:r>
      <w:r>
        <w:rPr>
          <w:rFonts w:hint="eastAsia" w:ascii="仿宋" w:hAnsi="仿宋" w:eastAsia="仿宋" w:cs="仿宋"/>
          <w:b w:val="0"/>
          <w:bCs w:val="0"/>
          <w:color w:val="auto"/>
          <w:sz w:val="24"/>
          <w:szCs w:val="24"/>
          <w:highlight w:val="none"/>
        </w:rPr>
        <w:t xml:space="preserve">1000mm</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技术参数：</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材质：主体材料采用优质冷轧钢板，（承重部位壁厚≥1.2MM，桌体壁厚≥1.0MM），桌面防火板材厚度1.5cm，实木橡</w:t>
      </w:r>
      <w:r>
        <w:rPr>
          <w:rFonts w:hint="eastAsia" w:ascii="仿宋" w:hAnsi="仿宋" w:eastAsia="仿宋" w:cs="仿宋"/>
          <w:b w:val="0"/>
          <w:bCs w:val="0"/>
          <w:color w:val="auto"/>
          <w:sz w:val="24"/>
          <w:szCs w:val="24"/>
          <w:highlight w:val="none"/>
          <w:lang w:val="en-US" w:eastAsia="zh-CN"/>
        </w:rPr>
        <w:t xml:space="preserve">胶</w:t>
      </w:r>
      <w:r>
        <w:rPr>
          <w:rFonts w:hint="eastAsia" w:ascii="仿宋" w:hAnsi="仿宋" w:eastAsia="仿宋" w:cs="仿宋"/>
          <w:b w:val="0"/>
          <w:bCs w:val="0"/>
          <w:color w:val="auto"/>
          <w:sz w:val="24"/>
          <w:szCs w:val="24"/>
          <w:highlight w:val="none"/>
        </w:rPr>
        <w:t xml:space="preserve">木扶手。</w:t>
      </w:r>
      <w:r>
        <w:rPr>
          <w:rFonts w:hint="eastAsia" w:ascii="仿宋" w:hAnsi="仿宋" w:eastAsia="仿宋" w:cs="仿宋"/>
          <w:b w:val="0"/>
          <w:bCs w:val="0"/>
          <w:color w:val="auto"/>
          <w:sz w:val="24"/>
          <w:szCs w:val="24"/>
          <w:highlight w:val="none"/>
          <w:lang w:val="en-US" w:eastAsia="zh-CN"/>
        </w:rPr>
        <w:t xml:space="preserve">木材</w:t>
      </w:r>
      <w:r>
        <w:rPr>
          <w:rFonts w:hint="eastAsia" w:ascii="仿宋" w:hAnsi="仿宋" w:eastAsia="仿宋" w:cs="仿宋"/>
          <w:b w:val="0"/>
          <w:bCs w:val="0"/>
          <w:color w:val="auto"/>
          <w:sz w:val="24"/>
          <w:szCs w:val="24"/>
          <w:highlight w:val="none"/>
        </w:rPr>
        <w:t xml:space="preserve">含水率≤10%。</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工艺：讲台主体部分经脱脂、磷化、静电喷塑、溜平固化；所有钣金部分均采用激光切割加工，所有尖角倒圆角不小于R3，保证使用者和维护者不划伤。木制部分采用优质环保清漆，UV底漆三遍，水性面漆两遍，油漆符合GB30981.2—2025。</w:t>
      </w:r>
      <w:r/>
    </w:p>
    <w:p>
      <w:pPr>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sz w:val="28"/>
          <w:highlight w:val="none"/>
          <w:lang w:val="en-US" w:eastAsia="zh-CN"/>
        </w:rPr>
        <w:br w:type="page" w:clear="all"/>
      </w:r>
      <w:r/>
    </w:p>
    <w:p>
      <w:pPr>
        <w:jc w:val="center"/>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sz w:val="28"/>
          <w:highlight w:val="none"/>
          <w:lang w:val="en-US" w:eastAsia="zh-CN"/>
        </w:rPr>
        <w:t xml:space="preserve">参考图片</w:t>
      </w:r>
      <w:r/>
    </w:p>
    <w:p>
      <w:pPr>
        <w:jc w:val="center"/>
        <w:rPr>
          <w:rFonts w:hint="eastAsia" w:asciiTheme="minorEastAsia" w:hAnsiTheme="minorEastAsia" w:eastAsiaTheme="minorEastAsia" w:cstheme="minorEastAsia"/>
          <w:color w:val="auto"/>
          <w:sz w:val="28"/>
          <w:highlight w:val="none"/>
        </w:rPr>
      </w:pPr>
      <w:r>
        <w:rPr>
          <w:rFonts w:hint="eastAsia" w:ascii="宋体" w:hAnsi="宋体"/>
          <w:b/>
          <w:bCs/>
          <w:color w:val="auto"/>
          <w:sz w:val="28"/>
          <w:szCs w:val="28"/>
          <w:highlight w:val="none"/>
          <w:lang w:val="en-US" w:eastAsia="zh-CN"/>
        </w:rPr>
        <mc:AlternateContent>
          <mc:Choice Requires="wpg">
            <w:drawing>
              <wp:inline xmlns:wp="http://schemas.openxmlformats.org/drawingml/2006/wordprocessingDrawing" distT="0" distB="0" distL="0" distR="0">
                <wp:extent cx="3996055" cy="3681730"/>
                <wp:effectExtent l="0" t="0" r="0" b="0"/>
                <wp:docPr id="9" name="图片 18" descr="中专讲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descr="中专讲台"/>
                        <pic:cNvPicPr>
                          <a:picLocks noChangeAspect="1"/>
                        </pic:cNvPicPr>
                        <pic:nvPr/>
                      </pic:nvPicPr>
                      <pic:blipFill>
                        <a:blip r:embed="rId19"/>
                        <a:srcRect l="0" t="10010" r="0" b="0"/>
                        <a:stretch/>
                      </pic:blipFill>
                      <pic:spPr bwMode="auto">
                        <a:xfrm>
                          <a:off x="0" y="0"/>
                          <a:ext cx="3996055" cy="3681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4.6pt;height:289.9pt;mso-wrap-distance-left:0.0pt;mso-wrap-distance-top:0.0pt;mso-wrap-distance-right:0.0pt;mso-wrap-distance-bottom:0.0pt;" stroked="false">
                <v:path textboxrect="0,0,0,0"/>
                <v:imagedata r:id="rId19" o:title=""/>
              </v:shape>
            </w:pict>
          </mc:Fallback>
        </mc:AlternateContent>
      </w:r>
      <w:r/>
    </w:p>
    <w:p>
      <w:pPr>
        <w:rPr>
          <w:rFonts w:hint="eastAsia" w:ascii="仿宋" w:hAnsi="仿宋" w:eastAsia="仿宋" w:cs="仿宋"/>
          <w:color w:val="auto"/>
          <w:sz w:val="24"/>
          <w:szCs w:val="32"/>
          <w:highlight w:val="none"/>
        </w:rPr>
      </w:pPr>
      <w:r>
        <w:rPr>
          <w:rFonts w:hint="eastAsia" w:ascii="宋体" w:hAnsi="宋体" w:eastAsia="宋体" w:cs="Courier New"/>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供货要求</w:t>
      </w:r>
      <w:r/>
    </w:p>
    <w:p>
      <w:pPr>
        <w:jc w:val="left"/>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合同签订之日起15天内</w:t>
      </w:r>
      <w:r>
        <w:rPr>
          <w:rFonts w:hint="eastAsia" w:ascii="仿宋" w:hAnsi="仿宋" w:eastAsia="仿宋" w:cs="仿宋"/>
          <w:color w:val="auto"/>
          <w:sz w:val="24"/>
          <w:szCs w:val="24"/>
          <w:highlight w:val="none"/>
          <w:lang w:val="en-US" w:eastAsia="zh-CN"/>
        </w:rPr>
        <w:t xml:space="preserve">供货达成率</w:t>
      </w:r>
      <w:r>
        <w:rPr>
          <w:rFonts w:hint="eastAsia" w:ascii="仿宋" w:hAnsi="仿宋" w:eastAsia="仿宋" w:cs="仿宋"/>
          <w:b w:val="0"/>
          <w:bCs w:val="0"/>
          <w:color w:val="auto"/>
          <w:sz w:val="24"/>
          <w:szCs w:val="24"/>
          <w:highlight w:val="none"/>
          <w:lang w:val="en-US" w:eastAsia="zh-CN"/>
        </w:rPr>
        <w:t xml:space="preserve">应达100%</w:t>
      </w:r>
      <w:r>
        <w:rPr>
          <w:rFonts w:hint="eastAsia" w:ascii="仿宋" w:hAnsi="仿宋" w:eastAsia="仿宋" w:cs="仿宋"/>
          <w:color w:val="auto"/>
          <w:sz w:val="24"/>
          <w:szCs w:val="24"/>
          <w:highlight w:val="none"/>
          <w:lang w:eastAsia="zh-CN"/>
        </w:rPr>
        <w:t xml:space="preserve">。</w:t>
      </w:r>
      <w:r/>
    </w:p>
    <w:p>
      <w:pPr>
        <w:pStyle w:val="72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验收要求</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 到货初验（现场）</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完成供货后</w:t>
      </w:r>
      <w:r>
        <w:rPr>
          <w:rFonts w:hint="eastAsia" w:ascii="仿宋" w:hAnsi="仿宋" w:eastAsia="仿宋" w:cs="仿宋"/>
          <w:color w:val="auto"/>
          <w:sz w:val="24"/>
          <w:szCs w:val="24"/>
          <w:highlight w:val="none"/>
        </w:rPr>
        <w:t xml:space="preserve">，采购人组织现场初验，检查成品外观。不合格件当场标记，供应商须在3日内无条件撤换。</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外观接收准则：</w:t>
      </w:r>
      <w:r/>
    </w:p>
    <w:tbl>
      <w:tblPr>
        <w:tblStyle w:val="74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510"/>
      </w:tblGrid>
      <w:tr>
        <w:trPr>
          <w:jc w:val="center"/>
          <w:trHeight w:val="0"/>
          <w:tblHeader/>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合格形态</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漆膜完整性</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无流挂、橘皮、颗粒、气泡、针孔、发粘、回粘</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边缘/棱角</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倒圆/倒角一致，漆膜覆盖到边（不应露白茬木）</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色泽纹理</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同批桌面目视无明显跳色</w:t>
            </w:r>
            <w:r>
              <w:rPr>
                <w:rFonts w:hint="eastAsia" w:ascii="仿宋" w:hAnsi="仿宋" w:eastAsia="仿宋" w:cs="仿宋"/>
                <w:color w:val="auto"/>
                <w:sz w:val="24"/>
                <w:szCs w:val="24"/>
                <w:highlight w:val="none"/>
                <w:lang w:eastAsia="zh-CN"/>
              </w:rPr>
              <w:t xml:space="preserve">；允许天然木纹差异，严禁“阴阳色/斑块”及明显修补痕迹</w:t>
            </w: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拼缝</w:t>
            </w:r>
            <w:r>
              <w:rPr>
                <w:rFonts w:hint="eastAsia" w:ascii="仿宋" w:hAnsi="仿宋" w:eastAsia="仿宋" w:cs="仿宋"/>
                <w:color w:val="auto"/>
                <w:sz w:val="24"/>
                <w:szCs w:val="24"/>
                <w:highlight w:val="none"/>
                <w:lang w:val="en-US" w:eastAsia="zh-CN"/>
              </w:rPr>
              <w:t xml:space="preserve">与</w:t>
            </w:r>
            <w:r>
              <w:rPr>
                <w:rFonts w:hint="eastAsia" w:ascii="仿宋" w:hAnsi="仿宋" w:eastAsia="仿宋" w:cs="仿宋"/>
                <w:color w:val="auto"/>
                <w:sz w:val="24"/>
                <w:szCs w:val="24"/>
                <w:highlight w:val="none"/>
              </w:rPr>
              <w:t xml:space="preserve">封边</w:t>
            </w: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指接板胶缝不发黑、不泛油线；封边条与板面平顺，漆膜不得堆积形成“胶棱”</w:t>
            </w:r>
            <w:r/>
          </w:p>
        </w:tc>
      </w:tr>
    </w:tbl>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 抽检验证（环保+质量）</w:t>
      </w:r>
      <w:r/>
    </w:p>
    <w:p>
      <w:pPr>
        <w:keepLines w:val="0"/>
        <w:keepNext w:val="0"/>
        <w:pageBreakBefore w:val="0"/>
        <w:spacing w:line="48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核心产品实行批次抽检制。抽检样品在本次采购成品中随机抽取，由供应商代表、检测机构人员、采购人代表三方共同封存。</w:t>
      </w:r>
      <w:r/>
    </w:p>
    <w:p>
      <w:pPr>
        <w:keepLines w:val="0"/>
        <w:keepNext w:val="0"/>
        <w:pageBreakBefore w:val="0"/>
        <w:spacing w:line="480" w:lineRule="exact"/>
        <w:widowControl/>
        <w:rPr>
          <w:rFonts w:hint="default"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抽检指标</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环保：</w:t>
      </w:r>
      <w:r>
        <w:rPr>
          <w:rFonts w:hint="eastAsia" w:ascii="仿宋" w:hAnsi="仿宋" w:eastAsia="仿宋" w:cs="仿宋"/>
          <w:color w:val="auto"/>
          <w:sz w:val="24"/>
          <w:szCs w:val="24"/>
          <w:highlight w:val="none"/>
          <w:lang w:val="en-US" w:eastAsia="zh-CN"/>
        </w:rPr>
        <w:t xml:space="preserve">按</w:t>
      </w:r>
      <w:r>
        <w:rPr>
          <w:rFonts w:hint="eastAsia" w:ascii="仿宋" w:hAnsi="仿宋" w:eastAsia="仿宋" w:cs="仿宋"/>
          <w:color w:val="auto"/>
          <w:sz w:val="24"/>
          <w:szCs w:val="24"/>
          <w:highlight w:val="none"/>
        </w:rPr>
        <w:t xml:space="preserve">GB 18584-2024</w:t>
      </w:r>
      <w:r>
        <w:rPr>
          <w:rFonts w:hint="eastAsia" w:ascii="仿宋" w:hAnsi="仿宋" w:eastAsia="仿宋" w:cs="仿宋"/>
          <w:color w:val="auto"/>
          <w:sz w:val="24"/>
          <w:szCs w:val="24"/>
          <w:highlight w:val="none"/>
          <w:lang w:val="en-US" w:eastAsia="zh-CN"/>
        </w:rPr>
        <w:t xml:space="preserve">执行，</w:t>
      </w:r>
      <w:r>
        <w:rPr>
          <w:rFonts w:hint="eastAsia" w:ascii="仿宋" w:hAnsi="仿宋" w:eastAsia="仿宋" w:cs="仿宋"/>
          <w:color w:val="auto"/>
          <w:sz w:val="24"/>
          <w:szCs w:val="24"/>
          <w:highlight w:val="none"/>
        </w:rPr>
        <w:t xml:space="preserve">甲醛、苯、甲苯、二甲苯和TVOC释放量须符合GB 18584-2024表1强制限值。</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质量（漆膜理化）：按GB/T 3324-2024执行，且须达到以下等级：附着力≥3级、耐磨性≥3级</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480" w:lineRule="exact"/>
        <w:widowControl/>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抽检安排：</w:t>
      </w:r>
      <w:r/>
    </w:p>
    <w:p>
      <w:pPr>
        <w:keepLines w:val="0"/>
        <w:keepNext w:val="0"/>
        <w:pageBreakBefore w:val="0"/>
        <w:spacing w:line="480" w:lineRule="exact"/>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成交供应商送货前须提前3个工作日告知学校，由学校组织现场抽检。</w:t>
      </w:r>
      <w:r/>
    </w:p>
    <w:p>
      <w:pPr>
        <w:keepLines w:val="0"/>
        <w:keepNext w:val="0"/>
        <w:pageBreakBefore w:val="0"/>
        <w:spacing w:line="480" w:lineRule="exact"/>
        <w:widowControl/>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抽检机构</w:t>
      </w:r>
      <w:r/>
    </w:p>
    <w:p>
      <w:pPr>
        <w:keepLines w:val="0"/>
        <w:keepNext w:val="0"/>
        <w:pageBreakBefore w:val="0"/>
        <w:spacing w:line="480" w:lineRule="exact"/>
        <w:widowControl/>
        <w:rPr>
          <w:rFonts w:hint="default"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南通市产品质量监督检验所（法定质检机构）。</w:t>
      </w:r>
      <w:r/>
    </w:p>
    <w:p>
      <w:pPr>
        <w:keepLines w:val="0"/>
        <w:keepNext w:val="0"/>
        <w:pageBreakBefore w:val="0"/>
        <w:spacing w:line="48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 费用与后果</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检测费用由</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供应商承担。检测达不到</w:t>
      </w:r>
      <w:r>
        <w:rPr>
          <w:rFonts w:hint="eastAsia" w:ascii="仿宋" w:hAnsi="仿宋" w:eastAsia="仿宋" w:cs="仿宋"/>
          <w:color w:val="auto"/>
          <w:sz w:val="24"/>
          <w:szCs w:val="24"/>
          <w:highlight w:val="none"/>
          <w:lang w:val="en-US" w:eastAsia="zh-CN"/>
        </w:rPr>
        <w:t xml:space="preserve">上述</w:t>
      </w:r>
      <w:r>
        <w:rPr>
          <w:rFonts w:hint="eastAsia" w:ascii="仿宋" w:hAnsi="仿宋" w:eastAsia="仿宋" w:cs="仿宋"/>
          <w:color w:val="auto"/>
          <w:sz w:val="24"/>
          <w:szCs w:val="24"/>
          <w:highlight w:val="none"/>
        </w:rPr>
        <w:t xml:space="preserve">要求的：</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立即停止该批次供货与安装；</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供应商须在</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日内整改到位，并承担扩大抽检及复检费用；</w:t>
      </w:r>
      <w:r/>
    </w:p>
    <w:p>
      <w:pPr>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复检仍不合格的，采购人有权解除合同，不予退还履约保证金，供应商应赔偿由此造成的直接经济损失（含重购差价、工期延误费等）。</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（1）实施时间：合同签订后15个日历天内完成交付，并通过初步验收。</w:t>
      </w:r>
      <w:r/>
    </w:p>
    <w:p>
      <w:pP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（2）交付地点：采购人指定的安装地点。运输、搬运及安装调试等供货要求，均按询价文件要求执行。</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本项目</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免费质保三年</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，时间自该批次最终验收合格并交付学校使用之日起算。（因检测不合格导致退货或整改的，该批次质保期自整改后重新验收合格并交付使用之日起计算）</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询价</w:t>
      </w:r>
      <w:r>
        <w:rPr>
          <w:rFonts w:hint="eastAsia" w:ascii="仿宋_GB2312" w:eastAsia="仿宋_GB2312"/>
          <w:color w:val="000000" w:themeColor="text1"/>
          <w:sz w:val="24"/>
          <w:szCs w:val="24"/>
          <w:highlight w:val="none"/>
          <w14:textFill>
            <w14:solidFill>
              <w14:schemeClr w14:val="tx1"/>
            </w14:solidFill>
          </w14:textFill>
        </w:rPr>
        <w:t xml:space="preserve">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学校验收合格后，成交供应商应在5个工作日内向该学校开具对应金额的合法有效发票；该学校在收到发票之日起10个工作日内，向成交供应商一次性付清对应款项。如因发票内容、格式等问题导致付款延迟，成交供应商应积极配合更正，由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pStyle w:val="718"/>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1.报价实质性要求</w:t>
      </w:r>
      <w:r/>
    </w:p>
    <w:p>
      <w:pPr>
        <w:pStyle w:val="718"/>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1.1供应商应对所投项目的全部内容进行报价，只选择其中部分内容报价者，视为无效报价。</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 w:hAnsi="仿宋" w:eastAsia="仿宋" w:cs="仿宋"/>
          <w:b/>
          <w:bCs/>
          <w:i w:val="0"/>
          <w:iCs w:val="0"/>
          <w:color w:val="auto"/>
          <w:sz w:val="24"/>
          <w:szCs w:val="24"/>
          <w:highlight w:val="none"/>
          <w:u w:val="single"/>
          <w:lang w:val="en-US" w:eastAsia="zh-CN"/>
        </w:rPr>
        <w:t xml:space="preserve">2.</w:t>
      </w:r>
      <w:r>
        <w:rPr>
          <w:rFonts w:hint="eastAsia" w:ascii="仿宋_GB2312" w:hAnsi="Times New Roman" w:eastAsia="仿宋_GB2312" w:cs="Times New Roman"/>
          <w:b/>
          <w:bCs/>
          <w:color w:val="auto"/>
          <w:sz w:val="24"/>
          <w:szCs w:val="24"/>
          <w:highlight w:val="none"/>
          <w:u w:val="single"/>
          <w:lang w:val="en-US" w:eastAsia="zh-CN"/>
        </w:rPr>
        <w:t xml:space="preserve">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 w:hAnsi="仿宋" w:eastAsia="仿宋" w:cs="仿宋"/>
          <w:b/>
          <w:bCs/>
          <w:i w:val="0"/>
          <w:iCs w:val="0"/>
          <w:color w:val="auto"/>
          <w:sz w:val="24"/>
          <w:szCs w:val="24"/>
          <w:highlight w:val="none"/>
          <w:u w:val="single"/>
          <w:lang w:val="en-US" w:eastAsia="zh-CN"/>
        </w:rPr>
        <w:t xml:space="preserve">3.商务部分实质性要求</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p>
    <w:p>
      <w:pPr>
        <w:pStyle w:val="718"/>
        <w:ind w:left="0" w:firstLine="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auto"/>
          <w:sz w:val="24"/>
          <w:szCs w:val="24"/>
          <w:highlight w:val="none"/>
          <w:u w:val="single"/>
          <w:lang w:val="en-US" w:eastAsia="zh-CN"/>
        </w:rPr>
        <w:t xml:space="preserve">3.1</w:t>
      </w:r>
      <w:r>
        <w:rPr>
          <w:rFonts w:hint="eastAsia" w:ascii="仿宋_GB2312" w:hAnsi="Times New Roman" w:eastAsia="仿宋_GB2312" w:cs="Times New Roman"/>
          <w:color w:val="auto"/>
          <w:sz w:val="24"/>
          <w:szCs w:val="24"/>
          <w:highlight w:val="none"/>
          <w:u w:val="single"/>
          <w:lang w:val="en-US" w:eastAsia="zh-CN"/>
        </w:rPr>
        <w:t xml:space="preserve">本项目须在合同签订后</w:t>
      </w:r>
      <w:r>
        <w:rPr>
          <w:rFonts w:hint="eastAsia" w:ascii="仿宋_GB2312" w:eastAsia="仿宋_GB2312" w:cs="Times New Roman"/>
          <w:color w:val="auto"/>
          <w:sz w:val="24"/>
          <w:szCs w:val="24"/>
          <w:highlight w:val="none"/>
          <w:u w:val="single"/>
          <w:lang w:val="en-US" w:eastAsia="zh-CN"/>
        </w:rPr>
        <w:t xml:space="preserve">15</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个日历天内完成交付，供应商须提供书面承诺函（内容须包括供货时间和供货达成率），加盖公章，格式自拟。</w:t>
      </w:r>
      <w:r>
        <w:rPr>
          <w:rFonts w:hint="eastAsia" w:ascii="仿宋" w:hAnsi="仿宋" w:eastAsia="仿宋" w:cs="仿宋"/>
          <w:sz w:val="24"/>
          <w:szCs w:val="24"/>
          <w:highlight w:val="none"/>
        </w:rPr>
        <w:br w:type="page" w:clear="all"/>
      </w:r>
      <w:r/>
    </w:p>
    <w:p>
      <w:pPr>
        <w:pStyle w:val="71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2"/>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1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uiPriority w:val="0"/>
    <w:qFormat/>
    <w:pPr>
      <w:ind w:left="0" w:firstLine="420"/>
      <w:spacing w:after="0" w:line="360" w:lineRule="auto"/>
    </w:pPr>
    <w:rPr>
      <w:rFonts w:ascii="宋体" w:hAnsi="宋体"/>
      <w:sz w:val="20"/>
      <w:szCs w:val="20"/>
      <w:lang w:val="en-US" w:eastAsia="en-US"/>
    </w:rPr>
  </w:style>
  <w:style w:type="paragraph" w:styleId="719" w:customStyle="1">
    <w:name w:val="正文文本缩进1"/>
    <w:basedOn w:val="706"/>
    <w:next w:val="718"/>
    <w:uiPriority w:val="0"/>
    <w:unhideWhenUsed/>
    <w:qFormat/>
    <w:pPr>
      <w:ind w:left="420"/>
      <w:spacing w:after="1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next w:val="723"/>
    <w:uiPriority w:val="99"/>
    <w:qFormat/>
    <w:rPr>
      <w:rFonts w:ascii="楷体_GB2312" w:hAnsi="Arial" w:eastAsia="楷体_GB2312"/>
      <w:sz w:val="28"/>
      <w:szCs w:val="28"/>
    </w:rPr>
  </w:style>
  <w:style w:type="paragraph" w:styleId="723"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6"/>
    <w:next w:val="706"/>
    <w:uiPriority w:val="0"/>
    <w:qFormat/>
    <w:pPr>
      <w:ind w:firstLine="403"/>
      <w:spacing w:line="440" w:lineRule="exact"/>
    </w:pPr>
    <w:rPr>
      <w:rFonts w:ascii="宋体" w:hAnsi="宋体"/>
      <w:sz w:val="20"/>
      <w:szCs w:val="21"/>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3"/>
    <w:uiPriority w:val="99"/>
    <w:semiHidden/>
    <w:unhideWhenUsed/>
    <w:qFormat/>
    <w:pPr>
      <w:spacing w:after="0" w:line="240" w:lineRule="auto"/>
    </w:pPr>
    <w:rPr>
      <w:sz w:val="20"/>
    </w:rPr>
  </w:style>
  <w:style w:type="paragraph" w:styleId="729">
    <w:name w:val="Footer"/>
    <w:basedOn w:val="706"/>
    <w:link w:val="766"/>
    <w:uiPriority w:val="99"/>
    <w:unhideWhenUsed/>
    <w:qFormat/>
    <w:pPr>
      <w:spacing w:after="0" w:line="240" w:lineRule="auto"/>
      <w:tabs>
        <w:tab w:val="center" w:pos="7143" w:leader="none"/>
        <w:tab w:val="right" w:pos="14287" w:leader="none"/>
      </w:tabs>
    </w:pPr>
  </w:style>
  <w:style w:type="paragraph" w:styleId="730">
    <w:name w:val="Header"/>
    <w:basedOn w:val="706"/>
    <w:link w:val="764"/>
    <w:uiPriority w:val="99"/>
    <w:unhideWhenUsed/>
    <w:qFormat/>
    <w:pPr>
      <w:spacing w:after="0" w:line="240" w:lineRule="auto"/>
      <w:tabs>
        <w:tab w:val="center" w:pos="7143" w:leader="none"/>
        <w:tab w:val="right" w:pos="14287" w:leader="none"/>
      </w:tabs>
    </w:pPr>
  </w:style>
  <w:style w:type="paragraph" w:styleId="731">
    <w:name w:val="toc 1"/>
    <w:basedOn w:val="706"/>
    <w:next w:val="706"/>
    <w:uiPriority w:val="39"/>
    <w:unhideWhenUsed/>
    <w:qFormat/>
    <w:pPr>
      <w:ind w:left="0" w:right="0" w:firstLine="0"/>
      <w:spacing w:after="57"/>
    </w:pPr>
  </w:style>
  <w:style w:type="paragraph" w:styleId="732">
    <w:name w:val="toc 4"/>
    <w:basedOn w:val="706"/>
    <w:next w:val="706"/>
    <w:uiPriority w:val="39"/>
    <w:unhideWhenUsed/>
    <w:qFormat/>
    <w:pPr>
      <w:ind w:left="850" w:right="0" w:firstLine="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line="240" w:lineRule="auto"/>
    </w:pPr>
    <w:rPr>
      <w:sz w:val="18"/>
    </w:rPr>
  </w:style>
  <w:style w:type="paragraph" w:styleId="735">
    <w:name w:val="toc 6"/>
    <w:basedOn w:val="706"/>
    <w:next w:val="706"/>
    <w:uiPriority w:val="39"/>
    <w:unhideWhenUsed/>
    <w:qFormat/>
    <w:pPr>
      <w:ind w:left="1417" w:right="0" w:firstLine="0"/>
      <w:spacing w:after="57"/>
    </w:pPr>
  </w:style>
  <w:style w:type="paragraph" w:styleId="736">
    <w:name w:val="table of figures"/>
    <w:basedOn w:val="706"/>
    <w:next w:val="706"/>
    <w:uiPriority w:val="99"/>
    <w:unhideWhenUsed/>
    <w:qFormat/>
    <w:pPr>
      <w:spacing w:after="0" w:afterAutospacing="0"/>
    </w:pPr>
  </w:style>
  <w:style w:type="paragraph" w:styleId="737">
    <w:name w:val="toc 2"/>
    <w:basedOn w:val="706"/>
    <w:next w:val="706"/>
    <w:uiPriority w:val="39"/>
    <w:unhideWhenUsed/>
    <w:qFormat/>
    <w:pPr>
      <w:ind w:left="283" w:right="0" w:firstLine="0"/>
      <w:spacing w:after="57"/>
    </w:pPr>
  </w:style>
  <w:style w:type="paragraph" w:styleId="738">
    <w:name w:val="toc 9"/>
    <w:basedOn w:val="706"/>
    <w:next w:val="706"/>
    <w:uiPriority w:val="39"/>
    <w:unhideWhenUsed/>
    <w:qFormat/>
    <w:pPr>
      <w:ind w:left="2268" w:right="0" w:firstLine="0"/>
      <w:spacing w:after="57"/>
    </w:pPr>
  </w:style>
  <w:style w:type="paragraph" w:styleId="739">
    <w:name w:val="Normal (Web)"/>
    <w:basedOn w:val="706"/>
    <w:uiPriority w:val="0"/>
    <w:qFormat/>
    <w:pPr>
      <w:jc w:val="left"/>
      <w:spacing w:beforeAutospacing="1" w:afterAutospacing="1"/>
    </w:pPr>
    <w:rPr>
      <w:sz w:val="24"/>
    </w:rPr>
  </w:style>
  <w:style w:type="paragraph" w:styleId="740">
    <w:name w:val="Title"/>
    <w:basedOn w:val="706"/>
    <w:next w:val="706"/>
    <w:link w:val="758"/>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0"/>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eb7418e1-9a57-4c80-b69d-50ad0af6f9a6</errorID>
      <errorWord>面板为</errorWord>
      <group>L1_Word</group>
      <groupName>字词问题</groupName>
      <ability>L2_Typo</ability>
      <abilityName>字词错误</abilityName>
      <candidateList>
        <item>面板</item>
      </candidateList>
      <explain/>
      <paraID>14768A9E</paraID>
      <start>12</start>
      <end>14</end>
      <status>modified</status>
      <modifiedWord>面板</modifiedWord>
      <trackRevisions>false</trackRevisions>
    </reviewItem>
    <reviewItem>
      <errorID>cefda002-542c-43be-830f-b12ddb741082</errorID>
      <errorWord>死节</errorWord>
      <group>L1_Word</group>
      <groupName>字词问题</groupName>
      <ability>L2_Typo</ability>
      <abilityName>字词错误</abilityName>
      <candidateList>
        <item>死结</item>
      </candidateList>
      <explain>存在发音相同字词的误用。</explain>
      <paraID>14768A9E</paraID>
      <start>75</start>
      <end>77</end>
      <status>modified</status>
      <modifiedWord>死结</modifiedWord>
      <trackRevisions>false</trackRevisions>
    </reviewItem>
    <reviewItem>
      <errorID>95455c7c-172c-4316-a8a5-7391d05a84b6</errorID>
      <errorWord>档</errorWord>
      <group>L1_Word</group>
      <groupName>字词问题</groupName>
      <ability>L2_Typo</ability>
      <abilityName>字词错误</abilityName>
      <candidateList>
        <item>挡</item>
      </candidateList>
      <explain>存在发音相同字词的误用。</explain>
      <paraID>35F51C1C</paraID>
      <start>72</start>
      <end>73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4886332-ECD3-4343-B3FA-FF5E7AD2B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30</cp:revision>
  <dcterms:created xsi:type="dcterms:W3CDTF">2023-12-07T03:32:00Z</dcterms:created>
  <dcterms:modified xsi:type="dcterms:W3CDTF">2026-08-17T01:39:43Z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B06A13CDFE3D4C949C5816E15AF2D84D_13</vt:lpwstr>
  </property>
  <property fmtid="{D5CDD505-2E9C-101B-9397-08002B2CF9AE}" pid="4" name="KSOTemplateDocerSaveRecord">
    <vt:lpwstr>eyJoZGlkIjoiYzA5YWY4M2MwNGRhODk4ZjM0ZWM5YjZlMDk5M2I4YjQiLCJ1c2VySWQiOiIxNjU1OTQ5OTg4In0=</vt:lpwstr>
  </property>
</Properties>
</file>