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6"/>
        <w:ind w:firstLine="0"/>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906"/>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 xml:space="preserve">招　标　文　件</w:t>
      </w:r>
      <w:r>
        <w:rPr>
          <w:rFonts w:hint="eastAsia" w:ascii="宋体" w:hAnsi="宋体" w:eastAsia="宋体" w:cs="宋体"/>
          <w:b/>
          <w:bCs/>
          <w:color w:val="000000"/>
          <w:sz w:val="84"/>
          <w:highlight w:val="none"/>
        </w:rPr>
      </w:r>
      <w:r/>
    </w:p>
    <w:p>
      <w:pPr>
        <w:pStyle w:val="906"/>
        <w:ind w:firstLine="0"/>
        <w:jc w:val="center"/>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rPr>
        <w:t xml:space="preserve">项目名称：</w:t>
      </w:r>
      <w:r>
        <w:rPr>
          <w:rFonts w:hint="eastAsia" w:ascii="宋体" w:hAnsi="宋体" w:eastAsia="宋体" w:cs="宋体"/>
          <w:b/>
          <w:color w:val="000000"/>
          <w:sz w:val="32"/>
          <w:szCs w:val="32"/>
          <w:highlight w:val="none"/>
          <w:lang w:eastAsia="zh-CN"/>
        </w:rPr>
        <w:t xml:space="preserve">南京江北新区2026年国家排污许可证技术评估服务项目</w:t>
      </w:r>
      <w:r>
        <w:rPr>
          <w:rFonts w:hint="eastAsia" w:ascii="宋体" w:hAnsi="宋体" w:eastAsia="宋体" w:cs="宋体"/>
          <w:b/>
          <w:bCs/>
          <w:color w:val="000000"/>
          <w:sz w:val="32"/>
          <w:highlight w:val="none"/>
          <w:lang w:eastAsia="zh-CN"/>
        </w:rPr>
      </w:r>
      <w:r/>
    </w:p>
    <w:p>
      <w:pPr>
        <w:pStyle w:val="654"/>
        <w:jc w:val="center"/>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654"/>
        <w:jc w:val="center"/>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654"/>
        <w:jc w:val="center"/>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654"/>
        <w:jc w:val="center"/>
        <w:spacing w:line="360" w:lineRule="auto"/>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rPr>
        <w:t xml:space="preserve">项目编号：</w:t>
      </w:r>
      <w:r>
        <w:rPr>
          <w:rFonts w:hint="eastAsia" w:ascii="宋体" w:hAnsi="宋体" w:cs="宋体"/>
          <w:b/>
          <w:bCs/>
          <w:color w:val="000000"/>
          <w:sz w:val="32"/>
          <w:highlight w:val="none"/>
          <w:lang w:eastAsia="zh-CN"/>
        </w:rPr>
        <w:t xml:space="preserve">JSZC-320192-NJC-G2026-0105</w:t>
      </w:r>
      <w:r>
        <w:rPr>
          <w:rFonts w:hint="eastAsia" w:ascii="宋体" w:hAnsi="宋体" w:eastAsia="宋体" w:cs="宋体"/>
          <w:b/>
          <w:bCs/>
          <w:color w:val="000000"/>
          <w:sz w:val="32"/>
          <w:highlight w:val="none"/>
          <w:lang w:val="en-US" w:eastAsia="zh-CN"/>
        </w:rPr>
      </w:r>
      <w:r/>
    </w:p>
    <w:p>
      <w:pPr>
        <w:pStyle w:val="654"/>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906"/>
        <w:ind w:firstLine="0"/>
        <w:jc w:val="center"/>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ind w:firstLine="0"/>
        <w:jc w:val="center"/>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ind w:firstLine="0"/>
        <w:jc w:val="center"/>
        <w:rPr>
          <w:rFonts w:hint="eastAsia" w:ascii="宋体" w:hAnsi="宋体" w:eastAsia="宋体" w:cs="宋体"/>
          <w:b/>
          <w:bCs/>
          <w:color w:val="000000"/>
          <w:sz w:val="32"/>
          <w:highlight w:val="none"/>
          <w:u w:val="single"/>
          <w:lang w:eastAsia="zh-CN"/>
        </w:rPr>
      </w:pP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采购人：</w:t>
      </w:r>
      <w:r>
        <w:rPr>
          <w:rFonts w:hint="eastAsia" w:ascii="宋体" w:hAnsi="宋体" w:eastAsia="宋体" w:cs="宋体"/>
          <w:b/>
          <w:bCs/>
          <w:color w:val="000000"/>
          <w:sz w:val="32"/>
          <w:szCs w:val="32"/>
          <w:highlight w:val="none"/>
          <w:lang w:eastAsia="zh-CN"/>
        </w:rPr>
        <w:t xml:space="preserve">南京江北新区管理委员会生态环境和水务局</w:t>
      </w:r>
      <w:r>
        <w:rPr>
          <w:rFonts w:hint="eastAsia" w:ascii="宋体" w:hAnsi="宋体" w:eastAsia="宋体" w:cs="宋体"/>
          <w:b/>
          <w:bCs/>
          <w:color w:val="000000"/>
          <w:sz w:val="32"/>
          <w:highlight w:val="none"/>
          <w:u w:val="single"/>
          <w:lang w:eastAsia="zh-CN"/>
        </w:rPr>
      </w:r>
      <w:r/>
    </w:p>
    <w:p>
      <w:pPr>
        <w:pStyle w:val="906"/>
        <w:ind w:firstLine="0"/>
        <w:jc w:val="center"/>
        <w:rPr>
          <w:rFonts w:hint="eastAsia" w:ascii="宋体" w:hAnsi="宋体" w:eastAsia="宋体" w:cs="宋体"/>
          <w:b/>
          <w:bCs/>
          <w:color w:val="000000"/>
          <w:sz w:val="32"/>
          <w:highlight w:val="none"/>
          <w:u w:val="single"/>
          <w:lang w:eastAsia="zh-CN"/>
        </w:rPr>
      </w:pPr>
      <w:r>
        <w:rPr>
          <w:rFonts w:hint="eastAsia" w:ascii="宋体" w:hAnsi="宋体" w:eastAsia="宋体" w:cs="宋体"/>
          <w:b/>
          <w:bCs/>
          <w:color w:val="000000"/>
          <w:sz w:val="32"/>
          <w:highlight w:val="none"/>
        </w:rPr>
        <w:t xml:space="preserve">采购代理机构：</w:t>
      </w:r>
      <w:r>
        <w:rPr>
          <w:rFonts w:hint="eastAsia" w:ascii="宋体" w:hAnsi="宋体" w:eastAsia="宋体" w:cs="宋体"/>
          <w:b/>
          <w:bCs/>
          <w:color w:val="000000"/>
          <w:sz w:val="32"/>
          <w:highlight w:val="none"/>
          <w:lang w:eastAsia="zh-CN"/>
        </w:rPr>
        <w:t xml:space="preserve">南京江城工程项目管理有限公司</w:t>
      </w:r>
      <w:r>
        <w:rPr>
          <w:rFonts w:hint="eastAsia" w:ascii="宋体" w:hAnsi="宋体" w:eastAsia="宋体" w:cs="宋体"/>
          <w:b/>
          <w:bCs/>
          <w:color w:val="000000"/>
          <w:sz w:val="32"/>
          <w:highlight w:val="none"/>
          <w:u w:val="single"/>
          <w:lang w:eastAsia="zh-CN"/>
        </w:rPr>
      </w:r>
      <w:r/>
    </w:p>
    <w:p>
      <w:pPr>
        <w:pStyle w:val="906"/>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202</w:t>
      </w:r>
      <w:r>
        <w:rPr>
          <w:rFonts w:hint="eastAsia" w:ascii="宋体" w:hAnsi="宋体" w:eastAsia="宋体" w:cs="宋体"/>
          <w:b/>
          <w:bCs/>
          <w:color w:val="000000"/>
          <w:sz w:val="32"/>
          <w:highlight w:val="none"/>
          <w:lang w:val="en-US" w:eastAsia="zh-CN"/>
        </w:rPr>
        <w:t xml:space="preserve">6</w:t>
      </w:r>
      <w:r>
        <w:rPr>
          <w:rFonts w:hint="eastAsia" w:ascii="宋体" w:hAnsi="宋体" w:eastAsia="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7</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rPr>
      </w:r>
      <w:r/>
    </w:p>
    <w:p>
      <w:pPr>
        <w:pStyle w:val="654"/>
        <w:jc w:val="center"/>
        <w:spacing w:line="360" w:lineRule="auto"/>
        <w:rPr>
          <w:rFonts w:hint="eastAsia" w:ascii="宋体" w:hAnsi="宋体" w:eastAsia="宋体" w:cs="宋体"/>
          <w:b/>
          <w:color w:val="000000"/>
          <w:sz w:val="44"/>
          <w:highlight w:val="none"/>
        </w:rPr>
        <w:outlineLvl w:val="0"/>
      </w:pPr>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ascii="宋体" w:hAnsi="宋体" w:eastAsia="宋体" w:cs="宋体"/>
          <w:color w:val="000000"/>
          <w:highlight w:val="none"/>
        </w:rPr>
        <w:t xml:space="preserve"> </w:t>
      </w:r>
      <w:r>
        <w:rPr>
          <w:rFonts w:hint="eastAsia" w:ascii="宋体" w:hAnsi="宋体" w:eastAsia="宋体" w:cs="宋体"/>
          <w:b/>
          <w:color w:val="000000"/>
          <w:sz w:val="44"/>
          <w:highlight w:val="none"/>
        </w:rPr>
        <w:t xml:space="preserve">总  目  录</w:t>
      </w:r>
      <w:r>
        <w:rPr>
          <w:rFonts w:hint="eastAsia" w:ascii="宋体" w:hAnsi="宋体" w:eastAsia="宋体" w:cs="宋体"/>
          <w:b/>
          <w:color w:val="000000"/>
          <w:sz w:val="44"/>
          <w:highlight w:val="none"/>
        </w:rPr>
      </w:r>
      <w:r/>
    </w:p>
    <w:p>
      <w:pPr>
        <w:pStyle w:val="654"/>
        <w:spacing w:line="36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654"/>
        <w:numPr>
          <w:ilvl w:val="0"/>
          <w:numId w:val="4"/>
        </w:numPr>
        <w:spacing w:line="360" w:lineRule="auto"/>
        <w:tabs>
          <w:tab w:val="left" w:pos="1440" w:leader="none"/>
        </w:tabs>
        <w:rPr>
          <w:rFonts w:hint="eastAsia" w:ascii="宋体" w:hAnsi="宋体" w:eastAsia="宋体" w:cs="宋体"/>
          <w:color w:val="000000"/>
          <w:sz w:val="32"/>
          <w:highlight w:val="none"/>
        </w:rPr>
        <w:outlineLvl w:val="0"/>
      </w:pPr>
      <w:r>
        <w:rPr>
          <w:rFonts w:hint="eastAsia" w:ascii="宋体" w:hAnsi="宋体" w:eastAsia="宋体" w:cs="宋体"/>
          <w:color w:val="000000"/>
          <w:sz w:val="36"/>
          <w:highlight w:val="none"/>
        </w:rPr>
        <w:t xml:space="preserve">投标邀请…………………………………… </w:t>
      </w:r>
      <w:r>
        <w:rPr>
          <w:rFonts w:hint="eastAsia" w:ascii="宋体" w:hAnsi="宋体" w:eastAsia="宋体" w:cs="宋体"/>
          <w:color w:val="000000"/>
          <w:sz w:val="36"/>
          <w:highlight w:val="none"/>
          <w:lang w:val="en-US" w:eastAsia="zh-CN"/>
        </w:rPr>
        <w:t xml:space="preserve">3</w:t>
      </w:r>
      <w:r>
        <w:rPr>
          <w:rFonts w:hint="eastAsia" w:ascii="宋体" w:hAnsi="宋体" w:eastAsia="宋体" w:cs="宋体"/>
          <w:color w:val="000000"/>
          <w:sz w:val="32"/>
          <w:highlight w:val="none"/>
        </w:rPr>
      </w:r>
      <w:r/>
    </w:p>
    <w:p>
      <w:pPr>
        <w:pStyle w:val="654"/>
        <w:numPr>
          <w:ilvl w:val="0"/>
          <w:numId w:val="4"/>
        </w:numPr>
        <w:spacing w:line="36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投标人须知</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highlight w:val="none"/>
        </w:rPr>
        <w:t xml:space="preserve">……………………………… 7 </w:t>
      </w:r>
      <w:r>
        <w:rPr>
          <w:rFonts w:hint="eastAsia" w:ascii="宋体" w:hAnsi="宋体" w:eastAsia="宋体" w:cs="宋体"/>
          <w:color w:val="000000"/>
          <w:sz w:val="36"/>
          <w:highlight w:val="none"/>
        </w:rPr>
      </w:r>
      <w:r/>
    </w:p>
    <w:p>
      <w:pPr>
        <w:pStyle w:val="654"/>
        <w:numPr>
          <w:ilvl w:val="0"/>
          <w:numId w:val="4"/>
        </w:numPr>
        <w:spacing w:line="36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合同文本……………………………………23</w:t>
      </w:r>
      <w:r>
        <w:rPr>
          <w:rFonts w:hint="eastAsia" w:ascii="宋体" w:hAnsi="宋体" w:eastAsia="宋体" w:cs="宋体"/>
          <w:color w:val="000000"/>
          <w:sz w:val="36"/>
          <w:highlight w:val="none"/>
        </w:rPr>
      </w:r>
      <w:r/>
    </w:p>
    <w:p>
      <w:pPr>
        <w:pStyle w:val="654"/>
        <w:numPr>
          <w:ilvl w:val="0"/>
          <w:numId w:val="4"/>
        </w:numPr>
        <w:spacing w:line="36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采购需求……………………………………2</w:t>
      </w:r>
      <w:r>
        <w:rPr>
          <w:rFonts w:hint="eastAsia" w:ascii="宋体" w:hAnsi="宋体" w:eastAsia="宋体" w:cs="宋体"/>
          <w:color w:val="000000"/>
          <w:sz w:val="36"/>
          <w:highlight w:val="none"/>
          <w:lang w:val="en-US" w:eastAsia="zh-CN"/>
        </w:rPr>
        <w:t xml:space="preserve">5</w:t>
      </w:r>
      <w:r>
        <w:rPr>
          <w:rFonts w:hint="eastAsia" w:ascii="宋体" w:hAnsi="宋体" w:eastAsia="宋体" w:cs="宋体"/>
          <w:color w:val="000000"/>
          <w:sz w:val="36"/>
          <w:highlight w:val="none"/>
        </w:rPr>
      </w:r>
      <w:r/>
    </w:p>
    <w:p>
      <w:pPr>
        <w:pStyle w:val="654"/>
        <w:numPr>
          <w:ilvl w:val="0"/>
          <w:numId w:val="4"/>
        </w:numPr>
        <w:spacing w:line="36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评标方法与评标标准</w:t>
      </w:r>
      <w:r>
        <w:rPr>
          <w:rFonts w:hint="eastAsia" w:ascii="宋体" w:hAnsi="宋体" w:eastAsia="宋体" w:cs="宋体"/>
          <w:color w:val="000000"/>
          <w:sz w:val="36"/>
          <w:highlight w:val="none"/>
        </w:rPr>
        <w:t xml:space="preserve">………………………3</w:t>
      </w:r>
      <w:r>
        <w:rPr>
          <w:rFonts w:hint="eastAsia" w:ascii="宋体" w:hAnsi="宋体" w:eastAsia="宋体" w:cs="宋体"/>
          <w:color w:val="000000"/>
          <w:sz w:val="36"/>
          <w:highlight w:val="none"/>
          <w:lang w:val="en-US" w:eastAsia="zh-CN"/>
        </w:rPr>
        <w:t xml:space="preserve">0</w:t>
      </w:r>
      <w:r>
        <w:rPr>
          <w:rFonts w:hint="eastAsia" w:ascii="宋体" w:hAnsi="宋体" w:eastAsia="宋体" w:cs="宋体"/>
          <w:color w:val="000000"/>
          <w:sz w:val="36"/>
          <w:highlight w:val="none"/>
        </w:rPr>
      </w:r>
      <w:r/>
    </w:p>
    <w:p>
      <w:pPr>
        <w:pStyle w:val="654"/>
        <w:numPr>
          <w:ilvl w:val="0"/>
          <w:numId w:val="4"/>
        </w:numPr>
        <w:spacing w:line="36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投标文件格式………………………………3</w:t>
      </w:r>
      <w:r>
        <w:rPr>
          <w:rFonts w:hint="eastAsia" w:ascii="宋体" w:hAnsi="宋体" w:eastAsia="宋体" w:cs="宋体"/>
          <w:color w:val="000000"/>
          <w:sz w:val="36"/>
          <w:highlight w:val="none"/>
          <w:lang w:val="en-US" w:eastAsia="zh-CN"/>
        </w:rPr>
        <w:t xml:space="preserve">6</w:t>
      </w:r>
      <w:r>
        <w:rPr>
          <w:rFonts w:hint="eastAsia" w:ascii="宋体" w:hAnsi="宋体" w:eastAsia="宋体" w:cs="宋体"/>
          <w:color w:val="000000"/>
          <w:sz w:val="36"/>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5"/>
        <w:spacing w:line="360" w:lineRule="auto"/>
        <w:rPr>
          <w:rFonts w:hint="eastAsia" w:ascii="宋体" w:hAnsi="宋体" w:eastAsia="宋体" w:cs="宋体"/>
          <w:bCs/>
          <w:color w:val="000000"/>
          <w:sz w:val="44"/>
          <w:szCs w:val="44"/>
          <w:highlight w:val="none"/>
          <w:lang w:eastAsia="zh-CN"/>
        </w:rPr>
      </w:pPr>
      <w:r>
        <w:rPr>
          <w:rFonts w:hint="eastAsia" w:ascii="宋体" w:hAnsi="宋体" w:eastAsia="宋体" w:cs="宋体"/>
          <w:color w:val="000000"/>
          <w:sz w:val="44"/>
          <w:szCs w:val="44"/>
          <w:highlight w:val="none"/>
          <w:lang w:eastAsia="zh-CN"/>
        </w:rPr>
        <w:t xml:space="preserve">第一章  </w:t>
      </w:r>
      <w:bookmarkEnd w:id="0"/>
      <w:r>
        <w:rPr>
          <w:rFonts w:hint="eastAsia" w:ascii="宋体" w:hAnsi="宋体" w:eastAsia="宋体" w:cs="宋体"/>
          <w:color w:val="000000"/>
          <w:sz w:val="44"/>
          <w:szCs w:val="44"/>
          <w:highlight w:val="none"/>
          <w:lang w:eastAsia="zh-CN"/>
        </w:rPr>
        <w:t xml:space="preserve">投标邀请</w:t>
      </w:r>
      <w:r>
        <w:rPr>
          <w:rFonts w:hint="eastAsia" w:ascii="宋体" w:hAnsi="宋体" w:eastAsia="宋体" w:cs="宋体"/>
          <w:bCs/>
          <w:color w:val="000000"/>
          <w:sz w:val="44"/>
          <w:szCs w:val="44"/>
          <w:highlight w:val="none"/>
          <w:lang w:eastAsia="zh-CN"/>
        </w:rPr>
      </w:r>
      <w:r/>
    </w:p>
    <w:p>
      <w:pPr>
        <w:pStyle w:val="654"/>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eastAsia="zh-CN"/>
        </w:rPr>
        <w:t xml:space="preserve">南京江北新区2026年国家排污许可证技术评估服务项目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“苏采云系统”（http://jszfcg.jsczt.cn/）自行免费下载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8</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25</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点</w:t>
      </w:r>
      <w:r>
        <w:rPr>
          <w:rFonts w:hint="eastAsia" w:ascii="宋体" w:hAnsi="宋体" w:cs="宋体"/>
          <w:bCs/>
          <w:color w:val="000000"/>
          <w:sz w:val="24"/>
          <w:szCs w:val="24"/>
          <w:highlight w:val="none"/>
          <w:u w:val="single"/>
          <w:lang w:val="en-US" w:eastAsia="zh-CN"/>
        </w:rPr>
        <w:t xml:space="preserve">30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7"/>
        <w:ind w:firstLine="498"/>
        <w:spacing w:before="0" w:after="0" w:line="360" w:lineRule="auto"/>
        <w:rPr>
          <w:rFonts w:hint="eastAsia" w:ascii="宋体" w:hAnsi="宋体" w:eastAsia="宋体" w:cs="宋体"/>
          <w:color w:val="000000"/>
          <w:highlight w:val="none"/>
          <w:lang w:eastAsia="zh-CN"/>
        </w:rPr>
      </w:pPr>
      <w:r/>
      <w:bookmarkStart w:id="6" w:name="_Toc35393790"/>
      <w:r/>
      <w:bookmarkStart w:id="7" w:name="_Toc38985263"/>
      <w:r/>
      <w:bookmarkStart w:id="8" w:name="_Toc35393621"/>
      <w:r/>
      <w:bookmarkStart w:id="9" w:name="_Toc28359079"/>
      <w:r/>
      <w:bookmarkStart w:id="10" w:name="_Toc28359002"/>
      <w:r/>
      <w:bookmarkStart w:id="11" w:name="_Hlk24379207"/>
      <w:r>
        <w:rPr>
          <w:rFonts w:hint="eastAsia" w:ascii="宋体" w:hAnsi="宋体" w:eastAsia="宋体" w:cs="宋体"/>
          <w:color w:val="000000"/>
          <w:highlight w:val="none"/>
          <w:lang w:eastAsia="zh-CN"/>
        </w:rPr>
        <w:t xml:space="preserve">一、项目基本情况</w:t>
      </w:r>
      <w:bookmarkEnd w:id="6"/>
      <w:r/>
      <w:bookmarkEnd w:id="7"/>
      <w:r/>
      <w:bookmarkEnd w:id="8"/>
      <w:r/>
      <w:bookmarkEnd w:id="9"/>
      <w:r/>
      <w:bookmarkEnd w:id="10"/>
      <w:r>
        <w:rPr>
          <w:rFonts w:hint="eastAsia" w:ascii="宋体" w:hAnsi="宋体" w:eastAsia="宋体" w:cs="宋体"/>
          <w:color w:val="000000"/>
          <w:highlight w:val="none"/>
          <w:lang w:eastAsia="zh-CN"/>
        </w:rPr>
      </w:r>
      <w:r/>
    </w:p>
    <w:p>
      <w:pPr>
        <w:pStyle w:val="65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JSZC-320192-NJC-G2026-0105</w:t>
      </w:r>
      <w:r>
        <w:rPr>
          <w:rFonts w:hint="eastAsia" w:ascii="宋体" w:hAnsi="宋体" w:eastAsia="宋体" w:cs="宋体"/>
          <w:color w:val="000000"/>
          <w:sz w:val="24"/>
          <w:szCs w:val="24"/>
          <w:highlight w:val="none"/>
          <w:lang w:val="en-US" w:eastAsia="zh-CN"/>
        </w:rPr>
      </w:r>
      <w:r/>
    </w:p>
    <w:p>
      <w:pPr>
        <w:pStyle w:val="65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bookmarkEnd w:id="11"/>
      <w:r>
        <w:rPr>
          <w:rFonts w:hint="eastAsia" w:ascii="宋体" w:hAnsi="宋体" w:eastAsia="宋体" w:cs="宋体"/>
          <w:color w:val="000000"/>
          <w:sz w:val="24"/>
          <w:szCs w:val="24"/>
          <w:highlight w:val="none"/>
          <w:lang w:eastAsia="zh-CN"/>
        </w:rPr>
        <w:t xml:space="preserve">南京江北新区2026年国家排污许可证技术评估服务项目</w:t>
      </w:r>
      <w:r>
        <w:rPr>
          <w:rFonts w:hint="eastAsia" w:ascii="宋体" w:hAnsi="宋体" w:eastAsia="宋体" w:cs="宋体"/>
          <w:color w:val="000000"/>
          <w:sz w:val="24"/>
          <w:szCs w:val="24"/>
          <w:highlight w:val="none"/>
          <w:lang w:eastAsia="zh-CN"/>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101</w:t>
      </w:r>
      <w:r>
        <w:rPr>
          <w:rFonts w:hint="eastAsia" w:ascii="宋体" w:hAnsi="宋体" w:eastAsia="宋体" w:cs="宋体"/>
          <w:color w:val="000000"/>
          <w:sz w:val="24"/>
          <w:szCs w:val="24"/>
          <w:highlight w:val="none"/>
        </w:rPr>
        <w:t xml:space="preserve">万元 </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101</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。单价最高限价：（1）202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年重点管理类排污单位排污许可证技术评估服务项目：0.6万元/家；（2）202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年简化管理类排污单位排污许可证技术评估服务项目：0.2万元/家。注：超出总价最高限价或单价最高限价的报价，将作无效投标处理。</w:t>
      </w:r>
      <w:r>
        <w:rPr>
          <w:rFonts w:hint="eastAsia" w:ascii="宋体" w:hAnsi="宋体" w:eastAsia="宋体" w:cs="宋体"/>
          <w:color w:val="000000"/>
          <w:sz w:val="24"/>
          <w:szCs w:val="24"/>
          <w:highlight w:val="none"/>
          <w:lang w:eastAsia="zh-CN"/>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根据《排污许可管理条例》（中华人民共和国国务院令第736号）、《国务院办公厅关于印发控制污染物排放许可制实施方案的通知》（国办发〔2016〕81号）、《排污许可管理办法》（部令第32号）和《固定污染源排污许可分类管理名录》的相关要求，拟委托社会第三方机构按照《固定污染源排污许可分类管理名录》规定及排污许可证申请与核发技术规范等要求，对纳入排污许可重点和简化管理的排污单位，在服务期内提交的排污许可证申请进行技术评估服务，并提供技术评估报告。具体详见</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6.合同履行期限：一年，具体开始时间由采购人在合同中进行约定。（具体要求以采购人要求为准） </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w:t>
      </w:r>
      <w:r>
        <w:rPr>
          <w:rFonts w:hint="eastAsia" w:ascii="宋体" w:hAnsi="宋体" w:eastAsia="宋体" w:cs="宋体"/>
          <w:color w:val="000000"/>
          <w:sz w:val="24"/>
          <w:szCs w:val="24"/>
          <w:highlight w:val="none"/>
          <w:u w:val="single"/>
        </w:rPr>
        <w:t xml:space="preserve"> 不接受 </w:t>
      </w:r>
      <w:r>
        <w:rPr>
          <w:rFonts w:hint="eastAsia" w:ascii="宋体" w:hAnsi="宋体" w:eastAsia="宋体" w:cs="宋体"/>
          <w:color w:val="000000"/>
          <w:sz w:val="24"/>
          <w:szCs w:val="24"/>
          <w:highlight w:val="none"/>
        </w:rPr>
        <w:t xml:space="preserve">联合体投标。</w:t>
      </w:r>
      <w:r>
        <w:rPr>
          <w:rFonts w:hint="eastAsia" w:ascii="宋体" w:hAnsi="宋体" w:eastAsia="宋体" w:cs="宋体"/>
          <w:color w:val="000000"/>
          <w:sz w:val="24"/>
          <w:szCs w:val="24"/>
          <w:highlight w:val="none"/>
        </w:rPr>
      </w:r>
      <w:r/>
    </w:p>
    <w:p>
      <w:pPr>
        <w:pStyle w:val="657"/>
        <w:ind w:firstLine="498"/>
        <w:spacing w:before="0" w:after="0" w:line="360" w:lineRule="auto"/>
        <w:rPr>
          <w:rFonts w:hint="eastAsia" w:ascii="宋体" w:hAnsi="宋体" w:eastAsia="宋体" w:cs="宋体"/>
          <w:color w:val="000000"/>
          <w:highlight w:val="none"/>
          <w:lang w:eastAsia="zh-CN"/>
        </w:rPr>
      </w:pPr>
      <w:r/>
      <w:bookmarkStart w:id="12" w:name="_Toc28359080"/>
      <w:r/>
      <w:bookmarkStart w:id="13" w:name="_Toc38985264"/>
      <w:r/>
      <w:bookmarkStart w:id="14" w:name="_Toc35393791"/>
      <w:r/>
      <w:bookmarkStart w:id="15" w:name="_Toc35393622"/>
      <w:r/>
      <w:bookmarkStart w:id="16" w:name="_Toc28359003"/>
      <w:r>
        <w:rPr>
          <w:rFonts w:hint="eastAsia" w:ascii="宋体" w:hAnsi="宋体" w:eastAsia="宋体" w:cs="宋体"/>
          <w:color w:val="000000"/>
          <w:highlight w:val="none"/>
          <w:lang w:eastAsia="zh-CN"/>
        </w:rPr>
        <w:t xml:space="preserve">二、申请人的资格要求：</w:t>
      </w:r>
      <w:bookmarkEnd w:id="12"/>
      <w:r/>
      <w:bookmarkEnd w:id="13"/>
      <w:r/>
      <w:bookmarkEnd w:id="14"/>
      <w:r/>
      <w:bookmarkEnd w:id="15"/>
      <w:r/>
      <w:bookmarkEnd w:id="16"/>
      <w:r>
        <w:rPr>
          <w:rFonts w:hint="eastAsia" w:ascii="宋体" w:hAnsi="宋体" w:eastAsia="宋体" w:cs="宋体"/>
          <w:color w:val="000000"/>
          <w:highlight w:val="none"/>
          <w:lang w:eastAsia="zh-CN"/>
        </w:rPr>
      </w:r>
      <w:r/>
    </w:p>
    <w:p>
      <w:pPr>
        <w:pStyle w:val="654"/>
        <w:ind w:firstLine="564"/>
        <w:spacing w:line="360" w:lineRule="auto"/>
        <w:widowControl/>
        <w:rPr>
          <w:rFonts w:hint="eastAsia" w:ascii="宋体" w:hAnsi="宋体" w:eastAsia="宋体" w:cs="宋体"/>
          <w:bCs/>
          <w:color w:val="000000"/>
          <w:sz w:val="24"/>
          <w:szCs w:val="24"/>
          <w:highlight w:val="none"/>
        </w:rPr>
      </w:pPr>
      <w:r/>
      <w:bookmarkStart w:id="17" w:name="_Toc28359081"/>
      <w:r/>
      <w:bookmarkStart w:id="18" w:name="_Toc35393792"/>
      <w:r/>
      <w:bookmarkStart w:id="19" w:name="_Toc28359004"/>
      <w:r/>
      <w:bookmarkStart w:id="20" w:name="_Toc35393623"/>
      <w:r/>
      <w:bookmarkStart w:id="21" w:name="_Toc38985265"/>
      <w:r>
        <w:rPr>
          <w:rFonts w:hint="eastAsia" w:ascii="宋体" w:hAnsi="宋体" w:eastAsia="宋体" w:cs="宋体"/>
          <w:bCs/>
          <w:color w:val="000000"/>
          <w:sz w:val="24"/>
          <w:szCs w:val="24"/>
          <w:highlight w:val="none"/>
        </w:rPr>
        <w:t xml:space="preserve">（一）通用资格要求</w:t>
      </w:r>
      <w:r>
        <w:rPr>
          <w:rFonts w:hint="eastAsia" w:ascii="宋体" w:hAnsi="宋体" w:eastAsia="宋体" w:cs="宋体"/>
          <w:bCs/>
          <w:color w:val="000000"/>
          <w:sz w:val="24"/>
          <w:szCs w:val="24"/>
          <w:highlight w:val="none"/>
        </w:rPr>
      </w:r>
      <w:r/>
    </w:p>
    <w:p>
      <w:pPr>
        <w:pStyle w:val="654"/>
        <w:ind w:firstLine="56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color w:val="000000"/>
          <w:sz w:val="24"/>
          <w:szCs w:val="24"/>
          <w:highlight w:val="none"/>
        </w:rPr>
      </w:r>
      <w:r/>
    </w:p>
    <w:p>
      <w:pPr>
        <w:pStyle w:val="654"/>
        <w:ind w:firstLine="56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1.1具有独立承担民事责任的能力（提供法人或者其他组织的营业执照等证明文件，自然人的身份证明）；</w:t>
      </w:r>
      <w:r>
        <w:rPr>
          <w:rFonts w:hint="eastAsia" w:ascii="宋体" w:hAnsi="宋体" w:eastAsia="宋体" w:cs="宋体"/>
          <w:color w:val="000000"/>
          <w:sz w:val="24"/>
          <w:szCs w:val="24"/>
          <w:highlight w:val="none"/>
        </w:rPr>
      </w:r>
      <w:r/>
    </w:p>
    <w:p>
      <w:pPr>
        <w:pStyle w:val="654"/>
        <w:ind w:firstLine="5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highlight w:val="none"/>
        </w:rPr>
        <w:t xml:space="preserve">具有良好的商业信誉和健全的财务会计制度（提供参加本次政府采购活动前6个月内至少一个月份的会计报表（至少包括资产负债表和利润表）复印件或其上一年度经审计的财务报告加盖供应商公章扫描上传至电子投标文件中，成立不满6个月的无需提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eastAsia="zh-CN"/>
        </w:rPr>
      </w:r>
      <w:r/>
    </w:p>
    <w:p>
      <w:pPr>
        <w:pStyle w:val="654"/>
        <w:ind w:firstLine="56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1.3有依法缴纳税收和社会保障资金的良好记录（提供供应商参加本次政府采购活动前6个月内（即202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月-202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月）任意一个月缴纳税收及缴纳社会保障资金的证明材料。供应商依法享受缓缴、免缴税收、社会保障资金的提供证明材料）或提供南京市政府采购供应商信用记录表暨信用承诺书原件；</w:t>
      </w:r>
      <w:r>
        <w:rPr>
          <w:rFonts w:hint="eastAsia" w:ascii="宋体" w:hAnsi="宋体" w:eastAsia="宋体" w:cs="宋体"/>
          <w:color w:val="000000"/>
          <w:sz w:val="24"/>
          <w:szCs w:val="24"/>
          <w:highlight w:val="none"/>
        </w:rPr>
      </w:r>
      <w:r/>
    </w:p>
    <w:p>
      <w:pPr>
        <w:pStyle w:val="654"/>
        <w:ind w:firstLine="56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1.4具有履行合同所必需的设备和专业技术能力（提供书面声明）或提供南京市政府采购供应商信用记录表暨信用承诺书原件</w:t>
      </w:r>
      <w:r>
        <w:rPr>
          <w:rFonts w:hint="eastAsia" w:ascii="宋体" w:hAnsi="宋体" w:eastAsia="宋体" w:cs="宋体"/>
          <w:color w:val="000000"/>
          <w:sz w:val="24"/>
          <w:szCs w:val="24"/>
          <w:highlight w:val="none"/>
        </w:rPr>
      </w:r>
      <w:r/>
    </w:p>
    <w:p>
      <w:pPr>
        <w:pStyle w:val="654"/>
        <w:ind w:firstLine="56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1.5参加政府采购活动前3年内在经营活动中没有重大违法记录（提供书面声明）；</w:t>
      </w:r>
      <w:r>
        <w:rPr>
          <w:rFonts w:hint="eastAsia" w:ascii="宋体" w:hAnsi="宋体" w:eastAsia="宋体" w:cs="宋体"/>
          <w:color w:val="000000"/>
          <w:sz w:val="24"/>
          <w:szCs w:val="24"/>
          <w:highlight w:val="none"/>
        </w:rPr>
      </w:r>
      <w:r/>
    </w:p>
    <w:p>
      <w:pPr>
        <w:pStyle w:val="654"/>
        <w:ind w:firstLine="564"/>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2、供应商</w:t>
      </w:r>
      <w:r>
        <w:rPr>
          <w:rFonts w:hint="eastAsia" w:ascii="宋体" w:hAnsi="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被“信用中国”网站（www.creditchina.gov.cn）、“中国政府采购网”(www.ccgp.gov.cn)列入失信被执行人、重大税收违法案件当事人名单、政府采购严重违法失信行为记录名单。采购代理查询供应商在开标当日的信用记录并保存。</w:t>
      </w:r>
      <w:r>
        <w:rPr>
          <w:rFonts w:hint="eastAsia" w:ascii="宋体" w:hAnsi="宋体" w:eastAsia="宋体" w:cs="宋体"/>
          <w:bCs/>
          <w:color w:val="000000"/>
          <w:sz w:val="24"/>
          <w:szCs w:val="24"/>
          <w:highlight w:val="none"/>
        </w:rPr>
      </w:r>
      <w:r/>
    </w:p>
    <w:p>
      <w:pPr>
        <w:pStyle w:val="65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3、落实政府采购政策需满足的资格要求：</w:t>
      </w:r>
      <w:r>
        <w:rPr>
          <w:rFonts w:hint="eastAsia" w:ascii="宋体" w:hAnsi="宋体" w:eastAsia="宋体" w:cs="宋体"/>
          <w:bCs/>
          <w:color w:val="000000"/>
          <w:sz w:val="24"/>
          <w:szCs w:val="24"/>
          <w:highlight w:val="none"/>
        </w:rPr>
      </w:r>
      <w:r/>
    </w:p>
    <w:p>
      <w:pPr>
        <w:pStyle w:val="65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3.1本项目属于</w:t>
      </w:r>
      <w:r>
        <w:rPr>
          <w:rFonts w:hint="eastAsia" w:ascii="宋体" w:hAnsi="宋体" w:eastAsia="宋体" w:cs="宋体"/>
          <w:bCs/>
          <w:color w:val="000000"/>
          <w:sz w:val="24"/>
          <w:szCs w:val="24"/>
          <w:highlight w:val="none"/>
          <w:u w:val="single"/>
          <w:lang w:val="en-US" w:eastAsia="zh-CN"/>
        </w:rPr>
        <w:t xml:space="preserve">服务</w:t>
      </w:r>
      <w:r>
        <w:rPr>
          <w:rFonts w:hint="eastAsia" w:ascii="宋体" w:hAnsi="宋体" w:eastAsia="宋体" w:cs="宋体"/>
          <w:bCs/>
          <w:color w:val="000000"/>
          <w:sz w:val="24"/>
          <w:szCs w:val="24"/>
          <w:highlight w:val="none"/>
          <w:u w:val="single"/>
        </w:rPr>
        <w:t xml:space="preserve">类</w:t>
      </w:r>
      <w:r>
        <w:rPr>
          <w:rFonts w:hint="eastAsia" w:ascii="宋体" w:hAnsi="宋体" w:eastAsia="宋体" w:cs="宋体"/>
          <w:bCs/>
          <w:color w:val="000000"/>
          <w:sz w:val="24"/>
          <w:szCs w:val="24"/>
          <w:highlight w:val="none"/>
        </w:rPr>
        <w:t xml:space="preserve">采购。本项目专门面向中小企业采购（或监狱企业或残疾人福利性单位）采购（供应商应为中小微企业或监狱企业或残疾人福利性单位）（须提供《中小企业声明函》或《残疾人福利性单位声明函》或属于监狱企业的证明文件复印件加盖供应商公章扫描上传至电子投标文件中）。</w:t>
      </w:r>
      <w:r>
        <w:rPr>
          <w:rFonts w:hint="eastAsia" w:ascii="宋体" w:hAnsi="宋体" w:eastAsia="宋体" w:cs="宋体"/>
          <w:bCs/>
          <w:color w:val="000000"/>
          <w:sz w:val="24"/>
          <w:szCs w:val="24"/>
          <w:highlight w:val="none"/>
        </w:rPr>
      </w:r>
      <w:r/>
    </w:p>
    <w:p>
      <w:pPr>
        <w:pStyle w:val="65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3.2中小微企业划型标准请对照《关于印发中小企业划型标准规定的通知》（工信部联企业〔2011〕300号）（详见格式）。本项目采购标的对应的行业主要为</w:t>
      </w:r>
      <w:r>
        <w:rPr>
          <w:rFonts w:hint="eastAsia" w:ascii="宋体" w:hAnsi="宋体" w:eastAsia="宋体" w:cs="宋体"/>
          <w:b/>
          <w:bCs w:val="0"/>
          <w:color w:val="000000"/>
          <w:sz w:val="24"/>
          <w:szCs w:val="24"/>
          <w:highlight w:val="none"/>
          <w:u w:val="single"/>
        </w:rPr>
        <w:t xml:space="preserve">其他未列明行业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7"/>
        <w:ind w:firstLine="24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（二）本项目的特定资格要求：</w:t>
      </w:r>
      <w:r>
        <w:rPr>
          <w:rFonts w:hint="eastAsia" w:ascii="宋体" w:hAnsi="宋体" w:eastAsia="宋体" w:cs="宋体"/>
          <w:bCs/>
          <w:color w:val="000000"/>
          <w:sz w:val="24"/>
          <w:highlight w:val="none"/>
          <w:lang w:val="en-US" w:eastAsia="zh-CN"/>
        </w:rPr>
        <w:t xml:space="preserve">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657"/>
        <w:ind w:firstLine="498"/>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三、获取招标文件</w:t>
      </w:r>
      <w:bookmarkEnd w:id="17"/>
      <w:r/>
      <w:bookmarkEnd w:id="18"/>
      <w:r/>
      <w:bookmarkEnd w:id="19"/>
      <w:r/>
      <w:bookmarkEnd w:id="20"/>
      <w:r/>
      <w:bookmarkEnd w:id="21"/>
      <w:r>
        <w:rPr>
          <w:rFonts w:hint="eastAsia" w:ascii="宋体" w:hAnsi="宋体" w:eastAsia="宋体" w:cs="宋体"/>
          <w:color w:val="000000"/>
          <w:highlight w:val="none"/>
          <w:lang w:eastAsia="zh-CN"/>
        </w:rPr>
      </w:r>
      <w:r/>
    </w:p>
    <w:p>
      <w:pPr>
        <w:pStyle w:val="654"/>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bookmarkStart w:id="22" w:name="_Toc28359005"/>
      <w:r/>
      <w:bookmarkStart w:id="23" w:name="_Toc28359082"/>
      <w:r/>
      <w:bookmarkStart w:id="24" w:name="_Toc35393624"/>
      <w:r/>
      <w:bookmarkStart w:id="25" w:name="_Toc38985266"/>
      <w:r/>
      <w:bookmarkStart w:id="26" w:name="_Toc35393793"/>
      <w:r>
        <w:rPr>
          <w:rFonts w:hint="eastAsia" w:ascii="宋体" w:hAnsi="宋体" w:eastAsia="宋体" w:cs="宋体"/>
          <w:bCs/>
          <w:color w:val="000000"/>
          <w:sz w:val="24"/>
          <w:szCs w:val="24"/>
          <w:highlight w:val="none"/>
        </w:rPr>
        <w:t xml:space="preserve">（一）时间</w:t>
      </w:r>
      <w:r>
        <w:rPr>
          <w:rFonts w:hint="eastAsia" w:ascii="宋体" w:hAnsi="宋体" w:eastAsia="宋体" w:cs="宋体"/>
          <w:bCs/>
          <w:color w:val="000000" w:themeColor="text1"/>
          <w:sz w:val="24"/>
          <w:szCs w:val="24"/>
          <w:highlight w:val="none"/>
        </w:rPr>
        <w:t xml:space="preserve">：自公告发布之日起至</w:t>
      </w:r>
      <w:r>
        <w:rPr>
          <w:rFonts w:hint="eastAsia" w:ascii="宋体" w:hAnsi="宋体" w:eastAsia="宋体" w:cs="宋体"/>
          <w:bCs/>
          <w:color w:val="000000" w:themeColor="text1"/>
          <w:sz w:val="24"/>
          <w:szCs w:val="24"/>
          <w:highlight w:val="none"/>
        </w:rPr>
        <w:t xml:space="preserve">202</w:t>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年</w:t>
      </w:r>
      <w:r>
        <w:rPr>
          <w:rFonts w:hint="eastAsia" w:ascii="宋体" w:hAnsi="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月</w:t>
      </w:r>
      <w:r>
        <w:rPr>
          <w:rFonts w:hint="eastAsia" w:ascii="宋体" w:hAnsi="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bCs/>
          <w:color w:val="000000" w:themeColor="text1"/>
          <w:sz w:val="24"/>
          <w:szCs w:val="24"/>
          <w:highlight w:val="none"/>
        </w:rPr>
        <w:t xml:space="preserve">，每天0:00至23:59（北京时间，法定节假日除外）</w:t>
      </w:r>
      <w:r>
        <w:rPr>
          <w:rFonts w:hint="eastAsia" w:ascii="宋体" w:hAnsi="宋体" w:eastAsia="宋体" w:cs="宋体"/>
          <w:bCs/>
          <w:color w:val="000000" w:themeColor="text1"/>
          <w:sz w:val="24"/>
          <w:szCs w:val="24"/>
          <w:highlight w:val="none"/>
        </w:rPr>
        <w:t xml:space="preserve">，202</w:t>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年</w:t>
      </w:r>
      <w:r>
        <w:rPr>
          <w:rFonts w:hint="eastAsia" w:ascii="宋体" w:hAnsi="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月</w:t>
      </w:r>
      <w:r>
        <w:rPr>
          <w:rFonts w:hint="eastAsia" w:ascii="宋体" w:hAnsi="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bCs/>
          <w:color w:val="000000" w:themeColor="text1"/>
          <w:sz w:val="24"/>
          <w:szCs w:val="24"/>
          <w:highlight w:val="none"/>
        </w:rPr>
        <w:t xml:space="preserve">后下载的招标文件，超出有</w:t>
      </w:r>
      <w:r>
        <w:rPr>
          <w:rFonts w:hint="eastAsia" w:ascii="宋体" w:hAnsi="宋体" w:eastAsia="宋体" w:cs="宋体"/>
          <w:bCs/>
          <w:color w:val="000000"/>
          <w:sz w:val="24"/>
          <w:szCs w:val="24"/>
          <w:highlight w:val="none"/>
        </w:rPr>
        <w:t xml:space="preserve">效报名时间且不做为供应商权益受到损害的证明材料和依据。</w:t>
      </w:r>
      <w:r>
        <w:rPr>
          <w:rFonts w:hint="eastAsia" w:ascii="宋体" w:hAnsi="宋体" w:eastAsia="宋体" w:cs="宋体"/>
          <w:bCs/>
          <w:color w:val="000000"/>
          <w:sz w:val="24"/>
          <w:szCs w:val="24"/>
          <w:highlight w:val="none"/>
        </w:rPr>
      </w:r>
      <w:r/>
    </w:p>
    <w:p>
      <w:pPr>
        <w:pStyle w:val="654"/>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（二）获取方式：</w:t>
      </w:r>
      <w:r>
        <w:rPr>
          <w:rFonts w:hint="eastAsia" w:ascii="宋体" w:hAnsi="宋体" w:eastAsia="宋体" w:cs="宋体"/>
          <w:bCs/>
          <w:color w:val="000000"/>
          <w:sz w:val="24"/>
          <w:szCs w:val="24"/>
          <w:highlight w:val="none"/>
        </w:rPr>
      </w:r>
      <w:r/>
    </w:p>
    <w:p>
      <w:pPr>
        <w:pStyle w:val="654"/>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1.地点：网上注册登记成功后系统内免费下载。</w:t>
      </w:r>
      <w:r>
        <w:rPr>
          <w:rFonts w:hint="eastAsia" w:ascii="宋体" w:hAnsi="宋体" w:eastAsia="宋体" w:cs="宋体"/>
          <w:bCs/>
          <w:color w:val="000000"/>
          <w:sz w:val="24"/>
          <w:szCs w:val="24"/>
          <w:highlight w:val="none"/>
        </w:rPr>
      </w:r>
      <w:r/>
    </w:p>
    <w:p>
      <w:pPr>
        <w:pStyle w:val="654"/>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2.获取方式：本项目采用网上注册登记方式。</w:t>
      </w:r>
      <w:r>
        <w:rPr>
          <w:rFonts w:hint="eastAsia" w:ascii="宋体" w:hAnsi="宋体" w:eastAsia="宋体" w:cs="宋体"/>
          <w:bCs/>
          <w:color w:val="000000"/>
          <w:sz w:val="24"/>
          <w:szCs w:val="24"/>
          <w:highlight w:val="none"/>
        </w:rPr>
      </w:r>
      <w:r/>
    </w:p>
    <w:p>
      <w:pPr>
        <w:pStyle w:val="654"/>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3.潜在投标人访问电子招标投标交易平台的网络地址和方法：</w:t>
      </w:r>
      <w:r>
        <w:rPr>
          <w:rFonts w:hint="eastAsia" w:ascii="宋体" w:hAnsi="宋体" w:eastAsia="宋体" w:cs="宋体"/>
          <w:bCs/>
          <w:color w:val="000000"/>
          <w:sz w:val="24"/>
          <w:szCs w:val="24"/>
          <w:highlight w:val="none"/>
        </w:rPr>
      </w:r>
      <w:r/>
    </w:p>
    <w:p>
      <w:pPr>
        <w:pStyle w:val="654"/>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bCs/>
          <w:color w:val="000000"/>
          <w:sz w:val="24"/>
          <w:szCs w:val="24"/>
          <w:highlight w:val="none"/>
        </w:rPr>
      </w:r>
      <w:r/>
    </w:p>
    <w:p>
      <w:pPr>
        <w:pStyle w:val="654"/>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（2）潜在投标人访问“苏采云”系统的网络地址和方法：“苏采云”系统的网址：http://jszfcg.jsczt.cn/。</w:t>
      </w:r>
      <w:r>
        <w:rPr>
          <w:rFonts w:hint="eastAsia" w:ascii="宋体" w:hAnsi="宋体" w:eastAsia="宋体" w:cs="宋体"/>
          <w:bCs/>
          <w:color w:val="000000"/>
          <w:sz w:val="24"/>
          <w:szCs w:val="24"/>
          <w:highlight w:val="none"/>
        </w:rPr>
      </w:r>
      <w:r/>
    </w:p>
    <w:p>
      <w:pPr>
        <w:pStyle w:val="654"/>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3）“CA数字证书”的获取：供应商需办理CA锁，“苏采云”系统目前仅支持“苏采云”系统下的CA，省内各地区办理的“苏采云”系统下的CA全省通用。“CA数字证书”的办理方法详见《江苏省政府采购（供应商）CA数字证书及电子签章办理指南》。</w:t>
      </w:r>
      <w:r>
        <w:rPr>
          <w:rFonts w:hint="eastAsia" w:ascii="宋体" w:hAnsi="宋体" w:eastAsia="宋体" w:cs="宋体"/>
          <w:bCs/>
          <w:color w:val="000000"/>
          <w:sz w:val="24"/>
          <w:szCs w:val="24"/>
          <w:highlight w:val="none"/>
        </w:rPr>
      </w:r>
      <w:r/>
    </w:p>
    <w:p>
      <w:pPr>
        <w:pStyle w:val="654"/>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（4）采购文件（后缀名为“.kedt”）、供应商操作手册及政府采购客户端工具可通过“苏采云”系统--已报名项目--报名详情页面内相应链接进行下载。</w:t>
      </w:r>
      <w:r>
        <w:rPr>
          <w:rFonts w:hint="eastAsia" w:ascii="宋体" w:hAnsi="宋体" w:eastAsia="宋体" w:cs="宋体"/>
          <w:bCs/>
          <w:color w:val="000000"/>
          <w:sz w:val="24"/>
          <w:szCs w:val="24"/>
          <w:highlight w:val="none"/>
        </w:rPr>
      </w:r>
      <w:r/>
    </w:p>
    <w:p>
      <w:pPr>
        <w:pStyle w:val="654"/>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（5）招标代理机构（采购代理机构）将数据电文形式的招标文件加载至“苏采云”系统，供潜在投标人下载或者查阅。     </w:t>
      </w:r>
      <w:r>
        <w:rPr>
          <w:rFonts w:hint="eastAsia" w:ascii="宋体" w:hAnsi="宋体" w:eastAsia="宋体" w:cs="宋体"/>
          <w:bCs/>
          <w:color w:val="000000"/>
          <w:sz w:val="24"/>
          <w:szCs w:val="24"/>
          <w:highlight w:val="none"/>
        </w:rPr>
      </w:r>
      <w:r/>
    </w:p>
    <w:p>
      <w:pPr>
        <w:pStyle w:val="654"/>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（6）苏采云系统参与不见面开标。</w:t>
      </w:r>
      <w:r>
        <w:rPr>
          <w:rFonts w:hint="eastAsia" w:ascii="宋体" w:hAnsi="宋体" w:eastAsia="宋体" w:cs="宋体"/>
          <w:bCs/>
          <w:color w:val="000000"/>
          <w:sz w:val="24"/>
          <w:szCs w:val="24"/>
          <w:highlight w:val="none"/>
        </w:rPr>
      </w:r>
      <w:r/>
    </w:p>
    <w:p>
      <w:pPr>
        <w:pStyle w:val="654"/>
        <w:ind w:firstLine="360"/>
        <w:jc w:val="left"/>
        <w:spacing w:after="120"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（三）</w:t>
      </w:r>
      <w:r>
        <w:rPr>
          <w:rFonts w:hint="eastAsia" w:ascii="宋体" w:hAnsi="宋体" w:eastAsia="宋体" w:cs="宋体"/>
          <w:color w:val="000000"/>
          <w:sz w:val="24"/>
          <w:szCs w:val="24"/>
          <w:highlight w:val="none"/>
        </w:rPr>
        <w:t xml:space="preserve">招标文件售价：免费</w:t>
      </w:r>
      <w:r>
        <w:rPr>
          <w:rFonts w:hint="eastAsia" w:ascii="宋体" w:hAnsi="宋体" w:eastAsia="宋体" w:cs="宋体"/>
          <w:color w:val="000000"/>
          <w:sz w:val="24"/>
          <w:szCs w:val="24"/>
          <w:highlight w:val="none"/>
        </w:rPr>
      </w:r>
      <w:r/>
    </w:p>
    <w:p>
      <w:pPr>
        <w:pStyle w:val="657"/>
        <w:ind w:firstLine="498"/>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四、提交投标文件</w:t>
      </w:r>
      <w:bookmarkEnd w:id="22"/>
      <w:r/>
      <w:bookmarkEnd w:id="23"/>
      <w:r>
        <w:rPr>
          <w:rFonts w:hint="eastAsia" w:ascii="宋体" w:hAnsi="宋体" w:eastAsia="宋体" w:cs="宋体"/>
          <w:color w:val="000000"/>
          <w:highlight w:val="none"/>
          <w:lang w:eastAsia="zh-CN"/>
        </w:rPr>
        <w:t xml:space="preserve">截止时间、开标时间和地点</w:t>
      </w:r>
      <w:bookmarkEnd w:id="24"/>
      <w:r/>
      <w:bookmarkEnd w:id="25"/>
      <w:r/>
      <w:bookmarkEnd w:id="26"/>
      <w:r>
        <w:rPr>
          <w:rFonts w:hint="eastAsia" w:ascii="宋体" w:hAnsi="宋体" w:eastAsia="宋体" w:cs="宋体"/>
          <w:color w:val="000000"/>
          <w:highlight w:val="none"/>
          <w:lang w:eastAsia="zh-CN"/>
        </w:rPr>
      </w:r>
      <w:r/>
    </w:p>
    <w:p>
      <w:pPr>
        <w:pStyle w:val="657"/>
        <w:ind w:firstLine="374"/>
        <w:keepLines/>
        <w:keepNext/>
        <w:pageBreakBefore w:val="0"/>
        <w:spacing w:line="360" w:lineRule="auto"/>
        <w:widowControl w:val="off"/>
        <w:rPr>
          <w:rFonts w:ascii="宋体" w:hAnsi="宋体" w:eastAsia="宋体" w:cs="宋体"/>
          <w:b w:val="0"/>
          <w:color w:val="000000" w:themeColor="text1"/>
          <w:sz w:val="24"/>
          <w:szCs w:val="24"/>
          <w:highlight w:val="none"/>
        </w:rPr>
      </w:pPr>
      <w:r>
        <w:rPr>
          <w:color w:val="000000" w:themeColor="text1"/>
        </w:rPr>
      </w:r>
      <w:bookmarkStart w:id="27" w:name="_Toc28359007"/>
      <w:r>
        <w:rPr>
          <w:color w:val="000000" w:themeColor="text1"/>
        </w:rPr>
      </w:r>
      <w:bookmarkStart w:id="28" w:name="_Toc38985267"/>
      <w:r>
        <w:rPr>
          <w:color w:val="000000" w:themeColor="text1"/>
        </w:rPr>
      </w:r>
      <w:bookmarkStart w:id="29" w:name="_Toc35393794"/>
      <w:r>
        <w:rPr>
          <w:color w:val="000000" w:themeColor="text1"/>
        </w:rPr>
      </w:r>
      <w:bookmarkStart w:id="30" w:name="_Toc28359084"/>
      <w:r>
        <w:rPr>
          <w:color w:val="000000" w:themeColor="text1"/>
        </w:rPr>
      </w:r>
      <w:bookmarkStart w:id="31" w:name="_Toc35393625"/>
      <w:r>
        <w:rPr>
          <w:rFonts w:hint="eastAsia" w:ascii="宋体" w:hAnsi="宋体" w:eastAsia="宋体" w:cs="宋体"/>
          <w:b w:val="0"/>
          <w:color w:val="000000" w:themeColor="text1"/>
          <w:sz w:val="24"/>
          <w:szCs w:val="24"/>
          <w:highlight w:val="none"/>
          <w:lang w:eastAsia="zh-CN"/>
        </w:rPr>
        <w:t xml:space="preserve">1.投标截止时间：202</w:t>
      </w:r>
      <w:r>
        <w:rPr>
          <w:rFonts w:hint="eastAsia" w:ascii="宋体" w:hAnsi="宋体" w:eastAsia="宋体" w:cs="宋体"/>
          <w:b w:val="0"/>
          <w:color w:val="000000" w:themeColor="text1"/>
          <w:sz w:val="24"/>
          <w:szCs w:val="24"/>
          <w:highlight w:val="none"/>
          <w:lang w:val="en-US" w:eastAsia="zh-CN"/>
        </w:rPr>
        <w:t xml:space="preserve">6</w:t>
      </w:r>
      <w:r>
        <w:rPr>
          <w:rFonts w:hint="eastAsia" w:ascii="宋体" w:hAnsi="宋体" w:eastAsia="宋体" w:cs="宋体"/>
          <w:b w:val="0"/>
          <w:color w:val="000000" w:themeColor="text1"/>
          <w:sz w:val="24"/>
          <w:szCs w:val="24"/>
          <w:highlight w:val="none"/>
          <w:lang w:eastAsia="zh-CN"/>
        </w:rPr>
        <w:t xml:space="preserve">年</w:t>
      </w:r>
      <w:r>
        <w:rPr>
          <w:rFonts w:hint="eastAsia" w:ascii="宋体" w:hAnsi="宋体" w:cs="宋体"/>
          <w:b w:val="0"/>
          <w:color w:val="000000" w:themeColor="text1"/>
          <w:sz w:val="24"/>
          <w:szCs w:val="24"/>
          <w:highlight w:val="none"/>
          <w:lang w:val="en-US" w:eastAsia="zh-CN"/>
        </w:rPr>
        <w:t xml:space="preserve">8</w:t>
      </w:r>
      <w:r>
        <w:rPr>
          <w:rFonts w:hint="eastAsia" w:ascii="宋体" w:hAnsi="宋体" w:eastAsia="宋体" w:cs="宋体"/>
          <w:b w:val="0"/>
          <w:color w:val="000000" w:themeColor="text1"/>
          <w:sz w:val="24"/>
          <w:szCs w:val="24"/>
          <w:highlight w:val="none"/>
          <w:lang w:eastAsia="zh-CN"/>
        </w:rPr>
        <w:t xml:space="preserve">月</w:t>
      </w:r>
      <w:r>
        <w:rPr>
          <w:rFonts w:hint="eastAsia" w:ascii="宋体" w:hAnsi="宋体" w:cs="宋体"/>
          <w:b w:val="0"/>
          <w:color w:val="000000" w:themeColor="text1"/>
          <w:sz w:val="24"/>
          <w:szCs w:val="24"/>
          <w:highlight w:val="none"/>
          <w:lang w:val="en-US" w:eastAsia="zh-CN"/>
        </w:rPr>
        <w:t xml:space="preserve">25</w:t>
      </w:r>
      <w:r>
        <w:rPr>
          <w:rFonts w:hint="eastAsia" w:ascii="宋体" w:hAnsi="宋体" w:eastAsia="宋体" w:cs="宋体"/>
          <w:b w:val="0"/>
          <w:color w:val="000000" w:themeColor="text1"/>
          <w:sz w:val="24"/>
          <w:szCs w:val="24"/>
          <w:highlight w:val="none"/>
          <w:lang w:eastAsia="zh-CN"/>
        </w:rPr>
        <w:t xml:space="preserve">日北京时间</w:t>
      </w:r>
      <w:r>
        <w:rPr>
          <w:rFonts w:hint="eastAsia" w:ascii="宋体" w:hAnsi="宋体" w:cs="宋体"/>
          <w:b w:val="0"/>
          <w:color w:val="000000" w:themeColor="text1"/>
          <w:sz w:val="24"/>
          <w:szCs w:val="24"/>
          <w:highlight w:val="none"/>
          <w:lang w:val="en-US" w:eastAsia="zh-CN"/>
        </w:rPr>
        <w:t xml:space="preserve">9</w:t>
      </w:r>
      <w:r>
        <w:rPr>
          <w:rFonts w:hint="eastAsia" w:ascii="宋体" w:hAnsi="宋体" w:eastAsia="宋体" w:cs="宋体"/>
          <w:b w:val="0"/>
          <w:color w:val="000000" w:themeColor="text1"/>
          <w:sz w:val="24"/>
          <w:szCs w:val="24"/>
          <w:highlight w:val="none"/>
          <w:lang w:eastAsia="zh-CN"/>
        </w:rPr>
        <w:t xml:space="preserve">：</w:t>
      </w:r>
      <w:r>
        <w:rPr>
          <w:rFonts w:hint="eastAsia" w:ascii="宋体" w:hAnsi="宋体" w:cs="宋体"/>
          <w:b w:val="0"/>
          <w:color w:val="000000" w:themeColor="text1"/>
          <w:sz w:val="24"/>
          <w:szCs w:val="24"/>
          <w:highlight w:val="none"/>
          <w:lang w:val="en-US" w:eastAsia="zh-CN"/>
        </w:rPr>
        <w:t xml:space="preserve">30</w:t>
      </w:r>
      <w:r>
        <w:rPr>
          <w:rFonts w:ascii="宋体" w:hAnsi="宋体" w:eastAsia="宋体" w:cs="宋体"/>
          <w:b w:val="0"/>
          <w:color w:val="000000" w:themeColor="text1"/>
          <w:sz w:val="24"/>
          <w:szCs w:val="24"/>
          <w:highlight w:val="none"/>
          <w:lang w:val="en-US" w:eastAsia="zh-CN"/>
        </w:rPr>
      </w:r>
      <w:r>
        <w:rPr>
          <w:color w:val="000000" w:themeColor="text1"/>
        </w:rPr>
      </w:r>
    </w:p>
    <w:p>
      <w:pPr>
        <w:pStyle w:val="657"/>
        <w:ind w:firstLine="374"/>
        <w:keepLines/>
        <w:keepNext/>
        <w:pageBreakBefore w:val="0"/>
        <w:spacing w:line="360" w:lineRule="auto"/>
        <w:widowControl w:val="off"/>
        <w:rPr>
          <w:rFonts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lang w:eastAsia="zh-CN"/>
        </w:rPr>
        <w:t xml:space="preserve">2.开标时间：202</w:t>
      </w:r>
      <w:r>
        <w:rPr>
          <w:rFonts w:hint="eastAsia" w:ascii="宋体" w:hAnsi="宋体" w:eastAsia="宋体" w:cs="宋体"/>
          <w:b w:val="0"/>
          <w:color w:val="000000" w:themeColor="text1"/>
          <w:sz w:val="24"/>
          <w:szCs w:val="24"/>
          <w:highlight w:val="none"/>
          <w:lang w:val="en-US" w:eastAsia="zh-CN"/>
        </w:rPr>
        <w:t xml:space="preserve">6</w:t>
      </w:r>
      <w:r>
        <w:rPr>
          <w:rFonts w:hint="eastAsia" w:ascii="宋体" w:hAnsi="宋体" w:eastAsia="宋体" w:cs="宋体"/>
          <w:b w:val="0"/>
          <w:color w:val="000000" w:themeColor="text1"/>
          <w:sz w:val="24"/>
          <w:szCs w:val="24"/>
          <w:highlight w:val="none"/>
          <w:lang w:eastAsia="zh-CN"/>
        </w:rPr>
        <w:t xml:space="preserve">年</w:t>
      </w:r>
      <w:r>
        <w:rPr>
          <w:rFonts w:hint="eastAsia" w:ascii="宋体" w:hAnsi="宋体" w:cs="宋体"/>
          <w:b w:val="0"/>
          <w:color w:val="000000" w:themeColor="text1"/>
          <w:sz w:val="24"/>
          <w:szCs w:val="24"/>
          <w:highlight w:val="none"/>
          <w:lang w:val="en-US" w:eastAsia="zh-CN"/>
        </w:rPr>
        <w:t xml:space="preserve">8</w:t>
      </w:r>
      <w:r>
        <w:rPr>
          <w:rFonts w:hint="eastAsia" w:ascii="宋体" w:hAnsi="宋体" w:eastAsia="宋体" w:cs="宋体"/>
          <w:b w:val="0"/>
          <w:color w:val="000000" w:themeColor="text1"/>
          <w:sz w:val="24"/>
          <w:szCs w:val="24"/>
          <w:highlight w:val="none"/>
          <w:lang w:eastAsia="zh-CN"/>
        </w:rPr>
        <w:t xml:space="preserve">月</w:t>
      </w:r>
      <w:r>
        <w:rPr>
          <w:rFonts w:hint="eastAsia" w:ascii="宋体" w:hAnsi="宋体" w:cs="宋体"/>
          <w:b w:val="0"/>
          <w:color w:val="000000" w:themeColor="text1"/>
          <w:sz w:val="24"/>
          <w:szCs w:val="24"/>
          <w:highlight w:val="none"/>
          <w:lang w:val="en-US" w:eastAsia="zh-CN"/>
        </w:rPr>
        <w:t xml:space="preserve">25</w:t>
      </w:r>
      <w:r>
        <w:rPr>
          <w:rFonts w:hint="eastAsia" w:ascii="宋体" w:hAnsi="宋体" w:eastAsia="宋体" w:cs="宋体"/>
          <w:b w:val="0"/>
          <w:color w:val="000000" w:themeColor="text1"/>
          <w:sz w:val="24"/>
          <w:szCs w:val="24"/>
          <w:highlight w:val="none"/>
          <w:lang w:eastAsia="zh-CN"/>
        </w:rPr>
        <w:t xml:space="preserve">日北京时间</w:t>
      </w:r>
      <w:r>
        <w:rPr>
          <w:rFonts w:hint="eastAsia" w:ascii="宋体" w:hAnsi="宋体" w:cs="宋体"/>
          <w:b w:val="0"/>
          <w:color w:val="000000" w:themeColor="text1"/>
          <w:sz w:val="24"/>
          <w:szCs w:val="24"/>
          <w:highlight w:val="none"/>
          <w:lang w:val="en-US" w:eastAsia="zh-CN"/>
        </w:rPr>
        <w:t xml:space="preserve">9</w:t>
      </w:r>
      <w:r>
        <w:rPr>
          <w:rFonts w:hint="eastAsia" w:ascii="宋体" w:hAnsi="宋体" w:eastAsia="宋体" w:cs="宋体"/>
          <w:b w:val="0"/>
          <w:color w:val="000000" w:themeColor="text1"/>
          <w:sz w:val="24"/>
          <w:szCs w:val="24"/>
          <w:highlight w:val="none"/>
          <w:lang w:eastAsia="zh-CN"/>
        </w:rPr>
        <w:t xml:space="preserve">：</w:t>
      </w:r>
      <w:r>
        <w:rPr>
          <w:rFonts w:hint="eastAsia" w:ascii="宋体" w:hAnsi="宋体" w:cs="宋体"/>
          <w:b w:val="0"/>
          <w:color w:val="000000" w:themeColor="text1"/>
          <w:sz w:val="24"/>
          <w:szCs w:val="24"/>
          <w:highlight w:val="none"/>
          <w:lang w:val="en-US" w:eastAsia="zh-CN"/>
        </w:rPr>
        <w:t xml:space="preserve">30</w:t>
      </w:r>
      <w:r>
        <w:rPr>
          <w:rFonts w:ascii="宋体" w:hAnsi="宋体" w:eastAsia="宋体" w:cs="宋体"/>
          <w:b w:val="0"/>
          <w:color w:val="000000" w:themeColor="text1"/>
          <w:sz w:val="24"/>
          <w:szCs w:val="24"/>
          <w:highlight w:val="none"/>
          <w:lang w:val="en-US" w:eastAsia="zh-CN"/>
        </w:rPr>
      </w:r>
      <w:r>
        <w:rPr>
          <w:color w:val="000000" w:themeColor="text1"/>
        </w:rPr>
      </w:r>
    </w:p>
    <w:p>
      <w:pPr>
        <w:pStyle w:val="657"/>
        <w:ind w:firstLine="374"/>
        <w:keepLines/>
        <w:keepNext/>
        <w:pageBreakBefore w:val="0"/>
        <w:spacing w:before="0" w:after="0" w:line="360" w:lineRule="auto"/>
        <w:widowControl w:val="off"/>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3.开标地点：“苏采云”系统（网址：http://jszfcg.jsczt.cn/“开标大厅”）</w:t>
      </w:r>
      <w:r>
        <w:rPr>
          <w:rFonts w:hint="eastAsia" w:ascii="宋体" w:hAnsi="宋体" w:eastAsia="宋体" w:cs="宋体"/>
          <w:b w:val="0"/>
          <w:color w:val="000000"/>
          <w:sz w:val="24"/>
          <w:szCs w:val="24"/>
          <w:highlight w:val="none"/>
          <w:lang w:eastAsia="zh-CN"/>
        </w:rPr>
      </w:r>
      <w:r/>
    </w:p>
    <w:p>
      <w:pPr>
        <w:pStyle w:val="657"/>
        <w:ind w:firstLine="498"/>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五、公告期限</w:t>
      </w:r>
      <w:bookmarkEnd w:id="27"/>
      <w:r/>
      <w:bookmarkEnd w:id="28"/>
      <w:r/>
      <w:bookmarkEnd w:id="29"/>
      <w:r/>
      <w:bookmarkEnd w:id="30"/>
      <w:r/>
      <w:bookmarkEnd w:id="31"/>
      <w:r>
        <w:rPr>
          <w:rFonts w:hint="eastAsia" w:ascii="宋体" w:hAnsi="宋体" w:eastAsia="宋体" w:cs="宋体"/>
          <w:color w:val="000000"/>
          <w:highlight w:val="none"/>
          <w:lang w:eastAsia="zh-CN"/>
        </w:rPr>
      </w:r>
      <w:r/>
    </w:p>
    <w:p>
      <w:pPr>
        <w:pStyle w:val="654"/>
        <w:ind w:firstLine="480"/>
        <w:spacing w:line="360" w:lineRule="auto"/>
        <w:rPr>
          <w:rFonts w:hint="eastAsia" w:ascii="宋体" w:hAnsi="宋体" w:eastAsia="宋体" w:cs="宋体"/>
          <w:color w:val="000000"/>
          <w:sz w:val="24"/>
          <w:szCs w:val="24"/>
          <w:highlight w:val="none"/>
        </w:rPr>
      </w:pPr>
      <w:r/>
      <w:bookmarkStart w:id="32" w:name="_Toc38985268"/>
      <w:r/>
      <w:bookmarkStart w:id="33" w:name="_Toc35393795"/>
      <w:r/>
      <w:bookmarkStart w:id="34" w:name="_Toc35393626"/>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657"/>
        <w:ind w:firstLine="498"/>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六、其他补充事宜</w:t>
      </w:r>
      <w:bookmarkEnd w:id="32"/>
      <w:r/>
      <w:bookmarkEnd w:id="33"/>
      <w:r/>
      <w:bookmarkEnd w:id="34"/>
      <w:r>
        <w:rPr>
          <w:rFonts w:hint="eastAsia" w:ascii="宋体" w:hAnsi="宋体" w:eastAsia="宋体" w:cs="宋体"/>
          <w:color w:val="000000"/>
          <w:highlight w:val="none"/>
          <w:lang w:eastAsia="zh-CN"/>
        </w:rPr>
      </w:r>
      <w:r/>
    </w:p>
    <w:p>
      <w:pPr>
        <w:pStyle w:val="654"/>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本项目不收取投标保证金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54"/>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本次招标若符合政府强制采购节能产品、鼓励环保产品、扶持福利企业、促进残疾人就业、支持监狱和戒毒企业等政策，将落实相关政策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54"/>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color w:val="000000"/>
          <w:sz w:val="24"/>
          <w:highlight w:val="none"/>
        </w:rPr>
        <w:t xml:space="preserve">供应商诚信档案注册登记管理：根据《关于在政府采购活动中推行信用承诺制的通知》宁财购通〔2021〕5号规定，参加南京地区采购活动的供应商，应以书面形式向采购人或政府采购代理机构作出信用承诺。供应商应尽早做好承诺工作</w:t>
      </w:r>
      <w:r>
        <w:rPr>
          <w:rFonts w:hint="eastAsia" w:ascii="宋体" w:hAnsi="宋体" w:eastAsia="宋体" w:cs="宋体"/>
          <w:color w:val="000000"/>
          <w:sz w:val="24"/>
          <w:highlight w:val="none"/>
        </w:rPr>
        <w:t xml:space="preserve">，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color w:val="000000"/>
          <w:sz w:val="24"/>
          <w:highlight w:val="none"/>
        </w:rPr>
        <w:t xml:space="preserve">由法定代表人签字并盖单位公章扫描上传至电子投标文件中。</w:t>
      </w:r>
      <w:r>
        <w:rPr>
          <w:rFonts w:hint="eastAsia" w:ascii="宋体" w:hAnsi="宋体" w:eastAsia="宋体" w:cs="宋体"/>
          <w:b/>
          <w:color w:val="000000"/>
          <w:sz w:val="24"/>
          <w:highlight w:val="none"/>
        </w:rPr>
      </w:r>
      <w:r/>
    </w:p>
    <w:p>
      <w:pPr>
        <w:pStyle w:val="654"/>
        <w:ind w:firstLine="480"/>
        <w:jc w:val="left"/>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color w:val="000000"/>
          <w:highlight w:val="none"/>
        </w:rPr>
      </w:r>
      <w:r/>
    </w:p>
    <w:p>
      <w:pPr>
        <w:pStyle w:val="654"/>
        <w:ind w:left="0" w:right="0" w:firstLine="480"/>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（1）具有独立承担民事责任的能力；</w:t>
      </w:r>
      <w:r>
        <w:rPr>
          <w:rFonts w:hint="eastAsia" w:ascii="宋体" w:hAnsi="宋体" w:eastAsia="宋体" w:cs="宋体"/>
          <w:color w:val="000000"/>
          <w:highlight w:val="none"/>
        </w:rPr>
      </w:r>
      <w:r/>
    </w:p>
    <w:p>
      <w:pPr>
        <w:pStyle w:val="654"/>
        <w:ind w:left="0" w:right="0" w:firstLine="480"/>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（2）具有良好的商业信誉和健全的财务会计制度；</w:t>
      </w:r>
      <w:r>
        <w:rPr>
          <w:rFonts w:hint="eastAsia" w:ascii="宋体" w:hAnsi="宋体" w:eastAsia="宋体" w:cs="宋体"/>
          <w:color w:val="000000"/>
          <w:highlight w:val="none"/>
        </w:rPr>
      </w:r>
      <w:r/>
    </w:p>
    <w:p>
      <w:pPr>
        <w:pStyle w:val="654"/>
        <w:ind w:left="0" w:right="0" w:firstLine="480"/>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（3）有履行合同所必需的设备和专业技术能力；</w:t>
      </w:r>
      <w:r>
        <w:rPr>
          <w:rFonts w:hint="eastAsia" w:ascii="宋体" w:hAnsi="宋体" w:eastAsia="宋体" w:cs="宋体"/>
          <w:color w:val="000000"/>
          <w:highlight w:val="none"/>
        </w:rPr>
      </w:r>
      <w:r/>
    </w:p>
    <w:p>
      <w:pPr>
        <w:pStyle w:val="654"/>
        <w:ind w:left="0" w:right="0" w:firstLine="480"/>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（4）有依法缴纳税收和社会保障资金的良好记录；</w:t>
      </w:r>
      <w:r>
        <w:rPr>
          <w:rFonts w:hint="eastAsia" w:ascii="宋体" w:hAnsi="宋体" w:eastAsia="宋体" w:cs="宋体"/>
          <w:color w:val="000000"/>
          <w:highlight w:val="none"/>
        </w:rPr>
      </w:r>
      <w:r/>
    </w:p>
    <w:p>
      <w:pPr>
        <w:pStyle w:val="654"/>
        <w:ind w:left="0" w:right="0" w:firstLine="480"/>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（5）参加政府采购活动前三年内，在经营活动中没有重大违法记录；</w:t>
      </w:r>
      <w:r>
        <w:rPr>
          <w:rFonts w:hint="eastAsia" w:ascii="宋体" w:hAnsi="宋体" w:eastAsia="宋体" w:cs="宋体"/>
          <w:color w:val="000000"/>
          <w:highlight w:val="none"/>
        </w:rPr>
      </w:r>
      <w:r/>
    </w:p>
    <w:p>
      <w:pPr>
        <w:pStyle w:val="654"/>
        <w:ind w:left="0" w:right="0" w:firstLine="480"/>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（6）符合法律、行政法规和采购文件规定的其他条件。</w:t>
      </w:r>
      <w:r>
        <w:rPr>
          <w:rFonts w:hint="eastAsia" w:ascii="宋体" w:hAnsi="宋体" w:eastAsia="宋体" w:cs="宋体"/>
          <w:color w:val="000000"/>
          <w:highlight w:val="none"/>
        </w:rPr>
      </w:r>
      <w:r/>
    </w:p>
    <w:p>
      <w:pPr>
        <w:pStyle w:val="654"/>
        <w:ind w:left="0" w:right="0" w:firstLine="480"/>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color w:val="000000"/>
          <w:highlight w:val="none"/>
        </w:rPr>
      </w:r>
      <w:r/>
    </w:p>
    <w:p>
      <w:pPr>
        <w:pStyle w:val="654"/>
        <w:ind w:left="0" w:right="0" w:firstLine="482"/>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供应商涉及以下情形的，不适用信用承诺： </w:t>
      </w:r>
      <w:r>
        <w:rPr>
          <w:rFonts w:hint="eastAsia" w:ascii="宋体" w:hAnsi="宋体" w:eastAsia="宋体" w:cs="宋体"/>
          <w:color w:val="000000"/>
          <w:highlight w:val="none"/>
        </w:rPr>
      </w:r>
      <w:r/>
    </w:p>
    <w:p>
      <w:pPr>
        <w:pStyle w:val="654"/>
        <w:ind w:left="0" w:right="0" w:firstLine="482"/>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（1）供应商被列入严重失信主体名单； </w:t>
      </w:r>
      <w:r>
        <w:rPr>
          <w:rFonts w:hint="eastAsia" w:ascii="宋体" w:hAnsi="宋体" w:eastAsia="宋体" w:cs="宋体"/>
          <w:color w:val="000000"/>
          <w:highlight w:val="none"/>
        </w:rPr>
      </w:r>
      <w:r/>
    </w:p>
    <w:p>
      <w:pPr>
        <w:pStyle w:val="654"/>
        <w:ind w:left="0" w:right="0" w:firstLine="482"/>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（2）被相关监管部门作出行政处罚且尚在处罚有效期内； </w:t>
      </w:r>
      <w:r>
        <w:rPr>
          <w:rFonts w:hint="eastAsia" w:ascii="宋体" w:hAnsi="宋体" w:eastAsia="宋体" w:cs="宋体"/>
          <w:color w:val="000000"/>
          <w:highlight w:val="none"/>
        </w:rPr>
      </w:r>
      <w:r/>
    </w:p>
    <w:p>
      <w:pPr>
        <w:pStyle w:val="654"/>
        <w:ind w:left="0" w:right="0" w:firstLine="482"/>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（3）其他法律、行政法规规定的不适用信用承诺的情形。 </w:t>
      </w:r>
      <w:r>
        <w:rPr>
          <w:rFonts w:hint="eastAsia" w:ascii="宋体" w:hAnsi="宋体" w:eastAsia="宋体" w:cs="宋体"/>
          <w:color w:val="000000"/>
          <w:highlight w:val="none"/>
        </w:rPr>
      </w:r>
      <w:r/>
    </w:p>
    <w:p>
      <w:pPr>
        <w:pStyle w:val="654"/>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color w:val="000000"/>
          <w:sz w:val="24"/>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4"/>
          <w:szCs w:val="24"/>
          <w:highlight w:val="none"/>
          <w:lang w:val="en-US" w:eastAsia="zh-CN"/>
        </w:rPr>
      </w:r>
      <w:r/>
    </w:p>
    <w:p>
      <w:pPr>
        <w:pStyle w:val="893"/>
        <w:ind w:firstLine="480"/>
        <w:spacing w:line="360" w:lineRule="auto"/>
        <w:rPr>
          <w:rFonts w:hint="eastAsia" w:ascii="宋体" w:hAnsi="宋体" w:eastAsia="宋体" w:cs="宋体"/>
          <w:color w:val="000000"/>
          <w:sz w:val="24"/>
          <w:szCs w:val="21"/>
          <w:highlight w:val="none"/>
          <w:lang w:val="en-US"/>
        </w:rPr>
      </w:pPr>
      <w:r/>
      <w:bookmarkStart w:id="35" w:name="_Toc28359008"/>
      <w:r/>
      <w:bookmarkStart w:id="36" w:name="_Toc38985269"/>
      <w:r/>
      <w:bookmarkStart w:id="37" w:name="_Toc28359085"/>
      <w:r/>
      <w:bookmarkStart w:id="38" w:name="_Toc35393796"/>
      <w:r/>
      <w:bookmarkStart w:id="39" w:name="EB64e1f522fd8c43fcb4d3ba471386b3e7"/>
      <w:r/>
      <w:bookmarkStart w:id="40" w:name="_Toc35393627"/>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lang w:val="en-US"/>
        </w:rPr>
        <w:t xml:space="preserve">如果投标人通过苏采云系统参与政府采购项目，相关操作手册详见链接：</w:t>
      </w:r>
      <w:r>
        <w:rPr>
          <w:rFonts w:hint="eastAsia" w:ascii="宋体" w:hAnsi="宋体" w:eastAsia="宋体" w:cs="宋体"/>
          <w:color w:val="000000"/>
          <w:spacing w:val="-6"/>
          <w:sz w:val="24"/>
          <w:szCs w:val="21"/>
          <w:highlight w:val="none"/>
          <w:lang w:val="en-US"/>
        </w:rPr>
        <w:t xml:space="preserve">http://www.ccgp-jiangsu.gov.cn/jiangsu/zlxz/ee/ee3a4bc5a3454aa2b0d9312230633ce9.html。</w:t>
      </w:r>
      <w:bookmarkEnd w:id="39"/>
      <w:r>
        <w:rPr>
          <w:rFonts w:hint="eastAsia" w:ascii="宋体" w:hAnsi="宋体" w:eastAsia="宋体" w:cs="宋体"/>
          <w:color w:val="000000"/>
          <w:sz w:val="24"/>
          <w:szCs w:val="21"/>
          <w:highlight w:val="none"/>
          <w:lang w:val="en-US"/>
        </w:rPr>
      </w:r>
      <w:r/>
    </w:p>
    <w:p>
      <w:pPr>
        <w:pStyle w:val="654"/>
        <w:numPr>
          <w:ilvl w:val="0"/>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现场勘察及答疑：本项目不组织集中勘察及答疑，投标人如对采购需求有疑问，请咨询采购单位联系人。 </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招标公告发布媒体：南京市公共采购信息网、江苏省政府采购网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中国政府采购网</w:t>
      </w:r>
      <w:r>
        <w:rPr>
          <w:rFonts w:hint="eastAsia" w:ascii="宋体" w:hAnsi="宋体" w:eastAsia="宋体" w:cs="宋体"/>
          <w:color w:val="000000"/>
          <w:sz w:val="24"/>
          <w:highlight w:val="none"/>
        </w:rPr>
        <w:t xml:space="preserve">，</w:t>
      </w:r>
      <w:r>
        <w:rPr>
          <w:rFonts w:hint="eastAsia" w:ascii="宋体" w:hAnsi="宋体" w:eastAsia="宋体" w:cs="宋体"/>
          <w:iCs/>
          <w:color w:val="000000"/>
          <w:sz w:val="24"/>
          <w:highlight w:val="none"/>
        </w:rPr>
        <w:t xml:space="preserve">有关本次招标的事项若存在变动或修改，敬请及时关注。</w:t>
      </w:r>
      <w:r>
        <w:rPr>
          <w:rFonts w:hint="eastAsia" w:ascii="宋体" w:hAnsi="宋体" w:eastAsia="宋体" w:cs="宋体"/>
          <w:color w:val="000000"/>
          <w:sz w:val="24"/>
          <w:highlight w:val="none"/>
        </w:rPr>
      </w:r>
      <w:r/>
    </w:p>
    <w:p>
      <w:pPr>
        <w:pStyle w:val="657"/>
        <w:ind w:firstLine="498"/>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七、本次招标联系方式</w:t>
      </w:r>
      <w:bookmarkEnd w:id="35"/>
      <w:r/>
      <w:bookmarkEnd w:id="36"/>
      <w:r/>
      <w:bookmarkEnd w:id="37"/>
      <w:r/>
      <w:bookmarkEnd w:id="38"/>
      <w:r/>
      <w:bookmarkEnd w:id="40"/>
      <w:r>
        <w:rPr>
          <w:rFonts w:hint="eastAsia" w:ascii="宋体" w:hAnsi="宋体" w:eastAsia="宋体" w:cs="宋体"/>
          <w:color w:val="000000"/>
          <w:highlight w:val="none"/>
          <w:lang w:eastAsia="zh-CN"/>
        </w:rPr>
      </w:r>
      <w:r/>
    </w:p>
    <w:p>
      <w:pPr>
        <w:pStyle w:val="654"/>
        <w:ind w:firstLine="480"/>
        <w:jc w:val="left"/>
        <w:spacing w:line="360" w:lineRule="auto"/>
        <w:widowControl/>
        <w:rPr>
          <w:rFonts w:hint="eastAsia" w:ascii="宋体" w:hAnsi="宋体" w:eastAsia="宋体" w:cs="宋体"/>
          <w:color w:val="000000"/>
          <w:sz w:val="24"/>
          <w:szCs w:val="24"/>
          <w:highlight w:val="none"/>
        </w:rPr>
      </w:pPr>
      <w:r/>
      <w:bookmarkStart w:id="41" w:name="_Toc28359086"/>
      <w:r/>
      <w:bookmarkStart w:id="42" w:name="_Toc28359009"/>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654"/>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南京江北新区管理委员会生态环境和水务局</w:t>
      </w:r>
      <w:r>
        <w:rPr>
          <w:rFonts w:hint="eastAsia" w:ascii="宋体" w:hAnsi="宋体" w:eastAsia="宋体" w:cs="宋体"/>
          <w:color w:val="000000"/>
          <w:sz w:val="24"/>
          <w:szCs w:val="24"/>
          <w:highlight w:val="none"/>
          <w:lang w:eastAsia="zh-CN"/>
        </w:rPr>
      </w:r>
      <w:r/>
    </w:p>
    <w:p>
      <w:pPr>
        <w:pStyle w:val="654"/>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地址：南京江北新区</w:t>
      </w:r>
      <w:r>
        <w:rPr>
          <w:rFonts w:hint="eastAsia" w:ascii="宋体" w:hAnsi="宋体" w:cs="宋体"/>
          <w:color w:val="000000"/>
          <w:sz w:val="24"/>
          <w:szCs w:val="24"/>
          <w:highlight w:val="none"/>
          <w:lang w:val="en-US" w:eastAsia="zh-CN"/>
        </w:rPr>
        <w:t xml:space="preserve">天浦路28号1号楼8</w:t>
      </w:r>
      <w:r>
        <w:rPr>
          <w:rFonts w:hint="eastAsia" w:ascii="宋体" w:hAnsi="宋体" w:eastAsia="宋体" w:cs="宋体"/>
          <w:color w:val="000000"/>
          <w:sz w:val="24"/>
          <w:szCs w:val="24"/>
          <w:highlight w:val="none"/>
        </w:rPr>
        <w:t xml:space="preserve">楼</w:t>
      </w:r>
      <w:r>
        <w:rPr>
          <w:rFonts w:hint="eastAsia" w:ascii="宋体" w:hAnsi="宋体" w:eastAsia="宋体" w:cs="宋体"/>
          <w:color w:val="000000"/>
          <w:sz w:val="24"/>
          <w:szCs w:val="24"/>
          <w:highlight w:val="none"/>
          <w:lang w:eastAsia="zh-CN"/>
        </w:rPr>
      </w:r>
      <w:r/>
    </w:p>
    <w:p>
      <w:pPr>
        <w:pStyle w:val="654"/>
        <w:ind w:firstLine="480"/>
        <w:jc w:val="left"/>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联系人：</w:t>
      </w:r>
      <w:r>
        <w:rPr>
          <w:rFonts w:hint="eastAsia" w:ascii="宋体" w:hAnsi="宋体" w:eastAsia="宋体" w:cs="宋体"/>
          <w:bCs/>
          <w:color w:val="000000"/>
          <w:sz w:val="24"/>
          <w:szCs w:val="24"/>
          <w:highlight w:val="none"/>
          <w:lang w:val="en-US" w:eastAsia="zh-CN"/>
        </w:rPr>
        <w:t xml:space="preserve">赵老师</w:t>
      </w:r>
      <w:r>
        <w:rPr>
          <w:rFonts w:hint="eastAsia" w:ascii="宋体" w:hAnsi="宋体" w:eastAsia="宋体" w:cs="宋体"/>
          <w:bCs/>
          <w:color w:val="000000"/>
          <w:sz w:val="24"/>
          <w:szCs w:val="24"/>
          <w:highlight w:val="none"/>
          <w:lang w:eastAsia="zh-CN"/>
        </w:rPr>
      </w:r>
      <w:r/>
    </w:p>
    <w:p>
      <w:pPr>
        <w:pStyle w:val="654"/>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highlight w:val="none"/>
        </w:rPr>
        <w:t xml:space="preserve">025-880200</w:t>
      </w:r>
      <w:r>
        <w:rPr>
          <w:rFonts w:hint="eastAsia" w:ascii="宋体" w:hAnsi="宋体" w:cs="宋体"/>
          <w:color w:val="000000"/>
          <w:sz w:val="24"/>
          <w:highlight w:val="none"/>
          <w:lang w:val="en-US" w:eastAsia="zh-CN"/>
        </w:rPr>
        <w:t xml:space="preserve">75</w:t>
      </w:r>
      <w:r>
        <w:rPr>
          <w:rFonts w:hint="eastAsia" w:ascii="宋体" w:hAnsi="宋体" w:eastAsia="宋体" w:cs="宋体"/>
          <w:color w:val="000000"/>
          <w:sz w:val="24"/>
          <w:szCs w:val="24"/>
          <w:highlight w:val="none"/>
        </w:rPr>
      </w:r>
      <w:r/>
    </w:p>
    <w:p>
      <w:pPr>
        <w:pStyle w:val="654"/>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End w:id="41"/>
      <w:r/>
      <w:bookmarkEnd w:id="42"/>
      <w:r>
        <w:rPr>
          <w:rFonts w:hint="eastAsia" w:ascii="宋体" w:hAnsi="宋体" w:eastAsia="宋体" w:cs="宋体"/>
          <w:color w:val="000000"/>
          <w:sz w:val="24"/>
          <w:szCs w:val="24"/>
          <w:highlight w:val="none"/>
        </w:rPr>
        <w:t xml:space="preserve">采购代理机构信息</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南京江城工程项目管理有限公司</w:t>
      </w:r>
      <w:r>
        <w:rPr>
          <w:rFonts w:hint="eastAsia" w:ascii="宋体" w:hAnsi="宋体" w:eastAsia="宋体" w:cs="宋体"/>
          <w:color w:val="000000"/>
          <w:sz w:val="24"/>
          <w:szCs w:val="24"/>
          <w:highlight w:val="none"/>
          <w:lang w:eastAsia="zh-CN"/>
        </w:rPr>
      </w:r>
      <w:r/>
    </w:p>
    <w:p>
      <w:pPr>
        <w:pStyle w:val="654"/>
        <w:ind w:firstLine="48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地址：南京市建邺区云龙山路</w:t>
      </w:r>
      <w:r>
        <w:rPr>
          <w:rFonts w:hint="eastAsia" w:ascii="宋体" w:hAnsi="宋体" w:eastAsia="宋体" w:cs="宋体"/>
          <w:color w:val="000000"/>
          <w:sz w:val="24"/>
          <w:szCs w:val="24"/>
          <w:highlight w:val="none"/>
          <w:lang w:val="en-US" w:eastAsia="zh-CN"/>
        </w:rPr>
        <w:t xml:space="preserve">89</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lang w:val="en-US" w:eastAsia="zh-CN"/>
        </w:rPr>
        <w:t xml:space="preserve">龙湖时代1栋29楼</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4"/>
        <w:ind w:firstLine="480"/>
        <w:jc w:val="left"/>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汪</w:t>
      </w:r>
      <w:r>
        <w:rPr>
          <w:rFonts w:hint="eastAsia" w:ascii="宋体" w:hAnsi="宋体" w:cs="宋体"/>
          <w:color w:val="000000"/>
          <w:sz w:val="24"/>
          <w:szCs w:val="24"/>
          <w:highlight w:val="none"/>
          <w:lang w:val="en-US" w:eastAsia="zh-CN"/>
        </w:rPr>
        <w:t xml:space="preserve">丹丹</w:t>
      </w:r>
      <w:r>
        <w:rPr>
          <w:rFonts w:hint="eastAsia" w:ascii="宋体" w:hAnsi="宋体" w:eastAsia="宋体" w:cs="宋体"/>
          <w:color w:val="000000"/>
          <w:sz w:val="24"/>
          <w:szCs w:val="24"/>
          <w:highlight w:val="none"/>
          <w:lang w:val="en-US" w:eastAsia="zh-CN"/>
        </w:rPr>
      </w:r>
      <w:r/>
    </w:p>
    <w:p>
      <w:pPr>
        <w:pStyle w:val="654"/>
        <w:ind w:firstLine="480"/>
        <w:jc w:val="left"/>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电话：025-58835827-8015</w:t>
      </w:r>
      <w:r>
        <w:rPr>
          <w:rFonts w:hint="eastAsia" w:ascii="宋体" w:hAnsi="宋体" w:eastAsia="宋体" w:cs="宋体"/>
          <w:color w:val="000000"/>
          <w:sz w:val="24"/>
          <w:szCs w:val="24"/>
          <w:highlight w:val="none"/>
          <w:lang w:val="en-US" w:eastAsia="zh-CN"/>
        </w:rPr>
      </w:r>
      <w:r/>
    </w:p>
    <w:p>
      <w:pPr>
        <w:pStyle w:val="656"/>
        <w:ind w:firstLine="2429"/>
        <w:jc w:val="both"/>
        <w:spacing w:line="360" w:lineRule="auto"/>
        <w:rPr>
          <w:rFonts w:hint="eastAsia" w:ascii="宋体" w:hAnsi="宋体" w:eastAsia="宋体" w:cs="宋体"/>
          <w:b w:val="0"/>
          <w:bCs w:val="0"/>
          <w:color w:val="000000"/>
          <w:highlight w:val="none"/>
          <w:lang w:eastAsia="zh-CN"/>
        </w:rPr>
      </w:pPr>
      <w:r/>
      <w:bookmarkStart w:id="43" w:name="_Toc120614211"/>
      <w:r>
        <w:rPr>
          <w:rFonts w:hint="eastAsia" w:ascii="宋体" w:hAnsi="宋体" w:eastAsia="宋体" w:cs="宋体"/>
          <w:color w:val="000000"/>
          <w:highlight w:val="none"/>
          <w:lang w:eastAsia="zh-CN"/>
        </w:rPr>
        <w:br w:type="page" w:clear="all"/>
      </w:r>
      <w:r>
        <w:rPr>
          <w:rFonts w:hint="eastAsia" w:ascii="宋体" w:hAnsi="宋体" w:eastAsia="宋体" w:cs="宋体"/>
          <w:color w:val="000000"/>
          <w:highlight w:val="none"/>
          <w:lang w:eastAsia="zh-CN"/>
        </w:rPr>
        <w:t xml:space="preserve">第二章  </w:t>
      </w:r>
      <w:bookmarkEnd w:id="1"/>
      <w:r/>
      <w:bookmarkEnd w:id="2"/>
      <w:r/>
      <w:bookmarkEnd w:id="3"/>
      <w:r/>
      <w:bookmarkEnd w:id="4"/>
      <w:r/>
      <w:bookmarkEnd w:id="5"/>
      <w:r/>
      <w:bookmarkEnd w:id="43"/>
      <w:r/>
      <w:bookmarkStart w:id="44" w:name="_Toc513029202"/>
      <w:r/>
      <w:bookmarkStart w:id="45" w:name="_Toc16938518"/>
      <w:r/>
      <w:bookmarkStart w:id="46" w:name="_Toc120614213"/>
      <w:r/>
      <w:bookmarkStart w:id="47" w:name="_Toc20823274"/>
      <w:r>
        <w:rPr>
          <w:rFonts w:hint="eastAsia" w:ascii="宋体" w:hAnsi="宋体" w:eastAsia="宋体" w:cs="宋体"/>
          <w:color w:val="000000"/>
          <w:highlight w:val="none"/>
          <w:lang w:eastAsia="zh-CN"/>
        </w:rPr>
        <w:t xml:space="preserve">投标人须知</w:t>
      </w:r>
      <w:bookmarkEnd w:id="44"/>
      <w:r/>
      <w:bookmarkEnd w:id="45"/>
      <w:r/>
      <w:bookmarkEnd w:id="46"/>
      <w:r/>
      <w:bookmarkEnd w:id="47"/>
      <w:r>
        <w:rPr>
          <w:rFonts w:hint="eastAsia" w:ascii="宋体" w:hAnsi="宋体" w:eastAsia="宋体" w:cs="宋体"/>
          <w:b w:val="0"/>
          <w:bCs w:val="0"/>
          <w:color w:val="000000"/>
          <w:highlight w:val="none"/>
          <w:lang w:eastAsia="zh-CN"/>
        </w:rPr>
      </w:r>
      <w:r/>
    </w:p>
    <w:p>
      <w:pPr>
        <w:pStyle w:val="657"/>
        <w:ind w:firstLine="498"/>
        <w:spacing w:before="0" w:after="0" w:line="360" w:lineRule="auto"/>
        <w:rPr>
          <w:rFonts w:hint="eastAsia" w:ascii="宋体" w:hAnsi="宋体" w:eastAsia="宋体" w:cs="宋体"/>
          <w:color w:val="000000"/>
          <w:highlight w:val="none"/>
          <w:lang w:eastAsia="zh-CN"/>
        </w:rPr>
      </w:pPr>
      <w:r/>
      <w:bookmarkStart w:id="48" w:name="_Toc120614214"/>
      <w:r/>
      <w:bookmarkStart w:id="49" w:name="_Toc513029203"/>
      <w:r/>
      <w:bookmarkStart w:id="50" w:name="_Toc16938519"/>
      <w:r/>
      <w:bookmarkStart w:id="51" w:name="_Toc20823275"/>
      <w:r>
        <w:rPr>
          <w:rFonts w:hint="eastAsia" w:ascii="宋体" w:hAnsi="宋体" w:eastAsia="宋体" w:cs="宋体"/>
          <w:color w:val="000000"/>
          <w:highlight w:val="none"/>
          <w:lang w:eastAsia="zh-CN"/>
        </w:rPr>
        <w:t xml:space="preserve">一、总则</w:t>
      </w:r>
      <w:bookmarkEnd w:id="48"/>
      <w:r/>
      <w:bookmarkEnd w:id="49"/>
      <w:r/>
      <w:bookmarkEnd w:id="50"/>
      <w:r/>
      <w:bookmarkEnd w:id="51"/>
      <w:r>
        <w:rPr>
          <w:rFonts w:hint="eastAsia" w:ascii="宋体" w:hAnsi="宋体" w:eastAsia="宋体" w:cs="宋体"/>
          <w:color w:val="000000"/>
          <w:highlight w:val="none"/>
          <w:lang w:eastAsia="zh-CN"/>
        </w:rPr>
      </w:r>
      <w:r/>
    </w:p>
    <w:p>
      <w:pPr>
        <w:pStyle w:val="658"/>
        <w:ind w:firstLine="420"/>
        <w:spacing w:before="0" w:after="0" w:line="360" w:lineRule="auto"/>
        <w:rPr>
          <w:rFonts w:hint="eastAsia" w:ascii="宋体" w:hAnsi="宋体" w:eastAsia="宋体" w:cs="宋体"/>
          <w:b w:val="0"/>
          <w:bCs w:val="0"/>
          <w:color w:val="000000"/>
          <w:highlight w:val="none"/>
          <w:lang w:eastAsia="zh-CN"/>
        </w:rPr>
      </w:pPr>
      <w:r/>
      <w:bookmarkStart w:id="52" w:name="_Hlt16619475"/>
      <w:r/>
      <w:bookmarkEnd w:id="52"/>
      <w:r/>
      <w:bookmarkStart w:id="53" w:name="_Toc458694821"/>
      <w:r/>
      <w:bookmarkStart w:id="54" w:name="_Toc513029204"/>
      <w:r/>
      <w:bookmarkStart w:id="55" w:name="_Toc20823276"/>
      <w:r/>
      <w:bookmarkStart w:id="56" w:name="_Toc16938520"/>
      <w:r>
        <w:rPr>
          <w:rFonts w:hint="eastAsia" w:ascii="宋体" w:hAnsi="宋体" w:eastAsia="宋体" w:cs="宋体"/>
          <w:b w:val="0"/>
          <w:bCs w:val="0"/>
          <w:color w:val="000000"/>
          <w:highlight w:val="none"/>
          <w:lang w:eastAsia="zh-CN"/>
        </w:rPr>
        <w:t xml:space="preserve">1</w:t>
      </w:r>
      <w:bookmarkEnd w:id="53"/>
      <w:r>
        <w:rPr>
          <w:rFonts w:hint="eastAsia" w:ascii="宋体" w:hAnsi="宋体" w:eastAsia="宋体" w:cs="宋体"/>
          <w:b w:val="0"/>
          <w:bCs w:val="0"/>
          <w:color w:val="000000"/>
          <w:highlight w:val="none"/>
          <w:lang w:eastAsia="zh-CN"/>
        </w:rPr>
        <w:t xml:space="preserve">、招标方式</w:t>
      </w:r>
      <w:bookmarkEnd w:id="54"/>
      <w:r/>
      <w:bookmarkEnd w:id="55"/>
      <w:r/>
      <w:bookmarkEnd w:id="56"/>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rPr>
          <w:rFonts w:hint="eastAsia" w:ascii="宋体" w:hAnsi="宋体" w:eastAsia="宋体" w:cs="宋体"/>
          <w:color w:val="000000"/>
          <w:sz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bookmarkStart w:id="57" w:name="_Toc20823277"/>
      <w:r/>
      <w:bookmarkStart w:id="58" w:name="_Toc513029205"/>
      <w:r/>
      <w:bookmarkStart w:id="59" w:name="_Toc16938521"/>
      <w:r>
        <w:rPr>
          <w:rFonts w:hint="eastAsia" w:ascii="宋体" w:hAnsi="宋体" w:eastAsia="宋体" w:cs="宋体"/>
          <w:b w:val="0"/>
          <w:bCs w:val="0"/>
          <w:color w:val="000000"/>
          <w:highlight w:val="none"/>
          <w:lang w:eastAsia="zh-CN"/>
        </w:rPr>
        <w:t xml:space="preserve">2、合格的投标人</w:t>
      </w:r>
      <w:bookmarkEnd w:id="57"/>
      <w:r/>
      <w:bookmarkEnd w:id="58"/>
      <w:r/>
      <w:bookmarkEnd w:id="59"/>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2.1满足招标公告中投标人的资格要求的规定。</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满足本文件实质性要求和条件的规定。</w:t>
      </w:r>
      <w:r>
        <w:rPr>
          <w:rFonts w:hint="eastAsia" w:ascii="宋体" w:hAnsi="宋体" w:eastAsia="宋体" w:cs="宋体"/>
          <w:color w:val="000000"/>
          <w:sz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bookmarkStart w:id="60" w:name="_Toc16938522"/>
      <w:r/>
      <w:bookmarkStart w:id="61" w:name="_Toc513029206"/>
      <w:r/>
      <w:bookmarkStart w:id="62" w:name="_Toc20823278"/>
      <w:r>
        <w:rPr>
          <w:rFonts w:hint="eastAsia" w:ascii="宋体" w:hAnsi="宋体" w:eastAsia="宋体" w:cs="宋体"/>
          <w:b w:val="0"/>
          <w:bCs w:val="0"/>
          <w:color w:val="000000"/>
          <w:highlight w:val="none"/>
          <w:lang w:eastAsia="zh-CN"/>
        </w:rPr>
        <w:t xml:space="preserve">3、适用法律</w:t>
      </w:r>
      <w:bookmarkEnd w:id="60"/>
      <w:r/>
      <w:bookmarkEnd w:id="61"/>
      <w:r/>
      <w:bookmarkEnd w:id="62"/>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bookmarkStart w:id="63" w:name="_Toc513029207"/>
      <w:r/>
      <w:bookmarkStart w:id="64" w:name="_Toc462564067"/>
      <w:r/>
      <w:bookmarkStart w:id="65" w:name="_Toc16938523"/>
      <w:r/>
      <w:bookmarkStart w:id="66" w:name="_Toc20823279"/>
      <w:r>
        <w:rPr>
          <w:rFonts w:hint="eastAsia" w:ascii="宋体" w:hAnsi="宋体" w:eastAsia="宋体" w:cs="宋体"/>
          <w:b w:val="0"/>
          <w:bCs w:val="0"/>
          <w:color w:val="000000"/>
          <w:highlight w:val="none"/>
          <w:lang w:eastAsia="zh-CN"/>
        </w:rPr>
        <w:t xml:space="preserve">4、投标费用</w:t>
      </w:r>
      <w:bookmarkEnd w:id="63"/>
      <w:r/>
      <w:bookmarkEnd w:id="64"/>
      <w:r/>
      <w:bookmarkEnd w:id="65"/>
      <w:r/>
      <w:bookmarkEnd w:id="66"/>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 投标人应自行承担所有与参加投标有关的费用，无论投标过程中的做法和结果如何，</w:t>
      </w:r>
      <w:r>
        <w:rPr>
          <w:rFonts w:hint="eastAsia" w:ascii="宋体" w:hAnsi="宋体" w:eastAsia="宋体" w:cs="宋体"/>
          <w:color w:val="000000"/>
          <w:sz w:val="24"/>
          <w:highlight w:val="none"/>
          <w:u w:val="single"/>
          <w:lang w:eastAsia="zh-CN"/>
        </w:rPr>
        <w:t xml:space="preserve">南京江城工程项目管理有限公司</w:t>
      </w:r>
      <w:r>
        <w:rPr>
          <w:rFonts w:hint="eastAsia" w:ascii="宋体" w:hAnsi="宋体" w:eastAsia="宋体" w:cs="宋体"/>
          <w:color w:val="000000"/>
          <w:sz w:val="24"/>
          <w:highlight w:val="none"/>
        </w:rPr>
        <w:t xml:space="preserve">（以下简称采购代理机构）在任何情况下均无义务和责任承担这些费用。</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4.2代理费用收取方式及标准</w:t>
      </w:r>
      <w:r>
        <w:rPr>
          <w:rFonts w:hint="eastAsia" w:ascii="宋体" w:hAnsi="宋体" w:eastAsia="宋体" w:cs="宋体"/>
          <w:color w:val="000000"/>
          <w:sz w:val="24"/>
          <w:highlight w:val="none"/>
          <w:lang w:val="zh-CN"/>
        </w:rPr>
      </w:r>
      <w:r/>
    </w:p>
    <w:p>
      <w:pPr>
        <w:pStyle w:val="654"/>
        <w:ind w:firstLine="42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中标供应商支付，具体方式及标准为：招标代理咨询服务费参照《江苏省招标代理服务收费的指导意见》文件计算，折扣率为</w:t>
      </w:r>
      <w:r>
        <w:rPr>
          <w:rFonts w:hint="eastAsia" w:ascii="宋体" w:hAnsi="宋体" w:eastAsia="宋体" w:cs="宋体"/>
          <w:color w:val="000000"/>
          <w:sz w:val="24"/>
          <w:highlight w:val="none"/>
          <w:lang w:val="en-US" w:eastAsia="zh-CN"/>
        </w:rPr>
        <w:t xml:space="preserve">23.6</w:t>
      </w:r>
      <w:r>
        <w:rPr>
          <w:rFonts w:hint="eastAsia" w:ascii="宋体" w:hAnsi="宋体" w:eastAsia="宋体" w:cs="宋体"/>
          <w:color w:val="000000"/>
          <w:sz w:val="24"/>
          <w:highlight w:val="none"/>
          <w:lang w:val="zh-CN"/>
        </w:rPr>
        <w:t xml:space="preserve">%。招标代理费等费用已包含在项目预算中，与供应商约定包含在报价中。</w:t>
      </w:r>
      <w:r>
        <w:rPr>
          <w:rFonts w:hint="eastAsia" w:ascii="宋体" w:hAnsi="宋体" w:eastAsia="宋体" w:cs="宋体"/>
          <w:color w:val="000000"/>
          <w:sz w:val="24"/>
          <w:highlight w:val="none"/>
          <w:lang w:val="zh-CN"/>
        </w:rPr>
      </w:r>
      <w:r/>
    </w:p>
    <w:p>
      <w:pPr>
        <w:pStyle w:val="654"/>
        <w:ind w:firstLine="42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以上报价应考虑在总报价中，不再单独列项。</w:t>
      </w:r>
      <w:r>
        <w:rPr>
          <w:rFonts w:hint="eastAsia" w:ascii="宋体" w:hAnsi="宋体" w:eastAsia="宋体" w:cs="宋体"/>
          <w:color w:val="000000"/>
          <w:sz w:val="24"/>
          <w:highlight w:val="none"/>
          <w:lang w:val="zh-CN"/>
        </w:rPr>
      </w:r>
      <w:r/>
    </w:p>
    <w:p>
      <w:pPr>
        <w:pStyle w:val="654"/>
        <w:ind w:firstLine="42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30"/>
          <w:highlight w:val="none"/>
        </w:rPr>
        <w:t xml:space="preserve">5、</w:t>
      </w:r>
      <w:r>
        <w:rPr>
          <w:rFonts w:hint="eastAsia" w:ascii="宋体" w:hAnsi="宋体" w:eastAsia="宋体" w:cs="宋体"/>
          <w:b/>
          <w:bCs/>
          <w:color w:val="000000"/>
          <w:sz w:val="24"/>
          <w:szCs w:val="24"/>
          <w:highlight w:val="none"/>
        </w:rPr>
        <w:t xml:space="preserve">招标文件的约束力</w:t>
      </w:r>
      <w:r>
        <w:rPr>
          <w:rFonts w:hint="eastAsia" w:ascii="宋体" w:hAnsi="宋体" w:eastAsia="宋体" w:cs="宋体"/>
          <w:b/>
          <w:bCs/>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投标人一旦参加本项目采购活动，即被认为接受了本招标文件的规定和约束。</w:t>
      </w:r>
      <w:r>
        <w:rPr>
          <w:rFonts w:hint="eastAsia" w:ascii="宋体" w:hAnsi="宋体" w:eastAsia="宋体" w:cs="宋体"/>
          <w:color w:val="000000"/>
          <w:sz w:val="24"/>
          <w:szCs w:val="24"/>
          <w:highlight w:val="none"/>
        </w:rPr>
      </w:r>
      <w:r/>
    </w:p>
    <w:p>
      <w:pPr>
        <w:pStyle w:val="657"/>
        <w:ind w:firstLine="321"/>
        <w:spacing w:before="0" w:after="0" w:line="360" w:lineRule="auto"/>
        <w:rPr>
          <w:rFonts w:hint="eastAsia" w:ascii="宋体" w:hAnsi="宋体" w:eastAsia="宋体" w:cs="宋体"/>
          <w:color w:val="000000"/>
          <w:highlight w:val="none"/>
          <w:lang w:eastAsia="zh-CN"/>
        </w:rPr>
      </w:pPr>
      <w:r/>
      <w:bookmarkStart w:id="67" w:name="_Toc120614215"/>
      <w:r/>
      <w:bookmarkStart w:id="68" w:name="_Toc16938525"/>
      <w:r/>
      <w:bookmarkStart w:id="69" w:name="_Toc20823281"/>
      <w:r/>
      <w:bookmarkStart w:id="70" w:name="_Toc513029209"/>
      <w:r>
        <w:rPr>
          <w:rFonts w:hint="eastAsia" w:ascii="宋体" w:hAnsi="宋体" w:eastAsia="宋体" w:cs="宋体"/>
          <w:color w:val="000000"/>
          <w:highlight w:val="none"/>
          <w:lang w:eastAsia="zh-CN"/>
        </w:rPr>
        <w:t xml:space="preserve">二、招标文件</w:t>
      </w:r>
      <w:bookmarkEnd w:id="67"/>
      <w:r/>
      <w:bookmarkEnd w:id="68"/>
      <w:r/>
      <w:bookmarkEnd w:id="69"/>
      <w:r/>
      <w:bookmarkEnd w:id="70"/>
      <w:r>
        <w:rPr>
          <w:rFonts w:hint="eastAsia" w:ascii="宋体" w:hAnsi="宋体" w:eastAsia="宋体" w:cs="宋体"/>
          <w:color w:val="000000"/>
          <w:highlight w:val="none"/>
          <w:lang w:eastAsia="zh-CN"/>
        </w:rPr>
      </w:r>
      <w:r/>
    </w:p>
    <w:p>
      <w:pPr>
        <w:pStyle w:val="658"/>
        <w:ind w:firstLine="420"/>
        <w:spacing w:before="0" w:after="0" w:line="360" w:lineRule="auto"/>
        <w:rPr>
          <w:rFonts w:hint="eastAsia" w:ascii="宋体" w:hAnsi="宋体" w:eastAsia="宋体" w:cs="宋体"/>
          <w:b w:val="0"/>
          <w:bCs w:val="0"/>
          <w:color w:val="000000"/>
          <w:highlight w:val="none"/>
          <w:lang w:eastAsia="zh-CN"/>
        </w:rPr>
      </w:pPr>
      <w:r/>
      <w:bookmarkStart w:id="71" w:name="_Toc513029210"/>
      <w:r/>
      <w:bookmarkStart w:id="72" w:name="_Toc20823282"/>
      <w:r/>
      <w:bookmarkStart w:id="73" w:name="_Toc16938526"/>
      <w:r>
        <w:rPr>
          <w:rFonts w:hint="eastAsia" w:ascii="宋体" w:hAnsi="宋体" w:eastAsia="宋体" w:cs="宋体"/>
          <w:b w:val="0"/>
          <w:bCs w:val="0"/>
          <w:color w:val="000000"/>
          <w:highlight w:val="none"/>
          <w:lang w:eastAsia="zh-CN"/>
        </w:rPr>
        <w:t xml:space="preserve">6、招标文件构成</w:t>
      </w:r>
      <w:bookmarkEnd w:id="71"/>
      <w:r/>
      <w:bookmarkEnd w:id="72"/>
      <w:r/>
      <w:bookmarkEnd w:id="73"/>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招标文件由以下部分组成：</w:t>
      </w:r>
      <w:r>
        <w:rPr>
          <w:rFonts w:hint="eastAsia" w:ascii="宋体" w:hAnsi="宋体" w:eastAsia="宋体" w:cs="宋体"/>
          <w:color w:val="000000"/>
          <w:sz w:val="24"/>
          <w:highlight w:val="none"/>
        </w:rPr>
      </w:r>
      <w:r/>
    </w:p>
    <w:p>
      <w:pPr>
        <w:pStyle w:val="654"/>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（1）投标邀请</w:t>
      </w:r>
      <w:r>
        <w:rPr>
          <w:rFonts w:hint="eastAsia" w:ascii="宋体" w:hAnsi="宋体" w:eastAsia="宋体" w:cs="宋体"/>
          <w:color w:val="000000"/>
          <w:sz w:val="24"/>
          <w:szCs w:val="24"/>
          <w:highlight w:val="none"/>
        </w:rPr>
      </w:r>
      <w:r/>
    </w:p>
    <w:p>
      <w:pPr>
        <w:pStyle w:val="654"/>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color w:val="000000"/>
          <w:sz w:val="24"/>
          <w:szCs w:val="24"/>
          <w:highlight w:val="none"/>
        </w:rPr>
      </w:r>
      <w:r/>
    </w:p>
    <w:p>
      <w:pPr>
        <w:pStyle w:val="654"/>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654"/>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654"/>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color w:val="000000"/>
          <w:sz w:val="24"/>
          <w:szCs w:val="24"/>
          <w:highlight w:val="none"/>
        </w:rPr>
      </w:r>
      <w:r/>
    </w:p>
    <w:p>
      <w:pPr>
        <w:pStyle w:val="654"/>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请仔细检查招标文件是否齐全，如有缺漏请立即与采购代理机构联系解决。</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658"/>
        <w:ind w:firstLine="560"/>
        <w:spacing w:before="0" w:after="0" w:line="360" w:lineRule="auto"/>
        <w:rPr>
          <w:rFonts w:hint="eastAsia" w:ascii="宋体" w:hAnsi="宋体" w:eastAsia="宋体" w:cs="宋体"/>
          <w:b w:val="0"/>
          <w:bCs w:val="0"/>
          <w:color w:val="000000"/>
          <w:highlight w:val="none"/>
          <w:lang w:eastAsia="zh-CN"/>
        </w:rPr>
      </w:pPr>
      <w:r/>
      <w:bookmarkStart w:id="74" w:name="_Toc20823283"/>
      <w:r/>
      <w:bookmarkStart w:id="75" w:name="_Toc16938527"/>
      <w:r/>
      <w:bookmarkStart w:id="76" w:name="_Toc462564070"/>
      <w:r/>
      <w:bookmarkStart w:id="77" w:name="_Toc513029211"/>
      <w:r>
        <w:rPr>
          <w:rFonts w:hint="eastAsia" w:ascii="宋体" w:hAnsi="宋体" w:eastAsia="宋体" w:cs="宋体"/>
          <w:b w:val="0"/>
          <w:bCs w:val="0"/>
          <w:color w:val="000000"/>
          <w:highlight w:val="none"/>
          <w:lang w:eastAsia="zh-CN"/>
        </w:rPr>
        <w:t xml:space="preserve">7、招标文件的澄清</w:t>
      </w:r>
      <w:bookmarkEnd w:id="74"/>
      <w:r/>
      <w:bookmarkEnd w:id="75"/>
      <w:r/>
      <w:bookmarkEnd w:id="76"/>
      <w:r/>
      <w:bookmarkEnd w:id="77"/>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7.1</w:t>
      </w:r>
      <w:r>
        <w:rPr>
          <w:rFonts w:hint="eastAsia" w:ascii="宋体" w:hAnsi="宋体" w:eastAsia="宋体" w:cs="宋体"/>
          <w:color w:val="000000"/>
          <w:sz w:val="24"/>
          <w:highlight w:val="none"/>
        </w:rPr>
        <w:t xml:space="preserve">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highlight w:val="none"/>
        </w:rPr>
        <w:t xml:space="preserve">按招标公告中的通讯地址，以书面形式通知采购代理机构。</w:t>
      </w:r>
      <w:r>
        <w:rPr>
          <w:rFonts w:hint="eastAsia" w:ascii="宋体" w:hAnsi="宋体" w:eastAsia="宋体" w:cs="宋体"/>
          <w:color w:val="000000"/>
          <w:sz w:val="24"/>
          <w:szCs w:val="24"/>
          <w:highlight w:val="none"/>
        </w:rPr>
      </w:r>
      <w:r/>
    </w:p>
    <w:p>
      <w:pPr>
        <w:pStyle w:val="658"/>
        <w:ind w:firstLine="560"/>
        <w:spacing w:before="0" w:after="0" w:line="360" w:lineRule="auto"/>
        <w:rPr>
          <w:rFonts w:hint="eastAsia" w:ascii="宋体" w:hAnsi="宋体" w:eastAsia="宋体" w:cs="宋体"/>
          <w:b w:val="0"/>
          <w:bCs w:val="0"/>
          <w:color w:val="000000"/>
          <w:highlight w:val="none"/>
          <w:lang w:eastAsia="zh-CN"/>
        </w:rPr>
      </w:pPr>
      <w:r/>
      <w:bookmarkStart w:id="78" w:name="_Toc462564071"/>
      <w:r/>
      <w:bookmarkStart w:id="79" w:name="_Toc16938528"/>
      <w:r/>
      <w:bookmarkStart w:id="80" w:name="_Toc20823284"/>
      <w:r/>
      <w:bookmarkStart w:id="81" w:name="_Toc513029212"/>
      <w:r>
        <w:rPr>
          <w:rFonts w:hint="eastAsia" w:ascii="宋体" w:hAnsi="宋体" w:eastAsia="宋体" w:cs="宋体"/>
          <w:b w:val="0"/>
          <w:bCs w:val="0"/>
          <w:color w:val="000000"/>
          <w:highlight w:val="none"/>
          <w:lang w:eastAsia="zh-CN"/>
        </w:rPr>
        <w:t xml:space="preserve">8、招标文件的修改</w:t>
      </w:r>
      <w:bookmarkEnd w:id="78"/>
      <w:r/>
      <w:bookmarkEnd w:id="79"/>
      <w:r/>
      <w:bookmarkEnd w:id="80"/>
      <w:r/>
      <w:bookmarkEnd w:id="81"/>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8.2 在投标截止时间前，采购代理机构可以对招标文件进行修改。</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8.3 采购代理机构有权按照法定的要求推迟投标截止日期和开标日期。</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8.4招标文件的修改将在原公告媒体上发布更正公告，补充文件将作为招标文件的组成部分，并对投标人具有约束力。</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8.5投标人应及时登录“苏采云”系统获取澄清答疑文件（修改后招标文件），如因投标人原因未能及时下载澄清和修改后的招标文件，由此造成的相关责任，由投标人承担。 </w:t>
      </w:r>
      <w:r>
        <w:rPr>
          <w:rFonts w:hint="eastAsia" w:ascii="宋体" w:hAnsi="宋体" w:eastAsia="宋体" w:cs="宋体"/>
          <w:bCs/>
          <w:color w:val="000000"/>
          <w:sz w:val="24"/>
          <w:highlight w:val="none"/>
        </w:rPr>
      </w:r>
      <w:r/>
    </w:p>
    <w:p>
      <w:pPr>
        <w:pStyle w:val="657"/>
        <w:ind w:firstLine="482"/>
        <w:spacing w:before="0" w:after="0" w:line="360" w:lineRule="auto"/>
        <w:rPr>
          <w:rFonts w:hint="eastAsia" w:ascii="宋体" w:hAnsi="宋体" w:eastAsia="宋体" w:cs="宋体"/>
          <w:color w:val="000000"/>
          <w:highlight w:val="none"/>
          <w:lang w:eastAsia="zh-CN"/>
        </w:rPr>
      </w:pPr>
      <w:r/>
      <w:bookmarkStart w:id="82" w:name="_Toc16938529"/>
      <w:r/>
      <w:bookmarkStart w:id="83" w:name="_Toc20823285"/>
      <w:r/>
      <w:bookmarkStart w:id="84" w:name="_Toc462564072"/>
      <w:r/>
      <w:bookmarkStart w:id="85" w:name="_Toc513029213"/>
      <w:r/>
      <w:bookmarkStart w:id="86" w:name="_Toc120614216"/>
      <w:r>
        <w:rPr>
          <w:rFonts w:hint="eastAsia" w:ascii="宋体" w:hAnsi="宋体" w:eastAsia="宋体" w:cs="宋体"/>
          <w:color w:val="000000"/>
          <w:highlight w:val="none"/>
          <w:lang w:eastAsia="zh-CN"/>
        </w:rPr>
        <w:t xml:space="preserve">三、投标文件的编制</w:t>
      </w:r>
      <w:bookmarkEnd w:id="82"/>
      <w:r/>
      <w:bookmarkEnd w:id="83"/>
      <w:r/>
      <w:bookmarkEnd w:id="84"/>
      <w:r/>
      <w:bookmarkEnd w:id="85"/>
      <w:r/>
      <w:bookmarkEnd w:id="86"/>
      <w:r>
        <w:rPr>
          <w:rFonts w:hint="eastAsia" w:ascii="宋体" w:hAnsi="宋体" w:eastAsia="宋体" w:cs="宋体"/>
          <w:color w:val="000000"/>
          <w:highlight w:val="none"/>
          <w:lang w:eastAsia="zh-CN"/>
        </w:rPr>
      </w:r>
      <w:r/>
    </w:p>
    <w:p>
      <w:pPr>
        <w:pStyle w:val="658"/>
        <w:ind w:firstLine="560"/>
        <w:spacing w:before="0" w:after="0" w:line="360" w:lineRule="auto"/>
        <w:rPr>
          <w:rFonts w:hint="eastAsia" w:ascii="宋体" w:hAnsi="宋体" w:eastAsia="宋体" w:cs="宋体"/>
          <w:bCs w:val="0"/>
          <w:color w:val="000000"/>
          <w:highlight w:val="none"/>
          <w:lang w:eastAsia="zh-CN"/>
        </w:rPr>
      </w:pPr>
      <w:r/>
      <w:bookmarkStart w:id="87" w:name="_Toc16938530"/>
      <w:r/>
      <w:bookmarkStart w:id="88" w:name="_Toc513029214"/>
      <w:r/>
      <w:bookmarkStart w:id="89" w:name="_Toc462564073"/>
      <w:r/>
      <w:bookmarkStart w:id="90" w:name="_Toc20823286"/>
      <w:r>
        <w:rPr>
          <w:rFonts w:hint="eastAsia" w:ascii="宋体" w:hAnsi="宋体" w:eastAsia="宋体" w:cs="宋体"/>
          <w:b w:val="0"/>
          <w:bCs w:val="0"/>
          <w:color w:val="000000"/>
          <w:highlight w:val="none"/>
          <w:lang w:eastAsia="zh-CN"/>
        </w:rPr>
        <w:t xml:space="preserve">9、投标文件的语言及度量衡单位</w:t>
      </w:r>
      <w:bookmarkEnd w:id="87"/>
      <w:r/>
      <w:bookmarkEnd w:id="88"/>
      <w:r/>
      <w:bookmarkEnd w:id="89"/>
      <w:r/>
      <w:bookmarkEnd w:id="90"/>
      <w:r>
        <w:rPr>
          <w:rFonts w:hint="eastAsia" w:ascii="宋体" w:hAnsi="宋体" w:eastAsia="宋体" w:cs="宋体"/>
          <w:bCs w:val="0"/>
          <w:color w:val="000000"/>
          <w:highlight w:val="none"/>
          <w:lang w:eastAsia="zh-CN"/>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9.1</w:t>
      </w:r>
      <w:r>
        <w:rPr>
          <w:rFonts w:hint="eastAsia" w:ascii="宋体" w:hAnsi="宋体" w:eastAsia="宋体" w:cs="宋体"/>
          <w:color w:val="000000"/>
          <w:sz w:val="24"/>
          <w:highlight w:val="none"/>
        </w:rPr>
        <w:t xml:space="preserve"> 投标人提交的投标文件以及投标人与采购代理机构就有关投标的所有来往通知、函件和文件均应使用</w:t>
      </w:r>
      <w:r>
        <w:rPr>
          <w:rFonts w:hint="eastAsia" w:ascii="宋体" w:hAnsi="宋体" w:eastAsia="宋体" w:cs="宋体"/>
          <w:b/>
          <w:bCs/>
          <w:color w:val="000000"/>
          <w:sz w:val="24"/>
          <w:highlight w:val="none"/>
        </w:rPr>
        <w:t xml:space="preserve">简体中文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9.2</w:t>
      </w:r>
      <w:r>
        <w:rPr>
          <w:rFonts w:hint="eastAsia" w:ascii="宋体" w:hAnsi="宋体" w:eastAsia="宋体" w:cs="宋体"/>
          <w:color w:val="000000"/>
          <w:sz w:val="24"/>
          <w:highlight w:val="none"/>
        </w:rPr>
        <w:t xml:space="preserve"> 除技术性能另有规定外，投标文件所使用的度量衡单位，均须采用国家法定计量单位。</w:t>
      </w:r>
      <w:r>
        <w:rPr>
          <w:rFonts w:hint="eastAsia" w:ascii="宋体" w:hAnsi="宋体" w:eastAsia="宋体" w:cs="宋体"/>
          <w:color w:val="000000"/>
          <w:sz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bookmarkStart w:id="91" w:name="_Toc513029215"/>
      <w:r/>
      <w:bookmarkStart w:id="92" w:name="_Toc20823287"/>
      <w:r/>
      <w:bookmarkStart w:id="93" w:name="_Toc462564074"/>
      <w:r/>
      <w:bookmarkStart w:id="94" w:name="_Toc16938531"/>
      <w:r>
        <w:rPr>
          <w:rFonts w:hint="eastAsia" w:ascii="宋体" w:hAnsi="宋体" w:eastAsia="宋体" w:cs="宋体"/>
          <w:b w:val="0"/>
          <w:bCs w:val="0"/>
          <w:color w:val="000000"/>
          <w:highlight w:val="none"/>
          <w:lang w:eastAsia="zh-CN"/>
        </w:rPr>
        <w:t xml:space="preserve">10、投标文件构成</w:t>
      </w:r>
      <w:bookmarkEnd w:id="91"/>
      <w:r/>
      <w:bookmarkEnd w:id="92"/>
      <w:r/>
      <w:bookmarkEnd w:id="93"/>
      <w:r/>
      <w:bookmarkEnd w:id="94"/>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各投标人在编制投标文件时请按照招标文件第六</w:t>
      </w:r>
      <w:r>
        <w:rPr>
          <w:rFonts w:hint="eastAsia" w:ascii="宋体" w:hAnsi="宋体" w:eastAsia="宋体" w:cs="宋体"/>
          <w:bCs/>
          <w:color w:val="000000"/>
          <w:sz w:val="24"/>
          <w:highlight w:val="none"/>
        </w:rPr>
        <w:t xml:space="preserve">章</w:t>
      </w:r>
      <w:r>
        <w:rPr>
          <w:rFonts w:hint="eastAsia" w:ascii="宋体" w:hAnsi="宋体" w:eastAsia="宋体" w:cs="宋体"/>
          <w:bCs/>
          <w:color w:val="000000"/>
          <w:sz w:val="24"/>
          <w:highlight w:val="none"/>
          <w:lang w:val="zh-CN"/>
        </w:rPr>
        <w:t xml:space="preserve">规定的格式进行，混乱的编排导致投标文件被误读或评委会查找不到有效文件是投标人的风险。</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 投标人编写的投标文件应包括资格证明文件、符合性证明文件、投标分项报价表、响应及偏离表、其他证明文件、投标函、开标一览表等部分。</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10.4本项目通过“苏采云”系统进行电子招标投标，即投标人应当通过“苏采云”系统提交数据电文形式的响应文件（即电子投标）。</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文件使用政府采购客户端工具制作并通过“苏采云”系统提交，未进行</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文件提交并解密的投标人，按照无效</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处理(因“苏采云”系统导致解密失败的除外)。</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10.2 如标书制作工具中格式和内容与“江苏省政府采购网”发布的招标文件不一致，请以“江苏省政府采购网”发布的招标文件为准。</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中标后按相关要求提供与电子投标文件一致的纸质打印投标文件2份。 </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bookmarkStart w:id="95" w:name="EBc50e2bb832bb43068403b10c1cce6141"/>
      <w:r>
        <w:rPr>
          <w:rFonts w:hint="eastAsia" w:ascii="宋体" w:hAnsi="宋体" w:eastAsia="宋体" w:cs="宋体"/>
          <w:bCs/>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5"/>
      <w:r>
        <w:rPr>
          <w:rFonts w:hint="eastAsia" w:ascii="宋体" w:hAnsi="宋体" w:eastAsia="宋体" w:cs="宋体"/>
          <w:bCs/>
          <w:color w:val="000000"/>
          <w:sz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bookmarkStart w:id="96" w:name="_Hlt26670360"/>
      <w:r/>
      <w:bookmarkEnd w:id="96"/>
      <w:r/>
      <w:bookmarkStart w:id="97" w:name="_Hlt26668975"/>
      <w:r/>
      <w:bookmarkEnd w:id="97"/>
      <w:r/>
      <w:bookmarkStart w:id="98" w:name="_Hlt26954838"/>
      <w:r/>
      <w:bookmarkEnd w:id="98"/>
      <w:r/>
      <w:bookmarkStart w:id="99" w:name="_Toc14577354"/>
      <w:r/>
      <w:bookmarkStart w:id="100" w:name="_Toc49090509"/>
      <w:r/>
      <w:bookmarkStart w:id="101" w:name="_Toc513029216"/>
      <w:r/>
      <w:bookmarkStart w:id="102" w:name="_Toc513029219"/>
      <w:r/>
      <w:bookmarkStart w:id="103" w:name="_Toc14577357"/>
      <w:r/>
      <w:bookmarkStart w:id="104" w:name="_Toc49090507"/>
      <w:r>
        <w:rPr>
          <w:rFonts w:hint="eastAsia" w:ascii="宋体" w:hAnsi="宋体" w:eastAsia="宋体" w:cs="宋体"/>
          <w:b w:val="0"/>
          <w:bCs w:val="0"/>
          <w:color w:val="000000"/>
          <w:highlight w:val="none"/>
          <w:lang w:eastAsia="zh-CN"/>
        </w:rPr>
        <w:t xml:space="preserve">11、证明投标人及投标标的符合招标文件规定的文件</w:t>
      </w:r>
      <w:bookmarkEnd w:id="99"/>
      <w:r/>
      <w:bookmarkEnd w:id="100"/>
      <w:r/>
      <w:bookmarkEnd w:id="101"/>
      <w:r/>
      <w:bookmarkEnd w:id="102"/>
      <w:r/>
      <w:bookmarkEnd w:id="103"/>
      <w:r/>
      <w:bookmarkEnd w:id="104"/>
      <w:r>
        <w:rPr>
          <w:rFonts w:hint="eastAsia" w:ascii="宋体" w:hAnsi="宋体" w:eastAsia="宋体" w:cs="宋体"/>
          <w:b w:val="0"/>
          <w:bCs w:val="0"/>
          <w:color w:val="000000"/>
          <w:highlight w:val="none"/>
          <w:lang w:eastAsia="zh-CN"/>
        </w:rPr>
      </w:r>
      <w:r/>
    </w:p>
    <w:p>
      <w:pPr>
        <w:pStyle w:val="654"/>
        <w:spacing w:line="360" w:lineRule="auto"/>
        <w:rPr>
          <w:rFonts w:hint="eastAsia" w:ascii="宋体" w:hAnsi="宋体" w:eastAsia="宋体" w:cs="宋体"/>
          <w:color w:val="000000"/>
          <w:sz w:val="24"/>
          <w:szCs w:val="24"/>
          <w:highlight w:val="none"/>
        </w:rPr>
      </w:pPr>
      <w:r/>
      <w:bookmarkStart w:id="105" w:name="_Toc49090508"/>
      <w:r/>
      <w:bookmarkStart w:id="106" w:name="_Toc14577355"/>
      <w:r>
        <w:rPr>
          <w:rFonts w:hint="eastAsia" w:ascii="宋体" w:hAnsi="宋体" w:eastAsia="宋体" w:cs="宋体"/>
          <w:color w:val="000000"/>
          <w:sz w:val="24"/>
          <w:szCs w:val="24"/>
          <w:highlight w:val="none"/>
        </w:rPr>
        <w:t xml:space="preserve">    11.1 投标人应按照法律、法规、规章和规范性文件以及招标文件要求提交证明文件，证明其及投标标的符合招标文件规定。</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eastAsia="zh-CN"/>
        </w:rPr>
        <w:t xml:space="preserve">12、投标分项报价</w:t>
      </w:r>
      <w:bookmarkEnd w:id="106"/>
      <w:r/>
      <w:bookmarkStart w:id="107" w:name="_Hlt26670373"/>
      <w:r/>
      <w:bookmarkEnd w:id="107"/>
      <w:r>
        <w:rPr>
          <w:rFonts w:hint="eastAsia" w:ascii="宋体" w:hAnsi="宋体" w:eastAsia="宋体" w:cs="宋体"/>
          <w:b w:val="0"/>
          <w:bCs w:val="0"/>
          <w:color w:val="000000"/>
          <w:highlight w:val="none"/>
          <w:lang w:eastAsia="zh-CN"/>
        </w:rPr>
        <w:t xml:space="preserve">表</w:t>
      </w:r>
      <w:bookmarkEnd w:id="105"/>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12.1</w:t>
      </w:r>
      <w:r>
        <w:rPr>
          <w:rFonts w:hint="eastAsia" w:ascii="宋体" w:hAnsi="宋体" w:eastAsia="宋体" w:cs="宋体"/>
          <w:color w:val="000000"/>
          <w:sz w:val="24"/>
          <w:highlight w:val="none"/>
        </w:rPr>
        <w:t xml:space="preserve"> 投</w:t>
      </w:r>
      <w:bookmarkStart w:id="108" w:name="_Hlt26954840"/>
      <w:r/>
      <w:bookmarkEnd w:id="108"/>
      <w:r>
        <w:rPr>
          <w:rFonts w:hint="eastAsia" w:ascii="宋体" w:hAnsi="宋体" w:eastAsia="宋体" w:cs="宋体"/>
          <w:color w:val="000000"/>
          <w:sz w:val="24"/>
          <w:highlight w:val="none"/>
        </w:rPr>
        <w:t xml:space="preserve">标人应按照招标文件规定格式填报投标分项报价表</w:t>
      </w:r>
      <w:bookmarkStart w:id="109" w:name="_Hlt26670399"/>
      <w:r/>
      <w:bookmarkEnd w:id="109"/>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w:t>
      </w:r>
      <w:r>
        <w:rPr>
          <w:rFonts w:hint="eastAsia" w:ascii="宋体" w:hAnsi="宋体" w:eastAsia="宋体" w:cs="宋体"/>
          <w:bCs/>
          <w:color w:val="000000"/>
          <w:sz w:val="24"/>
          <w:highlight w:val="none"/>
        </w:rPr>
        <w:t xml:space="preserve">投标货币。投标文件中的单价和总价无特殊规定的采用人民币报价，以元为单位标注。</w:t>
      </w:r>
      <w:r>
        <w:rPr>
          <w:rFonts w:hint="eastAsia" w:ascii="宋体" w:hAnsi="宋体" w:eastAsia="宋体" w:cs="宋体"/>
          <w:color w:val="000000"/>
          <w:sz w:val="24"/>
          <w:highlight w:val="none"/>
        </w:rPr>
        <w:t xml:space="preserve">招标文件中另有规定的按规定执行。</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12.3本项目不接受备选的投标方案或有选择的报价，只允许有一个报价。投标报价内容包括：本项目人员工资、人员服装、管理费用、应缴税金等完成本项目所涉及到的一切相关费用。</w:t>
      </w:r>
      <w:r>
        <w:rPr>
          <w:rFonts w:hint="eastAsia" w:ascii="宋体" w:hAnsi="宋体" w:eastAsia="宋体" w:cs="宋体"/>
          <w:bCs/>
          <w:color w:val="000000"/>
          <w:sz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bookmarkStart w:id="110" w:name="_Hlt26954842"/>
      <w:r/>
      <w:bookmarkEnd w:id="110"/>
      <w:r/>
      <w:bookmarkStart w:id="111" w:name="_Hlt26670486"/>
      <w:r/>
      <w:bookmarkEnd w:id="111"/>
      <w:r/>
      <w:bookmarkStart w:id="112" w:name="_Hlt26670482"/>
      <w:r/>
      <w:bookmarkEnd w:id="112"/>
      <w:r/>
      <w:bookmarkStart w:id="113" w:name="_Hlt26668983"/>
      <w:r/>
      <w:bookmarkEnd w:id="113"/>
      <w:r/>
      <w:bookmarkStart w:id="114" w:name="_Hlt26954731"/>
      <w:r/>
      <w:bookmarkEnd w:id="114"/>
      <w:r/>
      <w:bookmarkStart w:id="115" w:name="_Hlt26954846"/>
      <w:r/>
      <w:bookmarkEnd w:id="115"/>
      <w:r/>
      <w:bookmarkStart w:id="116" w:name="_Hlt26954844"/>
      <w:r/>
      <w:bookmarkEnd w:id="116"/>
      <w:r/>
      <w:bookmarkStart w:id="117" w:name="_Hlt26670425"/>
      <w:r/>
      <w:bookmarkEnd w:id="117"/>
      <w:r/>
      <w:bookmarkStart w:id="118" w:name="_Hlt26954848"/>
      <w:r/>
      <w:bookmarkEnd w:id="118"/>
      <w:r/>
      <w:bookmarkStart w:id="119" w:name="_Hlt26670403"/>
      <w:r/>
      <w:bookmarkEnd w:id="119"/>
      <w:r>
        <w:rPr>
          <w:rFonts w:hint="eastAsia" w:ascii="宋体" w:hAnsi="宋体" w:eastAsia="宋体" w:cs="宋体"/>
          <w:b w:val="0"/>
          <w:bCs w:val="0"/>
          <w:color w:val="000000"/>
          <w:highlight w:val="none"/>
          <w:lang w:eastAsia="zh-CN"/>
        </w:rPr>
        <w:t xml:space="preserve">13、技术要求响应及偏离表、商务要求响应及偏离表</w:t>
      </w:r>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color w:val="000000"/>
          <w:sz w:val="24"/>
          <w:highlight w:val="none"/>
          <w:lang w:val="zh-CN"/>
        </w:rPr>
      </w:pPr>
      <w:r/>
      <w:bookmarkStart w:id="120" w:name="_Toc14577359"/>
      <w:r/>
      <w:bookmarkStart w:id="121" w:name="_Toc49090510"/>
      <w:r>
        <w:rPr>
          <w:rFonts w:hint="eastAsia" w:ascii="宋体" w:hAnsi="宋体" w:eastAsia="宋体" w:cs="宋体"/>
          <w:bCs/>
          <w:color w:val="000000"/>
          <w:sz w:val="24"/>
          <w:highlight w:val="none"/>
          <w:lang w:val="zh-CN"/>
        </w:rPr>
        <w:t xml:space="preserve">13.1</w:t>
      </w:r>
      <w:r>
        <w:rPr>
          <w:rFonts w:hint="eastAsia" w:ascii="宋体" w:hAnsi="宋体" w:eastAsia="宋体" w:cs="宋体"/>
          <w:color w:val="000000"/>
          <w:sz w:val="24"/>
          <w:highlight w:val="none"/>
          <w:lang w:val="zh-CN"/>
        </w:rPr>
        <w:t xml:space="preserve"> 投标人需对招标文件中的技术要求与商务要求逐项作出响应或偏离，并说明原因。</w:t>
      </w:r>
      <w:r>
        <w:rPr>
          <w:rFonts w:hint="eastAsia" w:ascii="宋体" w:hAnsi="宋体" w:eastAsia="宋体" w:cs="宋体"/>
          <w:color w:val="000000"/>
          <w:sz w:val="24"/>
          <w:highlight w:val="none"/>
          <w:lang w:val="zh-CN"/>
        </w:rPr>
      </w:r>
      <w:r/>
    </w:p>
    <w:p>
      <w:pPr>
        <w:pStyle w:val="654"/>
        <w:ind w:firstLine="480"/>
        <w:spacing w:line="360" w:lineRule="auto"/>
        <w:tabs>
          <w:tab w:val="left" w:pos="103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13.2 投标人可在投标文件中提供认为需要的其他技术文件或说明。</w:t>
      </w:r>
      <w:r>
        <w:rPr>
          <w:rFonts w:hint="eastAsia" w:ascii="宋体" w:hAnsi="宋体" w:eastAsia="宋体" w:cs="宋体"/>
          <w:color w:val="000000"/>
          <w:sz w:val="24"/>
          <w:highlight w:val="none"/>
          <w:lang w:val="zh-CN"/>
        </w:rPr>
      </w:r>
      <w:r/>
    </w:p>
    <w:p>
      <w:pPr>
        <w:pStyle w:val="658"/>
        <w:ind w:firstLine="420"/>
        <w:spacing w:before="0" w:after="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eastAsia="zh-CN"/>
        </w:rPr>
        <w:t xml:space="preserve">14、投标声明及承诺函和开标一览表</w:t>
      </w:r>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14.1</w:t>
      </w:r>
      <w:r>
        <w:rPr>
          <w:rFonts w:hint="eastAsia" w:ascii="宋体" w:hAnsi="宋体" w:eastAsia="宋体" w:cs="宋体"/>
          <w:color w:val="000000"/>
          <w:sz w:val="24"/>
          <w:highlight w:val="none"/>
        </w:rPr>
        <w:t xml:space="preserve"> 投标人应按照招标文件中提供的格式完整、正确填写投标声明及承诺函、开标一览表。</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14.2</w:t>
      </w:r>
      <w:r>
        <w:rPr>
          <w:rFonts w:hint="eastAsia" w:ascii="宋体" w:hAnsi="宋体" w:eastAsia="宋体" w:cs="宋体"/>
          <w:color w:val="000000"/>
          <w:sz w:val="24"/>
          <w:highlight w:val="none"/>
        </w:rPr>
        <w:t xml:space="preserve"> 对于采用货币报价的项目，</w:t>
      </w:r>
      <w:r>
        <w:rPr>
          <w:rFonts w:hint="eastAsia" w:ascii="宋体" w:hAnsi="宋体" w:eastAsia="宋体" w:cs="宋体"/>
          <w:bCs/>
          <w:color w:val="000000"/>
          <w:sz w:val="24"/>
          <w:highlight w:val="none"/>
        </w:rPr>
        <w:t xml:space="preserve">开标一览表中的投标总报价应与投标分项报价表中的投标总报价一致，如不一致，</w:t>
      </w:r>
      <w:r>
        <w:rPr>
          <w:rFonts w:hint="eastAsia" w:ascii="宋体" w:hAnsi="宋体" w:eastAsia="宋体" w:cs="宋体"/>
          <w:color w:val="000000"/>
          <w:sz w:val="24"/>
          <w:szCs w:val="24"/>
          <w:highlight w:val="none"/>
        </w:rPr>
        <w:t xml:space="preserve">不作为无效投标处理</w:t>
      </w:r>
      <w:r>
        <w:rPr>
          <w:rFonts w:hint="eastAsia" w:ascii="宋体" w:hAnsi="宋体" w:eastAsia="宋体" w:cs="宋体"/>
          <w:bCs/>
          <w:color w:val="000000"/>
          <w:sz w:val="24"/>
          <w:highlight w:val="none"/>
        </w:rPr>
        <w:t xml:space="preserve">，但评标时按开标一览表中价格为准</w:t>
      </w:r>
      <w:r>
        <w:rPr>
          <w:rFonts w:hint="eastAsia" w:ascii="宋体" w:hAnsi="宋体" w:eastAsia="宋体" w:cs="宋体"/>
          <w:b/>
          <w:bCs/>
          <w:color w:val="000000"/>
          <w:sz w:val="24"/>
          <w:highlight w:val="none"/>
        </w:rPr>
        <w:t xml:space="preserve">。</w:t>
      </w:r>
      <w:bookmarkEnd w:id="120"/>
      <w:r/>
      <w:bookmarkEnd w:id="121"/>
      <w:r>
        <w:rPr>
          <w:rFonts w:hint="eastAsia" w:ascii="宋体" w:hAnsi="宋体" w:eastAsia="宋体" w:cs="宋体"/>
          <w:color w:val="000000"/>
          <w:sz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ascii="宋体" w:hAnsi="宋体" w:eastAsia="宋体" w:cs="宋体"/>
          <w:b w:val="0"/>
          <w:bCs w:val="0"/>
          <w:color w:val="000000"/>
          <w:highlight w:val="none"/>
          <w:lang w:eastAsia="zh-CN"/>
        </w:rPr>
        <w:t xml:space="preserve">15、投标有效期</w:t>
      </w:r>
      <w:bookmarkEnd w:id="125"/>
      <w:r/>
      <w:bookmarkEnd w:id="126"/>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15.1</w:t>
      </w:r>
      <w:r>
        <w:rPr>
          <w:rFonts w:hint="eastAsia" w:ascii="宋体" w:hAnsi="宋体" w:eastAsia="宋体" w:cs="宋体"/>
          <w:bCs/>
          <w:color w:val="000000"/>
          <w:sz w:val="24"/>
          <w:highlight w:val="none"/>
        </w:rPr>
        <w:t xml:space="preserve"> 投标有效期为开标之日后</w:t>
      </w:r>
      <w:r>
        <w:rPr>
          <w:rFonts w:hint="eastAsia" w:ascii="宋体" w:hAnsi="宋体" w:eastAsia="宋体" w:cs="宋体"/>
          <w:b/>
          <w:color w:val="000000"/>
          <w:sz w:val="24"/>
          <w:highlight w:val="none"/>
          <w:u w:val="single"/>
        </w:rPr>
        <w:t xml:space="preserve">九十天</w:t>
      </w:r>
      <w:r>
        <w:rPr>
          <w:rFonts w:hint="eastAsia" w:ascii="宋体" w:hAnsi="宋体" w:eastAsia="宋体" w:cs="宋体"/>
          <w:bCs/>
          <w:color w:val="000000"/>
          <w:sz w:val="24"/>
          <w:highlight w:val="none"/>
        </w:rPr>
        <w:t xml:space="preserve">。投标有效期比规定短的将被视为未实质性响应招标文件而予以拒绝。</w:t>
      </w:r>
      <w:r>
        <w:rPr>
          <w:rFonts w:hint="eastAsia" w:ascii="宋体" w:hAnsi="宋体" w:eastAsia="宋体" w:cs="宋体"/>
          <w:bCs/>
          <w:color w:val="000000"/>
          <w:sz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eastAsia="zh-CN"/>
        </w:rPr>
        <w:t xml:space="preserve">16、投标有效期的延长</w:t>
      </w:r>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16.1</w:t>
      </w:r>
      <w:r>
        <w:rPr>
          <w:rFonts w:hint="eastAsia" w:ascii="宋体" w:hAnsi="宋体" w:eastAsia="宋体" w:cs="宋体"/>
          <w:bCs/>
          <w:color w:val="000000"/>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highlight w:val="none"/>
        </w:rPr>
        <w:t xml:space="preserve">同意延长投标有效期的投标人既不能要求也不允许修改其投标文件</w:t>
      </w:r>
      <w:r>
        <w:rPr>
          <w:rFonts w:hint="eastAsia" w:ascii="宋体" w:hAnsi="宋体" w:eastAsia="宋体" w:cs="宋体"/>
          <w:color w:val="000000"/>
          <w:sz w:val="24"/>
          <w:szCs w:val="24"/>
          <w:highlight w:val="none"/>
        </w:rPr>
        <w:t xml:space="preserve">，同时受投标有效期约束的所有权利与义务均延长至新的有效期</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16.2中标人的投标文件作为项目服务合同的附件，其有效期至中标人全部合同义务履行完毕为止。 </w:t>
      </w:r>
      <w:r>
        <w:rPr>
          <w:rFonts w:hint="eastAsia" w:ascii="宋体" w:hAnsi="宋体" w:eastAsia="宋体" w:cs="宋体"/>
          <w:color w:val="000000"/>
          <w:sz w:val="24"/>
          <w:highlight w:val="none"/>
        </w:rPr>
      </w:r>
      <w:r/>
    </w:p>
    <w:p>
      <w:pPr>
        <w:pStyle w:val="657"/>
        <w:ind w:firstLine="482"/>
        <w:spacing w:before="0" w:after="0" w:line="360" w:lineRule="auto"/>
        <w:rPr>
          <w:rFonts w:hint="eastAsia" w:ascii="宋体" w:hAnsi="宋体" w:eastAsia="宋体" w:cs="宋体"/>
          <w:color w:val="000000"/>
          <w:highlight w:val="none"/>
          <w:lang w:eastAsia="zh-CN"/>
        </w:rPr>
      </w:pPr>
      <w:r/>
      <w:bookmarkStart w:id="127" w:name="_Hlt26954852"/>
      <w:r/>
      <w:bookmarkEnd w:id="127"/>
      <w:r/>
      <w:bookmarkStart w:id="128" w:name="_Hlt26954739"/>
      <w:r/>
      <w:bookmarkEnd w:id="128"/>
      <w:r/>
      <w:bookmarkStart w:id="129" w:name="_Toc513029224"/>
      <w:r/>
      <w:bookmarkStart w:id="130" w:name="_Toc120614217"/>
      <w:r/>
      <w:bookmarkStart w:id="131" w:name="_Toc20823296"/>
      <w:r/>
      <w:bookmarkStart w:id="132" w:name="_Toc16938540"/>
      <w:r>
        <w:rPr>
          <w:rFonts w:hint="eastAsia" w:ascii="宋体" w:hAnsi="宋体" w:eastAsia="宋体" w:cs="宋体"/>
          <w:color w:val="000000"/>
          <w:highlight w:val="none"/>
          <w:lang w:eastAsia="zh-CN"/>
        </w:rPr>
        <w:t xml:space="preserve">四、投标文件的递交</w:t>
      </w:r>
      <w:bookmarkEnd w:id="129"/>
      <w:r/>
      <w:bookmarkEnd w:id="130"/>
      <w:r/>
      <w:bookmarkEnd w:id="131"/>
      <w:r/>
      <w:bookmarkEnd w:id="132"/>
      <w:r>
        <w:rPr>
          <w:rFonts w:hint="eastAsia" w:ascii="宋体" w:hAnsi="宋体" w:eastAsia="宋体" w:cs="宋体"/>
          <w:color w:val="000000"/>
          <w:highlight w:val="none"/>
          <w:lang w:eastAsia="zh-CN"/>
        </w:rPr>
      </w:r>
      <w:r/>
    </w:p>
    <w:p>
      <w:pPr>
        <w:pStyle w:val="658"/>
        <w:ind w:firstLine="560"/>
        <w:spacing w:before="0" w:after="0" w:line="360" w:lineRule="auto"/>
        <w:rPr>
          <w:rFonts w:hint="eastAsia" w:ascii="宋体" w:hAnsi="宋体" w:eastAsia="宋体" w:cs="宋体"/>
          <w:b w:val="0"/>
          <w:bCs w:val="0"/>
          <w:color w:val="000000"/>
          <w:highlight w:val="none"/>
          <w:lang w:eastAsia="zh-CN"/>
        </w:rPr>
      </w:pPr>
      <w:r/>
      <w:bookmarkStart w:id="133" w:name="_Toc20823297"/>
      <w:r/>
      <w:bookmarkStart w:id="134" w:name="_Toc16938541"/>
      <w:r/>
      <w:bookmarkStart w:id="135" w:name="_Toc462564084"/>
      <w:r/>
      <w:bookmarkStart w:id="136" w:name="_Toc513029225"/>
      <w:r>
        <w:rPr>
          <w:rFonts w:hint="eastAsia" w:ascii="宋体" w:hAnsi="宋体" w:eastAsia="宋体" w:cs="宋体"/>
          <w:b w:val="0"/>
          <w:bCs w:val="0"/>
          <w:color w:val="000000"/>
          <w:highlight w:val="none"/>
          <w:lang w:eastAsia="zh-CN"/>
        </w:rPr>
        <w:t xml:space="preserve">17、投标文件</w:t>
      </w:r>
      <w:bookmarkEnd w:id="133"/>
      <w:r/>
      <w:bookmarkEnd w:id="134"/>
      <w:r/>
      <w:bookmarkEnd w:id="135"/>
      <w:r/>
      <w:bookmarkEnd w:id="136"/>
      <w:r>
        <w:rPr>
          <w:rFonts w:hint="eastAsia" w:ascii="宋体" w:hAnsi="宋体" w:eastAsia="宋体" w:cs="宋体"/>
          <w:b w:val="0"/>
          <w:bCs w:val="0"/>
          <w:color w:val="000000"/>
          <w:highlight w:val="none"/>
          <w:lang w:eastAsia="zh-CN"/>
        </w:rPr>
        <w:t xml:space="preserve">的递交</w:t>
      </w:r>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17.1投标人应当按照《操作手册》规定，在投标截止时间前制作并上传电子投标文件。</w:t>
      </w:r>
      <w:bookmarkStart w:id="137" w:name="_Toc513029226"/>
      <w:r/>
      <w:bookmarkStart w:id="138" w:name="_Toc16938542"/>
      <w:r/>
      <w:bookmarkStart w:id="139" w:name="_Toc20823298"/>
      <w:r>
        <w:rPr>
          <w:rFonts w:hint="eastAsia" w:ascii="宋体" w:hAnsi="宋体" w:eastAsia="宋体" w:cs="宋体"/>
          <w:color w:val="000000"/>
          <w:sz w:val="24"/>
          <w:highlight w:val="none"/>
        </w:rPr>
      </w:r>
      <w:r/>
    </w:p>
    <w:p>
      <w:pPr>
        <w:pStyle w:val="654"/>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17.2投标人通过“苏采云”系统不见面开标大厅在线参与开标活动。（具体操作详见《“苏采云”系统投标人操作手册》，网址链接</w:t>
      </w:r>
      <w:r>
        <w:rPr>
          <w:rFonts w:hint="eastAsia" w:ascii="宋体" w:hAnsi="宋体" w:eastAsia="宋体" w:cs="宋体"/>
          <w:color w:val="000000"/>
          <w:sz w:val="22"/>
          <w:szCs w:val="20"/>
          <w:highlight w:val="none"/>
        </w:rPr>
        <w:t xml:space="preserve">http://www.ccgp-jiangsu.gov.cn//webfile/jiangsu/202311/1699268553318052447.pdf）</w:t>
      </w:r>
      <w:r>
        <w:rPr>
          <w:rFonts w:hint="eastAsia" w:ascii="宋体" w:hAnsi="宋体" w:eastAsia="宋体" w:cs="宋体"/>
          <w:color w:val="000000"/>
          <w:sz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eastAsia="zh-CN"/>
        </w:rPr>
        <w:t xml:space="preserve">18、投标截止</w:t>
      </w:r>
      <w:bookmarkEnd w:id="137"/>
      <w:r/>
      <w:bookmarkEnd w:id="138"/>
      <w:r/>
      <w:bookmarkEnd w:id="139"/>
      <w:r>
        <w:rPr>
          <w:rFonts w:hint="eastAsia" w:ascii="宋体" w:hAnsi="宋体" w:eastAsia="宋体" w:cs="宋体"/>
          <w:b w:val="0"/>
          <w:bCs w:val="0"/>
          <w:color w:val="000000"/>
          <w:highlight w:val="none"/>
          <w:lang w:eastAsia="zh-CN"/>
        </w:rPr>
        <w:t xml:space="preserve">时间</w:t>
      </w:r>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bCs/>
          <w:iCs/>
          <w:color w:val="000000"/>
          <w:sz w:val="24"/>
          <w:highlight w:val="none"/>
        </w:rPr>
      </w:pPr>
      <w:r>
        <w:rPr>
          <w:rFonts w:hint="eastAsia" w:ascii="宋体" w:hAnsi="宋体" w:eastAsia="宋体" w:cs="宋体"/>
          <w:iCs/>
          <w:color w:val="000000"/>
          <w:sz w:val="24"/>
          <w:highlight w:val="none"/>
        </w:rPr>
        <w:t xml:space="preserve">18.1</w:t>
      </w:r>
      <w:r>
        <w:rPr>
          <w:rFonts w:hint="eastAsia" w:ascii="宋体" w:hAnsi="宋体" w:eastAsia="宋体" w:cs="宋体"/>
          <w:bCs/>
          <w:iCs/>
          <w:color w:val="000000"/>
          <w:sz w:val="24"/>
          <w:highlight w:val="none"/>
        </w:rPr>
        <w:t xml:space="preserve"> 投标人上传电子投标文件的时间不得迟于招标公告中规定的投标截止时间。</w:t>
      </w:r>
      <w:r>
        <w:rPr>
          <w:rFonts w:hint="eastAsia" w:ascii="宋体" w:hAnsi="宋体" w:eastAsia="宋体" w:cs="宋体"/>
          <w:bCs/>
          <w:iCs/>
          <w:color w:val="000000"/>
          <w:sz w:val="24"/>
          <w:highlight w:val="none"/>
        </w:rPr>
      </w:r>
      <w:r/>
    </w:p>
    <w:p>
      <w:pPr>
        <w:pStyle w:val="654"/>
        <w:ind w:firstLine="480"/>
        <w:spacing w:line="360" w:lineRule="auto"/>
        <w:rPr>
          <w:rFonts w:hint="eastAsia" w:ascii="宋体" w:hAnsi="宋体" w:eastAsia="宋体" w:cs="宋体"/>
          <w:bCs/>
          <w:iCs/>
          <w:color w:val="000000"/>
          <w:sz w:val="24"/>
          <w:highlight w:val="none"/>
        </w:rPr>
      </w:pPr>
      <w:r>
        <w:rPr>
          <w:rFonts w:hint="eastAsia" w:ascii="宋体" w:hAnsi="宋体" w:eastAsia="宋体" w:cs="宋体"/>
          <w:bCs/>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eastAsia="宋体" w:cs="宋体"/>
          <w:bCs/>
          <w:i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bCs/>
          <w:color w:val="000000"/>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olor w:val="000000"/>
          <w:sz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bookmarkStart w:id="140" w:name="_Toc16938543"/>
      <w:r/>
      <w:bookmarkStart w:id="141" w:name="_Toc513029227"/>
      <w:r/>
      <w:bookmarkStart w:id="142" w:name="_Toc20823299"/>
      <w:r>
        <w:rPr>
          <w:rFonts w:hint="eastAsia" w:ascii="宋体" w:hAnsi="宋体" w:eastAsia="宋体" w:cs="宋体"/>
          <w:b w:val="0"/>
          <w:bCs w:val="0"/>
          <w:color w:val="000000"/>
          <w:highlight w:val="none"/>
          <w:lang w:eastAsia="zh-CN"/>
        </w:rPr>
        <w:t xml:space="preserve">19、投标文件</w:t>
      </w:r>
      <w:bookmarkEnd w:id="140"/>
      <w:r/>
      <w:bookmarkEnd w:id="141"/>
      <w:r/>
      <w:bookmarkEnd w:id="142"/>
      <w:r>
        <w:rPr>
          <w:rFonts w:hint="eastAsia" w:ascii="宋体" w:hAnsi="宋体" w:eastAsia="宋体" w:cs="宋体"/>
          <w:b w:val="0"/>
          <w:bCs w:val="0"/>
          <w:color w:val="000000"/>
          <w:highlight w:val="none"/>
          <w:lang w:eastAsia="zh-CN"/>
        </w:rPr>
        <w:t xml:space="preserve">的拒收</w:t>
      </w:r>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19.1</w:t>
      </w:r>
      <w:r>
        <w:rPr>
          <w:rFonts w:hint="eastAsia" w:ascii="宋体" w:hAnsi="宋体" w:eastAsia="宋体" w:cs="宋体"/>
          <w:bCs/>
          <w:color w:val="000000"/>
          <w:sz w:val="24"/>
          <w:highlight w:val="none"/>
        </w:rPr>
        <w:t xml:space="preserve">采购代理机构拒绝接收在其规定的投标截止时间后上传的任何投标文件。</w:t>
      </w:r>
      <w:r>
        <w:rPr>
          <w:rFonts w:hint="eastAsia" w:ascii="宋体" w:hAnsi="宋体" w:eastAsia="宋体" w:cs="宋体"/>
          <w:bCs/>
          <w:color w:val="000000"/>
          <w:sz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bookmarkStart w:id="143" w:name="_Toc513029228"/>
      <w:r/>
      <w:bookmarkStart w:id="144" w:name="_Toc20823300"/>
      <w:r/>
      <w:bookmarkStart w:id="145" w:name="_Toc16938544"/>
      <w:r>
        <w:rPr>
          <w:rFonts w:hint="eastAsia" w:ascii="宋体" w:hAnsi="宋体" w:eastAsia="宋体" w:cs="宋体"/>
          <w:b w:val="0"/>
          <w:bCs w:val="0"/>
          <w:color w:val="000000"/>
          <w:highlight w:val="none"/>
          <w:lang w:eastAsia="zh-CN"/>
        </w:rPr>
        <w:t xml:space="preserve">20、投标文件的撤回和修改</w:t>
      </w:r>
      <w:bookmarkEnd w:id="143"/>
      <w:r/>
      <w:bookmarkEnd w:id="144"/>
      <w:r/>
      <w:bookmarkEnd w:id="145"/>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 投标文件的撤回</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20.1.1 电子投标文件的撤回</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20.1.2 投标人撤回电子投标文件，则认为其不再参与本项目投标活动。</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 投标文件的修改</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20.2.2</w:t>
      </w:r>
      <w:r>
        <w:rPr>
          <w:rFonts w:hint="eastAsia" w:ascii="宋体" w:hAnsi="宋体" w:eastAsia="宋体" w:cs="宋体"/>
          <w:bCs/>
          <w:color w:val="000000"/>
          <w:sz w:val="24"/>
          <w:highlight w:val="none"/>
        </w:rPr>
        <w:t xml:space="preserve"> 在投标截止时间之后，投标人不得对其电子投标文件作任何修改。</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 在投标截止时间至招标文件中规定的投标有效期满之间的这段时间内，投标人不得撤回其投标。</w:t>
      </w:r>
      <w:r>
        <w:rPr>
          <w:rFonts w:hint="eastAsia" w:ascii="宋体" w:hAnsi="宋体" w:eastAsia="宋体" w:cs="宋体"/>
          <w:bCs/>
          <w:color w:val="000000"/>
          <w:sz w:val="24"/>
          <w:highlight w:val="none"/>
        </w:rPr>
      </w:r>
      <w:r/>
    </w:p>
    <w:p>
      <w:pPr>
        <w:pStyle w:val="657"/>
        <w:ind w:firstLine="482"/>
        <w:spacing w:before="0" w:after="0" w:line="360" w:lineRule="auto"/>
        <w:rPr>
          <w:rFonts w:hint="eastAsia" w:ascii="宋体" w:hAnsi="宋体" w:eastAsia="宋体" w:cs="宋体"/>
          <w:color w:val="000000"/>
          <w:highlight w:val="none"/>
          <w:lang w:eastAsia="zh-CN"/>
        </w:rPr>
      </w:pPr>
      <w:r/>
      <w:bookmarkStart w:id="146" w:name="_Toc20823301"/>
      <w:r/>
      <w:bookmarkStart w:id="147" w:name="_Toc120614218"/>
      <w:r/>
      <w:bookmarkStart w:id="148" w:name="_Toc513029229"/>
      <w:r/>
      <w:bookmarkStart w:id="149" w:name="_Toc16938545"/>
      <w:r>
        <w:rPr>
          <w:rFonts w:hint="eastAsia" w:ascii="宋体" w:hAnsi="宋体" w:eastAsia="宋体" w:cs="宋体"/>
          <w:color w:val="000000"/>
          <w:highlight w:val="none"/>
          <w:lang w:eastAsia="zh-CN"/>
        </w:rPr>
        <w:t xml:space="preserve">五、开标与评标</w:t>
      </w:r>
      <w:bookmarkEnd w:id="146"/>
      <w:r/>
      <w:bookmarkEnd w:id="147"/>
      <w:r/>
      <w:bookmarkEnd w:id="148"/>
      <w:r/>
      <w:bookmarkEnd w:id="149"/>
      <w:r>
        <w:rPr>
          <w:rFonts w:hint="eastAsia" w:ascii="宋体" w:hAnsi="宋体" w:eastAsia="宋体" w:cs="宋体"/>
          <w:color w:val="000000"/>
          <w:highlight w:val="none"/>
          <w:lang w:eastAsia="zh-CN"/>
        </w:rPr>
      </w:r>
      <w:r/>
    </w:p>
    <w:p>
      <w:pPr>
        <w:pStyle w:val="658"/>
        <w:ind w:firstLine="420"/>
        <w:spacing w:before="0" w:after="0" w:line="360" w:lineRule="auto"/>
        <w:rPr>
          <w:rFonts w:hint="eastAsia" w:ascii="宋体" w:hAnsi="宋体" w:eastAsia="宋体" w:cs="宋体"/>
          <w:b w:val="0"/>
          <w:bCs w:val="0"/>
          <w:color w:val="000000"/>
          <w:highlight w:val="none"/>
          <w:lang w:eastAsia="zh-CN"/>
        </w:rPr>
      </w:pPr>
      <w:r/>
      <w:bookmarkStart w:id="150" w:name="_Toc20823302"/>
      <w:r/>
      <w:bookmarkStart w:id="151" w:name="_Toc16938546"/>
      <w:r/>
      <w:bookmarkStart w:id="152" w:name="_Toc513029230"/>
      <w:r>
        <w:rPr>
          <w:rFonts w:hint="eastAsia" w:ascii="宋体" w:hAnsi="宋体" w:eastAsia="宋体" w:cs="宋体"/>
          <w:b w:val="0"/>
          <w:bCs w:val="0"/>
          <w:color w:val="000000"/>
          <w:highlight w:val="none"/>
          <w:lang w:eastAsia="zh-CN"/>
        </w:rPr>
        <w:t xml:space="preserve">21、开标</w:t>
      </w:r>
      <w:bookmarkEnd w:id="150"/>
      <w:r/>
      <w:bookmarkEnd w:id="151"/>
      <w:r/>
      <w:bookmarkEnd w:id="152"/>
      <w:r>
        <w:rPr>
          <w:rFonts w:hint="eastAsia" w:ascii="宋体" w:hAnsi="宋体" w:eastAsia="宋体" w:cs="宋体"/>
          <w:b w:val="0"/>
          <w:bCs w:val="0"/>
          <w:color w:val="000000"/>
          <w:highlight w:val="none"/>
          <w:lang w:eastAsia="zh-CN"/>
        </w:rPr>
      </w:r>
      <w:r/>
    </w:p>
    <w:p>
      <w:pPr>
        <w:pStyle w:val="937"/>
        <w:ind w:firstLine="420"/>
        <w:spacing w:line="360" w:lineRule="auto"/>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21.1</w:t>
      </w:r>
      <w:r>
        <w:rPr>
          <w:rFonts w:hint="eastAsia" w:ascii="宋体" w:hAnsi="宋体" w:eastAsia="宋体" w:cs="宋体"/>
          <w:bCs/>
          <w:color w:val="000000"/>
          <w:sz w:val="24"/>
          <w:highlight w:val="none"/>
        </w:rPr>
        <w:t xml:space="preserve"> 采购代理机构将在招标公告中规定的时间和地点组织公开开标</w:t>
      </w:r>
      <w:r>
        <w:rPr>
          <w:rFonts w:hint="eastAsia" w:ascii="宋体" w:hAnsi="宋体" w:eastAsia="宋体" w:cs="宋体"/>
          <w:color w:val="000000"/>
          <w:sz w:val="24"/>
          <w:highlight w:val="none"/>
          <w:lang w:val="en-US"/>
        </w:rPr>
        <w:t xml:space="preserve">。投标人应当按照《“苏采云”系统供应商操作手册》规定，参加开标活动和在“苏采云”系统规定的时间内对投标文件进行解密。</w:t>
      </w:r>
      <w:r>
        <w:rPr>
          <w:rFonts w:hint="eastAsia" w:ascii="宋体" w:hAnsi="宋体" w:eastAsia="宋体" w:cs="宋体"/>
          <w:color w:val="000000"/>
          <w:sz w:val="24"/>
          <w:highlight w:val="none"/>
          <w:lang w:val="en-US"/>
        </w:rPr>
      </w:r>
      <w:r/>
    </w:p>
    <w:p>
      <w:pPr>
        <w:pStyle w:val="93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21.3投标人在开标过程中涉及到的投标文件解密、开标结果确认等工作，应按照《操作手册》规定执行。</w:t>
      </w:r>
      <w:r>
        <w:rPr>
          <w:rFonts w:hint="eastAsia" w:ascii="宋体" w:hAnsi="宋体" w:eastAsia="宋体" w:cs="宋体"/>
          <w:color w:val="000000"/>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4"/>
          <w:szCs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bookmarkStart w:id="153" w:name="_Toc16938547"/>
      <w:r/>
      <w:bookmarkStart w:id="154" w:name="_Toc20823303"/>
      <w:r/>
      <w:bookmarkStart w:id="155" w:name="_Toc513029231"/>
      <w:r>
        <w:rPr>
          <w:rFonts w:hint="eastAsia" w:ascii="宋体" w:hAnsi="宋体" w:eastAsia="宋体" w:cs="宋体"/>
          <w:b w:val="0"/>
          <w:bCs w:val="0"/>
          <w:color w:val="000000"/>
          <w:highlight w:val="none"/>
          <w:lang w:eastAsia="zh-CN"/>
        </w:rPr>
        <w:t xml:space="preserve">22、评委会</w:t>
      </w:r>
      <w:r>
        <w:rPr>
          <w:rFonts w:hint="eastAsia" w:ascii="宋体" w:hAnsi="宋体" w:eastAsia="宋体" w:cs="宋体"/>
          <w:b w:val="0"/>
          <w:bCs w:val="0"/>
          <w:color w:val="000000"/>
          <w:highlight w:val="none"/>
          <w:lang w:eastAsia="zh-CN"/>
        </w:rPr>
      </w:r>
      <w:r/>
    </w:p>
    <w:p>
      <w:pPr>
        <w:pStyle w:val="65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22.1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开标后，采购代理机构将立即组织评委会（以下简称评委会）进行评标。</w:t>
      </w:r>
      <w:r>
        <w:rPr>
          <w:rFonts w:hint="eastAsia" w:ascii="宋体" w:hAnsi="宋体" w:eastAsia="宋体" w:cs="宋体"/>
          <w:b/>
          <w:color w:val="000000"/>
          <w:sz w:val="24"/>
          <w:szCs w:val="24"/>
          <w:highlight w:val="non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22.2 评委会由采购人代表和有关技术、经济等方面的专家组成，且人员构成符合政府采购有关规定。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22.3评委会独立工作，负责评审所有投标文件并确定中标侯选人。</w:t>
      </w:r>
      <w:r>
        <w:rPr>
          <w:rFonts w:hint="eastAsia" w:ascii="宋体" w:hAnsi="宋体" w:eastAsia="宋体" w:cs="宋体"/>
          <w:color w:val="000000"/>
          <w:sz w:val="24"/>
          <w:szCs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eastAsia="zh-CN"/>
        </w:rPr>
        <w:t xml:space="preserve">23、评标过程的保密与公正</w:t>
      </w:r>
      <w:bookmarkEnd w:id="153"/>
      <w:r/>
      <w:bookmarkEnd w:id="154"/>
      <w:r/>
      <w:bookmarkEnd w:id="155"/>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23.1</w:t>
      </w:r>
      <w:r>
        <w:rPr>
          <w:rFonts w:hint="eastAsia" w:ascii="宋体" w:hAnsi="宋体" w:eastAsia="宋体" w:cs="宋体"/>
          <w:bCs/>
          <w:color w:val="000000"/>
          <w:sz w:val="24"/>
          <w:highlight w:val="none"/>
        </w:rPr>
        <w:t xml:space="preserve">凡是与审查、澄清、评价和比较投标的有关资料以及授标建议等，采购人、评委、采购代理机构均不得向投标人或与评标无关的其他人员透露。</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23.2</w:t>
      </w:r>
      <w:r>
        <w:rPr>
          <w:rFonts w:hint="eastAsia" w:ascii="宋体" w:hAnsi="宋体" w:eastAsia="宋体" w:cs="宋体"/>
          <w:color w:val="000000"/>
          <w:sz w:val="24"/>
          <w:szCs w:val="24"/>
          <w:highlight w:val="none"/>
        </w:rPr>
        <w:t xml:space="preserve">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 采购代理机构和评委会不向未中标的投标人解释未中标原因，也不公布评标过程中的相关细节。</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bookmarkStart w:id="156" w:name="_Toc513029232"/>
      <w:r/>
      <w:bookmarkStart w:id="157" w:name="_Toc20823304"/>
      <w:r/>
      <w:bookmarkStart w:id="158" w:name="_Toc16938548"/>
      <w:r>
        <w:rPr>
          <w:rFonts w:hint="eastAsia" w:ascii="宋体" w:hAnsi="宋体" w:eastAsia="宋体" w:cs="宋体"/>
          <w:b w:val="0"/>
          <w:bCs w:val="0"/>
          <w:color w:val="000000"/>
          <w:highlight w:val="none"/>
          <w:lang w:eastAsia="zh-CN"/>
        </w:rPr>
        <w:t xml:space="preserve">24、投标文件的澄清</w:t>
      </w:r>
      <w:bookmarkEnd w:id="156"/>
      <w:r/>
      <w:bookmarkEnd w:id="157"/>
      <w:r/>
      <w:bookmarkEnd w:id="158"/>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评委会并非对每个投标人都做澄清要求。</w:t>
      </w:r>
      <w:r>
        <w:rPr>
          <w:rFonts w:hint="eastAsia" w:ascii="宋体" w:hAnsi="宋体" w:eastAsia="宋体" w:cs="宋体"/>
          <w:color w:val="000000"/>
          <w:sz w:val="24"/>
          <w:szCs w:val="24"/>
          <w:highlight w:val="none"/>
        </w:rPr>
      </w:r>
      <w:r/>
    </w:p>
    <w:p>
      <w:pPr>
        <w:pStyle w:val="937"/>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24.2需要投标人进行澄清、说明和补正的，</w:t>
      </w:r>
      <w:r>
        <w:rPr>
          <w:rFonts w:hint="eastAsia" w:ascii="宋体" w:hAnsi="宋体" w:eastAsia="宋体" w:cs="宋体"/>
          <w:color w:val="000000"/>
          <w:sz w:val="24"/>
          <w:highlight w:val="none"/>
          <w:lang w:val="en-US"/>
        </w:rPr>
        <w:t xml:space="preserve">本项目投标人的澄清、说明或者补正采用线上澄清，</w:t>
      </w:r>
      <w:r>
        <w:rPr>
          <w:rFonts w:hint="eastAsia" w:ascii="宋体" w:hAnsi="宋体" w:eastAsia="宋体" w:cs="宋体"/>
          <w:color w:val="000000"/>
          <w:sz w:val="24"/>
          <w:szCs w:val="24"/>
          <w:highlight w:val="none"/>
        </w:rPr>
        <w:t xml:space="preserve">评委会将通过</w:t>
      </w:r>
      <w:r>
        <w:rPr>
          <w:rFonts w:hint="eastAsia" w:ascii="宋体" w:hAnsi="宋体" w:eastAsia="宋体" w:cs="宋体"/>
          <w:color w:val="000000"/>
          <w:sz w:val="24"/>
          <w:highlight w:val="none"/>
          <w:lang w:val="en-US"/>
        </w:rPr>
        <w:t xml:space="preserve">“苏采云”系统</w:t>
      </w:r>
      <w:r>
        <w:rPr>
          <w:rFonts w:hint="eastAsia" w:ascii="宋体" w:hAnsi="宋体" w:eastAsia="宋体" w:cs="宋体"/>
          <w:color w:val="000000"/>
          <w:sz w:val="24"/>
          <w:szCs w:val="24"/>
          <w:highlight w:val="none"/>
        </w:rPr>
        <w:t xml:space="preserve">向投标人发出“澄清要求函”，接到“澄清要求函”的投标人应当按照要求</w:t>
      </w:r>
      <w:r>
        <w:rPr>
          <w:rFonts w:hint="eastAsia" w:ascii="宋体" w:hAnsi="宋体" w:eastAsia="宋体" w:cs="宋体"/>
          <w:color w:val="000000"/>
          <w:sz w:val="24"/>
          <w:highlight w:val="none"/>
          <w:lang w:val="en-US"/>
        </w:rPr>
        <w:t xml:space="preserve">在规定时间内</w:t>
      </w:r>
      <w:r>
        <w:rPr>
          <w:rFonts w:hint="eastAsia" w:ascii="宋体" w:hAnsi="宋体" w:eastAsia="宋体" w:cs="宋体"/>
          <w:color w:val="000000"/>
          <w:sz w:val="24"/>
          <w:szCs w:val="24"/>
          <w:highlight w:val="none"/>
          <w:lang w:val="en-US"/>
        </w:rPr>
        <w:t xml:space="preserve">通过</w:t>
      </w:r>
      <w:r>
        <w:rPr>
          <w:rFonts w:hint="eastAsia" w:ascii="宋体" w:hAnsi="宋体" w:eastAsia="宋体" w:cs="宋体"/>
          <w:color w:val="000000"/>
          <w:sz w:val="24"/>
          <w:highlight w:val="none"/>
          <w:lang w:val="en-US"/>
        </w:rPr>
        <w:t xml:space="preserve">“苏采云”系统</w:t>
      </w:r>
      <w:r>
        <w:rPr>
          <w:rFonts w:hint="eastAsia" w:ascii="宋体" w:hAnsi="宋体" w:eastAsia="宋体" w:cs="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24.3 接到评委会澄清、说明和补正要求的投标人如未按规定做出澄清、说明和补正，其风险由投标人自行承担。</w:t>
      </w:r>
      <w:r>
        <w:rPr>
          <w:rFonts w:hint="eastAsia" w:ascii="宋体" w:hAnsi="宋体" w:eastAsia="宋体" w:cs="宋体"/>
          <w:color w:val="000000"/>
          <w:sz w:val="24"/>
          <w:szCs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bookmarkStart w:id="159" w:name="_Toc513029233"/>
      <w:r/>
      <w:bookmarkStart w:id="160" w:name="_Toc20823305"/>
      <w:r/>
      <w:bookmarkStart w:id="161" w:name="_Toc16938549"/>
      <w:r>
        <w:rPr>
          <w:rFonts w:hint="eastAsia" w:ascii="宋体" w:hAnsi="宋体" w:eastAsia="宋体" w:cs="宋体"/>
          <w:b w:val="0"/>
          <w:bCs w:val="0"/>
          <w:color w:val="000000"/>
          <w:highlight w:val="none"/>
          <w:lang w:eastAsia="zh-CN"/>
        </w:rPr>
        <w:t xml:space="preserve">25、对投标文件的初审</w:t>
      </w:r>
      <w:bookmarkEnd w:id="159"/>
      <w:r/>
      <w:bookmarkEnd w:id="160"/>
      <w:r/>
      <w:bookmarkEnd w:id="161"/>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25.1</w:t>
      </w:r>
      <w:r>
        <w:rPr>
          <w:rFonts w:hint="eastAsia" w:ascii="宋体" w:hAnsi="宋体" w:eastAsia="宋体" w:cs="宋体"/>
          <w:bCs/>
          <w:color w:val="000000"/>
          <w:sz w:val="24"/>
          <w:highlight w:val="none"/>
        </w:rPr>
        <w:t xml:space="preserve">投标文件初审分为资格审查和符合性审查。</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25.1.1 资格审查：依据法律法规和招标文件的规定，</w:t>
      </w:r>
      <w:r>
        <w:rPr>
          <w:rFonts w:hint="eastAsia" w:ascii="宋体" w:hAnsi="宋体" w:eastAsia="宋体" w:cs="宋体"/>
          <w:color w:val="000000"/>
          <w:sz w:val="24"/>
          <w:highlight w:val="none"/>
        </w:rPr>
        <w:t xml:space="preserve">由采购人或其委托的代理机构对投标文件中的资格证明文件进行审查，以确定投标人是否具备投标资格。</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被“信用中国”网站（www.creditchina.gov.cn）、“中国政府采购网”(www.ccgp.gov.cn)列入失信被执行人、重大税收违法案件当事人名单、政府采购严重违法失信行为记录名单。采购代理查询供应商在开标当日的信用记录并保存。</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25.1.3对各投标人符合性审查过程中，对初步被认定为无效投标者，由评委会组长或采购人代表将集体意见通过</w:t>
      </w:r>
      <w:r>
        <w:rPr>
          <w:rFonts w:hint="eastAsia" w:ascii="宋体" w:hAnsi="宋体" w:eastAsia="宋体" w:cs="宋体"/>
          <w:color w:val="000000"/>
          <w:sz w:val="24"/>
          <w:highlight w:val="none"/>
          <w:lang w:val="zh-CN"/>
        </w:rPr>
        <w:t xml:space="preserve">“苏采云”系统中告知未通过符合性审查的原因，评标结束后，将不再告知未通过符合性审查的原因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25.4</w:t>
      </w:r>
      <w:r>
        <w:rPr>
          <w:rFonts w:hint="eastAsia" w:ascii="宋体" w:hAnsi="宋体" w:eastAsia="宋体" w:cs="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（1）投标文件中开标一览表内容与投标文件中相应内容不一致的，以开标一览表为准。</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25.5 </w:t>
      </w:r>
      <w:r>
        <w:rPr>
          <w:rFonts w:hint="eastAsia" w:ascii="宋体" w:hAnsi="宋体" w:eastAsia="宋体" w:cs="宋体"/>
          <w:bCs/>
          <w:color w:val="000000"/>
          <w:sz w:val="24"/>
          <w:highlight w:val="none"/>
        </w:rPr>
        <w:t xml:space="preserve">评委会将按上述修正错误的方法调整投标文件中的投标报价，并通过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告知投标人，调整后的价格应对投标人具有约束力。如果投标人不接受修正后的价格，则其投标将被拒绝。</w:t>
      </w:r>
      <w:r>
        <w:rPr>
          <w:rFonts w:hint="eastAsia" w:ascii="宋体" w:hAnsi="宋体" w:eastAsia="宋体" w:cs="宋体"/>
          <w:bCs/>
          <w:color w:val="000000"/>
          <w:sz w:val="24"/>
          <w:highlight w:val="none"/>
        </w:rPr>
      </w:r>
      <w:r/>
    </w:p>
    <w:p>
      <w:pPr>
        <w:pStyle w:val="654"/>
        <w:ind w:firstLine="420"/>
        <w:spacing w:line="360" w:lineRule="auto"/>
        <w:rPr>
          <w:rFonts w:hint="eastAsia" w:ascii="宋体" w:hAnsi="宋体" w:eastAsia="宋体" w:cs="宋体"/>
          <w:color w:val="000000"/>
          <w:sz w:val="24"/>
          <w:highlight w:val="none"/>
        </w:rPr>
      </w:pPr>
      <w:r/>
      <w:bookmarkStart w:id="162" w:name="_Toc20823306"/>
      <w:r/>
      <w:bookmarkStart w:id="163" w:name="_Toc513029234"/>
      <w:r/>
      <w:bookmarkStart w:id="164" w:name="_Toc16938550"/>
      <w:r>
        <w:rPr>
          <w:rFonts w:hint="eastAsia" w:ascii="宋体" w:hAnsi="宋体" w:eastAsia="宋体" w:cs="宋体"/>
          <w:color w:val="000000"/>
          <w:sz w:val="24"/>
          <w:highlight w:val="none"/>
        </w:rPr>
        <w:t xml:space="preserve">25.6投标人在开、评标全过程中应应随时保持系统在线，及时在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highlight w:val="none"/>
        </w:rPr>
        <w:t xml:space="preserve">查阅、答复相关信息。</w:t>
      </w:r>
      <w:r>
        <w:rPr>
          <w:rFonts w:hint="eastAsia" w:ascii="宋体" w:hAnsi="宋体" w:eastAsia="宋体" w:cs="宋体"/>
          <w:color w:val="000000"/>
          <w:sz w:val="24"/>
          <w:highlight w:val="none"/>
        </w:rPr>
      </w:r>
      <w:r/>
    </w:p>
    <w:p>
      <w:pPr>
        <w:pStyle w:val="658"/>
        <w:ind w:firstLine="420"/>
        <w:spacing w:before="0" w:after="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eastAsia="zh-CN"/>
        </w:rPr>
        <w:t xml:space="preserve">26、</w:t>
      </w:r>
      <w:bookmarkEnd w:id="162"/>
      <w:r/>
      <w:bookmarkEnd w:id="163"/>
      <w:r/>
      <w:bookmarkEnd w:id="164"/>
      <w:r>
        <w:rPr>
          <w:rFonts w:hint="eastAsia" w:ascii="宋体" w:hAnsi="宋体" w:eastAsia="宋体" w:cs="宋体"/>
          <w:b w:val="0"/>
          <w:bCs w:val="0"/>
          <w:color w:val="000000"/>
          <w:highlight w:val="none"/>
          <w:lang w:eastAsia="zh-CN"/>
        </w:rPr>
        <w:t xml:space="preserve">无效投标条款和废标条款</w:t>
      </w:r>
      <w:r>
        <w:rPr>
          <w:rFonts w:hint="eastAsia" w:ascii="宋体" w:hAnsi="宋体" w:eastAsia="宋体" w:cs="宋体"/>
          <w:b w:val="0"/>
          <w:bCs w:val="0"/>
          <w:color w:val="000000"/>
          <w:highlight w:val="none"/>
          <w:lang w:eastAsia="zh-CN"/>
        </w:rPr>
      </w:r>
      <w:r/>
    </w:p>
    <w:p>
      <w:pPr>
        <w:pStyle w:val="654"/>
        <w:ind w:firstLine="480"/>
        <w:spacing w:line="360" w:lineRule="auto"/>
        <w:rPr>
          <w:rFonts w:hint="eastAsia" w:ascii="宋体" w:hAnsi="宋体" w:eastAsia="宋体" w:cs="宋体"/>
          <w:bCs/>
          <w:color w:val="000000"/>
          <w:sz w:val="24"/>
          <w:highlight w:val="none"/>
        </w:rPr>
      </w:pPr>
      <w:r/>
      <w:bookmarkStart w:id="165" w:name="_Toc513029235"/>
      <w:r/>
      <w:bookmarkStart w:id="166" w:name="_Toc16938551"/>
      <w:r/>
      <w:bookmarkStart w:id="167" w:name="_Toc20823307"/>
      <w:r>
        <w:rPr>
          <w:rFonts w:hint="eastAsia" w:ascii="宋体" w:hAnsi="宋体" w:eastAsia="宋体" w:cs="宋体"/>
          <w:bCs/>
          <w:color w:val="000000"/>
          <w:sz w:val="24"/>
          <w:highlight w:val="none"/>
        </w:rPr>
        <w:t xml:space="preserve">26.1无效投标条款</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26</w:t>
      </w:r>
      <w:r>
        <w:rPr>
          <w:rFonts w:hint="eastAsia" w:ascii="宋体" w:hAnsi="宋体" w:eastAsia="宋体" w:cs="宋体"/>
          <w:bCs/>
          <w:color w:val="000000"/>
          <w:sz w:val="24"/>
          <w:szCs w:val="24"/>
          <w:highlight w:val="none"/>
        </w:rPr>
        <w:t xml:space="preserve">.1.1 投标人在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规定的时间内未成功解密电子投标文件的。</w:t>
      </w:r>
      <w:r>
        <w:rPr>
          <w:rFonts w:hint="eastAsia" w:ascii="宋体" w:hAnsi="宋体" w:eastAsia="宋体" w:cs="宋体"/>
          <w:bCs/>
          <w:color w:val="000000"/>
          <w:sz w:val="24"/>
          <w:szCs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 投标人未按照招标文件要求上传电子投标文件的。</w:t>
      </w:r>
      <w:r>
        <w:rPr>
          <w:rFonts w:hint="eastAsia" w:ascii="宋体" w:hAnsi="宋体" w:eastAsia="宋体" w:cs="宋体"/>
          <w:bCs/>
          <w:color w:val="000000"/>
          <w:sz w:val="24"/>
          <w:highlight w:val="none"/>
        </w:rPr>
      </w:r>
      <w:r/>
    </w:p>
    <w:p>
      <w:pPr>
        <w:pStyle w:val="654"/>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26.1.3同一投标人提交两个（含两个）以上不同的投标报价的。</w:t>
      </w:r>
      <w:r>
        <w:rPr>
          <w:rFonts w:hint="eastAsia" w:ascii="宋体" w:hAnsi="宋体" w:eastAsia="宋体" w:cs="宋体"/>
          <w:bCs/>
          <w:color w:val="000000"/>
          <w:sz w:val="24"/>
          <w:highlight w:val="none"/>
        </w:rPr>
      </w:r>
      <w:r/>
    </w:p>
    <w:p>
      <w:pPr>
        <w:pStyle w:val="654"/>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26.1.4投标人不具备招标文件中规定资格要求的。</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26.1.5投标人的报价超过了采购预算或最高限价的。</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26.1.6未通过符合性审查的。</w:t>
      </w:r>
      <w:r>
        <w:rPr>
          <w:rFonts w:hint="eastAsia" w:ascii="宋体" w:hAnsi="宋体" w:eastAsia="宋体" w:cs="宋体"/>
          <w:bCs/>
          <w:i/>
          <w:color w:val="000000"/>
          <w:sz w:val="24"/>
          <w:highlight w:val="none"/>
          <w:u w:val="single"/>
        </w:rPr>
      </w:r>
      <w:r/>
    </w:p>
    <w:p>
      <w:pPr>
        <w:pStyle w:val="654"/>
        <w:ind w:firstLine="360"/>
        <w:spacing w:line="360" w:lineRule="auto"/>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 26.1.7不符合招标文件中规定的实质性要求和条件的（</w:t>
      </w:r>
      <w:r>
        <w:rPr>
          <w:rFonts w:hint="eastAsia" w:ascii="宋体" w:hAnsi="宋体" w:eastAsia="宋体" w:cs="宋体"/>
          <w:bCs/>
          <w:i w:val="0"/>
          <w:iCs/>
          <w:color w:val="000000"/>
          <w:sz w:val="24"/>
          <w:highlight w:val="none"/>
          <w:u w:val="single"/>
          <w:lang w:val="en-US" w:eastAsia="zh-CN"/>
        </w:rPr>
        <w:t xml:space="preserve">加</w:t>
      </w:r>
      <w:r>
        <w:rPr>
          <w:rFonts w:hint="eastAsia" w:ascii="宋体" w:hAnsi="宋体" w:eastAsia="宋体" w:cs="宋体"/>
          <w:bCs/>
          <w:i w:val="0"/>
          <w:iCs/>
          <w:color w:val="000000"/>
          <w:sz w:val="24"/>
          <w:highlight w:val="none"/>
          <w:u w:val="single"/>
        </w:rPr>
        <w:t xml:space="preserve">“★”内容为实质性要求和条件</w:t>
      </w:r>
      <w:r>
        <w:rPr>
          <w:rFonts w:hint="eastAsia" w:ascii="宋体" w:hAnsi="宋体" w:eastAsia="宋体" w:cs="宋体"/>
          <w:bCs/>
          <w:i/>
          <w:color w:val="000000"/>
          <w:sz w:val="24"/>
          <w:highlight w:val="none"/>
          <w:u w:val="single"/>
        </w:rPr>
        <w:t xml:space="preserve">）。</w:t>
      </w:r>
      <w:r>
        <w:rPr>
          <w:rFonts w:hint="eastAsia" w:ascii="宋体" w:hAnsi="宋体" w:eastAsia="宋体" w:cs="宋体"/>
          <w:bCs/>
          <w:i/>
          <w:color w:val="000000"/>
          <w:sz w:val="24"/>
          <w:highlight w:val="none"/>
          <w:u w:val="singl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26.1.8 投标人被“信用中国”网站（www.creditchina.gov.cn）</w:t>
      </w:r>
      <w:r>
        <w:rPr>
          <w:rFonts w:hint="eastAsia" w:ascii="宋体" w:hAnsi="宋体" w:eastAsia="宋体" w:cs="宋体"/>
          <w:bCs/>
          <w:color w:val="000000"/>
          <w:sz w:val="24"/>
          <w:highlight w:val="none"/>
          <w:lang w:eastAsia="zh-CN"/>
        </w:rPr>
        <w:t xml:space="preserve">、“中国政府采购网”(www.ccgp.gov.cn)</w:t>
      </w:r>
      <w:r>
        <w:rPr>
          <w:rFonts w:hint="eastAsia" w:ascii="宋体" w:hAnsi="宋体" w:eastAsia="宋体" w:cs="宋体"/>
          <w:bCs/>
          <w:color w:val="000000"/>
          <w:sz w:val="24"/>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26.1.9 投标文件含有采购人不能接受的附加条件的。</w:t>
      </w:r>
      <w:r>
        <w:rPr>
          <w:rFonts w:hint="eastAsia" w:ascii="宋体" w:hAnsi="宋体" w:eastAsia="宋体" w:cs="宋体"/>
          <w:bCs/>
          <w:color w:val="000000"/>
          <w:sz w:val="24"/>
          <w:highlight w:val="none"/>
        </w:rPr>
      </w:r>
      <w:r/>
    </w:p>
    <w:p>
      <w:pPr>
        <w:pStyle w:val="654"/>
        <w:ind w:firstLine="42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26.1.10评委会认为投标人的报价明显低于其他通过符合性审查投标人的报价，有可能影响产品质量或者不能诚信履约的，将通过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要求其在合理的时间内提供说明，必要时提交相关证明材料；投标人不能证明其报价合理性的，评委会应当将其作为无效投标处理。</w:t>
      </w:r>
      <w:r>
        <w:rPr>
          <w:rFonts w:hint="eastAsia" w:ascii="宋体" w:hAnsi="宋体" w:eastAsia="宋体" w:cs="宋体"/>
          <w:bCs/>
          <w:color w:val="000000"/>
          <w:sz w:val="24"/>
          <w:highlight w:val="none"/>
        </w:rPr>
      </w:r>
      <w:r/>
    </w:p>
    <w:p>
      <w:pPr>
        <w:pStyle w:val="65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lang w:val="zh-CN"/>
        </w:rPr>
        <w:t xml:space="preserve">26.1.11本项目采购产品被财政部、国家发改委、生态环境部等列入“节能产品品目清单”、“环境标志产品品目清单”强制采购范围，而</w:t>
      </w: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val="zh-CN"/>
        </w:rPr>
        <w:t xml:space="preserve">人所</w:t>
      </w:r>
      <w:r>
        <w:rPr>
          <w:rFonts w:hint="eastAsia" w:ascii="宋体" w:hAnsi="宋体" w:eastAsia="宋体" w:cs="宋体"/>
          <w:color w:val="000000"/>
          <w:sz w:val="24"/>
          <w:highlight w:val="none"/>
        </w:rPr>
        <w:t xml:space="preserve">投</w:t>
      </w:r>
      <w:r>
        <w:rPr>
          <w:rFonts w:hint="eastAsia" w:ascii="宋体" w:hAnsi="宋体" w:eastAsia="宋体" w:cs="宋体"/>
          <w:color w:val="000000"/>
          <w:sz w:val="24"/>
          <w:highlight w:val="none"/>
          <w:lang w:val="zh-CN"/>
        </w:rPr>
        <w:t xml:space="preserve">产品不在强制采购范围内的。（所</w:t>
      </w:r>
      <w:r>
        <w:rPr>
          <w:rFonts w:hint="eastAsia" w:ascii="宋体" w:hAnsi="宋体" w:eastAsia="宋体" w:cs="宋体"/>
          <w:color w:val="000000"/>
          <w:sz w:val="24"/>
          <w:highlight w:val="none"/>
        </w:rPr>
        <w:t xml:space="preserve">投</w:t>
      </w:r>
      <w:r>
        <w:rPr>
          <w:rFonts w:hint="eastAsia" w:ascii="宋体" w:hAnsi="宋体" w:eastAsia="宋体" w:cs="宋体"/>
          <w:color w:val="000000"/>
          <w:sz w:val="24"/>
          <w:highlight w:val="none"/>
          <w:lang w:val="zh-CN"/>
        </w:rPr>
        <w:t xml:space="preserve">产品如属于政府强制采购节能产品品目清单范围内，</w:t>
      </w: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val="zh-CN"/>
        </w:rPr>
        <w:t xml:space="preserve">文件中必须提供国家确定的认证机构出具的、处于有效期之内的该节能产品认证证书图片）。</w:t>
      </w:r>
      <w:r>
        <w:rPr>
          <w:rFonts w:hint="eastAsia" w:ascii="宋体" w:hAnsi="宋体" w:eastAsia="宋体" w:cs="宋体"/>
          <w:color w:val="000000"/>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26.1.12 投标文件未按照招标文件要求加盖CA电子公章的。</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26.1.13其他法律、法规及本招标文件规定的属无效投标的情形。</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26.2废标条款</w:t>
      </w:r>
      <w:r>
        <w:rPr>
          <w:rFonts w:hint="eastAsia" w:ascii="宋体" w:hAnsi="宋体" w:eastAsia="宋体" w:cs="宋体"/>
          <w:bCs/>
          <w:color w:val="000000"/>
          <w:sz w:val="24"/>
          <w:highlight w:val="none"/>
        </w:rPr>
      </w:r>
      <w:r/>
    </w:p>
    <w:p>
      <w:pPr>
        <w:pStyle w:val="654"/>
        <w:ind w:left="479"/>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26.2.1符合专业条件的投标人或者对招标文件作实质响应的投标人不足三家的。26.2.2出现影响采购公正的违法、违规行为的。</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26.2.3因重大变故，采购任务取消的。</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26.2.4评委会认定招标文件存在歧义、重大缺陷导致评审工作无法进行。</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26.2.5 因</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系统故障原因造成开标不成功的。</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26.3 投标截止时间结束后参加投标的投标人不足三家的处理：</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26.3.1如出现投标截止时间结束后参加投标的投标人或者在评标期间对招标文件做出实质响应的投标人不足三家情况，按政府采购相关规定执行。</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26.4关于异常低价的审查</w:t>
      </w:r>
      <w:r>
        <w:rPr>
          <w:rFonts w:hint="eastAsia" w:ascii="宋体" w:hAnsi="宋体" w:eastAsia="宋体" w:cs="宋体"/>
          <w:color w:val="000000"/>
          <w:sz w:val="24"/>
          <w:highlight w:val="none"/>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26.4.1评审过程中出现下列情形之一的，评审委员会将启动异常低价投标（响应）审查程序：</w:t>
      </w:r>
      <w:bookmarkStart w:id="168" w:name="_Toc120614219"/>
      <w:r>
        <w:rPr>
          <w:rFonts w:hint="eastAsia" w:ascii="宋体" w:hAnsi="宋体" w:eastAsia="宋体" w:cs="宋体"/>
          <w:color w:val="000000"/>
          <w:sz w:val="24"/>
          <w:szCs w:val="24"/>
          <w:highlight w:val="none"/>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投标(响应)报价低于全部通过符合性审查供应商投标(响应)报价平均值</w:t>
      </w:r>
      <w:r>
        <w:rPr>
          <w:rFonts w:hint="eastAsia" w:ascii="宋体" w:hAnsi="宋体" w:eastAsia="宋体" w:cs="宋体"/>
          <w:b w:val="0"/>
          <w:bCs w:val="0"/>
          <w:color w:val="000000"/>
          <w:sz w:val="24"/>
          <w:szCs w:val="24"/>
          <w:highlight w:val="none"/>
          <w:lang w:val="en-US" w:eastAsia="zh-CN"/>
        </w:rPr>
        <w:t xml:space="preserve">50</w:t>
      </w:r>
      <w:r>
        <w:rPr>
          <w:rFonts w:hint="eastAsia" w:ascii="宋体" w:hAnsi="宋体" w:eastAsia="宋体" w:cs="宋体"/>
          <w:b w:val="0"/>
          <w:bCs w:val="0"/>
          <w:color w:val="000000"/>
          <w:sz w:val="24"/>
          <w:szCs w:val="24"/>
          <w:highlight w:val="none"/>
        </w:rPr>
        <w:t xml:space="preserve">%的，即投标(响应)报价&lt;全部通过符合性审查供应商投标(响应)报价平均值×</w:t>
      </w:r>
      <w:r>
        <w:rPr>
          <w:rFonts w:hint="eastAsia" w:ascii="宋体" w:hAnsi="宋体" w:eastAsia="宋体" w:cs="宋体"/>
          <w:b w:val="0"/>
          <w:bCs w:val="0"/>
          <w:color w:val="000000"/>
          <w:sz w:val="24"/>
          <w:szCs w:val="24"/>
          <w:highlight w:val="none"/>
          <w:lang w:val="en-US" w:eastAsia="zh-CN"/>
        </w:rPr>
        <w:t xml:space="preserve">50</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投标(响应)报价低于通过符合性审查的次低报价供应商投标(响应)报价</w:t>
      </w:r>
      <w:r>
        <w:rPr>
          <w:rFonts w:hint="eastAsia" w:ascii="宋体" w:hAnsi="宋体" w:eastAsia="宋体" w:cs="宋体"/>
          <w:b w:val="0"/>
          <w:bCs w:val="0"/>
          <w:color w:val="000000"/>
          <w:sz w:val="24"/>
          <w:szCs w:val="24"/>
          <w:highlight w:val="none"/>
          <w:lang w:val="en-US" w:eastAsia="zh-CN"/>
        </w:rPr>
        <w:t xml:space="preserve">50</w:t>
      </w:r>
      <w:r>
        <w:rPr>
          <w:rFonts w:hint="eastAsia" w:ascii="宋体" w:hAnsi="宋体" w:eastAsia="宋体" w:cs="宋体"/>
          <w:b w:val="0"/>
          <w:bCs w:val="0"/>
          <w:color w:val="000000"/>
          <w:sz w:val="24"/>
          <w:szCs w:val="24"/>
          <w:highlight w:val="none"/>
        </w:rPr>
        <w:t xml:space="preserve">%的，即投标(响应)报价&lt;通过符合性审查 的次低报价供应商投标(响应)报价×</w:t>
      </w:r>
      <w:r>
        <w:rPr>
          <w:rFonts w:hint="eastAsia" w:ascii="宋体" w:hAnsi="宋体" w:eastAsia="宋体" w:cs="宋体"/>
          <w:b w:val="0"/>
          <w:bCs w:val="0"/>
          <w:color w:val="000000"/>
          <w:sz w:val="24"/>
          <w:szCs w:val="24"/>
          <w:highlight w:val="none"/>
          <w:lang w:val="en-US" w:eastAsia="zh-CN"/>
        </w:rPr>
        <w:t xml:space="preserve">50</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（3）投标(响应)报价低于采购项目最高限价</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5%的，即投标(响应)报价&lt;采购项目最高限价×</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p>
      <w:pPr>
        <w:pStyle w:val="657"/>
        <w:ind w:firstLine="482"/>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（4）评审委员会认定的供应商响应报价过低、有可能影响产品质量或者不能诚信履约的其他情形。</w:t>
      </w:r>
      <w:r>
        <w:rPr>
          <w:rFonts w:hint="eastAsia" w:ascii="宋体" w:hAnsi="宋体" w:eastAsia="宋体" w:cs="宋体"/>
          <w:b w:val="0"/>
          <w:bCs w:val="0"/>
          <w:color w:val="000000"/>
          <w:sz w:val="24"/>
          <w:szCs w:val="24"/>
          <w:highlight w:val="none"/>
        </w:rPr>
      </w:r>
      <w:r/>
    </w:p>
    <w:p>
      <w:pPr>
        <w:pStyle w:val="657"/>
        <w:ind w:firstLine="482"/>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评审委员会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eastAsia="宋体" w:cs="宋体"/>
          <w:b w:val="0"/>
          <w:bCs w:val="0"/>
          <w:color w:val="000000"/>
          <w:sz w:val="24"/>
          <w:szCs w:val="24"/>
          <w:highlight w:val="none"/>
        </w:rPr>
      </w:r>
      <w:r/>
    </w:p>
    <w:p>
      <w:pPr>
        <w:pStyle w:val="657"/>
        <w:ind w:firstLine="482"/>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b w:val="0"/>
          <w:bCs w:val="0"/>
          <w:color w:val="000000"/>
          <w:sz w:val="24"/>
          <w:szCs w:val="24"/>
          <w:highlight w:val="none"/>
        </w:rPr>
      </w:r>
      <w:r/>
    </w:p>
    <w:p>
      <w:pPr>
        <w:pStyle w:val="657"/>
        <w:ind w:firstLine="482"/>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六、</w:t>
      </w:r>
      <w:bookmarkEnd w:id="165"/>
      <w:r/>
      <w:bookmarkEnd w:id="166"/>
      <w:r/>
      <w:bookmarkEnd w:id="167"/>
      <w:r>
        <w:rPr>
          <w:rFonts w:hint="eastAsia" w:ascii="宋体" w:hAnsi="宋体" w:eastAsia="宋体" w:cs="宋体"/>
          <w:color w:val="000000"/>
          <w:highlight w:val="none"/>
          <w:lang w:eastAsia="zh-CN"/>
        </w:rPr>
        <w:t xml:space="preserve">定标</w:t>
      </w:r>
      <w:bookmarkEnd w:id="168"/>
      <w:r>
        <w:rPr>
          <w:rFonts w:hint="eastAsia" w:ascii="宋体" w:hAnsi="宋体" w:eastAsia="宋体" w:cs="宋体"/>
          <w:color w:val="000000"/>
          <w:highlight w:val="none"/>
          <w:lang w:eastAsia="zh-CN"/>
        </w:rPr>
      </w:r>
      <w:r/>
    </w:p>
    <w:p>
      <w:pPr>
        <w:pStyle w:val="658"/>
        <w:ind w:firstLine="600"/>
        <w:spacing w:before="0" w:after="0" w:line="360" w:lineRule="auto"/>
        <w:rPr>
          <w:rFonts w:hint="eastAsia" w:ascii="宋体" w:hAnsi="宋体" w:eastAsia="宋体" w:cs="宋体"/>
          <w:b w:val="0"/>
          <w:color w:val="000000"/>
          <w:sz w:val="30"/>
          <w:szCs w:val="30"/>
          <w:highlight w:val="none"/>
          <w:lang w:eastAsia="zh-CN"/>
        </w:rPr>
      </w:pPr>
      <w:r/>
      <w:bookmarkStart w:id="169" w:name="_Toc513029238"/>
      <w:r/>
      <w:bookmarkStart w:id="170" w:name="_Toc20823310"/>
      <w:r/>
      <w:bookmarkStart w:id="171" w:name="_Toc16938554"/>
      <w:r>
        <w:rPr>
          <w:rFonts w:hint="eastAsia" w:ascii="宋体" w:hAnsi="宋体" w:eastAsia="宋体" w:cs="宋体"/>
          <w:b w:val="0"/>
          <w:color w:val="000000"/>
          <w:sz w:val="30"/>
          <w:szCs w:val="30"/>
          <w:highlight w:val="none"/>
          <w:lang w:eastAsia="zh-CN"/>
        </w:rPr>
        <w:t xml:space="preserve">27、</w:t>
      </w:r>
      <w:bookmarkEnd w:id="169"/>
      <w:r>
        <w:rPr>
          <w:rFonts w:hint="eastAsia" w:ascii="宋体" w:hAnsi="宋体" w:eastAsia="宋体" w:cs="宋体"/>
          <w:b w:val="0"/>
          <w:color w:val="000000"/>
          <w:sz w:val="30"/>
          <w:szCs w:val="30"/>
          <w:highlight w:val="none"/>
          <w:lang w:eastAsia="zh-CN"/>
        </w:rPr>
        <w:t xml:space="preserve">确定</w:t>
      </w:r>
      <w:bookmarkEnd w:id="170"/>
      <w:r/>
      <w:bookmarkEnd w:id="171"/>
      <w:r>
        <w:rPr>
          <w:rFonts w:hint="eastAsia" w:ascii="宋体" w:hAnsi="宋体" w:eastAsia="宋体" w:cs="宋体"/>
          <w:b w:val="0"/>
          <w:color w:val="000000"/>
          <w:sz w:val="30"/>
          <w:szCs w:val="30"/>
          <w:highlight w:val="none"/>
          <w:lang w:eastAsia="zh-CN"/>
        </w:rPr>
        <w:t xml:space="preserve">中标单位</w:t>
      </w:r>
      <w:r>
        <w:rPr>
          <w:rFonts w:hint="eastAsia" w:ascii="宋体" w:hAnsi="宋体" w:eastAsia="宋体" w:cs="宋体"/>
          <w:b w:val="0"/>
          <w:color w:val="000000"/>
          <w:sz w:val="30"/>
          <w:szCs w:val="30"/>
          <w:highlight w:val="none"/>
          <w:lang w:eastAsia="zh-CN"/>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27.1中标候选人的选取原则和数量见招标文件第五章规定。 </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27.2 按以下第</w:t>
      </w:r>
      <w:r>
        <w:rPr>
          <w:rFonts w:hint="eastAsia" w:ascii="宋体" w:hAnsi="宋体" w:eastAsia="宋体" w:cs="宋体"/>
          <w:bCs/>
          <w:color w:val="000000"/>
          <w:sz w:val="24"/>
          <w:highlight w:val="none"/>
          <w:u w:val="single"/>
          <w:lang w:val="zh-CN"/>
        </w:rPr>
        <w:t xml:space="preserve">（</w:t>
      </w:r>
      <w:r>
        <w:rPr>
          <w:rFonts w:hint="eastAsia" w:ascii="宋体" w:hAnsi="宋体" w:eastAsia="宋体" w:cs="宋体"/>
          <w:bCs/>
          <w:color w:val="000000"/>
          <w:sz w:val="24"/>
          <w:highlight w:val="none"/>
          <w:u w:val="single"/>
        </w:rPr>
        <w:t xml:space="preserve"> 2 </w:t>
      </w:r>
      <w:r>
        <w:rPr>
          <w:rFonts w:hint="eastAsia" w:ascii="宋体" w:hAnsi="宋体" w:eastAsia="宋体" w:cs="宋体"/>
          <w:bCs/>
          <w:color w:val="000000"/>
          <w:sz w:val="24"/>
          <w:highlight w:val="none"/>
          <w:u w:val="single"/>
          <w:lang w:val="zh-CN"/>
        </w:rPr>
        <w:t xml:space="preserve">）</w:t>
      </w:r>
      <w:r>
        <w:rPr>
          <w:rFonts w:hint="eastAsia" w:ascii="宋体" w:hAnsi="宋体" w:eastAsia="宋体" w:cs="宋体"/>
          <w:bCs/>
          <w:color w:val="000000"/>
          <w:sz w:val="24"/>
          <w:highlight w:val="none"/>
          <w:lang w:val="zh-CN"/>
        </w:rPr>
        <w:t xml:space="preserve">种方式确定中标人</w:t>
      </w:r>
      <w:r>
        <w:rPr>
          <w:rFonts w:hint="eastAsia" w:ascii="宋体" w:hAnsi="宋体" w:eastAsia="宋体" w:cs="宋体"/>
          <w:bCs/>
          <w:color w:val="000000"/>
          <w:sz w:val="24"/>
          <w:highlight w:val="none"/>
          <w:lang w:val="zh-CN"/>
        </w:rPr>
      </w:r>
      <w:r/>
    </w:p>
    <w:p>
      <w:pPr>
        <w:pStyle w:val="654"/>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（1）评委会直接确定排名第一的中标候选人为中标人；</w:t>
      </w:r>
      <w:r>
        <w:rPr>
          <w:rFonts w:hint="eastAsia" w:ascii="宋体" w:hAnsi="宋体" w:eastAsia="宋体" w:cs="宋体"/>
          <w:bCs/>
          <w:color w:val="000000"/>
          <w:sz w:val="24"/>
          <w:highlight w:val="none"/>
          <w:lang w:val="zh-CN"/>
        </w:rPr>
      </w:r>
      <w:r/>
    </w:p>
    <w:p>
      <w:pPr>
        <w:pStyle w:val="654"/>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（2）采购人在评委会推荐的中标候选人中按顺序确定中标人。</w:t>
      </w:r>
      <w:r>
        <w:rPr>
          <w:rFonts w:hint="eastAsia" w:ascii="宋体" w:hAnsi="宋体" w:eastAsia="宋体" w:cs="宋体"/>
          <w:bCs/>
          <w:color w:val="000000"/>
          <w:sz w:val="24"/>
          <w:highlight w:val="none"/>
          <w:lang w:val="zh-CN"/>
        </w:rPr>
      </w:r>
      <w:r/>
    </w:p>
    <w:p>
      <w:pPr>
        <w:pStyle w:val="654"/>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highlight w:val="none"/>
          <w:lang w:val="zh-CN"/>
        </w:rPr>
        <w:t xml:space="preserve">按第</w:t>
      </w: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zh-CN"/>
        </w:rPr>
        <w:t xml:space="preserve">种方式确定中标人的，</w:t>
      </w:r>
      <w:r>
        <w:rPr>
          <w:rFonts w:hint="eastAsia" w:ascii="宋体" w:hAnsi="宋体" w:eastAsia="宋体" w:cs="宋体"/>
          <w:bCs/>
          <w:color w:val="000000"/>
          <w:sz w:val="24"/>
          <w:highlight w:val="none"/>
        </w:rPr>
        <w:t xml:space="preserve">采购代理机构</w:t>
      </w:r>
      <w:r>
        <w:rPr>
          <w:rFonts w:hint="eastAsia" w:ascii="宋体" w:hAnsi="宋体" w:eastAsia="宋体" w:cs="宋体"/>
          <w:bCs/>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ascii="宋体" w:hAnsi="宋体" w:eastAsia="宋体" w:cs="宋体"/>
          <w:color w:val="000000"/>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27.3 </w:t>
      </w:r>
      <w:r>
        <w:rPr>
          <w:rFonts w:hint="eastAsia" w:ascii="宋体" w:hAnsi="宋体" w:eastAsia="宋体" w:cs="宋体"/>
          <w:color w:val="000000"/>
          <w:sz w:val="24"/>
          <w:szCs w:val="24"/>
          <w:highlight w:val="none"/>
        </w:rPr>
        <w:t xml:space="preserve">采购代理机构将在“江苏省政府采购网”发布中标公告，公告期限为1个工作日。</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  若有充分证据证明，中标人出现下列情况之一的，一经查实，将被取消中标资格：</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27.4.1提供虚假材料谋取中标的。</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27.4.2向采购人、采购代理机构行贿或者提供其他不正当利益的。</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27.4.4与采购人或者其他投标人恶意串通的。</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27.4.5采取不正当手段诋毁、排挤其他投标人的。</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bookmarkStart w:id="172" w:name="_Toc200451960"/>
      <w:r>
        <w:rPr>
          <w:rFonts w:hint="eastAsia" w:ascii="宋体" w:hAnsi="宋体" w:eastAsia="宋体" w:cs="宋体"/>
          <w:color w:val="000000"/>
          <w:sz w:val="24"/>
          <w:szCs w:val="24"/>
          <w:highlight w:val="none"/>
        </w:rPr>
        <w:t xml:space="preserve">27.5 有下列情形之一的，视为投标人串通投标，投标无效：</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27.5.3 不同投标人的投标文件载明的项目管理成员或者联系人员为同一人。</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rPr>
          <w:rFonts w:hint="eastAsia" w:ascii="宋体" w:hAnsi="宋体" w:eastAsia="宋体" w:cs="宋体"/>
          <w:color w:val="000000"/>
          <w:sz w:val="24"/>
          <w:szCs w:val="24"/>
          <w:highlight w:val="none"/>
        </w:rPr>
      </w:r>
      <w:r/>
    </w:p>
    <w:p>
      <w:pPr>
        <w:pStyle w:val="658"/>
        <w:ind w:firstLine="600"/>
        <w:spacing w:before="0" w:after="0" w:line="360" w:lineRule="auto"/>
        <w:rPr>
          <w:rFonts w:hint="eastAsia" w:ascii="宋体" w:hAnsi="宋体" w:eastAsia="宋体" w:cs="宋体"/>
          <w:b w:val="0"/>
          <w:color w:val="000000"/>
          <w:sz w:val="30"/>
          <w:szCs w:val="30"/>
          <w:highlight w:val="none"/>
          <w:lang w:eastAsia="zh-CN"/>
        </w:rPr>
      </w:pPr>
      <w:r>
        <w:rPr>
          <w:rFonts w:hint="eastAsia" w:ascii="宋体" w:hAnsi="宋体" w:eastAsia="宋体" w:cs="宋体"/>
          <w:b w:val="0"/>
          <w:color w:val="000000"/>
          <w:sz w:val="30"/>
          <w:szCs w:val="30"/>
          <w:highlight w:val="none"/>
          <w:lang w:eastAsia="zh-CN"/>
        </w:rPr>
        <w:t xml:space="preserve">28、质疑处理</w:t>
      </w:r>
      <w:bookmarkEnd w:id="172"/>
      <w:r>
        <w:rPr>
          <w:rFonts w:hint="eastAsia" w:ascii="宋体" w:hAnsi="宋体" w:eastAsia="宋体" w:cs="宋体"/>
          <w:b w:val="0"/>
          <w:color w:val="000000"/>
          <w:sz w:val="30"/>
          <w:szCs w:val="30"/>
          <w:highlight w:val="none"/>
          <w:lang w:eastAsia="zh-CN"/>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提出质疑的投标人应当是参与所质疑项目采购活动的投标人。潜在投标人依法获取其可质疑的采购文件的，可以对采购文件提出质疑。</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投标人应以书面形式向采购人或者其委托的采购代理机构提出质疑。质疑超出采购机构代理范围的，投标人应当向采购人提出。</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接收质疑函的方式：现场接收或邮寄接收。</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color w:val="000000"/>
          <w:sz w:val="24"/>
          <w:szCs w:val="24"/>
          <w:highlight w:val="none"/>
          <w:lang w:eastAsia="zh-CN"/>
        </w:rPr>
        <w:t xml:space="preserve">南京江城工程项目管理有限公司</w:t>
      </w:r>
      <w:r>
        <w:rPr>
          <w:rFonts w:hint="eastAsia" w:ascii="宋体" w:hAnsi="宋体" w:eastAsia="宋体" w:cs="宋体"/>
          <w:color w:val="000000"/>
          <w:sz w:val="24"/>
          <w:szCs w:val="24"/>
          <w:highlight w:val="none"/>
          <w:lang w:eastAsia="zh-CN"/>
        </w:rPr>
      </w:r>
      <w:r/>
    </w:p>
    <w:p>
      <w:pPr>
        <w:pStyle w:val="65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汪工</w:t>
      </w:r>
      <w:r>
        <w:rPr>
          <w:rFonts w:hint="eastAsia" w:ascii="宋体" w:hAnsi="宋体" w:eastAsia="宋体" w:cs="宋体"/>
          <w:color w:val="000000"/>
          <w:sz w:val="24"/>
          <w:szCs w:val="24"/>
          <w:highlight w:val="none"/>
          <w:lang w:eastAsia="zh-CN"/>
        </w:rPr>
      </w:r>
      <w:r/>
    </w:p>
    <w:p>
      <w:pPr>
        <w:pStyle w:val="65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025-58835827-8015</w:t>
      </w:r>
      <w:r>
        <w:rPr>
          <w:rFonts w:hint="eastAsia" w:ascii="宋体" w:hAnsi="宋体" w:eastAsia="宋体" w:cs="宋体"/>
          <w:color w:val="000000"/>
          <w:sz w:val="24"/>
          <w:szCs w:val="24"/>
          <w:highlight w:val="none"/>
          <w:lang w:val="en-US" w:eastAsia="zh-CN"/>
        </w:rPr>
      </w:r>
      <w:r/>
    </w:p>
    <w:p>
      <w:pPr>
        <w:pStyle w:val="654"/>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邮箱：</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HYPERLINK "mailto:njjcco@126.com"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njjcco@126.com</w:t>
      </w:r>
      <w:r>
        <w:rPr>
          <w:rFonts w:hint="eastAsia" w:ascii="宋体" w:hAnsi="宋体" w:eastAsia="宋体" w:cs="宋体"/>
          <w:color w:val="000000"/>
          <w:sz w:val="24"/>
          <w:szCs w:val="24"/>
          <w:highlight w:val="none"/>
          <w:lang w:val="en-US" w:eastAsia="zh-CN"/>
        </w:rPr>
        <w:fldChar w:fldCharType="end"/>
      </w:r>
      <w:r>
        <w:rPr>
          <w:rFonts w:ascii="宋体" w:hAnsi="宋体" w:eastAsia="宋体" w:cs="宋体"/>
          <w:color w:val="000000"/>
          <w:sz w:val="24"/>
          <w:szCs w:val="24"/>
          <w:highlight w:val="none"/>
          <w:lang w:val="en-US" w:eastAsia="zh-CN"/>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28.5 以下情形的质疑不予受理</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 内容不符合《政府采购质疑和投诉办法》第十二条规定的质疑。</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 超出政府采购法定期限的质疑。</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 以传真、电子邮件等方式递交的非原件形式的质疑。</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 未参加投标活动的投标人或在投标活动中自身权益未受到损害的投标人所提出的质疑。</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28.5.5投标人组成联合体参加投标，联合体中任何一方或多方未按要求签字、盖章、加盖公章的质疑。</w:t>
      </w:r>
      <w:r>
        <w:rPr>
          <w:rFonts w:hint="eastAsia" w:ascii="宋体" w:hAnsi="宋体" w:eastAsia="宋体" w:cs="宋体"/>
          <w:color w:val="000000"/>
          <w:sz w:val="24"/>
          <w:szCs w:val="24"/>
          <w:highlight w:val="none"/>
        </w:rPr>
      </w:r>
      <w:r/>
    </w:p>
    <w:p>
      <w:pPr>
        <w:pStyle w:val="654"/>
        <w:ind w:firstLine="46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宋体" w:hAnsi="宋体" w:eastAsia="宋体" w:cs="宋体"/>
          <w:color w:val="000000"/>
          <w:sz w:val="24"/>
          <w:szCs w:val="24"/>
          <w:highlight w:val="none"/>
        </w:rPr>
      </w:r>
      <w:r/>
    </w:p>
    <w:p>
      <w:pPr>
        <w:pStyle w:val="654"/>
        <w:ind w:firstLine="46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28.7质疑供应商对采购人、采购代理机构的答复不满意，或者采购人、采购代理机构未在规定时间内作出答复的，可以在答复期满后15个工作日内向同级财政部门提起投诉。</w:t>
      </w:r>
      <w:r>
        <w:rPr>
          <w:rFonts w:hint="eastAsia" w:ascii="宋体" w:hAnsi="宋体" w:eastAsia="宋体" w:cs="宋体"/>
          <w:color w:val="000000"/>
          <w:sz w:val="24"/>
          <w:szCs w:val="24"/>
          <w:highlight w:val="none"/>
        </w:rPr>
      </w:r>
      <w:r/>
    </w:p>
    <w:p>
      <w:pPr>
        <w:pStyle w:val="658"/>
        <w:ind w:firstLine="600"/>
        <w:spacing w:before="0" w:after="0" w:line="360" w:lineRule="auto"/>
        <w:rPr>
          <w:rFonts w:hint="eastAsia" w:ascii="宋体" w:hAnsi="宋体" w:eastAsia="宋体" w:cs="宋体"/>
          <w:b w:val="0"/>
          <w:color w:val="000000"/>
          <w:sz w:val="30"/>
          <w:szCs w:val="30"/>
          <w:highlight w:val="none"/>
          <w:lang w:eastAsia="zh-CN"/>
        </w:rPr>
      </w:pPr>
      <w:r>
        <w:rPr>
          <w:rFonts w:hint="eastAsia" w:ascii="宋体" w:hAnsi="宋体" w:eastAsia="宋体" w:cs="宋体"/>
          <w:b w:val="0"/>
          <w:color w:val="000000"/>
          <w:sz w:val="30"/>
          <w:szCs w:val="30"/>
          <w:highlight w:val="none"/>
          <w:lang w:eastAsia="zh-CN"/>
        </w:rPr>
        <w:t xml:space="preserve">29、中标通知书</w:t>
      </w:r>
      <w:r>
        <w:rPr>
          <w:rFonts w:hint="eastAsia" w:ascii="宋体" w:hAnsi="宋体" w:eastAsia="宋体" w:cs="宋体"/>
          <w:b w:val="0"/>
          <w:color w:val="000000"/>
          <w:sz w:val="30"/>
          <w:szCs w:val="30"/>
          <w:highlight w:val="none"/>
          <w:lang w:eastAsia="zh-CN"/>
        </w:rPr>
      </w:r>
      <w:r/>
    </w:p>
    <w:p>
      <w:pPr>
        <w:pStyle w:val="654"/>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ascii="宋体" w:hAnsi="宋体" w:eastAsia="宋体" w:cs="宋体"/>
          <w:color w:val="000000"/>
          <w:sz w:val="24"/>
          <w:szCs w:val="24"/>
          <w:highlight w:val="none"/>
        </w:rPr>
      </w:r>
      <w:r/>
    </w:p>
    <w:p>
      <w:pPr>
        <w:pStyle w:val="654"/>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szCs w:val="24"/>
          <w:highlight w:val="none"/>
        </w:rPr>
      </w:r>
      <w:r/>
    </w:p>
    <w:p>
      <w:pPr>
        <w:pStyle w:val="657"/>
        <w:spacing w:before="0" w:after="0" w:line="360" w:lineRule="auto"/>
        <w:rPr>
          <w:rFonts w:hint="eastAsia" w:ascii="宋体" w:hAnsi="宋体" w:eastAsia="宋体" w:cs="宋体"/>
          <w:color w:val="000000"/>
          <w:highlight w:val="none"/>
          <w:lang w:eastAsia="zh-CN"/>
        </w:rPr>
      </w:pPr>
      <w:r/>
      <w:bookmarkStart w:id="173" w:name="_Toc513029236"/>
      <w:r/>
      <w:bookmarkStart w:id="174" w:name="_Toc20823308"/>
      <w:r/>
      <w:bookmarkStart w:id="175" w:name="_Toc120614220"/>
      <w:r/>
      <w:bookmarkStart w:id="176" w:name="_Toc16938552"/>
      <w:r>
        <w:rPr>
          <w:rFonts w:hint="eastAsia" w:ascii="宋体" w:hAnsi="宋体" w:eastAsia="宋体" w:cs="宋体"/>
          <w:color w:val="000000"/>
          <w:highlight w:val="none"/>
          <w:lang w:eastAsia="zh-CN"/>
        </w:rPr>
        <w:t xml:space="preserve">七、授予合同</w:t>
      </w:r>
      <w:bookmarkEnd w:id="173"/>
      <w:r/>
      <w:bookmarkEnd w:id="174"/>
      <w:r/>
      <w:bookmarkEnd w:id="175"/>
      <w:r/>
      <w:bookmarkEnd w:id="176"/>
      <w:r>
        <w:rPr>
          <w:rFonts w:hint="eastAsia" w:ascii="宋体" w:hAnsi="宋体" w:eastAsia="宋体" w:cs="宋体"/>
          <w:color w:val="000000"/>
          <w:highlight w:val="none"/>
          <w:lang w:eastAsia="zh-CN"/>
        </w:rPr>
      </w:r>
      <w:r/>
    </w:p>
    <w:p>
      <w:pPr>
        <w:pStyle w:val="658"/>
        <w:ind w:firstLine="600"/>
        <w:spacing w:before="0" w:after="0" w:line="360" w:lineRule="auto"/>
        <w:rPr>
          <w:rFonts w:hint="eastAsia" w:ascii="宋体" w:hAnsi="宋体" w:eastAsia="宋体" w:cs="宋体"/>
          <w:b w:val="0"/>
          <w:color w:val="000000"/>
          <w:sz w:val="30"/>
          <w:szCs w:val="30"/>
          <w:highlight w:val="none"/>
          <w:lang w:eastAsia="zh-CN"/>
        </w:rPr>
      </w:pPr>
      <w:r/>
      <w:bookmarkStart w:id="177" w:name="_Toc513029237"/>
      <w:r/>
      <w:bookmarkStart w:id="178" w:name="_Toc20823309"/>
      <w:r/>
      <w:bookmarkStart w:id="179" w:name="_Toc16938553"/>
      <w:r>
        <w:rPr>
          <w:rFonts w:hint="eastAsia" w:ascii="宋体" w:hAnsi="宋体" w:eastAsia="宋体" w:cs="宋体"/>
          <w:b w:val="0"/>
          <w:color w:val="000000"/>
          <w:sz w:val="30"/>
          <w:szCs w:val="30"/>
          <w:highlight w:val="none"/>
          <w:lang w:eastAsia="zh-CN"/>
        </w:rPr>
        <w:t xml:space="preserve">30. 签订合同</w:t>
      </w:r>
      <w:r>
        <w:rPr>
          <w:rFonts w:hint="eastAsia" w:ascii="宋体" w:hAnsi="宋体" w:eastAsia="宋体" w:cs="宋体"/>
          <w:b w:val="0"/>
          <w:color w:val="000000"/>
          <w:sz w:val="30"/>
          <w:szCs w:val="30"/>
          <w:highlight w:val="none"/>
          <w:lang w:eastAsia="zh-CN"/>
        </w:rPr>
      </w:r>
      <w:r/>
    </w:p>
    <w:p>
      <w:pPr>
        <w:pStyle w:val="654"/>
        <w:ind w:firstLine="60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szCs w:val="24"/>
          <w:highlight w:val="none"/>
        </w:rPr>
        <w:t xml:space="preserve">30</w:t>
      </w:r>
      <w:r>
        <w:rPr>
          <w:rFonts w:hint="eastAsia" w:ascii="宋体" w:hAnsi="宋体" w:eastAsia="宋体" w:cs="宋体"/>
          <w:color w:val="000000"/>
          <w:sz w:val="24"/>
          <w:szCs w:val="24"/>
          <w:highlight w:val="none"/>
        </w:rPr>
        <w:t xml:space="preserve">.l中标人应当在中标通知书发出之日起30日内，按照招标文件确定的事项与采购人签订政府采购合同。</w:t>
      </w:r>
      <w:r>
        <w:rPr>
          <w:rFonts w:hint="eastAsia" w:ascii="宋体" w:hAnsi="宋体" w:eastAsia="宋体" w:cs="宋体"/>
          <w:bCs/>
          <w:color w:val="000000"/>
          <w:sz w:val="24"/>
          <w:highlight w:val="none"/>
          <w:lang w:val="zh-CN"/>
        </w:rPr>
        <w:t xml:space="preserve">并在签订之日起2个工作日内将政府采购合同在指定的媒体上公告，但政府采购合同中涉及国家秘密、商业秘密的内容除外。</w:t>
      </w:r>
      <w:r>
        <w:rPr>
          <w:rFonts w:hint="eastAsia" w:ascii="宋体" w:hAnsi="宋体" w:eastAsia="宋体" w:cs="宋体"/>
          <w:bCs/>
          <w:color w:val="000000"/>
          <w:sz w:val="24"/>
          <w:highlight w:val="none"/>
          <w:lang w:val="zh-CN"/>
        </w:rPr>
      </w:r>
      <w:r/>
    </w:p>
    <w:p>
      <w:pPr>
        <w:pStyle w:val="654"/>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654"/>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highlight w:val="none"/>
        </w:rPr>
      </w:r>
      <w:r/>
    </w:p>
    <w:p>
      <w:pPr>
        <w:pStyle w:val="654"/>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30.4本项目的非主体、非关键性工作是否允许分包按以下第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种方式确定：</w:t>
      </w:r>
      <w:r>
        <w:rPr>
          <w:rFonts w:hint="eastAsia" w:ascii="宋体" w:hAnsi="宋体" w:eastAsia="宋体" w:cs="宋体"/>
          <w:color w:val="000000"/>
          <w:sz w:val="24"/>
          <w:szCs w:val="24"/>
          <w:highlight w:val="none"/>
        </w:rPr>
      </w:r>
      <w:r/>
    </w:p>
    <w:p>
      <w:pPr>
        <w:pStyle w:val="654"/>
        <w:ind w:firstLine="72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1.允许分包，允许大中型企业向一家或者多家小微企业分包，分包具体内容、金额或比例：</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lang w:val="en-US" w:eastAsia="zh-CN"/>
        </w:rPr>
      </w:r>
      <w:r/>
    </w:p>
    <w:p>
      <w:pPr>
        <w:pStyle w:val="654"/>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2.不允许分包。未经采购人同意，中标人也不得采用分包形式履行合同,否则采购人有权终止合同。转包或分包造成采购人损失的，中标人应承担相应赔偿责任。</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30.4履约保证金</w:t>
      </w:r>
      <w:r>
        <w:rPr>
          <w:rFonts w:hint="eastAsia" w:ascii="宋体" w:hAnsi="宋体" w:eastAsia="宋体" w:cs="宋体"/>
          <w:bCs/>
          <w:color w:val="000000"/>
          <w:sz w:val="24"/>
          <w:highlight w:val="none"/>
        </w:rPr>
      </w:r>
      <w:r/>
    </w:p>
    <w:p>
      <w:pPr>
        <w:pStyle w:val="654"/>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按照以下第</w:t>
      </w:r>
      <w:r>
        <w:rPr>
          <w:rFonts w:hint="eastAsia" w:ascii="宋体" w:hAnsi="宋体" w:eastAsia="宋体" w:cs="宋体"/>
          <w:bCs/>
          <w:color w:val="000000"/>
          <w:sz w:val="24"/>
          <w:highlight w:val="none"/>
          <w:u w:val="single"/>
        </w:rPr>
        <w:t xml:space="preserve"> （1）</w:t>
      </w:r>
      <w:r>
        <w:rPr>
          <w:rFonts w:hint="eastAsia" w:ascii="宋体" w:hAnsi="宋体" w:eastAsia="宋体" w:cs="宋体"/>
          <w:bCs/>
          <w:color w:val="000000"/>
          <w:sz w:val="24"/>
          <w:highlight w:val="none"/>
          <w:lang w:val="zh-CN"/>
        </w:rPr>
        <w:t xml:space="preserve">方式确定履约保证收取方式。</w:t>
      </w:r>
      <w:r>
        <w:rPr>
          <w:rFonts w:hint="eastAsia" w:ascii="宋体" w:hAnsi="宋体" w:eastAsia="宋体" w:cs="宋体"/>
          <w:bCs/>
          <w:color w:val="000000"/>
          <w:sz w:val="24"/>
          <w:highlight w:val="none"/>
          <w:lang w:val="zh-CN"/>
        </w:rPr>
      </w:r>
      <w:r/>
    </w:p>
    <w:p>
      <w:pPr>
        <w:pStyle w:val="654"/>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(1)不收取履约保证金。</w:t>
      </w:r>
      <w:r>
        <w:rPr>
          <w:rFonts w:hint="eastAsia" w:ascii="宋体" w:hAnsi="宋体" w:eastAsia="宋体" w:cs="宋体"/>
          <w:bCs/>
          <w:color w:val="000000"/>
          <w:sz w:val="24"/>
          <w:highlight w:val="none"/>
          <w:lang w:val="zh-CN"/>
        </w:rPr>
      </w:r>
      <w:r/>
    </w:p>
    <w:p>
      <w:pPr>
        <w:pStyle w:val="654"/>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(2)履约保证金应在采购合同签订前提交，履约保证金的金额：按采购合同总价的</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宋体" w:hAnsi="宋体" w:eastAsia="宋体" w:cs="宋体"/>
          <w:bCs/>
          <w:color w:val="000000"/>
          <w:sz w:val="24"/>
          <w:highlight w:val="none"/>
          <w:lang w:val="zh-CN"/>
        </w:rPr>
      </w:r>
      <w:r/>
    </w:p>
    <w:p>
      <w:pPr>
        <w:pStyle w:val="654"/>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bCs/>
          <w:color w:val="000000"/>
          <w:sz w:val="24"/>
          <w:highlight w:val="none"/>
          <w:lang w:val="zh-CN"/>
        </w:rPr>
      </w:r>
      <w:r/>
    </w:p>
    <w:p>
      <w:pPr>
        <w:pStyle w:val="654"/>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履约保证金退还的条件：按以下方式实行：</w:t>
      </w:r>
      <w:r>
        <w:rPr>
          <w:rFonts w:hint="eastAsia" w:ascii="宋体" w:hAnsi="宋体" w:eastAsia="宋体" w:cs="宋体"/>
          <w:bCs/>
          <w:color w:val="000000"/>
          <w:sz w:val="24"/>
          <w:highlight w:val="none"/>
          <w:lang w:val="zh-CN"/>
        </w:rPr>
      </w:r>
      <w:r/>
    </w:p>
    <w:p>
      <w:pPr>
        <w:pStyle w:val="654"/>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服务类项目，项目履约期满且经评价合格后，出具履约保证金收据申请退付；</w:t>
      </w:r>
      <w:r>
        <w:rPr>
          <w:rFonts w:hint="eastAsia" w:ascii="宋体" w:hAnsi="宋体" w:eastAsia="宋体" w:cs="宋体"/>
          <w:bCs/>
          <w:color w:val="000000"/>
          <w:sz w:val="24"/>
          <w:highlight w:val="none"/>
          <w:lang w:val="zh-CN"/>
        </w:rPr>
      </w:r>
      <w:r/>
    </w:p>
    <w:p>
      <w:pPr>
        <w:pStyle w:val="654"/>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履约保证金退还时间：采购单位收到投标人退付申请后5个工作日内退还；</w:t>
      </w:r>
      <w:r>
        <w:rPr>
          <w:rFonts w:hint="eastAsia" w:ascii="宋体" w:hAnsi="宋体" w:eastAsia="宋体" w:cs="宋体"/>
          <w:bCs/>
          <w:color w:val="000000"/>
          <w:sz w:val="24"/>
          <w:highlight w:val="none"/>
          <w:lang w:val="zh-CN"/>
        </w:rPr>
      </w:r>
      <w:r/>
    </w:p>
    <w:p>
      <w:pPr>
        <w:pStyle w:val="654"/>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eastAsia="宋体" w:cs="宋体"/>
          <w:bCs/>
          <w:color w:val="000000"/>
          <w:sz w:val="24"/>
          <w:highlight w:val="none"/>
          <w:lang w:val="zh-CN"/>
        </w:rPr>
      </w:r>
      <w:r/>
    </w:p>
    <w:p>
      <w:pPr>
        <w:pStyle w:val="654"/>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宋体" w:hAnsi="宋体" w:eastAsia="宋体" w:cs="宋体"/>
          <w:bCs/>
          <w:color w:val="000000"/>
          <w:sz w:val="24"/>
          <w:highlight w:val="none"/>
          <w:lang w:val="zh-CN"/>
        </w:rPr>
      </w:r>
      <w:r/>
    </w:p>
    <w:p>
      <w:pPr>
        <w:pStyle w:val="6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000000"/>
          <w:sz w:val="24"/>
          <w:highlight w:val="none"/>
        </w:rPr>
      </w:r>
      <w:r/>
    </w:p>
    <w:p>
      <w:pPr>
        <w:pStyle w:val="658"/>
        <w:ind w:firstLine="600"/>
        <w:spacing w:before="0" w:after="0" w:line="360" w:lineRule="auto"/>
        <w:rPr>
          <w:rFonts w:hint="eastAsia" w:ascii="宋体" w:hAnsi="宋体" w:eastAsia="宋体" w:cs="宋体"/>
          <w:b w:val="0"/>
          <w:color w:val="000000"/>
          <w:sz w:val="30"/>
          <w:szCs w:val="30"/>
          <w:highlight w:val="none"/>
          <w:lang w:eastAsia="zh-CN"/>
        </w:rPr>
      </w:pPr>
      <w:r>
        <w:rPr>
          <w:rFonts w:hint="eastAsia" w:ascii="宋体" w:hAnsi="宋体" w:eastAsia="宋体" w:cs="宋体"/>
          <w:b w:val="0"/>
          <w:color w:val="000000"/>
          <w:sz w:val="30"/>
          <w:szCs w:val="30"/>
          <w:highlight w:val="none"/>
          <w:lang w:eastAsia="zh-CN"/>
        </w:rPr>
        <w:t xml:space="preserve">31、货物（包含与货物相关的服务）的追加</w:t>
      </w:r>
      <w:r>
        <w:rPr>
          <w:rFonts w:hint="eastAsia" w:ascii="宋体" w:hAnsi="宋体" w:eastAsia="宋体" w:cs="宋体"/>
          <w:b w:val="0"/>
          <w:color w:val="000000"/>
          <w:sz w:val="30"/>
          <w:szCs w:val="30"/>
          <w:highlight w:val="none"/>
          <w:lang w:eastAsia="zh-CN"/>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bookmarkEnd w:id="177"/>
      <w:r/>
      <w:bookmarkEnd w:id="178"/>
      <w:r/>
      <w:bookmarkEnd w:id="179"/>
      <w:r>
        <w:rPr>
          <w:rFonts w:hint="eastAsia" w:ascii="宋体" w:hAnsi="宋体" w:eastAsia="宋体" w:cs="宋体"/>
          <w:color w:val="000000"/>
          <w:sz w:val="24"/>
          <w:szCs w:val="24"/>
          <w:highlight w:val="none"/>
        </w:rPr>
      </w:r>
      <w:r/>
    </w:p>
    <w:p>
      <w:pPr>
        <w:pStyle w:val="658"/>
        <w:ind w:firstLine="600"/>
        <w:spacing w:before="0" w:after="0" w:line="360" w:lineRule="auto"/>
        <w:rPr>
          <w:rFonts w:hint="eastAsia" w:ascii="宋体" w:hAnsi="宋体" w:eastAsia="宋体" w:cs="宋体"/>
          <w:b w:val="0"/>
          <w:color w:val="000000"/>
          <w:sz w:val="30"/>
          <w:szCs w:val="30"/>
          <w:highlight w:val="none"/>
          <w:lang w:eastAsia="zh-CN"/>
        </w:rPr>
      </w:pPr>
      <w:r/>
      <w:bookmarkStart w:id="180" w:name="_Toc16938558"/>
      <w:r/>
      <w:bookmarkStart w:id="181" w:name="_Toc513029242"/>
      <w:r/>
      <w:bookmarkStart w:id="182" w:name="_Toc20823314"/>
      <w:r/>
      <w:bookmarkStart w:id="183" w:name="_Toc479757207"/>
      <w:r/>
      <w:bookmarkStart w:id="184" w:name="_Toc120614221"/>
      <w:r>
        <w:rPr>
          <w:rFonts w:hint="eastAsia" w:ascii="宋体" w:hAnsi="宋体" w:eastAsia="宋体" w:cs="宋体"/>
          <w:b w:val="0"/>
          <w:color w:val="000000"/>
          <w:sz w:val="30"/>
          <w:szCs w:val="30"/>
          <w:highlight w:val="none"/>
          <w:lang w:eastAsia="zh-CN"/>
        </w:rPr>
        <w:t xml:space="preserve">32、政府采购履约资金扶持政策</w:t>
      </w:r>
      <w:r>
        <w:rPr>
          <w:rFonts w:hint="eastAsia" w:ascii="宋体" w:hAnsi="宋体" w:eastAsia="宋体" w:cs="宋体"/>
          <w:b w:val="0"/>
          <w:color w:val="000000"/>
          <w:sz w:val="30"/>
          <w:szCs w:val="30"/>
          <w:highlight w:val="none"/>
          <w:lang w:eastAsia="zh-CN"/>
        </w:rPr>
      </w:r>
      <w:r/>
    </w:p>
    <w:p>
      <w:pPr>
        <w:pStyle w:val="654"/>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rPr>
        <w:t xml:space="preserve">32.1依</w:t>
      </w:r>
      <w:r>
        <w:rPr>
          <w:rFonts w:hint="eastAsia" w:ascii="宋体" w:hAnsi="宋体" w:eastAsia="宋体" w:cs="宋体"/>
          <w:bCs/>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宋体" w:hAnsi="宋体" w:eastAsia="宋体" w:cs="宋体"/>
          <w:bCs/>
          <w:color w:val="000000"/>
          <w:sz w:val="24"/>
          <w:highlight w:val="none"/>
          <w:lang w:val="zh-CN"/>
        </w:rPr>
      </w:r>
      <w:r/>
    </w:p>
    <w:p>
      <w:pPr>
        <w:pStyle w:val="654"/>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p>
      <w:pPr>
        <w:pStyle w:val="654"/>
        <w:ind w:left="210"/>
        <w:jc w:val="left"/>
        <w:spacing w:line="440" w:lineRule="exact"/>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654"/>
        <w:jc w:val="center"/>
        <w:rPr>
          <w:rFonts w:hint="eastAsia" w:ascii="宋体" w:hAnsi="宋体" w:eastAsia="宋体" w:cs="宋体"/>
          <w:color w:val="000000"/>
          <w:highlight w:val="none"/>
        </w:rPr>
      </w:pPr>
      <w:r>
        <w:rPr>
          <w:rFonts w:hint="eastAsia" w:ascii="宋体" w:hAnsi="宋体" w:eastAsia="宋体" w:cs="宋体"/>
          <w:bCs/>
          <w:color w:val="000000"/>
          <w:sz w:val="44"/>
          <w:highlight w:val="none"/>
          <w:lang w:eastAsia="zh-CN"/>
        </w:rPr>
        <w:br w:type="page" w:clear="all"/>
      </w:r>
      <w:r>
        <w:rPr>
          <w:rFonts w:hint="eastAsia" w:ascii="宋体" w:hAnsi="宋体" w:eastAsia="宋体" w:cs="宋体"/>
          <w:bCs/>
          <w:color w:val="000000"/>
          <w:sz w:val="44"/>
          <w:highlight w:val="none"/>
          <w:lang w:eastAsia="zh-CN"/>
        </w:rPr>
        <w:t xml:space="preserve">第三章  合同</w:t>
      </w:r>
      <w:bookmarkEnd w:id="180"/>
      <w:r/>
      <w:bookmarkEnd w:id="181"/>
      <w:r/>
      <w:bookmarkEnd w:id="182"/>
      <w:r/>
      <w:bookmarkEnd w:id="183"/>
      <w:r/>
      <w:bookmarkEnd w:id="184"/>
      <w:r>
        <w:rPr>
          <w:rFonts w:hint="eastAsia" w:ascii="宋体" w:hAnsi="宋体" w:eastAsia="宋体" w:cs="宋体"/>
          <w:bCs/>
          <w:color w:val="000000"/>
          <w:sz w:val="44"/>
          <w:highlight w:val="none"/>
          <w:lang w:eastAsia="zh-CN"/>
        </w:rPr>
        <w:t xml:space="preserve">文本（模板仅供参考）</w:t>
      </w:r>
      <w:bookmarkStart w:id="185" w:name="_Hlt16619369"/>
      <w:r/>
      <w:bookmarkEnd w:id="185"/>
      <w:r/>
      <w:bookmarkStart w:id="186" w:name="_Hlt16619350"/>
      <w:r/>
      <w:bookmarkStart w:id="187" w:name="_Toc20823346"/>
      <w:r/>
      <w:bookmarkStart w:id="188" w:name="_Toc16938590"/>
      <w:r/>
      <w:bookmarkStart w:id="189" w:name="_Toc120614244"/>
      <w:r/>
      <w:bookmarkStart w:id="190" w:name="_Toc462564139"/>
      <w:r/>
      <w:bookmarkStart w:id="191" w:name="_Toc479757211"/>
      <w:r>
        <w:rPr>
          <w:rFonts w:hint="eastAsia" w:ascii="宋体" w:hAnsi="宋体" w:eastAsia="宋体" w:cs="宋体"/>
          <w:color w:val="000000"/>
          <w:highlight w:val="none"/>
        </w:rPr>
      </w:r>
      <w:r/>
    </w:p>
    <w:p>
      <w:pPr>
        <w:pStyle w:val="654"/>
        <w:ind w:left="0" w:right="0" w:firstLine="0"/>
        <w:jc w:val="center"/>
        <w:spacing w:before="0" w:after="0"/>
        <w:rPr>
          <w:rFonts w:hint="eastAsia"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52"/>
          <w:highlight w:val="none"/>
        </w:rPr>
      </w:r>
      <w:r/>
    </w:p>
    <w:p>
      <w:pPr>
        <w:pStyle w:val="654"/>
        <w:ind w:left="0" w:right="0" w:firstLine="0"/>
        <w:jc w:val="center"/>
        <w:spacing w:before="0" w:after="0"/>
        <w:rPr>
          <w:rFonts w:hint="eastAsia"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52"/>
          <w:highlight w:val="none"/>
        </w:rPr>
      </w:r>
      <w:r/>
    </w:p>
    <w:p>
      <w:pPr>
        <w:pStyle w:val="654"/>
        <w:ind w:left="0" w:right="0" w:firstLine="0"/>
        <w:jc w:val="center"/>
        <w:spacing w:before="0" w:after="0"/>
        <w:rPr>
          <w:rFonts w:hint="eastAsia"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52"/>
          <w:highlight w:val="none"/>
        </w:rPr>
      </w:r>
      <w:r/>
    </w:p>
    <w:p>
      <w:pPr>
        <w:pStyle w:val="654"/>
        <w:ind w:left="0" w:right="0" w:firstLine="0"/>
        <w:jc w:val="center"/>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52"/>
          <w:highlight w:val="none"/>
        </w:rPr>
        <w:t xml:space="preserve">南京市政府采购合同</w:t>
      </w:r>
      <w:r>
        <w:rPr>
          <w:rFonts w:hint="eastAsia" w:ascii="宋体" w:hAnsi="宋体" w:eastAsia="宋体" w:cs="宋体"/>
          <w:color w:val="000000"/>
          <w:highlight w:val="none"/>
        </w:rPr>
      </w:r>
      <w:r/>
    </w:p>
    <w:p>
      <w:pPr>
        <w:pStyle w:val="654"/>
        <w:ind w:left="0" w:right="0" w:firstLine="315"/>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54"/>
        <w:ind w:left="0" w:right="0" w:firstLine="1807"/>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 </w:t>
      </w:r>
      <w:r>
        <w:rPr>
          <w:rFonts w:hint="eastAsia" w:ascii="宋体" w:hAnsi="宋体" w:eastAsia="宋体" w:cs="宋体"/>
          <w:color w:val="000000"/>
          <w:highlight w:val="none"/>
        </w:rPr>
      </w:r>
      <w:r/>
    </w:p>
    <w:p>
      <w:pPr>
        <w:pStyle w:val="654"/>
        <w:ind w:left="0" w:right="0" w:firstLine="1606"/>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54"/>
        <w:ind w:left="0" w:right="0" w:firstLine="0"/>
        <w:jc w:val="both"/>
        <w:spacing w:before="0" w:after="12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54"/>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54"/>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54"/>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54"/>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54"/>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54"/>
        <w:ind w:left="0" w:right="0" w:firstLine="1606"/>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54"/>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合同编号 ：</w:t>
      </w:r>
      <w:r>
        <w:rPr>
          <w:rFonts w:hint="eastAsia" w:ascii="宋体" w:hAnsi="宋体" w:eastAsia="宋体" w:cs="宋体"/>
          <w:color w:val="000000"/>
          <w:highlight w:val="none"/>
        </w:rPr>
      </w:r>
      <w:r/>
    </w:p>
    <w:p>
      <w:pPr>
        <w:pStyle w:val="654"/>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54"/>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项目名称 ：</w:t>
      </w:r>
      <w:r>
        <w:rPr>
          <w:rFonts w:hint="eastAsia" w:ascii="宋体" w:hAnsi="宋体" w:eastAsia="宋体" w:cs="宋体"/>
          <w:b/>
          <w:color w:val="000000"/>
          <w:sz w:val="32"/>
          <w:highlight w:val="none"/>
          <w:u w:val="single"/>
        </w:rPr>
        <w:t xml:space="preserve">南京江北新区202</w:t>
      </w:r>
      <w:r>
        <w:rPr>
          <w:rFonts w:hint="eastAsia" w:ascii="宋体" w:hAnsi="宋体" w:eastAsia="宋体" w:cs="宋体"/>
          <w:b/>
          <w:color w:val="000000"/>
          <w:sz w:val="32"/>
          <w:highlight w:val="none"/>
          <w:u w:val="single"/>
          <w:lang w:val="en-US" w:eastAsia="zh-CN"/>
        </w:rPr>
        <w:t xml:space="preserve">6</w:t>
      </w:r>
      <w:r>
        <w:rPr>
          <w:rFonts w:hint="eastAsia" w:ascii="宋体" w:hAnsi="宋体" w:eastAsia="宋体" w:cs="宋体"/>
          <w:b/>
          <w:color w:val="000000"/>
          <w:sz w:val="32"/>
          <w:highlight w:val="none"/>
          <w:u w:val="single"/>
        </w:rPr>
        <w:t xml:space="preserve">年国家排污许可证技术评估</w:t>
      </w:r>
      <w:r>
        <w:rPr>
          <w:rFonts w:hint="eastAsia" w:ascii="宋体" w:hAnsi="宋体" w:eastAsia="宋体" w:cs="宋体"/>
          <w:color w:val="000000"/>
          <w:highlight w:val="none"/>
        </w:rPr>
      </w:r>
      <w:r/>
    </w:p>
    <w:p>
      <w:pPr>
        <w:pStyle w:val="654"/>
        <w:ind w:left="0" w:right="0" w:firstLine="1606"/>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u w:val="single"/>
        </w:rPr>
        <w:t xml:space="preserve">服务项目</w:t>
      </w:r>
      <w:r>
        <w:rPr>
          <w:rFonts w:hint="eastAsia" w:ascii="宋体" w:hAnsi="宋体" w:eastAsia="宋体" w:cs="宋体"/>
          <w:color w:val="000000"/>
          <w:highlight w:val="none"/>
        </w:rPr>
      </w:r>
      <w:r/>
    </w:p>
    <w:p>
      <w:pPr>
        <w:pStyle w:val="654"/>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54"/>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采购人 ：</w:t>
      </w:r>
      <w:r>
        <w:rPr>
          <w:rFonts w:hint="eastAsia" w:ascii="宋体" w:hAnsi="宋体" w:eastAsia="宋体" w:cs="宋体"/>
          <w:b/>
          <w:color w:val="000000"/>
          <w:sz w:val="32"/>
          <w:highlight w:val="none"/>
          <w:u w:val="single"/>
        </w:rPr>
        <w:t xml:space="preserve">南京江北新区管理委员会生态环境和水务局</w:t>
      </w:r>
      <w:r>
        <w:rPr>
          <w:rFonts w:hint="eastAsia" w:ascii="宋体" w:hAnsi="宋体" w:eastAsia="宋体" w:cs="宋体"/>
          <w:color w:val="000000"/>
          <w:highlight w:val="none"/>
        </w:rPr>
      </w:r>
      <w:r/>
    </w:p>
    <w:p>
      <w:pPr>
        <w:pStyle w:val="654"/>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54"/>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供应商 ：</w:t>
      </w:r>
      <w:r>
        <w:rPr>
          <w:rFonts w:hint="eastAsia" w:ascii="宋体" w:hAnsi="宋体" w:eastAsia="宋体" w:cs="宋体"/>
          <w:color w:val="000000"/>
          <w:highlight w:val="none"/>
        </w:rPr>
      </w:r>
      <w:r/>
    </w:p>
    <w:p>
      <w:pPr>
        <w:pStyle w:val="654"/>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54"/>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签订日期 ：</w:t>
      </w:r>
      <w:r>
        <w:rPr>
          <w:rFonts w:hint="eastAsia" w:ascii="宋体" w:hAnsi="宋体" w:eastAsia="宋体" w:cs="宋体"/>
          <w:color w:val="000000"/>
          <w:highlight w:val="none"/>
        </w:rPr>
      </w:r>
      <w:r/>
    </w:p>
    <w:p>
      <w:pPr>
        <w:pStyle w:val="654"/>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 </w:t>
      </w:r>
      <w:r>
        <w:rPr>
          <w:rFonts w:hint="eastAsia" w:ascii="宋体" w:hAnsi="宋体" w:eastAsia="宋体" w:cs="宋体"/>
          <w:color w:val="000000"/>
          <w:highlight w:val="none"/>
        </w:rPr>
      </w:r>
      <w:r/>
    </w:p>
    <w:p>
      <w:pPr>
        <w:pStyle w:val="654"/>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highlight w:val="none"/>
        </w:rPr>
        <w:t xml:space="preserve"> </w:t>
      </w:r>
      <w:r>
        <w:rPr>
          <w:rFonts w:hint="eastAsia" w:ascii="宋体" w:hAnsi="宋体" w:eastAsia="宋体" w:cs="宋体"/>
          <w:color w:val="000000"/>
          <w:highlight w:val="none"/>
        </w:rPr>
      </w:r>
      <w:r/>
    </w:p>
    <w:p>
      <w:pPr>
        <w:pStyle w:val="654"/>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highlight w:val="none"/>
        </w:rPr>
        <w:t xml:space="preserve"> </w:t>
      </w:r>
      <w:r>
        <w:rPr>
          <w:rFonts w:hint="eastAsia" w:ascii="宋体" w:hAnsi="宋体" w:eastAsia="宋体" w:cs="宋体"/>
          <w:color w:val="000000"/>
          <w:highlight w:val="none"/>
        </w:rPr>
      </w:r>
      <w:r/>
    </w:p>
    <w:p>
      <w:pPr>
        <w:pStyle w:val="654"/>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highlight w:val="none"/>
        </w:rPr>
        <w:t xml:space="preserve"> </w:t>
      </w:r>
      <w:r>
        <w:rPr>
          <w:rFonts w:hint="eastAsia" w:ascii="宋体" w:hAnsi="宋体" w:eastAsia="宋体" w:cs="宋体"/>
          <w:color w:val="000000"/>
          <w:highlight w:val="none"/>
        </w:rPr>
      </w:r>
      <w:r/>
    </w:p>
    <w:p>
      <w:pPr>
        <w:pStyle w:val="654"/>
        <w:ind w:left="0" w:right="0" w:firstLine="0"/>
        <w:jc w:val="both"/>
        <w:spacing w:before="0" w:after="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szCs w:val="24"/>
          <w:highlight w:val="none"/>
        </w:rPr>
      </w:r>
      <w:r/>
    </w:p>
    <w:p>
      <w:pPr>
        <w:pStyle w:val="654"/>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合同编号： </w:t>
      </w:r>
      <w:r>
        <w:rPr>
          <w:rFonts w:hint="eastAsia" w:ascii="宋体" w:hAnsi="宋体" w:eastAsia="宋体" w:cs="宋体"/>
          <w:color w:val="000000"/>
          <w:sz w:val="24"/>
          <w:szCs w:val="24"/>
          <w:highlight w:val="none"/>
        </w:rPr>
      </w:r>
      <w:r/>
    </w:p>
    <w:p>
      <w:pPr>
        <w:pStyle w:val="654"/>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政府采购计划号： </w:t>
      </w:r>
      <w:r>
        <w:rPr>
          <w:rFonts w:hint="eastAsia" w:ascii="宋体" w:hAnsi="宋体" w:eastAsia="宋体" w:cs="宋体"/>
          <w:color w:val="000000"/>
          <w:sz w:val="24"/>
          <w:szCs w:val="24"/>
          <w:highlight w:val="none"/>
        </w:rPr>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476"/>
        <w:gridCol w:w="4477"/>
      </w:tblGrid>
      <w:tr>
        <w:trPr/>
        <w:tc>
          <w:tcPr>
            <w:tcMar>
              <w:left w:w="0" w:type="dxa"/>
              <w:top w:w="0" w:type="dxa"/>
              <w:right w:w="0" w:type="dxa"/>
              <w:bottom w:w="0" w:type="dxa"/>
            </w:tcMar>
            <w:tcW w:w="4643" w:type="dxa"/>
            <w:vAlign w:val="top"/>
            <w:textDirection w:val="lrTb"/>
            <w:noWrap w:val="false"/>
          </w:tcPr>
          <w:p>
            <w:pPr>
              <w:pStyle w:val="654"/>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采购人（以下称甲方）</w:t>
            </w:r>
            <w:r>
              <w:rPr>
                <w:rFonts w:hint="eastAsia" w:ascii="宋体" w:hAnsi="宋体" w:eastAsia="宋体" w:cs="宋体"/>
                <w:color w:val="000000"/>
                <w:sz w:val="24"/>
                <w:szCs w:val="24"/>
                <w:highlight w:val="none"/>
              </w:rPr>
            </w:r>
            <w:r/>
          </w:p>
        </w:tc>
        <w:tc>
          <w:tcPr>
            <w:tcMar>
              <w:left w:w="0" w:type="dxa"/>
              <w:top w:w="0" w:type="dxa"/>
              <w:right w:w="0" w:type="dxa"/>
              <w:bottom w:w="0" w:type="dxa"/>
            </w:tcMar>
            <w:tcW w:w="4643" w:type="dxa"/>
            <w:vAlign w:val="top"/>
            <w:textDirection w:val="lrTb"/>
            <w:noWrap w:val="false"/>
          </w:tcPr>
          <w:p>
            <w:pPr>
              <w:pStyle w:val="654"/>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供应商：（以下称乙方）</w:t>
            </w:r>
            <w:r>
              <w:rPr>
                <w:rFonts w:hint="eastAsia" w:ascii="宋体" w:hAnsi="宋体" w:eastAsia="宋体" w:cs="宋体"/>
                <w:color w:val="000000"/>
                <w:sz w:val="24"/>
                <w:szCs w:val="24"/>
                <w:highlight w:val="none"/>
              </w:rPr>
            </w:r>
            <w:r/>
          </w:p>
        </w:tc>
      </w:tr>
      <w:tr>
        <w:trPr/>
        <w:tc>
          <w:tcPr>
            <w:tcMar>
              <w:left w:w="0" w:type="dxa"/>
              <w:top w:w="0" w:type="dxa"/>
              <w:right w:w="0" w:type="dxa"/>
              <w:bottom w:w="0" w:type="dxa"/>
            </w:tcMar>
            <w:tcW w:w="4643" w:type="dxa"/>
            <w:vAlign w:val="top"/>
            <w:textDirection w:val="lrTb"/>
            <w:noWrap w:val="false"/>
          </w:tcPr>
          <w:p>
            <w:pPr>
              <w:pStyle w:val="654"/>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住所地：</w:t>
            </w:r>
            <w:r>
              <w:rPr>
                <w:rFonts w:hint="eastAsia" w:ascii="宋体" w:hAnsi="宋体" w:eastAsia="宋体" w:cs="宋体"/>
                <w:color w:val="000000"/>
                <w:sz w:val="24"/>
                <w:szCs w:val="24"/>
                <w:highlight w:val="none"/>
              </w:rPr>
            </w:r>
            <w:r/>
          </w:p>
        </w:tc>
        <w:tc>
          <w:tcPr>
            <w:tcMar>
              <w:left w:w="0" w:type="dxa"/>
              <w:top w:w="0" w:type="dxa"/>
              <w:right w:w="0" w:type="dxa"/>
              <w:bottom w:w="0" w:type="dxa"/>
            </w:tcMar>
            <w:tcW w:w="4643" w:type="dxa"/>
            <w:vAlign w:val="top"/>
            <w:textDirection w:val="lrTb"/>
            <w:noWrap w:val="false"/>
          </w:tcPr>
          <w:p>
            <w:pPr>
              <w:pStyle w:val="654"/>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住所地：</w:t>
            </w:r>
            <w:r>
              <w:rPr>
                <w:rFonts w:hint="eastAsia" w:ascii="宋体" w:hAnsi="宋体" w:eastAsia="宋体" w:cs="宋体"/>
                <w:color w:val="000000"/>
                <w:sz w:val="24"/>
                <w:szCs w:val="24"/>
                <w:highlight w:val="none"/>
              </w:rPr>
            </w:r>
            <w:r/>
          </w:p>
        </w:tc>
      </w:tr>
    </w:tbl>
    <w:p>
      <w:pPr>
        <w:pStyle w:val="654"/>
        <w:ind w:left="0" w:right="0" w:firstLine="36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根据《中华人民共和国民法典》等法律法规的规定，甲乙双方按照本项目招标结果签订本合同。</w:t>
      </w:r>
      <w:r>
        <w:rPr>
          <w:rFonts w:hint="eastAsia" w:ascii="宋体" w:hAnsi="宋体" w:eastAsia="宋体" w:cs="宋体"/>
          <w:color w:val="000000"/>
          <w:sz w:val="24"/>
          <w:szCs w:val="24"/>
          <w:highlight w:val="none"/>
        </w:rPr>
      </w:r>
      <w:r/>
    </w:p>
    <w:p>
      <w:pPr>
        <w:pStyle w:val="654"/>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第一条 合同标的 乙方根据甲方需要提供下列服务：</w:t>
      </w:r>
      <w:r>
        <w:rPr>
          <w:rFonts w:hint="eastAsia" w:ascii="宋体" w:hAnsi="宋体" w:eastAsia="宋体" w:cs="宋体"/>
          <w:b/>
          <w:color w:val="000000"/>
          <w:sz w:val="24"/>
          <w:szCs w:val="24"/>
          <w:highlight w:val="none"/>
          <w:u w:val="single"/>
        </w:rPr>
        <w:t xml:space="preserve">南京江北新区202</w:t>
      </w:r>
      <w:r>
        <w:rPr>
          <w:rFonts w:hint="eastAsia" w:ascii="宋体" w:hAnsi="宋体" w:eastAsia="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年国家排污许可证技术评估服务项目</w:t>
      </w: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240" w:after="24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1、排污许可证评估技术服务</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240" w:after="24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依托“全国排污许可证管理信息平台”，按照《固定污染源排污许可分类管理名录》规定及排污许可证申请与核发技术规范等相关文件要求，对纳入排污许可重点和简化管理的排污单位，在服务期内提交的排污许可证申请进行技术评估服务（此处的排污许可证技术评估服务不包括排污单位名称、地址、法定代表人或者主要负责人等基本信息发生变更。不计申请次数和申请种类），并提供技术评估报告。      </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240" w:after="24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（1）核实排污单位排污许可管理类别。按照固定污染源排污许可分类管理名录、排污许可证申请与核发技术规范等相关文件规定，对在服务期内提交排污许可证申请的排污单位的排污许可管理类别进行核实。 </w:t>
      </w:r>
      <w:r>
        <w:rPr>
          <w:rFonts w:hint="eastAsia" w:ascii="宋体" w:hAnsi="宋体" w:eastAsia="宋体" w:cs="宋体"/>
          <w:color w:val="000000"/>
          <w:sz w:val="24"/>
          <w:szCs w:val="24"/>
          <w:highlight w:val="none"/>
        </w:rPr>
      </w:r>
      <w:r/>
    </w:p>
    <w:p>
      <w:pPr>
        <w:pStyle w:val="654"/>
        <w:ind w:left="0" w:right="0" w:firstLine="480"/>
        <w:jc w:val="left"/>
        <w:keepLines w:val="0"/>
        <w:keepNext w:val="0"/>
        <w:pageBreakBefore w:val="0"/>
        <w:spacing w:before="240" w:after="24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排污许可证申请内容及材料技术评估。乙方按照要求对排污许可证申请材料进行评估，评估排污单位提交的排污许可证申请是否按照排污许可证申请与核发技术规范总则、行业技术规范、行业自行监测技术指南、标准、管理文件等相关文件要求进行填报，填报内容是否符合要求；评估申请材料是否完整、齐全、规范、符合要求等，提出评估及修改意见。</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2、其它服务</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240" w:after="24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（1）技术咨询服务。向排污单位提供技术咨询、问题解答、培训等服务，指导企业按期完成申报。</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240" w:after="24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（2）汇总形成排污许可证核发相关技术规范检索表并进行动态更新，汇总形成已发证企业对应的核发技术规范等基本信息检索表并进行动态更新，以及根据工作需求，便于排污许可管理工作的其他检索表。</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240" w:after="24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（3）上级及江北新区对国家排污许可证发放的其他要求的技术评估支持服务。</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第二条 合同总价款 </w:t>
      </w:r>
      <w:r>
        <w:rPr>
          <w:rFonts w:hint="eastAsia" w:ascii="宋体" w:hAnsi="宋体" w:eastAsia="宋体" w:cs="宋体"/>
          <w:color w:val="000000"/>
          <w:sz w:val="24"/>
          <w:szCs w:val="24"/>
          <w:highlight w:val="none"/>
        </w:rPr>
        <w:t xml:space="preserve">本合同项下重点管理类排污单位排污许可证技术评估服务单价为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万元/家，简化管理类排污单位排污许可证技术评估服务单价为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万元/家。</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本合同项下服务总价款为________（大写）人民币，分项价款在“分项报价表”中有明确规定。甲方就本合同不再向乙方支付任何其他款项。</w:t>
      </w:r>
      <w:r>
        <w:rPr>
          <w:rFonts w:hint="eastAsia" w:ascii="宋体" w:hAnsi="宋体" w:eastAsia="宋体" w:cs="宋体"/>
          <w:color w:val="000000"/>
          <w:sz w:val="24"/>
          <w:szCs w:val="24"/>
          <w:highlight w:val="none"/>
        </w:rPr>
      </w:r>
      <w:r/>
    </w:p>
    <w:p>
      <w:pPr>
        <w:pStyle w:val="654"/>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本合同价款是完成本项目所发生的所有含税费用、支付给员工的工资和国家强制缴纳的各种社会保障资金，以及供应商认为需要的其他费用等。</w:t>
      </w:r>
      <w:r>
        <w:rPr>
          <w:rFonts w:hint="eastAsia" w:ascii="宋体" w:hAnsi="宋体" w:eastAsia="宋体" w:cs="宋体"/>
          <w:color w:val="000000"/>
          <w:sz w:val="24"/>
          <w:szCs w:val="24"/>
          <w:highlight w:val="none"/>
        </w:rPr>
      </w:r>
      <w:r/>
    </w:p>
    <w:p>
      <w:pPr>
        <w:pStyle w:val="654"/>
        <w:ind w:left="0" w:right="0" w:firstLine="47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第三条 组成本合同的有关文件</w:t>
      </w:r>
      <w:r>
        <w:rPr>
          <w:rFonts w:hint="eastAsia" w:ascii="宋体" w:hAnsi="宋体" w:eastAsia="宋体" w:cs="宋体"/>
          <w:color w:val="000000"/>
          <w:sz w:val="24"/>
          <w:szCs w:val="24"/>
          <w:highlight w:val="none"/>
        </w:rPr>
        <w:t xml:space="preserve">下列关于</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的招标文件、供应商投标文件，或与本次采购活动方式相适应的文件，以及有关附件是本合同不可分割的组成部分，与本合同具有同等法律效力，这些文件包括但不限于：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（1）乙方提供的投标文件和报价表；</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（2）技术规格响应表；</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（3）承诺/服务承诺；</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通知书；</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（5）甲乙双方商定的其他文件等。</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第四条权利保证</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1、乙方应保证甲方使用其提供的服务或任何一部分时不受第三方提出侵犯其专利权、版权、商标权或其他权利的起诉。一旦出现侵权，乙方应承担全部责任。</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2、甲乙双方均对项目涉及的有关商业秘密负有保密职责。</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3、乙方对服务缺陷不予更正，甲方有权另请其他单位更正，所发生的费用由乙方承担。</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4、乙方在服务期间出现重大责任问题或考核严重不合格，甲方有权解除服务合同。</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5、乙方负责对甲方所提供资料及最终成果保密，乙方及其工作人员需遵守甲方的保密规定，不以任何形式将收集的所有资料、数据等进行泄漏、传播。</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6、项目成果最终所有权属甲方，在项目完成时乙方必须全部移交。</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7、乙方须维护项目服务成果，不得转让给第三方重复使用。</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8、本项目不允许整体转包、分包，发现查实一律取消合同。</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9、乙方应严格遵守服务合约，项目完成以后，如甲方有需要乙方配合属于双方签订合同范围内的服务，乙方必须予以配合，协助甲方完善项目内容。</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乙方在项目服务期间应制定项目安全实施管理措施，并严格遵守企业单位安全管理要求，乙方在项目服务过程中因管理不当、维护措施不当等因素或不按安全管理要求，造成人员安全或财产损失事故的，其责任均由乙方承担，甲方不承担责任。</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在本项目执行期间，乙方要明确项目负责人1名，整个项目团队的人员要相对固定，未得到甲方同意不得擅自更换团队人员。在项目实施期间，乙方需服从甲方的具体工作部署，辅助甲方工作，以满足江北新区排污单位排污许可证技术评估服务需求。</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12、乙方保证提供的服务均为按国家规格条例的合格正规服务，符合规范要求。乙方必须在规定的时间内，保质保量完成排污许可证评估工作。</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际或国家通用标准，如出现质量问题，乙方负责改正，发生的费用由乙方负责。</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第五条质量保证</w:t>
      </w:r>
      <w:r>
        <w:rPr>
          <w:rFonts w:hint="eastAsia" w:ascii="宋体" w:hAnsi="宋体" w:eastAsia="宋体" w:cs="宋体"/>
          <w:color w:val="000000"/>
          <w:sz w:val="24"/>
          <w:szCs w:val="24"/>
          <w:highlight w:val="none"/>
        </w:rPr>
      </w:r>
      <w:r/>
    </w:p>
    <w:p>
      <w:pPr>
        <w:pStyle w:val="654"/>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乙方提供的服务必须全部达到招标文件各项要求，国家或行业有规定的，还要符合相应规定。乙方委派</w:t>
      </w:r>
      <w:r>
        <w:rPr>
          <w:rFonts w:hint="eastAsia" w:ascii="宋体" w:hAnsi="宋体" w:eastAsia="宋体" w:cs="宋体"/>
          <w:color w:val="000000"/>
          <w:sz w:val="24"/>
          <w:szCs w:val="24"/>
          <w:highlight w:val="none"/>
          <w:u w:val="single"/>
        </w:rPr>
        <w:t xml:space="preserve">（姓名）   （联系方式）    为</w:t>
      </w:r>
      <w:r>
        <w:rPr>
          <w:rFonts w:hint="eastAsia" w:ascii="宋体" w:hAnsi="宋体" w:eastAsia="宋体" w:cs="宋体"/>
          <w:color w:val="000000"/>
          <w:sz w:val="24"/>
          <w:szCs w:val="24"/>
          <w:highlight w:val="none"/>
        </w:rPr>
        <w:t xml:space="preserve">项目负责人，全面负责本项目的对接工作。</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第六条交付和验收</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（具体以采购人要求为准）</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2、甲方自行组织或视情邀请相关专家或国家认可的质量检测机构参加验收，乙方提供的服务不符合招标文件和合同规定的，甲方有权拒收，乙方承担验收费用等。</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3、验收标准：根据采购文件、乙方的响应文件、双方签订的合同文件及其附件；符合上级部门要求。</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第七条履约保证金</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1、本项目无需提供履约保证金。</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第八条合同款支付</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1、本合同项下所有款项均以人民币支付。</w:t>
      </w:r>
      <w:r>
        <w:rPr>
          <w:rFonts w:hint="eastAsia" w:ascii="宋体" w:hAnsi="宋体" w:eastAsia="宋体" w:cs="宋体"/>
          <w:color w:val="000000"/>
          <w:sz w:val="24"/>
          <w:szCs w:val="24"/>
          <w:highlight w:val="none"/>
          <w:lang w:val="en-US" w:eastAsia="zh-CN"/>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2、本合同项下的采购资金由甲方自行支付，乙方向甲方开具发票。</w:t>
      </w:r>
      <w:r>
        <w:rPr>
          <w:rFonts w:hint="eastAsia" w:ascii="宋体" w:hAnsi="宋体" w:eastAsia="宋体" w:cs="宋体"/>
          <w:color w:val="000000"/>
          <w:sz w:val="24"/>
          <w:szCs w:val="24"/>
          <w:highlight w:val="none"/>
          <w:lang w:val="en-US" w:eastAsia="zh-CN"/>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3、付款方式：</w:t>
      </w:r>
      <w:r>
        <w:rPr>
          <w:rFonts w:hint="eastAsia" w:ascii="宋体" w:hAnsi="宋体" w:eastAsia="宋体" w:cs="宋体"/>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乙方实际提供技术评估服务的企业数量和中标单价计算总价进行结算，本项目所有服务完成后一次性支付（因不可抗因素造成延迟的除外）。具体结算支付金额以实际发生服务的企业数量为准进行核算，但不超中标总价。</w:t>
      </w:r>
      <w:r>
        <w:rPr>
          <w:rFonts w:hint="eastAsia" w:ascii="宋体" w:hAnsi="宋体" w:eastAsia="宋体" w:cs="宋体"/>
          <w:color w:val="000000"/>
          <w:sz w:val="24"/>
          <w:szCs w:val="24"/>
          <w:lang w:val="en-US" w:eastAsia="zh-CN"/>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注：付款前，乙方应当向甲方提交服务企业清单及相应的技术评估报告，双方确认结算金额后，乙方先行开具符合规定的发票。</w:t>
      </w:r>
      <w:r>
        <w:rPr>
          <w:rFonts w:hint="eastAsia" w:ascii="宋体" w:hAnsi="宋体" w:eastAsia="宋体" w:cs="宋体"/>
          <w:color w:val="000000"/>
          <w:sz w:val="24"/>
          <w:szCs w:val="24"/>
          <w:lang w:val="en-US" w:eastAsia="zh-CN"/>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第九条违约责任</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1、甲方无正当理由拒绝验收的，甲方向乙方偿付合同总价的5%违约金。</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2、甲方无正当理由未按合同规定的期限向乙方支付合同款的，每逾期1天甲方向乙方偿付欠款总额的5‰违约金，但累计违约金总额不超过欠款总额的5%。</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3、因乙方技术能力原因导致未按规定时间完成排污许可证评估工作的，每逾期1天乙方向甲方支付合同总价5‰违约金，累计违约金总额不超过合同总价的5%。</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5、乙方虚假承诺，经专家评审乙方提供的服务成果不能满足招标文件要求，或是由于乙方的过错造成合同无法继续履行的，乙方应向甲方支付不少于合同总价30%赔偿金。</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项目服务过程中，在市级及以上管理部门抽查中，如因乙方提交成果导致排污许可证需要变更、重新申请（此处不计申请种类）的（以市级及以上管理部门书面反馈问题为准），则按中标单价的90%×对应的服务企业数量进行价款结算。</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7、乙方提交的技术评估报告必须由项目组成员签字，若经发现签字人员非项目组成员的，则按中标单价的90%×对应的服务企业数量进行价款结算。</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8、违约方除承担违约责任外，还应赔偿由此给另一方造成的一切损失，包含但不限于直接经济损失和为追回该损失所支出的诉讼费、律师费、保全费、保全担保费、差旅费等。</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第十条合同的变更和终止</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1、除《政府采购法》第50条第二款规定的情形外，本合同一经签订，甲乙双方不得擅自变更、中止或终止合同。</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2、除发生法律规定的不能预见、不能避免并不能克服的客观情况外，甲乙双方不得放弃或拒绝履行合同。乙方放弃或拒绝履行合同，在三年内不得参加采购人组织的政府采购活动。</w:t>
      </w:r>
      <w:r>
        <w:rPr>
          <w:rFonts w:hint="eastAsia" w:ascii="宋体" w:hAnsi="宋体" w:eastAsia="宋体" w:cs="宋体"/>
          <w:color w:val="000000"/>
          <w:sz w:val="24"/>
          <w:szCs w:val="24"/>
          <w:highlight w:val="none"/>
        </w:rPr>
      </w:r>
      <w:r/>
    </w:p>
    <w:p>
      <w:pPr>
        <w:pStyle w:val="654"/>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3、甲方一旦发现乙方存在服务弄虚作假行为的，甲方有权终止合同，并根据相关法律法规的要求，追究其法律责任。</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第十一条合同的转让</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乙方不得擅自部分或全部转让其应履行的合同义务，否则甲方有权解除合同，要求乙方支付合同总价30%的违约金。</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第十二条争议的解决</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4"/>
          <w:szCs w:val="24"/>
          <w:highlight w:val="none"/>
        </w:rPr>
      </w:r>
      <w:r/>
    </w:p>
    <w:p>
      <w:pPr>
        <w:pStyle w:val="654"/>
        <w:ind w:left="0" w:right="0" w:firstLine="56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（1）向甲方所在地有管辖权的人民法院提起诉讼；</w:t>
      </w:r>
      <w:r>
        <w:rPr>
          <w:rFonts w:hint="eastAsia" w:ascii="宋体" w:hAnsi="宋体" w:eastAsia="宋体" w:cs="宋体"/>
          <w:color w:val="000000"/>
          <w:sz w:val="24"/>
          <w:szCs w:val="24"/>
          <w:highlight w:val="none"/>
        </w:rPr>
      </w:r>
      <w:r/>
    </w:p>
    <w:p>
      <w:pPr>
        <w:pStyle w:val="654"/>
        <w:ind w:left="0" w:right="0" w:firstLine="56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（2）向南京仲裁委员会按其仲裁规则申请仲裁。</w:t>
      </w:r>
      <w:r>
        <w:rPr>
          <w:rFonts w:hint="eastAsia" w:ascii="宋体" w:hAnsi="宋体" w:eastAsia="宋体" w:cs="宋体"/>
          <w:color w:val="000000"/>
          <w:sz w:val="24"/>
          <w:szCs w:val="24"/>
          <w:highlight w:val="none"/>
        </w:rPr>
      </w:r>
      <w:r/>
    </w:p>
    <w:p>
      <w:pPr>
        <w:pStyle w:val="654"/>
        <w:ind w:left="0" w:right="0" w:firstLine="56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如没有约定，默认采取第2种方式解决争议。</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3、在仲裁期间，本合同应继续履行。</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第十三条诚实信用</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乙方应诚实信用，严格按照招标文件要求和响应承诺履行合同，不向甲方进行商业贿赂或者提供不正当利益。</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第十四条合同生效及其他</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1、本合同自签订之日起生效。</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2、本合同一式肆份，甲乙双方各执贰份。</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654"/>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bl>
      <w:tblPr>
        <w:tblStyle w:val="73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27"/>
        <w:gridCol w:w="4427"/>
      </w:tblGrid>
      <w:tr>
        <w:trPr>
          <w:trHeight w:val="257"/>
        </w:trPr>
        <w:tc>
          <w:tcPr>
            <w:tcMar>
              <w:left w:w="108" w:type="dxa"/>
              <w:top w:w="0" w:type="dxa"/>
              <w:right w:w="108" w:type="dxa"/>
              <w:bottom w:w="0" w:type="dxa"/>
            </w:tcMar>
            <w:tcW w:w="4427" w:type="dxa"/>
            <w:vAlign w:val="center"/>
            <w:textDirection w:val="lrTb"/>
            <w:noWrap w:val="false"/>
          </w:tcPr>
          <w:p>
            <w:pPr>
              <w:pStyle w:val="654"/>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427" w:type="dxa"/>
            <w:vAlign w:val="center"/>
            <w:textDirection w:val="lrTb"/>
            <w:noWrap w:val="false"/>
          </w:tcPr>
          <w:p>
            <w:pPr>
              <w:pStyle w:val="654"/>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乙方：（盖章）</w:t>
            </w:r>
            <w:r>
              <w:rPr>
                <w:rFonts w:hint="eastAsia" w:ascii="宋体" w:hAnsi="宋体" w:eastAsia="宋体" w:cs="宋体"/>
                <w:color w:val="000000"/>
                <w:sz w:val="24"/>
                <w:szCs w:val="24"/>
                <w:highlight w:val="none"/>
              </w:rPr>
            </w:r>
            <w:r/>
          </w:p>
        </w:tc>
      </w:tr>
      <w:tr>
        <w:trPr>
          <w:trHeight w:val="362"/>
        </w:trPr>
        <w:tc>
          <w:tcPr>
            <w:tcMar>
              <w:left w:w="108" w:type="dxa"/>
              <w:top w:w="0" w:type="dxa"/>
              <w:right w:w="108" w:type="dxa"/>
              <w:bottom w:w="0" w:type="dxa"/>
            </w:tcMar>
            <w:tcW w:w="4427" w:type="dxa"/>
            <w:vAlign w:val="center"/>
            <w:textDirection w:val="lrTb"/>
            <w:noWrap w:val="false"/>
          </w:tcPr>
          <w:p>
            <w:pPr>
              <w:pStyle w:val="654"/>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427" w:type="dxa"/>
            <w:vAlign w:val="center"/>
            <w:textDirection w:val="lrTb"/>
            <w:noWrap w:val="false"/>
          </w:tcPr>
          <w:p>
            <w:pPr>
              <w:pStyle w:val="654"/>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法定或委托代表人：</w:t>
            </w:r>
            <w:r>
              <w:rPr>
                <w:rFonts w:hint="eastAsia" w:ascii="宋体" w:hAnsi="宋体" w:eastAsia="宋体" w:cs="宋体"/>
                <w:color w:val="000000"/>
                <w:sz w:val="24"/>
                <w:szCs w:val="24"/>
                <w:highlight w:val="none"/>
              </w:rPr>
            </w:r>
            <w:r/>
          </w:p>
        </w:tc>
      </w:tr>
      <w:tr>
        <w:trPr>
          <w:trHeight w:val="251"/>
        </w:trPr>
        <w:tc>
          <w:tcPr>
            <w:tcMar>
              <w:left w:w="108" w:type="dxa"/>
              <w:top w:w="0" w:type="dxa"/>
              <w:right w:w="108" w:type="dxa"/>
              <w:bottom w:w="0" w:type="dxa"/>
            </w:tcMar>
            <w:tcW w:w="4427" w:type="dxa"/>
            <w:vAlign w:val="center"/>
            <w:textDirection w:val="lrTb"/>
            <w:noWrap w:val="false"/>
          </w:tcPr>
          <w:p>
            <w:pPr>
              <w:pStyle w:val="654"/>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427" w:type="dxa"/>
            <w:vAlign w:val="center"/>
            <w:textDirection w:val="lrTb"/>
            <w:noWrap w:val="false"/>
          </w:tcPr>
          <w:p>
            <w:pPr>
              <w:pStyle w:val="654"/>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r>
      <w:tr>
        <w:trPr>
          <w:trHeight w:val="283"/>
        </w:trPr>
        <w:tc>
          <w:tcPr>
            <w:tcMar>
              <w:left w:w="108" w:type="dxa"/>
              <w:top w:w="0" w:type="dxa"/>
              <w:right w:w="108" w:type="dxa"/>
              <w:bottom w:w="0" w:type="dxa"/>
            </w:tcMar>
            <w:tcW w:w="4427" w:type="dxa"/>
            <w:vAlign w:val="center"/>
            <w:textDirection w:val="lrTb"/>
            <w:noWrap w:val="false"/>
          </w:tcPr>
          <w:p>
            <w:pPr>
              <w:pStyle w:val="654"/>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427" w:type="dxa"/>
            <w:vAlign w:val="center"/>
            <w:textDirection w:val="lrTb"/>
            <w:noWrap w:val="false"/>
          </w:tcPr>
          <w:p>
            <w:pPr>
              <w:pStyle w:val="654"/>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r>
      <w:tr>
        <w:trPr>
          <w:trHeight w:val="315"/>
        </w:trPr>
        <w:tc>
          <w:tcPr>
            <w:tcMar>
              <w:left w:w="108" w:type="dxa"/>
              <w:top w:w="0" w:type="dxa"/>
              <w:right w:w="108" w:type="dxa"/>
              <w:bottom w:w="0" w:type="dxa"/>
            </w:tcMar>
            <w:tcW w:w="4427" w:type="dxa"/>
            <w:vAlign w:val="center"/>
            <w:textDirection w:val="lrTb"/>
            <w:noWrap w:val="false"/>
          </w:tcPr>
          <w:p>
            <w:pPr>
              <w:pStyle w:val="654"/>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427" w:type="dxa"/>
            <w:vAlign w:val="center"/>
            <w:textDirection w:val="lrTb"/>
            <w:noWrap w:val="false"/>
          </w:tcPr>
          <w:p>
            <w:pPr>
              <w:pStyle w:val="654"/>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r>
      <w:tr>
        <w:trPr>
          <w:trHeight w:val="572"/>
        </w:trPr>
        <w:tc>
          <w:tcPr>
            <w:tcMar>
              <w:left w:w="108" w:type="dxa"/>
              <w:top w:w="0" w:type="dxa"/>
              <w:right w:w="108" w:type="dxa"/>
              <w:bottom w:w="0" w:type="dxa"/>
            </w:tcMar>
            <w:tcW w:w="4427" w:type="dxa"/>
            <w:vAlign w:val="center"/>
            <w:textDirection w:val="lrTb"/>
            <w:noWrap w:val="false"/>
          </w:tcPr>
          <w:p>
            <w:pPr>
              <w:pStyle w:val="654"/>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427" w:type="dxa"/>
            <w:vAlign w:val="center"/>
            <w:textDirection w:val="lrTb"/>
            <w:noWrap w:val="false"/>
          </w:tcPr>
          <w:p>
            <w:pPr>
              <w:pStyle w:val="654"/>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tc>
      </w:tr>
    </w:tbl>
    <w:p>
      <w:pPr>
        <w:pStyle w:val="654"/>
        <w:ind w:left="0" w:right="0" w:firstLine="0"/>
        <w:spacing w:before="0" w:after="0"/>
        <w:rPr>
          <w:rFonts w:hint="eastAsia" w:ascii="宋体" w:hAnsi="宋体" w:eastAsia="宋体" w:cs="宋体"/>
          <w:color w:val="000000"/>
          <w:position w:val="-1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position w:val="-10"/>
          <w:sz w:val="24"/>
          <w:szCs w:val="24"/>
          <w:highlight w:val="none"/>
        </w:rPr>
      </w:r>
      <w:r/>
    </w:p>
    <w:p>
      <w:pPr>
        <w:pStyle w:val="693"/>
        <w:jc w:val="center"/>
        <w:spacing w:before="120" w:after="120" w:line="360" w:lineRule="auto"/>
        <w:rPr>
          <w:rFonts w:hint="eastAsia" w:ascii="宋体" w:hAnsi="宋体" w:eastAsia="宋体" w:cs="宋体"/>
          <w:bCs/>
          <w:color w:val="000000"/>
          <w:sz w:val="44"/>
          <w:highlight w:val="none"/>
          <w:lang w:eastAsia="zh-CN"/>
        </w:rPr>
      </w:pPr>
      <w:r>
        <w:rPr>
          <w:rFonts w:hint="eastAsia" w:ascii="宋体" w:hAnsi="宋体" w:eastAsia="宋体" w:cs="宋体"/>
          <w:bCs/>
          <w:color w:val="000000"/>
          <w:sz w:val="44"/>
          <w:highlight w:val="none"/>
        </w:rPr>
        <w:t xml:space="preserve">第</w:t>
      </w:r>
      <w:bookmarkEnd w:id="186"/>
      <w:r>
        <w:rPr>
          <w:rFonts w:hint="eastAsia" w:ascii="宋体" w:hAnsi="宋体" w:eastAsia="宋体" w:cs="宋体"/>
          <w:bCs/>
          <w:color w:val="000000"/>
          <w:sz w:val="44"/>
          <w:highlight w:val="none"/>
        </w:rPr>
        <w:t xml:space="preserve">四章 采购需求</w:t>
      </w:r>
      <w:bookmarkEnd w:id="187"/>
      <w:r/>
      <w:bookmarkEnd w:id="188"/>
      <w:r/>
      <w:bookmarkEnd w:id="189"/>
      <w:r>
        <w:rPr>
          <w:rFonts w:hint="eastAsia" w:ascii="宋体" w:hAnsi="宋体" w:eastAsia="宋体" w:cs="宋体"/>
          <w:bCs/>
          <w:color w:val="000000"/>
          <w:sz w:val="44"/>
          <w:highlight w:val="none"/>
          <w:lang w:eastAsia="zh-CN"/>
        </w:rPr>
      </w:r>
      <w:r/>
    </w:p>
    <w:p>
      <w:pPr>
        <w:pStyle w:val="654"/>
        <w:ind w:firstLine="482"/>
        <w:keepLines w:val="0"/>
        <w:keepNext w:val="0"/>
        <w:pageBreakBefore w:val="0"/>
        <w:spacing w:line="360" w:lineRule="auto"/>
        <w:widowControl w:val="off"/>
        <w:rPr>
          <w:rFonts w:hint="eastAsia" w:ascii="宋体" w:hAnsi="宋体" w:eastAsia="宋体" w:cs="宋体"/>
          <w:b/>
          <w:bCs/>
          <w:color w:val="000000"/>
          <w:sz w:val="24"/>
          <w:szCs w:val="24"/>
        </w:rPr>
      </w:pPr>
      <w:r/>
      <w:bookmarkStart w:id="192" w:name="_Toc49090575"/>
      <w:r/>
      <w:bookmarkStart w:id="193" w:name="_Toc26554093"/>
      <w:r/>
      <w:bookmarkStart w:id="194" w:name="_Toc120614281"/>
      <w:r>
        <w:rPr>
          <w:rFonts w:hint="eastAsia" w:ascii="宋体" w:hAnsi="宋体" w:eastAsia="宋体" w:cs="宋体"/>
          <w:b/>
          <w:bCs/>
          <w:color w:val="000000"/>
          <w:sz w:val="24"/>
          <w:szCs w:val="24"/>
        </w:rPr>
        <w:t xml:space="preserve">一、项目概述</w:t>
      </w:r>
      <w:r>
        <w:rPr>
          <w:rFonts w:hint="eastAsia" w:ascii="宋体" w:hAnsi="宋体" w:eastAsia="宋体" w:cs="宋体"/>
          <w:b/>
          <w:bCs/>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1、项目名称：南京江北新区202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年国家排污许可证技术评估服务项目</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2、预算金额：人民币1</w:t>
      </w:r>
      <w:r>
        <w:rPr>
          <w:rFonts w:hint="eastAsia" w:ascii="宋体" w:hAnsi="宋体" w:eastAsia="宋体" w:cs="宋体"/>
          <w:color w:val="000000"/>
          <w:sz w:val="24"/>
          <w:szCs w:val="24"/>
          <w:lang w:val="en-US" w:eastAsia="zh-CN"/>
        </w:rPr>
        <w:t xml:space="preserve">01</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3、总价最高限价：人民币1</w:t>
      </w:r>
      <w:r>
        <w:rPr>
          <w:rFonts w:hint="eastAsia" w:ascii="宋体" w:hAnsi="宋体" w:eastAsia="宋体" w:cs="宋体"/>
          <w:color w:val="000000"/>
          <w:sz w:val="24"/>
          <w:szCs w:val="24"/>
          <w:lang w:val="en-US" w:eastAsia="zh-CN"/>
        </w:rPr>
        <w:t xml:space="preserve">01</w:t>
      </w:r>
      <w:r>
        <w:rPr>
          <w:rFonts w:hint="eastAsia" w:ascii="宋体" w:hAnsi="宋体" w:eastAsia="宋体" w:cs="宋体"/>
          <w:color w:val="000000"/>
          <w:sz w:val="24"/>
          <w:szCs w:val="24"/>
        </w:rPr>
        <w:t xml:space="preserve">万元。单价最高限价：（1）202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年重点管理类排污单位排污许可证技术评估服务项目：0.6万元/家；（2）202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年简化管理类排污单位排污许可证技术评估服务项目：0.2万元/家。注：超出总价最高限价或单价最高限价的报价，将作无效投标处理。</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★4、合同履行期限：一年，具体开始时间由采购人在合同中进行约定。（具体要求以采购人要求为准）。</w:t>
      </w:r>
      <w:r>
        <w:rPr>
          <w:rFonts w:hint="eastAsia" w:ascii="宋体" w:hAnsi="宋体" w:eastAsia="宋体" w:cs="宋体"/>
          <w:color w:val="000000"/>
          <w:sz w:val="24"/>
          <w:szCs w:val="24"/>
        </w:rPr>
      </w:r>
      <w:r/>
    </w:p>
    <w:p>
      <w:pPr>
        <w:pStyle w:val="654"/>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二、项目背景</w:t>
      </w:r>
      <w:r>
        <w:rPr>
          <w:rFonts w:hint="eastAsia" w:ascii="宋体" w:hAnsi="宋体" w:eastAsia="宋体" w:cs="宋体"/>
          <w:b/>
          <w:bCs/>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排污许可管理条例》（中华人民共和国国务院令第736号）、《国务院办公厅关于印发控制污染物排放许可制实施方案的通知》（国办发〔2016〕81号）、《排污许可管理办法》（部令第32号）和《固定污染源排污许可分类管理名录》的相关要求，做好江北新区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年排污许可管理工作。</w:t>
      </w:r>
      <w:r>
        <w:rPr>
          <w:rFonts w:hint="eastAsia" w:ascii="宋体" w:hAnsi="宋体" w:eastAsia="宋体" w:cs="宋体"/>
          <w:color w:val="000000"/>
          <w:sz w:val="24"/>
          <w:szCs w:val="24"/>
        </w:rPr>
      </w:r>
      <w:r/>
    </w:p>
    <w:p>
      <w:pPr>
        <w:pStyle w:val="654"/>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三、项目服务标准</w:t>
      </w:r>
      <w:r>
        <w:rPr>
          <w:rFonts w:hint="eastAsia" w:ascii="宋体" w:hAnsi="宋体" w:eastAsia="宋体" w:cs="宋体"/>
          <w:b/>
          <w:bCs/>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符合国家、省市环境保护法律、法规以及相关技术要求，如：</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（1）《排污许可管理条例》（中华人民共和国国务院令第736号）；</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（2）《国务院办公厅关于印发控制污染物排放许可制实施方案的通知》（国办发〔2016〕81号）；</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（3）《固定污染源排污许可分类管理名录》；</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（4）《排污许可管理办法》（部令第32号）；</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（5）《排污许可证申请与核发技术规范总则》（HJ942-2018）；</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（6）《排污单位自行监测技术指南总则》（HJ819-2017）；</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（7）《排污单位环境管理台账及排污许可证执行报告技术规范总则（试行）》（HI944-2018）；</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（8）《排污许可证质量核查技术规范》（HJ1299-2023）</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（9）其他相关行业技术规范；</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（10）其他相关的标准、文件。</w:t>
      </w:r>
      <w:r>
        <w:rPr>
          <w:rFonts w:hint="eastAsia" w:ascii="宋体" w:hAnsi="宋体" w:eastAsia="宋体" w:cs="宋体"/>
          <w:color w:val="000000"/>
          <w:sz w:val="24"/>
          <w:szCs w:val="24"/>
        </w:rPr>
      </w:r>
      <w:r/>
    </w:p>
    <w:p>
      <w:pPr>
        <w:pStyle w:val="654"/>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四、项目服务内容</w:t>
      </w:r>
      <w:r>
        <w:rPr>
          <w:rFonts w:hint="eastAsia" w:ascii="宋体" w:hAnsi="宋体" w:eastAsia="宋体" w:cs="宋体"/>
          <w:b/>
          <w:bCs/>
          <w:color w:val="000000"/>
          <w:sz w:val="24"/>
          <w:szCs w:val="24"/>
        </w:rPr>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66"/>
        <w:gridCol w:w="4762"/>
        <w:gridCol w:w="697"/>
        <w:gridCol w:w="883"/>
        <w:gridCol w:w="1747"/>
      </w:tblGrid>
      <w:tr>
        <w:trPr>
          <w:trHeight w:val="557"/>
        </w:trPr>
        <w:tc>
          <w:tcPr>
            <w:tcMar>
              <w:left w:w="0" w:type="dxa"/>
              <w:top w:w="0" w:type="dxa"/>
              <w:right w:w="0" w:type="dxa"/>
              <w:bottom w:w="0" w:type="dxa"/>
            </w:tcMar>
            <w:tcW w:w="566" w:type="dxa"/>
            <w:vAlign w:val="center"/>
            <w:textDirection w:val="lrTb"/>
            <w:noWrap w:val="false"/>
          </w:tcPr>
          <w:p>
            <w:pPr>
              <w:pStyle w:val="654"/>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Mar>
              <w:left w:w="0" w:type="dxa"/>
              <w:top w:w="0" w:type="dxa"/>
              <w:right w:w="0" w:type="dxa"/>
              <w:bottom w:w="0" w:type="dxa"/>
            </w:tcMar>
            <w:tcW w:w="4762" w:type="dxa"/>
            <w:vAlign w:val="center"/>
            <w:textDirection w:val="lrTb"/>
            <w:noWrap w:val="false"/>
          </w:tcPr>
          <w:p>
            <w:pPr>
              <w:pStyle w:val="654"/>
              <w:ind w:firstLine="48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rPr>
            </w:r>
            <w:r/>
          </w:p>
        </w:tc>
        <w:tc>
          <w:tcPr>
            <w:tcMar>
              <w:left w:w="0" w:type="dxa"/>
              <w:top w:w="0" w:type="dxa"/>
              <w:right w:w="0" w:type="dxa"/>
              <w:bottom w:w="0" w:type="dxa"/>
            </w:tcMar>
            <w:tcW w:w="697" w:type="dxa"/>
            <w:vAlign w:val="center"/>
            <w:textDirection w:val="lrTb"/>
            <w:noWrap w:val="false"/>
          </w:tcPr>
          <w:p>
            <w:pPr>
              <w:pStyle w:val="654"/>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Mar>
              <w:left w:w="0" w:type="dxa"/>
              <w:top w:w="0" w:type="dxa"/>
              <w:right w:w="0" w:type="dxa"/>
              <w:bottom w:w="0" w:type="dxa"/>
            </w:tcMar>
            <w:tcW w:w="883" w:type="dxa"/>
            <w:vAlign w:val="center"/>
            <w:textDirection w:val="lrTb"/>
            <w:noWrap w:val="false"/>
          </w:tcPr>
          <w:p>
            <w:pPr>
              <w:pStyle w:val="654"/>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rPr>
            </w:r>
            <w:r/>
          </w:p>
        </w:tc>
        <w:tc>
          <w:tcPr>
            <w:tcMar>
              <w:left w:w="0" w:type="dxa"/>
              <w:top w:w="0" w:type="dxa"/>
              <w:right w:w="0" w:type="dxa"/>
              <w:bottom w:w="0" w:type="dxa"/>
            </w:tcMar>
            <w:tcW w:w="1747" w:type="dxa"/>
            <w:vAlign w:val="center"/>
            <w:textDirection w:val="lrTb"/>
            <w:noWrap w:val="false"/>
          </w:tcPr>
          <w:p>
            <w:pPr>
              <w:pStyle w:val="654"/>
              <w:ind w:firstLine="48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trHeight w:val="709"/>
        </w:trPr>
        <w:tc>
          <w:tcPr>
            <w:tcMar>
              <w:left w:w="0" w:type="dxa"/>
              <w:top w:w="0" w:type="dxa"/>
              <w:right w:w="0" w:type="dxa"/>
              <w:bottom w:w="0" w:type="dxa"/>
            </w:tcMar>
            <w:tcW w:w="566" w:type="dxa"/>
            <w:vAlign w:val="center"/>
            <w:textDirection w:val="lrTb"/>
            <w:noWrap w:val="false"/>
          </w:tcPr>
          <w:p>
            <w:pPr>
              <w:pStyle w:val="654"/>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Mar>
              <w:left w:w="0" w:type="dxa"/>
              <w:top w:w="0" w:type="dxa"/>
              <w:right w:w="0" w:type="dxa"/>
              <w:bottom w:w="0" w:type="dxa"/>
            </w:tcMar>
            <w:tcW w:w="4762" w:type="dxa"/>
            <w:vAlign w:val="center"/>
            <w:textDirection w:val="lrTb"/>
            <w:noWrap w:val="false"/>
          </w:tcPr>
          <w:p>
            <w:pPr>
              <w:pStyle w:val="654"/>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年重点管理类企业排污许可证技术评估服务</w:t>
            </w:r>
            <w:r>
              <w:rPr>
                <w:rFonts w:hint="eastAsia" w:ascii="宋体" w:hAnsi="宋体" w:eastAsia="宋体" w:cs="宋体"/>
                <w:color w:val="000000"/>
                <w:sz w:val="24"/>
                <w:szCs w:val="24"/>
              </w:rPr>
            </w:r>
            <w:r/>
          </w:p>
        </w:tc>
        <w:tc>
          <w:tcPr>
            <w:tcMar>
              <w:left w:w="0" w:type="dxa"/>
              <w:top w:w="0" w:type="dxa"/>
              <w:right w:w="0" w:type="dxa"/>
              <w:bottom w:w="0" w:type="dxa"/>
            </w:tcMar>
            <w:tcW w:w="697" w:type="dxa"/>
            <w:vAlign w:val="center"/>
            <w:textDirection w:val="lrTb"/>
            <w:noWrap w:val="false"/>
          </w:tcPr>
          <w:p>
            <w:pPr>
              <w:pStyle w:val="654"/>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130</w:t>
            </w:r>
            <w:r>
              <w:rPr>
                <w:rFonts w:ascii="宋体" w:hAnsi="宋体" w:eastAsia="宋体" w:cs="宋体"/>
                <w:color w:val="000000"/>
                <w:sz w:val="24"/>
                <w:szCs w:val="24"/>
                <w:lang w:val="en-US" w:eastAsia="zh-CN"/>
              </w:rPr>
            </w:r>
            <w:r/>
          </w:p>
        </w:tc>
        <w:tc>
          <w:tcPr>
            <w:tcMar>
              <w:left w:w="0" w:type="dxa"/>
              <w:top w:w="0" w:type="dxa"/>
              <w:right w:w="0" w:type="dxa"/>
              <w:bottom w:w="0" w:type="dxa"/>
            </w:tcMar>
            <w:tcW w:w="883" w:type="dxa"/>
            <w:vAlign w:val="center"/>
            <w:textDirection w:val="lrTb"/>
            <w:noWrap w:val="false"/>
          </w:tcPr>
          <w:p>
            <w:pPr>
              <w:pStyle w:val="654"/>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w:t>
            </w:r>
            <w:r>
              <w:rPr>
                <w:rFonts w:hint="eastAsia" w:ascii="宋体" w:hAnsi="宋体" w:eastAsia="宋体" w:cs="宋体"/>
                <w:color w:val="000000"/>
                <w:sz w:val="24"/>
                <w:szCs w:val="24"/>
              </w:rPr>
            </w:r>
            <w:r/>
          </w:p>
        </w:tc>
        <w:tc>
          <w:tcPr>
            <w:tcMar>
              <w:left w:w="0" w:type="dxa"/>
              <w:top w:w="0" w:type="dxa"/>
              <w:right w:w="0" w:type="dxa"/>
              <w:bottom w:w="0" w:type="dxa"/>
            </w:tcMar>
            <w:tcW w:w="1747" w:type="dxa"/>
            <w:vAlign w:val="center"/>
            <w:vMerge w:val="restart"/>
            <w:textDirection w:val="lrTb"/>
            <w:noWrap w:val="false"/>
          </w:tcPr>
          <w:p>
            <w:pPr>
              <w:pStyle w:val="654"/>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此表中服务数量为暂估量，具体家数以项目实施过程中实际服务家数为准</w:t>
            </w:r>
            <w:r>
              <w:rPr>
                <w:rFonts w:hint="eastAsia" w:ascii="宋体" w:hAnsi="宋体" w:eastAsia="宋体" w:cs="宋体"/>
                <w:color w:val="000000"/>
                <w:sz w:val="24"/>
                <w:szCs w:val="24"/>
              </w:rPr>
            </w:r>
            <w:r/>
          </w:p>
        </w:tc>
      </w:tr>
      <w:tr>
        <w:trPr>
          <w:trHeight w:val="728"/>
        </w:trPr>
        <w:tc>
          <w:tcPr>
            <w:tcMar>
              <w:left w:w="0" w:type="dxa"/>
              <w:top w:w="0" w:type="dxa"/>
              <w:right w:w="0" w:type="dxa"/>
              <w:bottom w:w="0" w:type="dxa"/>
            </w:tcMar>
            <w:tcW w:w="566" w:type="dxa"/>
            <w:vAlign w:val="center"/>
            <w:textDirection w:val="lrTb"/>
            <w:noWrap w:val="false"/>
          </w:tcPr>
          <w:p>
            <w:pPr>
              <w:pStyle w:val="654"/>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Mar>
              <w:left w:w="0" w:type="dxa"/>
              <w:top w:w="0" w:type="dxa"/>
              <w:right w:w="0" w:type="dxa"/>
              <w:bottom w:w="0" w:type="dxa"/>
            </w:tcMar>
            <w:tcW w:w="4762" w:type="dxa"/>
            <w:vAlign w:val="center"/>
            <w:textDirection w:val="lrTb"/>
            <w:noWrap w:val="false"/>
          </w:tcPr>
          <w:p>
            <w:pPr>
              <w:pStyle w:val="654"/>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年简化管理类企业排污许可证技术评估服务</w:t>
            </w:r>
            <w:r>
              <w:rPr>
                <w:rFonts w:hint="eastAsia" w:ascii="宋体" w:hAnsi="宋体" w:eastAsia="宋体" w:cs="宋体"/>
                <w:color w:val="000000"/>
                <w:sz w:val="24"/>
                <w:szCs w:val="24"/>
              </w:rPr>
            </w:r>
            <w:r/>
          </w:p>
        </w:tc>
        <w:tc>
          <w:tcPr>
            <w:tcMar>
              <w:left w:w="0" w:type="dxa"/>
              <w:top w:w="0" w:type="dxa"/>
              <w:right w:w="0" w:type="dxa"/>
              <w:bottom w:w="0" w:type="dxa"/>
            </w:tcMar>
            <w:tcW w:w="697" w:type="dxa"/>
            <w:vAlign w:val="center"/>
            <w:textDirection w:val="lrTb"/>
            <w:noWrap w:val="false"/>
          </w:tcPr>
          <w:p>
            <w:pPr>
              <w:pStyle w:val="654"/>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115</w:t>
            </w:r>
            <w:r>
              <w:rPr>
                <w:rFonts w:ascii="宋体" w:hAnsi="宋体" w:eastAsia="宋体" w:cs="宋体"/>
                <w:color w:val="000000"/>
                <w:sz w:val="24"/>
                <w:szCs w:val="24"/>
                <w:lang w:val="en-US" w:eastAsia="zh-CN"/>
              </w:rPr>
            </w:r>
            <w:r/>
          </w:p>
        </w:tc>
        <w:tc>
          <w:tcPr>
            <w:tcMar>
              <w:left w:w="0" w:type="dxa"/>
              <w:top w:w="0" w:type="dxa"/>
              <w:right w:w="0" w:type="dxa"/>
              <w:bottom w:w="0" w:type="dxa"/>
            </w:tcMar>
            <w:tcW w:w="883" w:type="dxa"/>
            <w:vAlign w:val="center"/>
            <w:textDirection w:val="lrTb"/>
            <w:noWrap w:val="false"/>
          </w:tcPr>
          <w:p>
            <w:pPr>
              <w:pStyle w:val="654"/>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w:t>
            </w:r>
            <w:r>
              <w:rPr>
                <w:rFonts w:hint="eastAsia" w:ascii="宋体" w:hAnsi="宋体" w:eastAsia="宋体" w:cs="宋体"/>
                <w:color w:val="000000"/>
                <w:sz w:val="24"/>
                <w:szCs w:val="24"/>
              </w:rPr>
            </w:r>
            <w:r/>
          </w:p>
        </w:tc>
        <w:tc>
          <w:tcPr>
            <w:tcW w:w="1747" w:type="dxa"/>
            <w:vAlign w:val="top"/>
            <w:vMerge w:val="continue"/>
            <w:textDirection w:val="lrTb"/>
            <w:noWrap w:val="false"/>
          </w:tcPr>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654"/>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五、项目要求</w:t>
      </w:r>
      <w:r>
        <w:rPr>
          <w:rFonts w:hint="eastAsia" w:ascii="宋体" w:hAnsi="宋体" w:eastAsia="宋体" w:cs="宋体"/>
          <w:b/>
          <w:bCs/>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1、排污许可证评估技术服务</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托“全国排污许可证管理信息平台”，按照《固定污染源排污许可分类管理名录》规定及排污许可证申请与核发技术规范等相关文件要求，对纳入排污许可重点和简化管理的排污单位，在服务期内提交的排污许可证申请进行技术评估服务（此处的排污许可证技术评估服务不包括排污单位名称、地址、法定代表人或者主要负责人等基本信息发生变更。不计申请次数和申请种类），并提供技术评估报告。</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（1）核实排污单位排污许可管理类别。按照固定污染源排污许可分类管理名录、排污许可证申请与核发技术规范等相关文件规定，对在服务期内提交排污许可证申请的排污单位的排污许可管理类别进行核实。 </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（2）排污许可证申请内容及材料技术评估。 中标供应商按照要求对排污许可证申请材料进行评估，评估排污单位提交的排污许可证申请是否按照排污许可证申请与核发技术规范总则、行业技术规范、行业自行监测技术指南、标准、管理文件等相关文件要求进行填报，填报内容是否符合要求；评估申请材料是否完整、齐全、规范、符合要求等，提出评估及修改意见。</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2、其它服务</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（1）技术咨询服务。向排污单位提供技术咨询、问题解答、培训等服务，指导企业按期完成申报。</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（2）汇总形成排污许可证核发相关技术规范检索表并进行动态更新，汇总形成已发证企业对应的核发技术规范等基本信息检索表并进行动态更新，以及根据工作需求，便于排污许可管理工作的其他检索表。</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（3）上级及江北新区对国家排污许可证发放的其他要求的技术评估支持服务。</w:t>
      </w:r>
      <w:r>
        <w:rPr>
          <w:rFonts w:hint="eastAsia" w:ascii="宋体" w:hAnsi="宋体" w:eastAsia="宋体" w:cs="宋体"/>
          <w:color w:val="000000"/>
          <w:sz w:val="24"/>
          <w:szCs w:val="24"/>
        </w:rPr>
      </w:r>
      <w:r/>
    </w:p>
    <w:p>
      <w:pPr>
        <w:pStyle w:val="654"/>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六、其他商务要求</w:t>
      </w:r>
      <w:r>
        <w:rPr>
          <w:rFonts w:hint="eastAsia" w:ascii="宋体" w:hAnsi="宋体" w:eastAsia="宋体" w:cs="宋体"/>
          <w:b/>
          <w:bCs/>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1、报价要求</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（1）供应商应对所投项目的全部内容进行报价，只投其中部分内容者，视为无效投标。其中202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年重点管理类排污单位排污许可证技术评估服务项目最高限价0.6万元/家，202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简化管理类排污单位排污许可证技术评估服务项目最高限价0.2万元/家。本次招标服务内容为对排污单位在服务期内提出的申请进行技术评估服务，不计申请次数和申请种类进行单价打包报价。重点管理和简化管理类企业需分别报价，价格计入总价。</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（2）具体结算支付金额以实际发生服务的企业数量为准进行核算，但不超中标总价。</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（3）中标供应商对服务缺陷不予更正，采购人有权另请其他单位更正，所发生的费用由中标供应商承担。 </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（4）若中标供应商在服务期间出现重大责任问题或考核严重不合格将被解除服务合同。</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保密要求</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（1）中标供应商负责对采购人所提供资料及最终成果保密，中标供应商及其工作人员需遵守采购人的保密规定，不以任何形式将收集的所有资料、数据等进行泄漏、传播。</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（2）项目成果最终所有权属采购人，在项目完成时中标供应商必须全部移交。</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（3）中标供应商须维护项目服务成果，不得转让给第三方重复使用。</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（4）以上保密规定如有违反，采购人有权追究中标供应商相关法律责任。</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3、其他要求</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（1）本项目不允许整体转包、分包，发现查实一律取消合同。</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（2）中标供应商应严格遵守服务合约，项目完成以后，如采购人有需要中标供应商配合属于双方签订合同范围内的服务，中标供应商必须予以配合，协助采购人完善项目内容。 </w:t>
      </w:r>
      <w:r>
        <w:rPr>
          <w:rFonts w:hint="eastAsia" w:ascii="宋体" w:hAnsi="宋体" w:eastAsia="宋体" w:cs="宋体"/>
          <w:color w:val="000000"/>
          <w:sz w:val="24"/>
          <w:szCs w:val="24"/>
        </w:rPr>
      </w:r>
      <w:r/>
    </w:p>
    <w:p>
      <w:pPr>
        <w:pStyle w:val="654"/>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（3）中标供应商在项目服务期间应制定项目安全实施管理措施，并严格遵守企业单位安全管理要求，中标供应商在项目服务过程中造成人员安全或财产损失事故的，其责任均由中标供应商承担，采购人</w:t>
      </w:r>
      <w:r>
        <w:rPr>
          <w:rFonts w:hint="eastAsia" w:ascii="宋体" w:hAnsi="宋体" w:eastAsia="宋体" w:cs="宋体"/>
          <w:color w:val="000000"/>
          <w:sz w:val="24"/>
          <w:szCs w:val="24"/>
          <w:lang w:val="en-US" w:eastAsia="zh-CN"/>
        </w:rPr>
        <w:t xml:space="preserve">不承担责任。</w:t>
      </w:r>
      <w:r>
        <w:rPr>
          <w:rFonts w:hint="eastAsia" w:ascii="宋体" w:hAnsi="宋体" w:eastAsia="宋体" w:cs="宋体"/>
          <w:color w:val="000000"/>
          <w:sz w:val="24"/>
          <w:szCs w:val="24"/>
          <w:lang w:val="en-US" w:eastAsia="zh-CN"/>
        </w:rPr>
      </w:r>
      <w:r/>
    </w:p>
    <w:p>
      <w:pPr>
        <w:pStyle w:val="654"/>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七、人员要求</w:t>
      </w:r>
      <w:r>
        <w:rPr>
          <w:rFonts w:hint="eastAsia" w:ascii="宋体" w:hAnsi="宋体" w:eastAsia="宋体" w:cs="宋体"/>
          <w:b/>
          <w:bCs/>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本项目执行期间，要明确项目负责人1名，整个项目团队的人员要相对固定，未得到采购人同意不得擅自更换团队人员。在项目实施期间，中标供应商需服从采购人的具体工作部署，辅助采购人工作，以满足江北新区排污单位排污许可证技术评估服务需求。</w:t>
      </w:r>
      <w:r>
        <w:rPr>
          <w:rFonts w:hint="eastAsia" w:ascii="宋体" w:hAnsi="宋体" w:eastAsia="宋体" w:cs="宋体"/>
          <w:color w:val="000000"/>
          <w:sz w:val="24"/>
          <w:szCs w:val="24"/>
        </w:rPr>
      </w:r>
      <w:r/>
    </w:p>
    <w:p>
      <w:pPr>
        <w:pStyle w:val="654"/>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八、服务质量要求</w:t>
      </w:r>
      <w:r>
        <w:rPr>
          <w:rFonts w:hint="eastAsia" w:ascii="宋体" w:hAnsi="宋体" w:eastAsia="宋体" w:cs="宋体"/>
          <w:b/>
          <w:bCs/>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1、供应商提供的服务均为按国家规格条例的合格正规服务，符合规范要求。中标供应商必须在规定的时间内，保质保量完成排污许可证评估工作。</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应能保证所提供服务涉及到的知识产权是合法取得，并享有完整的知识产权，不会因为采购人的使用而被责令停止使用、追偿或要求赔偿损失，如出现此情况，一切经济和法律责任均由供应商承担。供应商提供的所有服务必须质量符合国际或国家通用标准，如出现质量问题，中标供应商负责改正，发生的费用由中标供应商负责。</w:t>
      </w:r>
      <w:r>
        <w:rPr>
          <w:rFonts w:hint="eastAsia" w:ascii="宋体" w:hAnsi="宋体" w:eastAsia="宋体" w:cs="宋体"/>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3、验收标准：根据采购文件、中标供应商的响应文件、双方签订的合同文件及其附件；符合上级部门要求。</w:t>
      </w:r>
      <w:r>
        <w:rPr>
          <w:rFonts w:hint="eastAsia" w:ascii="宋体" w:hAnsi="宋体" w:eastAsia="宋体" w:cs="宋体"/>
          <w:color w:val="000000"/>
          <w:sz w:val="24"/>
          <w:szCs w:val="24"/>
        </w:rPr>
      </w:r>
      <w:r/>
    </w:p>
    <w:p>
      <w:pPr>
        <w:pStyle w:val="654"/>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九、付款方式</w:t>
      </w:r>
      <w:r>
        <w:rPr>
          <w:rFonts w:hint="eastAsia" w:ascii="宋体" w:hAnsi="宋体" w:eastAsia="宋体" w:cs="宋体"/>
          <w:b/>
          <w:bCs/>
          <w:color w:val="000000"/>
          <w:sz w:val="24"/>
          <w:szCs w:val="24"/>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详见合同文本</w:t>
      </w:r>
      <w:r>
        <w:rPr>
          <w:rFonts w:hint="eastAsia" w:ascii="宋体" w:hAnsi="宋体" w:eastAsia="宋体" w:cs="宋体"/>
          <w:color w:val="000000"/>
          <w:sz w:val="24"/>
          <w:szCs w:val="24"/>
        </w:rPr>
      </w:r>
      <w:r/>
    </w:p>
    <w:p>
      <w:pPr>
        <w:pStyle w:val="654"/>
        <w:ind w:left="0" w:right="0" w:firstLine="472"/>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54"/>
        <w:ind w:left="0" w:right="0" w:firstLine="472"/>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说明：本章打“★”内容为实质性要求，不允许负偏离，否则作为无效投标。</w:t>
      </w:r>
      <w:r>
        <w:rPr>
          <w:rFonts w:hint="eastAsia" w:ascii="宋体" w:hAnsi="宋体" w:eastAsia="宋体" w:cs="宋体"/>
          <w:color w:val="000000"/>
          <w:highlight w:val="none"/>
        </w:rPr>
      </w:r>
      <w:r/>
    </w:p>
    <w:p>
      <w:pPr>
        <w:pStyle w:val="654"/>
        <w:numPr>
          <w:ilvl w:val="0"/>
          <w:numId w:val="0"/>
        </w:numPr>
        <w:jc w:val="left"/>
        <w:spacing w:line="360" w:lineRule="auto"/>
        <w:widowControl/>
        <w:rPr>
          <w:rFonts w:hint="eastAsia" w:ascii="宋体" w:hAnsi="宋体" w:eastAsia="宋体" w:cs="宋体"/>
          <w:b/>
          <w:bCs/>
          <w:color w:val="000000"/>
          <w:position w:val="-10"/>
          <w:sz w:val="24"/>
          <w:szCs w:val="20"/>
          <w:highlight w:val="none"/>
          <w:lang w:val="zh-CN"/>
        </w:rPr>
      </w:pPr>
      <w:r>
        <w:rPr>
          <w:rFonts w:hint="eastAsia" w:ascii="宋体" w:hAnsi="宋体" w:eastAsia="宋体" w:cs="宋体"/>
          <w:b/>
          <w:bCs/>
          <w:color w:val="000000"/>
          <w:position w:val="-10"/>
          <w:sz w:val="24"/>
          <w:szCs w:val="20"/>
          <w:highlight w:val="none"/>
          <w:lang w:val="zh-CN"/>
        </w:rPr>
      </w:r>
      <w:r/>
    </w:p>
    <w:p>
      <w:pPr>
        <w:pStyle w:val="655"/>
        <w:spacing w:line="360" w:lineRule="auto"/>
        <w:rPr>
          <w:rFonts w:hint="eastAsia" w:ascii="宋体" w:hAnsi="宋体" w:eastAsia="宋体" w:cs="宋体"/>
          <w:bCs/>
          <w:color w:val="000000"/>
          <w:sz w:val="44"/>
          <w:highlight w:val="none"/>
          <w:lang w:eastAsia="zh-CN"/>
        </w:rPr>
      </w:pPr>
      <w:r>
        <w:rPr>
          <w:rFonts w:hint="eastAsia" w:ascii="宋体" w:hAnsi="宋体" w:eastAsia="宋体" w:cs="宋体"/>
          <w:bCs/>
          <w:color w:val="000000"/>
          <w:sz w:val="44"/>
          <w:highlight w:val="none"/>
          <w:lang w:eastAsia="zh-CN"/>
        </w:rPr>
        <w:br w:type="page" w:clear="all"/>
      </w:r>
      <w:r>
        <w:rPr>
          <w:rFonts w:hint="eastAsia" w:ascii="宋体" w:hAnsi="宋体" w:eastAsia="宋体" w:cs="宋体"/>
          <w:b/>
          <w:bCs w:val="0"/>
          <w:color w:val="000000"/>
          <w:sz w:val="44"/>
          <w:highlight w:val="none"/>
          <w:lang w:eastAsia="zh-CN"/>
        </w:rPr>
        <w:t xml:space="preserve">第五章</w:t>
      </w:r>
      <w:r>
        <w:rPr>
          <w:rFonts w:hint="eastAsia" w:ascii="宋体" w:hAnsi="宋体" w:eastAsia="宋体" w:cs="宋体"/>
          <w:bCs/>
          <w:color w:val="000000"/>
          <w:sz w:val="44"/>
          <w:highlight w:val="none"/>
          <w:lang w:eastAsia="zh-CN"/>
        </w:rPr>
        <w:t xml:space="preserve">  </w:t>
      </w:r>
      <w:r>
        <w:rPr>
          <w:rFonts w:hint="eastAsia" w:ascii="宋体" w:hAnsi="宋体" w:eastAsia="宋体" w:cs="宋体"/>
          <w:b/>
          <w:bCs/>
          <w:color w:val="000000"/>
          <w:sz w:val="44"/>
          <w:highlight w:val="none"/>
          <w:lang w:eastAsia="zh-CN"/>
        </w:rPr>
        <w:t xml:space="preserve"> 评标方法与评标标准</w:t>
      </w:r>
      <w:r>
        <w:rPr>
          <w:rFonts w:hint="eastAsia" w:ascii="宋体" w:hAnsi="宋体" w:eastAsia="宋体" w:cs="宋体"/>
          <w:bCs/>
          <w:color w:val="000000"/>
          <w:sz w:val="44"/>
          <w:highlight w:val="none"/>
          <w:lang w:eastAsia="zh-CN"/>
        </w:rPr>
      </w:r>
      <w:r/>
    </w:p>
    <w:p>
      <w:pPr>
        <w:pStyle w:val="654"/>
        <w:ind w:firstLine="480"/>
        <w:jc w:val="left"/>
        <w:spacing w:after="200" w:line="360" w:lineRule="auto"/>
        <w:widowControl/>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本项目采用综合评分法。即在最大限度地满足招标文件实质性要求前提下，按照招标文件中规定的各项因素进行综合评审后，以评标总得分最高的投标人作为中标候选投标人或者中标投标人的评标方法。</w:t>
      </w:r>
      <w:r>
        <w:rPr>
          <w:rFonts w:hint="eastAsia" w:ascii="宋体" w:hAnsi="宋体" w:eastAsia="宋体" w:cs="宋体"/>
          <w:bCs/>
          <w:color w:val="000000"/>
          <w:sz w:val="24"/>
          <w:szCs w:val="24"/>
          <w:highlight w:val="none"/>
        </w:rPr>
      </w:r>
      <w:r/>
    </w:p>
    <w:p>
      <w:pPr>
        <w:pStyle w:val="654"/>
        <w:ind w:firstLine="480"/>
        <w:jc w:val="left"/>
        <w:spacing w:after="200" w:line="360" w:lineRule="auto"/>
        <w:widowControl/>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如供应商的最后报价明显低于其他通过资格及符合性审查供应商的报价，有可能影响服务质量或者不能诚信履约的按无效响应处理。本项目推荐3名中标候选人，最终确定1名中标人。</w:t>
      </w:r>
      <w:r>
        <w:rPr>
          <w:rFonts w:hint="eastAsia" w:ascii="宋体" w:hAnsi="宋体" w:eastAsia="宋体" w:cs="宋体"/>
          <w:bCs/>
          <w:color w:val="000000"/>
          <w:sz w:val="24"/>
          <w:szCs w:val="24"/>
          <w:highlight w:val="none"/>
        </w:rPr>
      </w:r>
      <w:r/>
    </w:p>
    <w:tbl>
      <w:tblPr>
        <w:tblStyle w:val="733"/>
        <w:tblW w:w="9646"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020"/>
        <w:gridCol w:w="6384"/>
        <w:gridCol w:w="744"/>
        <w:gridCol w:w="744"/>
      </w:tblGrid>
      <w:tr>
        <w:trPr>
          <w:trHeight w:val="522"/>
        </w:trPr>
        <w:tc>
          <w:tcPr>
            <w:tcMar>
              <w:left w:w="108" w:type="dxa"/>
              <w:top w:w="0" w:type="dxa"/>
              <w:right w:w="108" w:type="dxa"/>
              <w:bottom w:w="0" w:type="dxa"/>
            </w:tcMar>
            <w:tcW w:w="75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序号</w:t>
            </w:r>
            <w:r>
              <w:rPr>
                <w:rFonts w:hint="eastAsia" w:ascii="宋体" w:hAnsi="宋体" w:eastAsia="宋体" w:cs="宋体"/>
                <w:color w:val="000000"/>
                <w:highlight w:val="none"/>
              </w:rPr>
            </w:r>
            <w:r/>
          </w:p>
        </w:tc>
        <w:tc>
          <w:tcPr>
            <w:tcMar>
              <w:left w:w="108" w:type="dxa"/>
              <w:top w:w="0" w:type="dxa"/>
              <w:right w:w="108" w:type="dxa"/>
              <w:bottom w:w="0" w:type="dxa"/>
            </w:tcMar>
            <w:tcW w:w="1020"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评分因素</w:t>
            </w:r>
            <w:r>
              <w:rPr>
                <w:rFonts w:hint="eastAsia" w:ascii="宋体" w:hAnsi="宋体" w:eastAsia="宋体" w:cs="宋体"/>
                <w:color w:val="000000"/>
                <w:highlight w:val="none"/>
              </w:rPr>
            </w:r>
            <w:r/>
          </w:p>
        </w:tc>
        <w:tc>
          <w:tcPr>
            <w:tcMar>
              <w:left w:w="108" w:type="dxa"/>
              <w:top w:w="0" w:type="dxa"/>
              <w:right w:w="108" w:type="dxa"/>
              <w:bottom w:w="0" w:type="dxa"/>
            </w:tcMar>
            <w:tcW w:w="638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评审标准</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分值</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类型</w:t>
            </w:r>
            <w:r>
              <w:rPr>
                <w:rFonts w:hint="eastAsia" w:ascii="宋体" w:hAnsi="宋体" w:eastAsia="宋体" w:cs="宋体"/>
                <w:b/>
                <w:color w:val="000000"/>
                <w:sz w:val="24"/>
                <w:highlight w:val="none"/>
                <w:lang w:val="en-US" w:eastAsia="zh-CN"/>
              </w:rPr>
            </w:r>
            <w:r/>
          </w:p>
        </w:tc>
      </w:tr>
      <w:tr>
        <w:trPr>
          <w:trHeight w:val="972"/>
        </w:trPr>
        <w:tc>
          <w:tcPr>
            <w:tcMar>
              <w:left w:w="108" w:type="dxa"/>
              <w:top w:w="0" w:type="dxa"/>
              <w:right w:w="108" w:type="dxa"/>
              <w:bottom w:w="0" w:type="dxa"/>
            </w:tcMar>
            <w:tcW w:w="75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w:t>
            </w:r>
            <w:r>
              <w:rPr>
                <w:rFonts w:hint="eastAsia" w:ascii="宋体" w:hAnsi="宋体" w:eastAsia="宋体" w:cs="宋体"/>
                <w:color w:val="000000"/>
                <w:highlight w:val="none"/>
              </w:rPr>
            </w:r>
            <w:r/>
          </w:p>
        </w:tc>
        <w:tc>
          <w:tcPr>
            <w:tcMar>
              <w:left w:w="108" w:type="dxa"/>
              <w:top w:w="0" w:type="dxa"/>
              <w:right w:w="108" w:type="dxa"/>
              <w:bottom w:w="0" w:type="dxa"/>
            </w:tcMar>
            <w:tcW w:w="1020"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价格</w:t>
            </w:r>
            <w:r>
              <w:rPr>
                <w:rFonts w:hint="eastAsia" w:ascii="宋体" w:hAnsi="宋体" w:eastAsia="宋体" w:cs="宋体"/>
                <w:color w:val="000000"/>
                <w:highlight w:val="none"/>
              </w:rPr>
            </w:r>
            <w:r/>
          </w:p>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12分</w:t>
            </w:r>
            <w:r>
              <w:rPr>
                <w:rFonts w:hint="eastAsia" w:ascii="宋体" w:hAnsi="宋体" w:eastAsia="宋体" w:cs="宋体"/>
                <w:color w:val="000000"/>
                <w:highlight w:val="none"/>
              </w:rPr>
            </w:r>
            <w:r/>
          </w:p>
        </w:tc>
        <w:tc>
          <w:tcPr>
            <w:tcMar>
              <w:left w:w="108" w:type="dxa"/>
              <w:top w:w="0" w:type="dxa"/>
              <w:right w:w="108" w:type="dxa"/>
              <w:bottom w:w="0" w:type="dxa"/>
            </w:tcMar>
            <w:tcW w:w="6384" w:type="dxa"/>
            <w:vAlign w:val="center"/>
            <w:textDirection w:val="lrTb"/>
            <w:noWrap/>
          </w:tcPr>
          <w:p>
            <w:pPr>
              <w:pStyle w:val="654"/>
              <w:ind w:left="0" w:right="0" w:firstLine="0"/>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用低价优先法计算，即满足招标文件要求且投标价格最低的投标报价为评标基准价，其价格分为满分。其他投标人的价格分统一按照下列公式计算：投标报价得分=（评标基准价/投标报价）×12（小数点后保留两位）。</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客观分</w:t>
            </w:r>
            <w:r>
              <w:rPr>
                <w:rFonts w:hint="eastAsia" w:ascii="宋体" w:hAnsi="宋体" w:eastAsia="宋体" w:cs="宋体"/>
                <w:color w:val="000000"/>
                <w:sz w:val="24"/>
                <w:highlight w:val="none"/>
                <w:lang w:val="en-US" w:eastAsia="zh-CN"/>
              </w:rPr>
            </w:r>
            <w:r/>
          </w:p>
        </w:tc>
      </w:tr>
      <w:tr>
        <w:trPr>
          <w:trHeight w:val="678"/>
        </w:trPr>
        <w:tc>
          <w:tcPr>
            <w:tcMar>
              <w:left w:w="108" w:type="dxa"/>
              <w:top w:w="0" w:type="dxa"/>
              <w:right w:w="108" w:type="dxa"/>
              <w:bottom w:w="0" w:type="dxa"/>
            </w:tcMar>
            <w:tcW w:w="754" w:type="dxa"/>
            <w:vAlign w:val="center"/>
            <w:vMerge w:val="restart"/>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2</w:t>
            </w:r>
            <w:r>
              <w:rPr>
                <w:rFonts w:hint="eastAsia" w:ascii="宋体" w:hAnsi="宋体" w:eastAsia="宋体" w:cs="宋体"/>
                <w:color w:val="000000"/>
                <w:highlight w:val="none"/>
              </w:rPr>
            </w:r>
            <w:r/>
          </w:p>
        </w:tc>
        <w:tc>
          <w:tcPr>
            <w:tcMar>
              <w:left w:w="108" w:type="dxa"/>
              <w:top w:w="0" w:type="dxa"/>
              <w:right w:w="108" w:type="dxa"/>
              <w:bottom w:w="0" w:type="dxa"/>
            </w:tcMar>
            <w:tcW w:w="1020" w:type="dxa"/>
            <w:vAlign w:val="center"/>
            <w:vMerge w:val="restart"/>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团队</w:t>
            </w:r>
            <w:r>
              <w:rPr>
                <w:rFonts w:hint="eastAsia" w:ascii="宋体" w:hAnsi="宋体" w:eastAsia="宋体" w:cs="宋体"/>
                <w:color w:val="000000"/>
                <w:highlight w:val="none"/>
              </w:rPr>
            </w:r>
            <w:r/>
          </w:p>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实力</w:t>
            </w:r>
            <w:r>
              <w:rPr>
                <w:rFonts w:hint="eastAsia" w:ascii="宋体" w:hAnsi="宋体" w:eastAsia="宋体" w:cs="宋体"/>
                <w:color w:val="000000"/>
                <w:highlight w:val="none"/>
              </w:rPr>
            </w:r>
            <w:r/>
          </w:p>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21分</w:t>
            </w:r>
            <w:r>
              <w:rPr>
                <w:rFonts w:hint="eastAsia" w:ascii="宋体" w:hAnsi="宋体" w:eastAsia="宋体" w:cs="宋体"/>
                <w:color w:val="000000"/>
                <w:highlight w:val="none"/>
              </w:rPr>
            </w:r>
            <w:r/>
          </w:p>
        </w:tc>
        <w:tc>
          <w:tcPr>
            <w:tcMar>
              <w:left w:w="108" w:type="dxa"/>
              <w:top w:w="0" w:type="dxa"/>
              <w:right w:w="108" w:type="dxa"/>
              <w:bottom w:w="0" w:type="dxa"/>
            </w:tcMar>
            <w:tcW w:w="6384" w:type="dxa"/>
            <w:vAlign w:val="center"/>
            <w:textDirection w:val="lrTb"/>
            <w:noWrap/>
          </w:tcPr>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1、项目负责人：</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具有环保类副高级及以上职称并具有环境影响评价工程师证书的得5分，具有环保类中级职称并具有环境影响评价工程师证书的得3分。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（提供有效的证书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劳动合同</w:t>
            </w:r>
            <w:r>
              <w:rPr>
                <w:rFonts w:hint="eastAsia" w:ascii="宋体" w:hAnsi="宋体" w:cs="宋体"/>
                <w:color w:val="000000"/>
                <w:sz w:val="24"/>
                <w:highlight w:val="none"/>
                <w:lang w:val="en-US" w:eastAsia="zh-CN"/>
              </w:rPr>
              <w:t xml:space="preserve">供应商为上述项目负责人缴纳的近半年内（2026年2月-2026年7月）任意一个月社保证明</w:t>
            </w:r>
            <w:r>
              <w:rPr>
                <w:rFonts w:hint="eastAsia" w:ascii="宋体" w:hAnsi="宋体" w:eastAsia="宋体" w:cs="宋体"/>
                <w:color w:val="000000"/>
                <w:sz w:val="24"/>
                <w:highlight w:val="none"/>
              </w:rPr>
              <w:t xml:space="preserve">扫描上传至电子投标文件中，专业以职称证书为准，职称证书上不能体现专业的，以毕业证书为准。注：提供多个职称证书的仅计取最高职称分值）</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客观分</w:t>
            </w:r>
            <w:r>
              <w:rPr>
                <w:rFonts w:hint="eastAsia" w:ascii="宋体" w:hAnsi="宋体" w:eastAsia="宋体" w:cs="宋体"/>
                <w:color w:val="000000"/>
                <w:sz w:val="24"/>
                <w:highlight w:val="none"/>
              </w:rPr>
            </w:r>
            <w:r/>
          </w:p>
        </w:tc>
      </w:tr>
      <w:tr>
        <w:trPr>
          <w:trHeight w:val="678"/>
        </w:trPr>
        <w:tc>
          <w:tcPr>
            <w:tcW w:w="754" w:type="dxa"/>
            <w:vAlign w:val="top"/>
            <w:vMerge w:val="continue"/>
            <w:textDirection w:val="lrTb"/>
            <w:noWrap w:val="false"/>
          </w:tcPr>
          <w:p>
            <w:pPr>
              <w:pStyle w:val="654"/>
              <w:spacing w:after="0" w:line="240" w:lineRule="auto"/>
              <w:rPr>
                <w:rFonts w:hint="eastAsia" w:ascii="宋体" w:hAnsi="宋体" w:eastAsia="宋体" w:cs="宋体"/>
                <w:color w:val="000000"/>
              </w:rPr>
            </w:pPr>
            <w:r>
              <w:rPr>
                <w:rFonts w:hint="eastAsia" w:ascii="宋体" w:hAnsi="宋体" w:eastAsia="宋体" w:cs="宋体"/>
                <w:color w:val="000000"/>
              </w:rPr>
            </w:r>
            <w:r/>
          </w:p>
        </w:tc>
        <w:tc>
          <w:tcPr>
            <w:tcW w:w="1020" w:type="dxa"/>
            <w:vAlign w:val="top"/>
            <w:vMerge w:val="continue"/>
            <w:textDirection w:val="lrTb"/>
            <w:noWrap w:val="false"/>
          </w:tcPr>
          <w:p>
            <w:pPr>
              <w:pStyle w:val="654"/>
              <w:spacing w:after="0" w:line="240" w:lineRule="auto"/>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6384" w:type="dxa"/>
            <w:vAlign w:val="center"/>
            <w:textDirection w:val="lrTb"/>
            <w:noWrap/>
          </w:tcPr>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2、项目组成员（不包含项目负责人）：</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具有环境影响评价工程师证书的得2分/人，最多得12分；</w:t>
            </w:r>
            <w:r>
              <w:rPr>
                <w:rFonts w:hint="eastAsia" w:ascii="宋体" w:hAnsi="宋体" w:eastAsia="宋体" w:cs="宋体"/>
                <w:color w:val="000000"/>
                <w:highlight w:val="none"/>
              </w:rPr>
            </w:r>
            <w:r/>
          </w:p>
          <w:p>
            <w:pPr>
              <w:pStyle w:val="654"/>
              <w:ind w:left="0" w:right="0" w:firstLine="0"/>
              <w:jc w:val="both"/>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上述人员中：</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同时具有环保类副高级及以上职称的加0.5分/人，最多加2分；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同时具有化工类副高级及以上职称的加0.5 分/人，最多加1分。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本项满分15分。</w:t>
            </w:r>
            <w:r>
              <w:rPr>
                <w:rFonts w:hint="eastAsia" w:ascii="宋体" w:hAnsi="宋体" w:eastAsia="宋体" w:cs="宋体"/>
                <w:color w:val="000000"/>
                <w:sz w:val="24"/>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（提供有效的证书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劳动合同</w:t>
            </w:r>
            <w:r>
              <w:rPr>
                <w:rFonts w:hint="eastAsia" w:ascii="宋体" w:hAnsi="宋体" w:cs="宋体"/>
                <w:color w:val="000000"/>
                <w:sz w:val="24"/>
                <w:highlight w:val="none"/>
                <w:lang w:val="en-US" w:eastAsia="zh-CN"/>
              </w:rPr>
              <w:t xml:space="preserve">及供应商为上述人员缴纳的近半年内（2026年2月-2026年7月）任意一个月社保证明</w:t>
            </w:r>
            <w:r>
              <w:rPr>
                <w:rFonts w:hint="eastAsia" w:ascii="宋体" w:hAnsi="宋体" w:eastAsia="宋体" w:cs="宋体"/>
                <w:color w:val="000000"/>
                <w:sz w:val="24"/>
                <w:highlight w:val="none"/>
              </w:rPr>
              <w:t xml:space="preserve">扫描上传至电子投标文件中，否则对应人员不得分。专业以职称证书为准，职称证书上不能体现专业的，以毕业证书为准。）</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客观分</w:t>
            </w:r>
            <w:r>
              <w:rPr>
                <w:rFonts w:hint="eastAsia" w:ascii="宋体" w:hAnsi="宋体" w:eastAsia="宋体" w:cs="宋体"/>
                <w:color w:val="000000"/>
                <w:sz w:val="24"/>
                <w:highlight w:val="none"/>
              </w:rPr>
            </w:r>
            <w:r/>
          </w:p>
        </w:tc>
      </w:tr>
      <w:tr>
        <w:trPr>
          <w:trHeight w:val="299"/>
        </w:trPr>
        <w:tc>
          <w:tcPr>
            <w:tcW w:w="754" w:type="dxa"/>
            <w:vAlign w:val="top"/>
            <w:vMerge w:val="continue"/>
            <w:textDirection w:val="lrTb"/>
            <w:noWrap w:val="false"/>
          </w:tcPr>
          <w:p>
            <w:pPr>
              <w:pStyle w:val="654"/>
              <w:spacing w:after="0" w:line="240" w:lineRule="auto"/>
              <w:rPr>
                <w:rFonts w:hint="eastAsia" w:ascii="宋体" w:hAnsi="宋体" w:eastAsia="宋体" w:cs="宋体"/>
                <w:color w:val="000000"/>
              </w:rPr>
            </w:pPr>
            <w:r>
              <w:rPr>
                <w:rFonts w:hint="eastAsia" w:ascii="宋体" w:hAnsi="宋体" w:eastAsia="宋体" w:cs="宋体"/>
                <w:color w:val="000000"/>
              </w:rPr>
            </w:r>
            <w:r/>
          </w:p>
        </w:tc>
        <w:tc>
          <w:tcPr>
            <w:tcW w:w="1020" w:type="dxa"/>
            <w:vAlign w:val="top"/>
            <w:vMerge w:val="continue"/>
            <w:textDirection w:val="lrTb"/>
            <w:noWrap w:val="false"/>
          </w:tcPr>
          <w:p>
            <w:pPr>
              <w:pStyle w:val="654"/>
              <w:spacing w:after="0" w:line="240" w:lineRule="auto"/>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6384" w:type="dxa"/>
            <w:vAlign w:val="center"/>
            <w:textDirection w:val="lrTb"/>
            <w:noWrap/>
          </w:tcPr>
          <w:p>
            <w:pPr>
              <w:pStyle w:val="654"/>
              <w:ind w:left="0" w:right="0" w:firstLine="0"/>
              <w:spacing w:before="0" w:after="0" w:line="240" w:lineRule="auto"/>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3、项目组</w:t>
            </w:r>
            <w:r>
              <w:rPr>
                <w:rFonts w:hint="eastAsia" w:ascii="宋体" w:hAnsi="宋体" w:cs="宋体"/>
                <w:b w:val="0"/>
                <w:bCs/>
                <w:color w:val="000000"/>
                <w:sz w:val="24"/>
                <w:highlight w:val="none"/>
                <w:lang w:val="en-US" w:eastAsia="zh-CN"/>
              </w:rPr>
              <w:t xml:space="preserve">全部</w:t>
            </w:r>
            <w:r>
              <w:rPr>
                <w:rFonts w:hint="eastAsia" w:ascii="宋体" w:hAnsi="宋体" w:eastAsia="宋体" w:cs="宋体"/>
                <w:b w:val="0"/>
                <w:bCs/>
                <w:color w:val="000000"/>
                <w:sz w:val="24"/>
                <w:highlight w:val="none"/>
              </w:rPr>
              <w:t xml:space="preserve">成员：</w:t>
            </w:r>
            <w:r>
              <w:rPr>
                <w:rFonts w:hint="eastAsia" w:ascii="宋体" w:hAnsi="宋体" w:eastAsia="宋体" w:cs="宋体"/>
                <w:b w:val="0"/>
                <w:bCs/>
                <w:color w:val="000000"/>
                <w:highlight w:val="none"/>
              </w:rPr>
            </w:r>
            <w:r/>
          </w:p>
          <w:p>
            <w:pPr>
              <w:pStyle w:val="654"/>
              <w:ind w:left="0" w:right="0" w:firstLine="0"/>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入选“国家排污许可”专家库名单之内的得1分/人，最多得1分。（提供有效的证明材料</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劳动合同</w:t>
            </w:r>
            <w:r>
              <w:rPr>
                <w:rFonts w:hint="eastAsia" w:ascii="宋体" w:hAnsi="宋体" w:cs="宋体"/>
                <w:color w:val="000000"/>
                <w:sz w:val="24"/>
                <w:highlight w:val="none"/>
                <w:lang w:val="en-US" w:eastAsia="zh-CN"/>
              </w:rPr>
              <w:t xml:space="preserve">及供应商为上述人员缴纳的近半年内（2026年2月-2026年7月）任意一个月社保证明</w:t>
            </w:r>
            <w:r>
              <w:rPr>
                <w:rFonts w:hint="eastAsia" w:ascii="宋体" w:hAnsi="宋体" w:eastAsia="宋体" w:cs="宋体"/>
                <w:color w:val="000000"/>
                <w:sz w:val="24"/>
                <w:highlight w:val="none"/>
              </w:rPr>
              <w:t xml:space="preserve">扫描上传至电子投标文件中，否则对应人员不得分。）</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客观分</w:t>
            </w:r>
            <w:r>
              <w:rPr>
                <w:rFonts w:hint="eastAsia" w:ascii="宋体" w:hAnsi="宋体" w:eastAsia="宋体" w:cs="宋体"/>
                <w:color w:val="000000"/>
                <w:sz w:val="24"/>
                <w:highlight w:val="none"/>
              </w:rPr>
            </w:r>
            <w:r/>
          </w:p>
        </w:tc>
      </w:tr>
      <w:tr>
        <w:trPr>
          <w:trHeight w:val="1099"/>
        </w:trPr>
        <w:tc>
          <w:tcPr>
            <w:tcMar>
              <w:left w:w="108" w:type="dxa"/>
              <w:top w:w="0" w:type="dxa"/>
              <w:right w:w="108" w:type="dxa"/>
              <w:bottom w:w="0" w:type="dxa"/>
            </w:tcMar>
            <w:tcW w:w="754" w:type="dxa"/>
            <w:vAlign w:val="center"/>
            <w:vMerge w:val="restart"/>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3</w:t>
            </w:r>
            <w:r>
              <w:rPr>
                <w:rFonts w:hint="eastAsia" w:ascii="宋体" w:hAnsi="宋体" w:eastAsia="宋体" w:cs="宋体"/>
                <w:color w:val="000000"/>
                <w:highlight w:val="none"/>
              </w:rPr>
            </w:r>
            <w:r/>
          </w:p>
        </w:tc>
        <w:tc>
          <w:tcPr>
            <w:tcMar>
              <w:left w:w="108" w:type="dxa"/>
              <w:top w:w="0" w:type="dxa"/>
              <w:right w:w="108" w:type="dxa"/>
              <w:bottom w:w="0" w:type="dxa"/>
            </w:tcMar>
            <w:tcW w:w="1020" w:type="dxa"/>
            <w:vAlign w:val="center"/>
            <w:vMerge w:val="restart"/>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业绩</w:t>
            </w:r>
            <w:r>
              <w:rPr>
                <w:rFonts w:hint="eastAsia" w:ascii="宋体" w:hAnsi="宋体" w:eastAsia="宋体" w:cs="宋体"/>
                <w:color w:val="000000"/>
                <w:highlight w:val="none"/>
              </w:rPr>
            </w:r>
            <w:r/>
          </w:p>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15分</w:t>
            </w:r>
            <w:r>
              <w:rPr>
                <w:rFonts w:hint="eastAsia" w:ascii="宋体" w:hAnsi="宋体" w:eastAsia="宋体" w:cs="宋体"/>
                <w:color w:val="000000"/>
                <w:highlight w:val="none"/>
              </w:rPr>
            </w:r>
            <w:r/>
          </w:p>
        </w:tc>
        <w:tc>
          <w:tcPr>
            <w:tcMar>
              <w:left w:w="108" w:type="dxa"/>
              <w:top w:w="0" w:type="dxa"/>
              <w:right w:w="108" w:type="dxa"/>
              <w:bottom w:w="0" w:type="dxa"/>
            </w:tcMar>
            <w:tcW w:w="6384" w:type="dxa"/>
            <w:vAlign w:val="center"/>
            <w:textDirection w:val="lrTb"/>
            <w:noWrap/>
          </w:tcPr>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1、供应商自202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年1月1日（含）以来，承担过排污许可证申报或与排污许可证申报相关业绩的，每一项得2分，最多得6分。（时间、内容均以合同或中标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通知书为准。提供合同或中标通知书复印件并加盖公章。提供的证明材料须能反映出相关数据及内容，否则视为未提供）</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客观分</w:t>
            </w:r>
            <w:r>
              <w:rPr>
                <w:rFonts w:hint="eastAsia" w:ascii="宋体" w:hAnsi="宋体" w:eastAsia="宋体" w:cs="宋体"/>
                <w:color w:val="000000"/>
                <w:sz w:val="24"/>
                <w:highlight w:val="none"/>
              </w:rPr>
            </w:r>
            <w:r/>
          </w:p>
        </w:tc>
      </w:tr>
      <w:tr>
        <w:trPr>
          <w:trHeight w:val="549"/>
        </w:trPr>
        <w:tc>
          <w:tcPr>
            <w:tcW w:w="754" w:type="dxa"/>
            <w:vAlign w:val="top"/>
            <w:vMerge w:val="continue"/>
            <w:textDirection w:val="lrTb"/>
            <w:noWrap w:val="false"/>
          </w:tcPr>
          <w:p>
            <w:pPr>
              <w:pStyle w:val="654"/>
              <w:spacing w:after="0" w:line="240" w:lineRule="auto"/>
              <w:rPr>
                <w:rFonts w:hint="eastAsia" w:ascii="宋体" w:hAnsi="宋体" w:eastAsia="宋体" w:cs="宋体"/>
                <w:color w:val="000000"/>
              </w:rPr>
            </w:pPr>
            <w:r>
              <w:rPr>
                <w:rFonts w:hint="eastAsia" w:ascii="宋体" w:hAnsi="宋体" w:eastAsia="宋体" w:cs="宋体"/>
                <w:color w:val="000000"/>
              </w:rPr>
            </w:r>
            <w:r/>
          </w:p>
        </w:tc>
        <w:tc>
          <w:tcPr>
            <w:tcW w:w="1020" w:type="dxa"/>
            <w:vAlign w:val="top"/>
            <w:vMerge w:val="continue"/>
            <w:textDirection w:val="lrTb"/>
            <w:noWrap w:val="false"/>
          </w:tcPr>
          <w:p>
            <w:pPr>
              <w:pStyle w:val="654"/>
              <w:spacing w:after="0" w:line="240" w:lineRule="auto"/>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6384" w:type="dxa"/>
            <w:vAlign w:val="center"/>
            <w:textDirection w:val="lrTb"/>
            <w:noWrap/>
          </w:tcPr>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2、供应商自202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年1月1日（含）以来，承担过排污许可证技术评估或与排污许可证技术评估相关业绩的，每</w:t>
            </w:r>
            <w:r>
              <w:rPr>
                <w:rFonts w:hint="eastAsia" w:ascii="宋体" w:hAnsi="宋体" w:eastAsia="宋体" w:cs="宋体"/>
                <w:color w:val="000000"/>
                <w:sz w:val="24"/>
                <w:highlight w:val="none"/>
                <w:lang w:val="en-US" w:eastAsia="zh-CN"/>
              </w:rPr>
              <w:t xml:space="preserve">提供</w:t>
            </w:r>
            <w:r>
              <w:rPr>
                <w:rFonts w:hint="eastAsia" w:ascii="宋体" w:hAnsi="宋体" w:eastAsia="宋体" w:cs="宋体"/>
                <w:color w:val="000000"/>
                <w:sz w:val="24"/>
                <w:highlight w:val="none"/>
              </w:rPr>
              <w:t xml:space="preserve">一项得3分，最多得9分。（时间、内容均以合同或中标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通知书为准。须提供合同或中标通知书扫描上传至电子投标文件中。提供的证明材料须能反映出相关数据及内容，否则视为未提供）</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客观分</w:t>
            </w:r>
            <w:r>
              <w:rPr>
                <w:rFonts w:hint="eastAsia" w:ascii="宋体" w:hAnsi="宋体" w:eastAsia="宋体" w:cs="宋体"/>
                <w:color w:val="000000"/>
                <w:sz w:val="24"/>
                <w:highlight w:val="none"/>
              </w:rPr>
            </w:r>
            <w:r/>
          </w:p>
        </w:tc>
      </w:tr>
      <w:tr>
        <w:trPr>
          <w:trHeight w:val="701"/>
        </w:trPr>
        <w:tc>
          <w:tcPr>
            <w:tcMar>
              <w:left w:w="108" w:type="dxa"/>
              <w:top w:w="0" w:type="dxa"/>
              <w:right w:w="108" w:type="dxa"/>
              <w:bottom w:w="0" w:type="dxa"/>
            </w:tcMar>
            <w:tcW w:w="75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4</w:t>
            </w:r>
            <w:r>
              <w:rPr>
                <w:rFonts w:hint="eastAsia" w:ascii="宋体" w:hAnsi="宋体" w:eastAsia="宋体" w:cs="宋体"/>
                <w:color w:val="000000"/>
                <w:highlight w:val="none"/>
              </w:rPr>
            </w:r>
            <w:r/>
          </w:p>
        </w:tc>
        <w:tc>
          <w:tcPr>
            <w:tcMar>
              <w:left w:w="108" w:type="dxa"/>
              <w:top w:w="0" w:type="dxa"/>
              <w:right w:w="108" w:type="dxa"/>
              <w:bottom w:w="0" w:type="dxa"/>
            </w:tcMar>
            <w:tcW w:w="1020"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承诺书</w:t>
            </w:r>
            <w:r>
              <w:rPr>
                <w:rFonts w:hint="eastAsia" w:ascii="宋体" w:hAnsi="宋体" w:eastAsia="宋体" w:cs="宋体"/>
                <w:color w:val="000000"/>
                <w:highlight w:val="none"/>
              </w:rPr>
            </w:r>
            <w:r/>
          </w:p>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4分</w:t>
            </w:r>
            <w:r>
              <w:rPr>
                <w:rFonts w:hint="eastAsia" w:ascii="宋体" w:hAnsi="宋体" w:eastAsia="宋体" w:cs="宋体"/>
                <w:color w:val="000000"/>
                <w:highlight w:val="none"/>
              </w:rPr>
            </w:r>
            <w:r/>
          </w:p>
        </w:tc>
        <w:tc>
          <w:tcPr>
            <w:tcMar>
              <w:left w:w="108" w:type="dxa"/>
              <w:top w:w="0" w:type="dxa"/>
              <w:right w:w="108" w:type="dxa"/>
              <w:bottom w:w="0" w:type="dxa"/>
            </w:tcMar>
            <w:tcW w:w="6384" w:type="dxa"/>
            <w:vAlign w:val="center"/>
            <w:textDirection w:val="lrTb"/>
            <w:noWrap/>
          </w:tcPr>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供应商承诺项目负责人每月提供一次综合指导会，提供承诺书的得4分，不提供不得分。（提供加盖公章的承诺书原件扫描上传至电子投标文件中，格式自拟）</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客观分</w:t>
            </w:r>
            <w:r>
              <w:rPr>
                <w:rFonts w:hint="eastAsia" w:ascii="宋体" w:hAnsi="宋体" w:eastAsia="宋体" w:cs="宋体"/>
                <w:color w:val="000000"/>
                <w:sz w:val="24"/>
                <w:highlight w:val="none"/>
              </w:rPr>
            </w:r>
            <w:r/>
          </w:p>
        </w:tc>
      </w:tr>
      <w:tr>
        <w:trPr>
          <w:trHeight w:val="90"/>
        </w:trPr>
        <w:tc>
          <w:tcPr>
            <w:tcMar>
              <w:left w:w="108" w:type="dxa"/>
              <w:top w:w="0" w:type="dxa"/>
              <w:right w:w="108" w:type="dxa"/>
              <w:bottom w:w="0" w:type="dxa"/>
            </w:tcMar>
            <w:tcW w:w="754" w:type="dxa"/>
            <w:vAlign w:val="center"/>
            <w:vMerge w:val="restart"/>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5</w:t>
            </w:r>
            <w:r>
              <w:rPr>
                <w:rFonts w:hint="eastAsia" w:ascii="宋体" w:hAnsi="宋体" w:eastAsia="宋体" w:cs="宋体"/>
                <w:color w:val="000000"/>
                <w:highlight w:val="none"/>
              </w:rPr>
            </w:r>
            <w:r/>
          </w:p>
        </w:tc>
        <w:tc>
          <w:tcPr>
            <w:tcMar>
              <w:left w:w="108" w:type="dxa"/>
              <w:top w:w="0" w:type="dxa"/>
              <w:right w:w="108" w:type="dxa"/>
              <w:bottom w:w="0" w:type="dxa"/>
            </w:tcMar>
            <w:tcW w:w="1020" w:type="dxa"/>
            <w:vAlign w:val="center"/>
            <w:vMerge w:val="restart"/>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服务方案</w:t>
            </w:r>
            <w:r>
              <w:rPr>
                <w:rFonts w:hint="eastAsia" w:ascii="宋体" w:hAnsi="宋体" w:eastAsia="宋体" w:cs="宋体"/>
                <w:color w:val="000000"/>
                <w:highlight w:val="none"/>
              </w:rPr>
            </w:r>
            <w:r/>
          </w:p>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48分</w:t>
            </w:r>
            <w:r>
              <w:rPr>
                <w:rFonts w:hint="eastAsia" w:ascii="宋体" w:hAnsi="宋体" w:eastAsia="宋体" w:cs="宋体"/>
                <w:color w:val="000000"/>
                <w:highlight w:val="none"/>
              </w:rPr>
            </w:r>
            <w:r/>
          </w:p>
        </w:tc>
        <w:tc>
          <w:tcPr>
            <w:tcMar>
              <w:left w:w="108" w:type="dxa"/>
              <w:top w:w="0" w:type="dxa"/>
              <w:right w:w="108" w:type="dxa"/>
              <w:bottom w:w="0" w:type="dxa"/>
            </w:tcMar>
            <w:tcW w:w="6384" w:type="dxa"/>
            <w:vAlign w:val="center"/>
            <w:textDirection w:val="lrTb"/>
            <w:noWrap/>
          </w:tcPr>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（1）对本项目的了解程度：根据供应商提供的基于对本项目相关政策和江北新区许可证管理概况的理解与认识进行综合评分。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方案完全满足项目需求，分析完整到位、理解深入全面的得10分；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方案合理，分析较完整到位、理解较深入全面的得8分；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分析基本到位、理解不到位或</w:t>
            </w:r>
            <w:r>
              <w:rPr>
                <w:rFonts w:hint="eastAsia" w:ascii="宋体" w:hAnsi="宋体" w:cs="宋体"/>
                <w:color w:val="000000"/>
                <w:sz w:val="24"/>
                <w:highlight w:val="none"/>
                <w:lang w:val="en-US" w:eastAsia="zh-CN"/>
              </w:rPr>
              <w:t xml:space="preserve">有偏差</w:t>
            </w:r>
            <w:r>
              <w:rPr>
                <w:rFonts w:hint="eastAsia" w:ascii="宋体" w:hAnsi="宋体" w:eastAsia="宋体" w:cs="宋体"/>
                <w:color w:val="000000"/>
                <w:sz w:val="24"/>
                <w:highlight w:val="none"/>
              </w:rPr>
              <w:t xml:space="preserve">的得6分；</w:t>
            </w:r>
            <w:r>
              <w:rPr>
                <w:rFonts w:hint="eastAsia" w:ascii="宋体" w:hAnsi="宋体" w:eastAsia="宋体" w:cs="宋体"/>
                <w:color w:val="000000"/>
                <w:sz w:val="24"/>
                <w:highlight w:val="none"/>
              </w:rPr>
            </w:r>
            <w:r/>
          </w:p>
          <w:p>
            <w:pPr>
              <w:pStyle w:val="654"/>
              <w:ind w:left="0" w:right="0" w:firstLine="0"/>
              <w:jc w:val="both"/>
              <w:spacing w:before="0"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方案</w:t>
            </w:r>
            <w:r>
              <w:rPr>
                <w:rFonts w:hint="eastAsia" w:ascii="宋体" w:hAnsi="宋体" w:cs="宋体"/>
                <w:color w:val="000000"/>
                <w:sz w:val="24"/>
                <w:highlight w:val="none"/>
                <w:lang w:val="en-US" w:eastAsia="zh-CN"/>
              </w:rPr>
              <w:t xml:space="preserve">简单，需进一步完善方能满足本项目需求得4分；</w:t>
            </w:r>
            <w:r>
              <w:rPr>
                <w:rFonts w:hint="eastAsia" w:ascii="宋体" w:hAnsi="宋体" w:cs="宋体"/>
                <w:color w:val="000000"/>
                <w:sz w:val="24"/>
                <w:highlight w:val="none"/>
                <w:lang w:val="en-US" w:eastAsia="zh-CN"/>
              </w:rPr>
            </w:r>
            <w:r/>
          </w:p>
          <w:p>
            <w:pPr>
              <w:pStyle w:val="654"/>
              <w:ind w:left="0" w:right="0" w:firstLine="0"/>
              <w:jc w:val="both"/>
              <w:spacing w:before="0" w:after="0" w:line="240" w:lineRule="auto"/>
              <w:rPr>
                <w:rFonts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lang w:val="en-US" w:eastAsia="zh-CN"/>
              </w:rPr>
              <w:t xml:space="preserve">方案</w:t>
            </w:r>
            <w:r>
              <w:rPr>
                <w:rFonts w:hint="eastAsia" w:ascii="宋体" w:hAnsi="宋体" w:cs="宋体"/>
                <w:color w:val="000000"/>
                <w:sz w:val="24"/>
                <w:highlight w:val="none"/>
                <w:lang w:val="en-US" w:eastAsia="zh-CN"/>
              </w:rPr>
              <w:t xml:space="preserve">内容有缺失</w:t>
            </w:r>
            <w:r>
              <w:rPr>
                <w:rFonts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不能满足本项目需求得2分；</w:t>
            </w:r>
            <w:r>
              <w:rPr>
                <w:rFonts w:ascii="宋体" w:hAnsi="宋体" w:eastAsia="宋体" w:cs="宋体"/>
                <w:color w:val="000000"/>
                <w:sz w:val="24"/>
                <w:highlight w:val="none"/>
                <w:lang w:val="en-US"/>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不提供不得分。</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10</w:t>
            </w:r>
            <w:r>
              <w:rPr>
                <w:rFonts w:ascii="宋体" w:hAnsi="宋体" w:eastAsia="宋体" w:cs="宋体"/>
                <w:color w:val="000000"/>
                <w:highlight w:val="none"/>
                <w:lang w:val="en-US" w:eastAsia="zh-CN"/>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主观分</w:t>
            </w:r>
            <w:r>
              <w:rPr>
                <w:rFonts w:hint="eastAsia" w:ascii="宋体" w:hAnsi="宋体" w:eastAsia="宋体" w:cs="宋体"/>
                <w:color w:val="000000"/>
                <w:sz w:val="24"/>
                <w:highlight w:val="none"/>
                <w:lang w:val="en-US" w:eastAsia="zh-CN"/>
              </w:rPr>
            </w:r>
            <w:r/>
          </w:p>
        </w:tc>
      </w:tr>
      <w:tr>
        <w:trPr>
          <w:trHeight w:val="549"/>
        </w:trPr>
        <w:tc>
          <w:tcPr>
            <w:tcW w:w="754" w:type="dxa"/>
            <w:vAlign w:val="top"/>
            <w:vMerge w:val="continue"/>
            <w:textDirection w:val="lrTb"/>
            <w:noWrap w:val="false"/>
          </w:tcPr>
          <w:p>
            <w:pPr>
              <w:pStyle w:val="654"/>
              <w:spacing w:after="0" w:line="240" w:lineRule="auto"/>
              <w:rPr>
                <w:rFonts w:hint="eastAsia" w:ascii="宋体" w:hAnsi="宋体" w:eastAsia="宋体" w:cs="宋体"/>
                <w:color w:val="000000"/>
              </w:rPr>
            </w:pPr>
            <w:r>
              <w:rPr>
                <w:rFonts w:hint="eastAsia" w:ascii="宋体" w:hAnsi="宋体" w:eastAsia="宋体" w:cs="宋体"/>
                <w:color w:val="000000"/>
              </w:rPr>
            </w:r>
            <w:r/>
          </w:p>
        </w:tc>
        <w:tc>
          <w:tcPr>
            <w:tcW w:w="1020" w:type="dxa"/>
            <w:vAlign w:val="top"/>
            <w:vMerge w:val="continue"/>
            <w:textDirection w:val="lrTb"/>
            <w:noWrap w:val="false"/>
          </w:tcPr>
          <w:p>
            <w:pPr>
              <w:pStyle w:val="654"/>
              <w:spacing w:after="0" w:line="240" w:lineRule="auto"/>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6384" w:type="dxa"/>
            <w:vAlign w:val="center"/>
            <w:textDirection w:val="lrTb"/>
            <w:noWrap/>
          </w:tcPr>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（2）项目重难点分析：根据供应商提供的针对本项目实施过程中工作重点、难点进行分析，并阐述对应措施进行综合评分。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分析到位，表述全面、准确、针对性强的得10分； </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表述较为全面、准确、有一定针对性的得8分； </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表述全面性、准确性、针对性一般的得6分；</w:t>
            </w:r>
            <w:r>
              <w:rPr>
                <w:rFonts w:hint="eastAsia" w:ascii="宋体" w:hAnsi="宋体" w:eastAsia="宋体" w:cs="宋体"/>
                <w:color w:val="000000"/>
                <w:sz w:val="24"/>
                <w:highlight w:val="none"/>
              </w:rPr>
            </w:r>
            <w:r/>
          </w:p>
          <w:p>
            <w:pPr>
              <w:pStyle w:val="654"/>
              <w:ind w:left="0" w:right="0" w:firstLine="0"/>
              <w:jc w:val="both"/>
              <w:spacing w:before="0"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表述简单，需进一步完善方能满足本项目需求得4分；</w:t>
            </w:r>
            <w:r>
              <w:rPr>
                <w:rFonts w:hint="eastAsia" w:ascii="宋体" w:hAnsi="宋体" w:cs="宋体"/>
                <w:color w:val="000000"/>
                <w:sz w:val="24"/>
                <w:highlight w:val="none"/>
                <w:lang w:val="en-US" w:eastAsia="zh-CN"/>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lang w:val="en-US" w:eastAsia="zh-CN"/>
              </w:rPr>
              <w:t xml:space="preserve">表述存在明显疏漏，准确性或针对性不足</w:t>
            </w:r>
            <w:r>
              <w:rPr>
                <w:rFonts w:hint="eastAsia" w:ascii="宋体" w:hAnsi="宋体" w:cs="宋体"/>
                <w:color w:val="000000"/>
                <w:sz w:val="24"/>
                <w:highlight w:val="none"/>
                <w:lang w:val="en-US" w:eastAsia="zh-CN"/>
              </w:rPr>
              <w:t xml:space="preserve">得2分；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不提供不得分。</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主观分</w:t>
            </w:r>
            <w:r>
              <w:rPr>
                <w:rFonts w:hint="eastAsia" w:ascii="宋体" w:hAnsi="宋体" w:eastAsia="宋体" w:cs="宋体"/>
                <w:color w:val="000000"/>
                <w:sz w:val="24"/>
                <w:highlight w:val="none"/>
              </w:rPr>
            </w:r>
            <w:r/>
          </w:p>
        </w:tc>
      </w:tr>
      <w:tr>
        <w:trPr>
          <w:trHeight w:val="549"/>
        </w:trPr>
        <w:tc>
          <w:tcPr>
            <w:tcW w:w="754" w:type="dxa"/>
            <w:vAlign w:val="top"/>
            <w:vMerge w:val="continue"/>
            <w:textDirection w:val="lrTb"/>
            <w:noWrap w:val="false"/>
          </w:tcPr>
          <w:p>
            <w:pPr>
              <w:pStyle w:val="654"/>
              <w:spacing w:after="0" w:line="240" w:lineRule="auto"/>
              <w:rPr>
                <w:rFonts w:hint="eastAsia" w:ascii="宋体" w:hAnsi="宋体" w:eastAsia="宋体" w:cs="宋体"/>
                <w:color w:val="000000"/>
              </w:rPr>
            </w:pPr>
            <w:r>
              <w:rPr>
                <w:rFonts w:hint="eastAsia" w:ascii="宋体" w:hAnsi="宋体" w:eastAsia="宋体" w:cs="宋体"/>
                <w:color w:val="000000"/>
              </w:rPr>
            </w:r>
            <w:r/>
          </w:p>
        </w:tc>
        <w:tc>
          <w:tcPr>
            <w:tcW w:w="1020" w:type="dxa"/>
            <w:vAlign w:val="top"/>
            <w:vMerge w:val="continue"/>
            <w:textDirection w:val="lrTb"/>
            <w:noWrap w:val="false"/>
          </w:tcPr>
          <w:p>
            <w:pPr>
              <w:pStyle w:val="654"/>
              <w:spacing w:after="0" w:line="240" w:lineRule="auto"/>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6384" w:type="dxa"/>
            <w:vAlign w:val="center"/>
            <w:textDirection w:val="lrTb"/>
            <w:noWrap/>
          </w:tcPr>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服务方案：供应商熟悉国家排污许可证核发技术规范等要求，根据供应商提供的结合本项目实际编制服务方案，内容包括但不限于重点管理和简化管理企业排污许可证技术评估以及其他服务等进行综合评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方案详细、可行、完善，措施得当得1</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方案详细、基本可行、相对完善，措施较得当得</w:t>
            </w: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方案简单，要素不完善，可行性较低的得</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54"/>
              <w:ind w:left="0" w:right="0" w:firstLine="0"/>
              <w:jc w:val="both"/>
              <w:spacing w:before="0" w:after="0" w:line="240" w:lineRule="auto"/>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方案非常简略，关键要素缺失，可行性</w:t>
            </w:r>
            <w:r>
              <w:rPr>
                <w:rFonts w:hint="eastAsia" w:ascii="宋体" w:hAnsi="宋体" w:eastAsia="宋体" w:cs="宋体"/>
                <w:color w:val="000000"/>
                <w:sz w:val="24"/>
                <w:szCs w:val="24"/>
                <w:lang w:val="en-US" w:eastAsia="zh-CN"/>
              </w:rPr>
              <w:t xml:space="preserve">低得6分；</w:t>
            </w:r>
            <w:r>
              <w:rPr>
                <w:rFonts w:ascii="宋体" w:hAnsi="宋体" w:eastAsia="宋体" w:cs="宋体"/>
                <w:color w:val="000000"/>
                <w:sz w:val="24"/>
                <w:szCs w:val="24"/>
                <w:lang w:val="en-US" w:eastAsia="zh-CN"/>
              </w:rPr>
            </w:r>
            <w:r/>
          </w:p>
          <w:p>
            <w:pPr>
              <w:pStyle w:val="654"/>
              <w:ind w:left="0" w:right="0" w:firstLine="0"/>
              <w:jc w:val="both"/>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rPr>
              <w:t xml:space="preserve">方案内容</w:t>
            </w:r>
            <w:r>
              <w:rPr>
                <w:rFonts w:hint="eastAsia" w:ascii="宋体" w:hAnsi="宋体" w:eastAsia="宋体" w:cs="宋体"/>
                <w:color w:val="000000"/>
                <w:sz w:val="24"/>
                <w:szCs w:val="24"/>
                <w:lang w:val="en-US" w:eastAsia="zh-CN"/>
              </w:rPr>
              <w:t xml:space="preserve">有缺失</w:t>
            </w:r>
            <w:r>
              <w:rPr>
                <w:rFonts w:ascii="宋体" w:hAnsi="宋体" w:eastAsia="宋体" w:cs="宋体"/>
                <w:color w:val="000000"/>
                <w:sz w:val="24"/>
                <w:szCs w:val="24"/>
                <w:lang w:val="en-US" w:eastAsia="zh-CN"/>
              </w:rPr>
              <w:t xml:space="preserve">，逻辑不清，不具备可操作性</w:t>
            </w:r>
            <w:r>
              <w:rPr>
                <w:rFonts w:hint="eastAsia" w:ascii="宋体" w:hAnsi="宋体" w:eastAsia="宋体" w:cs="宋体"/>
                <w:color w:val="000000"/>
                <w:sz w:val="24"/>
                <w:szCs w:val="24"/>
                <w:lang w:val="en-US" w:eastAsia="zh-CN"/>
              </w:rPr>
              <w:t xml:space="preserve">得4分；</w:t>
            </w:r>
            <w:r>
              <w:rPr>
                <w:rFonts w:hint="eastAsia" w:ascii="宋体" w:hAnsi="宋体" w:eastAsia="宋体" w:cs="宋体"/>
                <w:color w:val="000000"/>
                <w:sz w:val="24"/>
                <w:szCs w:val="24"/>
                <w:lang w:val="en-US" w:eastAsia="zh-CN"/>
              </w:rPr>
            </w:r>
            <w:r/>
          </w:p>
          <w:p>
            <w:pPr>
              <w:pStyle w:val="654"/>
              <w:ind w:left="0" w:right="0" w:firstLine="0"/>
              <w:jc w:val="both"/>
              <w:spacing w:before="0"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lang w:val="en-US" w:eastAsia="zh-CN"/>
              </w:rPr>
              <w:t xml:space="preserve">方案</w:t>
            </w:r>
            <w:r>
              <w:rPr>
                <w:rFonts w:hint="eastAsia" w:ascii="宋体" w:hAnsi="宋体" w:cs="宋体"/>
                <w:color w:val="000000"/>
                <w:sz w:val="24"/>
                <w:highlight w:val="none"/>
                <w:lang w:val="en-US" w:eastAsia="zh-CN"/>
              </w:rPr>
              <w:t xml:space="preserve">粗糙</w:t>
            </w:r>
            <w:r>
              <w:rPr>
                <w:rFonts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不能满足本项目需求得2分；</w:t>
            </w:r>
            <w:r>
              <w:rPr>
                <w:rFonts w:hint="eastAsia" w:ascii="宋体" w:hAnsi="宋体" w:cs="宋体"/>
                <w:color w:val="000000"/>
                <w:sz w:val="24"/>
                <w:highlight w:val="none"/>
                <w:lang w:val="en-US" w:eastAsia="zh-CN"/>
              </w:rPr>
            </w:r>
            <w:r/>
          </w:p>
          <w:p>
            <w:pPr>
              <w:pStyle w:val="654"/>
              <w:ind w:left="0" w:right="0" w:firstLine="0"/>
              <w:jc w:val="both"/>
              <w:spacing w:before="0" w:after="0" w:line="240" w:lineRule="auto"/>
              <w:rPr>
                <w:rFonts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未提供不得分。</w:t>
            </w:r>
            <w:r>
              <w:rPr>
                <w:rFonts w:ascii="宋体" w:hAnsi="宋体" w:cs="宋体"/>
                <w:color w:val="000000"/>
                <w:sz w:val="24"/>
                <w:highlight w:val="none"/>
                <w:lang w:val="en-US" w:eastAsia="zh-CN"/>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12</w:t>
            </w:r>
            <w:r>
              <w:rPr>
                <w:rFonts w:ascii="宋体" w:hAnsi="宋体" w:eastAsia="宋体" w:cs="宋体"/>
                <w:color w:val="000000"/>
                <w:highlight w:val="none"/>
                <w:lang w:val="en-US" w:eastAsia="zh-CN"/>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主观分</w:t>
            </w:r>
            <w:r>
              <w:rPr>
                <w:rFonts w:hint="eastAsia" w:ascii="宋体" w:hAnsi="宋体" w:eastAsia="宋体" w:cs="宋体"/>
                <w:color w:val="000000"/>
                <w:sz w:val="24"/>
                <w:highlight w:val="none"/>
              </w:rPr>
            </w:r>
            <w:r/>
          </w:p>
        </w:tc>
      </w:tr>
      <w:tr>
        <w:trPr>
          <w:trHeight w:val="549"/>
        </w:trPr>
        <w:tc>
          <w:tcPr>
            <w:tcW w:w="754" w:type="dxa"/>
            <w:vAlign w:val="top"/>
            <w:vMerge w:val="continue"/>
            <w:textDirection w:val="lrTb"/>
            <w:noWrap w:val="false"/>
          </w:tcPr>
          <w:p>
            <w:pPr>
              <w:pStyle w:val="654"/>
              <w:spacing w:after="0" w:line="240" w:lineRule="auto"/>
              <w:rPr>
                <w:rFonts w:hint="eastAsia" w:ascii="宋体" w:hAnsi="宋体" w:eastAsia="宋体" w:cs="宋体"/>
                <w:color w:val="000000"/>
              </w:rPr>
            </w:pPr>
            <w:r>
              <w:rPr>
                <w:rFonts w:hint="eastAsia" w:ascii="宋体" w:hAnsi="宋体" w:eastAsia="宋体" w:cs="宋体"/>
                <w:color w:val="000000"/>
              </w:rPr>
            </w:r>
            <w:r/>
          </w:p>
        </w:tc>
        <w:tc>
          <w:tcPr>
            <w:tcW w:w="1020" w:type="dxa"/>
            <w:vAlign w:val="top"/>
            <w:vMerge w:val="continue"/>
            <w:textDirection w:val="lrTb"/>
            <w:noWrap w:val="false"/>
          </w:tcPr>
          <w:p>
            <w:pPr>
              <w:pStyle w:val="654"/>
              <w:spacing w:after="0" w:line="240" w:lineRule="auto"/>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6384" w:type="dxa"/>
            <w:vAlign w:val="center"/>
            <w:textDirection w:val="lrTb"/>
            <w:noWrap/>
          </w:tcPr>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（4）工作计划安排：根据供应商提供的本项目工作计划安排，内容包括项目进程、时间节点等。针对计划的全面性、科学合理性、及时准确性进行综合评分。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计划安排全面、科学、合理且及时准确的得</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计划安排较为全面、科学、合理且较及时准确的得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计划安排全面性不高、不太科学合理、及时准确性不高的得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54"/>
              <w:ind w:left="0" w:right="0" w:firstLine="0"/>
              <w:jc w:val="both"/>
              <w:spacing w:before="0" w:after="0" w:line="240" w:lineRule="auto"/>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计划安排严重缺失，无法满足基本要求</w:t>
            </w:r>
            <w:r>
              <w:rPr>
                <w:rFonts w:hint="eastAsia" w:ascii="宋体" w:hAnsi="宋体" w:eastAsia="宋体" w:cs="宋体"/>
                <w:color w:val="000000"/>
                <w:sz w:val="24"/>
                <w:highlight w:val="none"/>
                <w:lang w:val="en-US" w:eastAsia="zh-CN"/>
              </w:rPr>
              <w:t xml:space="preserve">得2分；</w:t>
            </w:r>
            <w:r>
              <w:rPr>
                <w:rFonts w:ascii="宋体" w:hAnsi="宋体" w:eastAsia="宋体" w:cs="宋体"/>
                <w:color w:val="000000"/>
                <w:sz w:val="24"/>
                <w:highlight w:val="none"/>
                <w:lang w:val="en-US" w:eastAsia="zh-CN"/>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不提供不得分。</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highlight w:val="none"/>
                <w:lang w:eastAsia="zh-CN"/>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主观分</w:t>
            </w:r>
            <w:r>
              <w:rPr>
                <w:rFonts w:hint="eastAsia" w:ascii="宋体" w:hAnsi="宋体" w:eastAsia="宋体" w:cs="宋体"/>
                <w:color w:val="000000"/>
                <w:sz w:val="24"/>
                <w:highlight w:val="none"/>
              </w:rPr>
            </w:r>
            <w:r/>
          </w:p>
        </w:tc>
      </w:tr>
      <w:tr>
        <w:trPr>
          <w:trHeight w:val="549"/>
        </w:trPr>
        <w:tc>
          <w:tcPr>
            <w:tcW w:w="754" w:type="dxa"/>
            <w:vAlign w:val="top"/>
            <w:vMerge w:val="continue"/>
            <w:textDirection w:val="lrTb"/>
            <w:noWrap w:val="false"/>
          </w:tcPr>
          <w:p>
            <w:pPr>
              <w:pStyle w:val="654"/>
              <w:spacing w:after="0" w:line="240" w:lineRule="auto"/>
              <w:rPr>
                <w:rFonts w:hint="eastAsia" w:ascii="宋体" w:hAnsi="宋体" w:eastAsia="宋体" w:cs="宋体"/>
                <w:color w:val="000000"/>
              </w:rPr>
            </w:pPr>
            <w:r>
              <w:rPr>
                <w:rFonts w:hint="eastAsia" w:ascii="宋体" w:hAnsi="宋体" w:eastAsia="宋体" w:cs="宋体"/>
                <w:color w:val="000000"/>
              </w:rPr>
            </w:r>
            <w:r/>
          </w:p>
        </w:tc>
        <w:tc>
          <w:tcPr>
            <w:tcW w:w="1020" w:type="dxa"/>
            <w:vAlign w:val="top"/>
            <w:vMerge w:val="continue"/>
            <w:textDirection w:val="lrTb"/>
            <w:noWrap w:val="false"/>
          </w:tcPr>
          <w:p>
            <w:pPr>
              <w:pStyle w:val="654"/>
              <w:spacing w:after="0" w:line="240" w:lineRule="auto"/>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6384" w:type="dxa"/>
            <w:vAlign w:val="center"/>
            <w:textDirection w:val="lrTb"/>
            <w:noWrap/>
          </w:tcPr>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（5）质控及进度保障措施：根据供应商提供本项目的质量控制措施及进度保障措施进行综合评分。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质控措施和进度保障措施可行、科学、完善的得8分；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质控措施和进度保障措施较为可行、科学、措施相对完善得6分；</w:t>
            </w:r>
            <w:r>
              <w:rPr>
                <w:rFonts w:hint="eastAsia" w:ascii="宋体" w:hAnsi="宋体" w:eastAsia="宋体" w:cs="宋体"/>
                <w:color w:val="000000"/>
                <w:highlight w:val="none"/>
              </w:rPr>
            </w:r>
            <w:r/>
          </w:p>
          <w:p>
            <w:pPr>
              <w:pStyle w:val="654"/>
              <w:ind w:left="0" w:right="0" w:firstLine="0"/>
              <w:jc w:val="both"/>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质控措施和进度保障措施可行性不高、措施不完善的得4分；</w:t>
            </w:r>
            <w:r>
              <w:rPr>
                <w:rFonts w:hint="eastAsia" w:ascii="宋体" w:hAnsi="宋体" w:eastAsia="宋体" w:cs="宋体"/>
                <w:color w:val="000000"/>
                <w:sz w:val="24"/>
                <w:highlight w:val="none"/>
              </w:rPr>
            </w:r>
            <w:r/>
          </w:p>
          <w:p>
            <w:pPr>
              <w:pStyle w:val="654"/>
              <w:ind w:left="0" w:right="0" w:firstLine="0"/>
              <w:jc w:val="both"/>
              <w:spacing w:before="0" w:after="0" w:line="240" w:lineRule="auto"/>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质控与进度保障措施严重缺失，无法满足基本要求</w:t>
            </w:r>
            <w:r>
              <w:rPr>
                <w:rFonts w:hint="eastAsia" w:ascii="宋体" w:hAnsi="宋体" w:cs="宋体"/>
                <w:color w:val="000000"/>
                <w:sz w:val="24"/>
                <w:highlight w:val="none"/>
                <w:lang w:val="en-US" w:eastAsia="zh-CN"/>
              </w:rPr>
              <w:t xml:space="preserve">得2分 ；</w:t>
            </w:r>
            <w:r>
              <w:rPr>
                <w:rFonts w:ascii="宋体" w:hAnsi="宋体" w:eastAsia="宋体" w:cs="宋体"/>
                <w:color w:val="000000"/>
                <w:sz w:val="24"/>
                <w:highlight w:val="none"/>
                <w:lang w:val="en-US" w:eastAsia="zh-CN"/>
              </w:rPr>
            </w:r>
            <w:r/>
          </w:p>
          <w:p>
            <w:pPr>
              <w:pStyle w:val="654"/>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不提供不得分。</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主观分</w:t>
            </w:r>
            <w:r>
              <w:rPr>
                <w:rFonts w:hint="eastAsia" w:ascii="宋体" w:hAnsi="宋体" w:eastAsia="宋体" w:cs="宋体"/>
                <w:color w:val="000000"/>
                <w:sz w:val="24"/>
                <w:highlight w:val="none"/>
              </w:rPr>
            </w:r>
            <w:r/>
          </w:p>
        </w:tc>
      </w:tr>
      <w:tr>
        <w:trPr>
          <w:trHeight w:val="549"/>
        </w:trPr>
        <w:tc>
          <w:tcPr>
            <w:gridSpan w:val="3"/>
            <w:tcMar>
              <w:left w:w="108" w:type="dxa"/>
              <w:top w:w="0" w:type="dxa"/>
              <w:right w:w="108" w:type="dxa"/>
              <w:bottom w:w="0" w:type="dxa"/>
            </w:tcMar>
            <w:tcW w:w="8158" w:type="dxa"/>
            <w:vAlign w:val="center"/>
            <w:textDirection w:val="lrTb"/>
            <w:noWrap/>
          </w:tcPr>
          <w:p>
            <w:pPr>
              <w:pStyle w:val="654"/>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合计（分）</w:t>
            </w:r>
            <w:r>
              <w:rPr>
                <w:rFonts w:hint="eastAsia" w:ascii="宋体" w:hAnsi="宋体" w:eastAsia="宋体" w:cs="宋体"/>
                <w:color w:val="000000"/>
                <w:highlight w:val="none"/>
              </w:rPr>
            </w:r>
            <w:r/>
          </w:p>
        </w:tc>
        <w:tc>
          <w:tcPr>
            <w:gridSpan w:val="2"/>
            <w:tcMar>
              <w:left w:w="108" w:type="dxa"/>
              <w:top w:w="0" w:type="dxa"/>
              <w:right w:w="108" w:type="dxa"/>
              <w:bottom w:w="0" w:type="dxa"/>
            </w:tcMar>
            <w:tcW w:w="1488" w:type="dxa"/>
            <w:vAlign w:val="center"/>
            <w:textDirection w:val="lrTb"/>
            <w:noWrap/>
          </w:tcPr>
          <w:p>
            <w:pPr>
              <w:pStyle w:val="654"/>
              <w:ind w:left="0" w:right="0" w:firstLine="0"/>
              <w:jc w:val="center"/>
              <w:spacing w:before="0" w:after="0" w:line="24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100</w:t>
            </w:r>
            <w:r>
              <w:rPr>
                <w:rFonts w:hint="eastAsia" w:ascii="宋体" w:hAnsi="宋体" w:eastAsia="宋体" w:cs="宋体"/>
                <w:b/>
                <w:color w:val="000000"/>
                <w:sz w:val="24"/>
                <w:highlight w:val="none"/>
              </w:rPr>
            </w:r>
            <w:r/>
          </w:p>
        </w:tc>
      </w:tr>
    </w:tbl>
    <w:p>
      <w:pPr>
        <w:pStyle w:val="666"/>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说明：</w:t>
      </w:r>
      <w:r>
        <w:rPr>
          <w:rFonts w:hint="eastAsia" w:ascii="宋体" w:hAnsi="宋体" w:eastAsia="宋体" w:cs="宋体"/>
          <w:color w:val="000000"/>
          <w:lang w:val="en-US" w:eastAsia="zh-CN"/>
        </w:rPr>
      </w:r>
      <w:r/>
    </w:p>
    <w:p>
      <w:pPr>
        <w:pStyle w:val="654"/>
        <w:ind w:firstLine="48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1.评审方法采用综合评分法，总分值为100分。</w:t>
      </w:r>
      <w:r>
        <w:rPr>
          <w:rFonts w:hint="eastAsia" w:ascii="宋体" w:hAnsi="宋体" w:eastAsia="宋体" w:cs="宋体"/>
          <w:color w:val="000000"/>
          <w:sz w:val="24"/>
          <w:szCs w:val="24"/>
        </w:rPr>
      </w:r>
      <w:r/>
    </w:p>
    <w:p>
      <w:pPr>
        <w:pStyle w:val="654"/>
        <w:ind w:firstLine="48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专门面向中小企业采购的项目，小微企业不再享受价格扣除优惠政策。</w:t>
      </w:r>
      <w:r>
        <w:rPr>
          <w:rFonts w:hint="eastAsia" w:ascii="宋体" w:hAnsi="宋体" w:eastAsia="宋体" w:cs="宋体"/>
          <w:color w:val="000000"/>
          <w:sz w:val="24"/>
          <w:szCs w:val="24"/>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6"/>
        <w:rPr>
          <w:rFonts w:hint="eastAsia" w:ascii="宋体" w:hAnsi="宋体" w:eastAsia="宋体" w:cs="宋体"/>
          <w:color w:val="000000"/>
        </w:rPr>
      </w:pPr>
      <w:r>
        <w:rPr>
          <w:rFonts w:hint="eastAsia" w:ascii="宋体" w:hAnsi="宋体" w:eastAsia="宋体" w:cs="宋体"/>
          <w:color w:val="000000"/>
        </w:rPr>
      </w:r>
      <w:r/>
    </w:p>
    <w:p>
      <w:pPr>
        <w:pStyle w:val="65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rPr>
          <w:rFonts w:hint="eastAsia" w:ascii="宋体" w:hAnsi="宋体" w:eastAsia="宋体" w:cs="宋体"/>
          <w:bCs/>
          <w:color w:val="000000"/>
          <w:sz w:val="44"/>
          <w:highlight w:val="none"/>
          <w:lang w:eastAsia="zh-CN"/>
        </w:rPr>
      </w:pPr>
      <w:r>
        <w:rPr>
          <w:rFonts w:hint="eastAsia" w:ascii="宋体" w:hAnsi="宋体" w:eastAsia="宋体" w:cs="宋体"/>
          <w:bCs/>
          <w:color w:val="000000"/>
          <w:sz w:val="44"/>
          <w:highlight w:val="none"/>
          <w:lang w:eastAsia="zh-CN"/>
        </w:rPr>
        <w:br w:type="page" w:clear="all"/>
      </w:r>
      <w:r>
        <w:rPr>
          <w:rFonts w:hint="eastAsia" w:ascii="宋体" w:hAnsi="宋体" w:eastAsia="宋体" w:cs="宋体"/>
          <w:bCs/>
          <w:color w:val="000000"/>
          <w:sz w:val="44"/>
          <w:highlight w:val="none"/>
          <w:lang w:eastAsia="zh-CN"/>
        </w:rPr>
      </w:r>
      <w:r/>
    </w:p>
    <w:p>
      <w:pPr>
        <w:pStyle w:val="655"/>
        <w:spacing w:line="360" w:lineRule="auto"/>
        <w:rPr>
          <w:rFonts w:hint="eastAsia" w:ascii="宋体" w:hAnsi="宋体" w:eastAsia="宋体" w:cs="宋体"/>
          <w:bCs/>
          <w:color w:val="000000"/>
          <w:sz w:val="44"/>
          <w:highlight w:val="none"/>
          <w:lang w:eastAsia="zh-CN"/>
        </w:rPr>
      </w:pPr>
      <w:r>
        <w:rPr>
          <w:rFonts w:hint="eastAsia" w:ascii="宋体" w:hAnsi="宋体" w:eastAsia="宋体" w:cs="宋体"/>
          <w:bCs/>
          <w:color w:val="000000"/>
          <w:sz w:val="44"/>
          <w:highlight w:val="none"/>
          <w:lang w:eastAsia="zh-CN"/>
        </w:rPr>
        <w:t xml:space="preserve">第六章  投标</w:t>
      </w:r>
      <w:bookmarkEnd w:id="192"/>
      <w:r/>
      <w:bookmarkEnd w:id="193"/>
      <w:r/>
      <w:bookmarkEnd w:id="194"/>
      <w:r>
        <w:rPr>
          <w:rFonts w:hint="eastAsia" w:ascii="宋体" w:hAnsi="宋体" w:eastAsia="宋体" w:cs="宋体"/>
          <w:bCs/>
          <w:color w:val="000000"/>
          <w:sz w:val="44"/>
          <w:highlight w:val="none"/>
          <w:lang w:eastAsia="zh-CN"/>
        </w:rPr>
        <w:t xml:space="preserve">文件格式 </w:t>
      </w:r>
      <w:r>
        <w:rPr>
          <w:rFonts w:hint="eastAsia" w:ascii="宋体" w:hAnsi="宋体" w:eastAsia="宋体" w:cs="宋体"/>
          <w:bCs/>
          <w:color w:val="000000"/>
          <w:sz w:val="44"/>
          <w:highlight w:val="none"/>
          <w:lang w:eastAsia="zh-CN"/>
        </w:rPr>
      </w:r>
      <w:r/>
    </w:p>
    <w:p>
      <w:pPr>
        <w:pStyle w:val="654"/>
        <w:jc w:val="center"/>
        <w:spacing w:line="360" w:lineRule="auto"/>
        <w:rPr>
          <w:rFonts w:hint="eastAsia" w:ascii="宋体" w:hAnsi="宋体" w:eastAsia="宋体" w:cs="宋体"/>
          <w:b/>
          <w:color w:val="000000"/>
          <w:sz w:val="72"/>
          <w:highlight w:val="none"/>
        </w:rPr>
      </w:pPr>
      <w:r/>
      <w:bookmarkStart w:id="195" w:name="_Hlt26955039"/>
      <w:r/>
      <w:bookmarkEnd w:id="195"/>
      <w:r/>
      <w:bookmarkStart w:id="196" w:name="_Hlt26671244"/>
      <w:r/>
      <w:bookmarkEnd w:id="196"/>
      <w:r/>
      <w:bookmarkStart w:id="197" w:name="_Toc49090576"/>
      <w:r/>
      <w:bookmarkStart w:id="198" w:name="_Toc26554094"/>
      <w:r/>
      <w:bookmarkStart w:id="199" w:name="_Toc120614282"/>
      <w:r>
        <w:rPr>
          <w:rFonts w:hint="eastAsia" w:ascii="宋体" w:hAnsi="宋体" w:eastAsia="宋体" w:cs="宋体"/>
          <w:b/>
          <w:color w:val="000000"/>
          <w:sz w:val="72"/>
          <w:highlight w:val="none"/>
        </w:rPr>
      </w:r>
      <w:r/>
    </w:p>
    <w:p>
      <w:pPr>
        <w:pStyle w:val="654"/>
        <w:jc w:val="center"/>
        <w:spacing w:line="360" w:lineRule="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654"/>
        <w:jc w:val="center"/>
        <w:spacing w:line="360" w:lineRule="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654"/>
        <w:jc w:val="center"/>
        <w:spacing w:line="360" w:lineRule="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654"/>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54"/>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54"/>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54"/>
        <w:ind w:firstLine="108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654"/>
        <w:ind w:firstLine="1084"/>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654"/>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（加盖CA电子公章）</w:t>
      </w:r>
      <w:r>
        <w:rPr>
          <w:rFonts w:hint="eastAsia" w:ascii="宋体" w:hAnsi="宋体" w:eastAsia="宋体" w:cs="宋体"/>
          <w:b/>
          <w:color w:val="000000"/>
          <w:sz w:val="36"/>
          <w:highlight w:val="none"/>
          <w:u w:val="single"/>
        </w:rPr>
      </w:r>
      <w:r/>
    </w:p>
    <w:p>
      <w:pPr>
        <w:pStyle w:val="654"/>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654"/>
        <w:jc w:val="cente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u w:val="single"/>
        </w:rPr>
      </w:r>
      <w:r/>
    </w:p>
    <w:p>
      <w:pPr>
        <w:pStyle w:val="654"/>
        <w:jc w:val="cente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u w:val="single"/>
        </w:rPr>
      </w:r>
      <w:r/>
    </w:p>
    <w:p>
      <w:pPr>
        <w:pStyle w:val="654"/>
        <w:jc w:val="cente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u w:val="single"/>
        </w:rPr>
      </w:r>
      <w:r/>
    </w:p>
    <w:p>
      <w:pPr>
        <w:pStyle w:val="654"/>
        <w:jc w:val="cente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u w:val="single"/>
        </w:rPr>
      </w:r>
      <w:r/>
    </w:p>
    <w:p>
      <w:pPr>
        <w:pStyle w:val="654"/>
        <w:jc w:val="cente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u w:val="single"/>
        </w:rPr>
      </w:r>
      <w:r/>
    </w:p>
    <w:p>
      <w:pPr>
        <w:pStyle w:val="654"/>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654"/>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一、投标声明及承诺函</w:t>
      </w:r>
      <w:r>
        <w:rPr>
          <w:rFonts w:hint="eastAsia" w:ascii="宋体" w:hAnsi="宋体" w:eastAsia="宋体" w:cs="宋体"/>
          <w:color w:val="000000"/>
          <w:sz w:val="28"/>
          <w:szCs w:val="28"/>
          <w:highlight w:val="none"/>
        </w:rPr>
      </w:r>
      <w:r/>
    </w:p>
    <w:p>
      <w:pPr>
        <w:pStyle w:val="65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二、投标人基本情况</w:t>
      </w:r>
      <w:r>
        <w:rPr>
          <w:rFonts w:hint="eastAsia" w:ascii="宋体" w:hAnsi="宋体" w:eastAsia="宋体" w:cs="宋体"/>
          <w:color w:val="000000"/>
          <w:sz w:val="28"/>
          <w:szCs w:val="28"/>
          <w:highlight w:val="none"/>
        </w:rPr>
      </w:r>
      <w:r/>
    </w:p>
    <w:p>
      <w:pPr>
        <w:pStyle w:val="65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三、满足特定资格要求的证明文件（如果设置特定资格要求，则需要提供）</w:t>
      </w:r>
      <w:r>
        <w:rPr>
          <w:rFonts w:hint="eastAsia" w:ascii="宋体" w:hAnsi="宋体" w:eastAsia="宋体" w:cs="宋体"/>
          <w:color w:val="000000"/>
          <w:sz w:val="28"/>
          <w:szCs w:val="28"/>
          <w:highlight w:val="none"/>
        </w:rPr>
      </w:r>
      <w:r/>
    </w:p>
    <w:p>
      <w:pPr>
        <w:pStyle w:val="65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四、法人授权书</w:t>
      </w:r>
      <w:r>
        <w:rPr>
          <w:rFonts w:hint="eastAsia" w:ascii="宋体" w:hAnsi="宋体" w:eastAsia="宋体" w:cs="宋体"/>
          <w:color w:val="000000"/>
          <w:sz w:val="28"/>
          <w:szCs w:val="28"/>
          <w:highlight w:val="none"/>
        </w:rPr>
      </w:r>
      <w:r/>
    </w:p>
    <w:p>
      <w:pPr>
        <w:pStyle w:val="65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五、开标一览表</w:t>
      </w:r>
      <w:r>
        <w:rPr>
          <w:rFonts w:hint="eastAsia" w:ascii="宋体" w:hAnsi="宋体" w:eastAsia="宋体" w:cs="宋体"/>
          <w:color w:val="000000"/>
          <w:sz w:val="28"/>
          <w:szCs w:val="28"/>
          <w:highlight w:val="none"/>
        </w:rPr>
      </w:r>
      <w:r/>
    </w:p>
    <w:p>
      <w:pPr>
        <w:pStyle w:val="65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六、投标报价明细表</w:t>
      </w:r>
      <w:r>
        <w:rPr>
          <w:rFonts w:hint="eastAsia" w:ascii="宋体" w:hAnsi="宋体" w:eastAsia="宋体" w:cs="宋体"/>
          <w:color w:val="000000"/>
          <w:sz w:val="28"/>
          <w:szCs w:val="28"/>
          <w:highlight w:val="none"/>
        </w:rPr>
      </w:r>
      <w:r/>
    </w:p>
    <w:p>
      <w:pPr>
        <w:pStyle w:val="65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七、中小企业声明函</w:t>
      </w:r>
      <w:r>
        <w:rPr>
          <w:rFonts w:hint="eastAsia" w:ascii="宋体" w:hAnsi="宋体" w:eastAsia="宋体" w:cs="宋体"/>
          <w:color w:val="000000"/>
          <w:sz w:val="28"/>
          <w:szCs w:val="28"/>
          <w:highlight w:val="none"/>
        </w:rPr>
      </w:r>
      <w:r/>
    </w:p>
    <w:p>
      <w:pPr>
        <w:pStyle w:val="65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八、技术要求响应及偏离表</w:t>
      </w:r>
      <w:r>
        <w:rPr>
          <w:rFonts w:hint="eastAsia" w:ascii="宋体" w:hAnsi="宋体" w:eastAsia="宋体" w:cs="宋体"/>
          <w:color w:val="000000"/>
          <w:sz w:val="28"/>
          <w:szCs w:val="28"/>
          <w:highlight w:val="none"/>
        </w:rPr>
      </w:r>
      <w:r/>
    </w:p>
    <w:p>
      <w:pPr>
        <w:pStyle w:val="65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九、项目组成员</w:t>
      </w:r>
      <w:r>
        <w:rPr>
          <w:rFonts w:hint="eastAsia" w:ascii="宋体" w:hAnsi="宋体" w:eastAsia="宋体" w:cs="宋体"/>
          <w:color w:val="000000"/>
          <w:sz w:val="28"/>
          <w:szCs w:val="28"/>
          <w:highlight w:val="none"/>
        </w:rPr>
      </w:r>
      <w:r/>
    </w:p>
    <w:p>
      <w:pPr>
        <w:pStyle w:val="65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十、企业业绩</w:t>
      </w:r>
      <w:r>
        <w:rPr>
          <w:rFonts w:hint="eastAsia" w:ascii="宋体" w:hAnsi="宋体" w:eastAsia="宋体" w:cs="宋体"/>
          <w:color w:val="000000"/>
          <w:sz w:val="28"/>
          <w:szCs w:val="28"/>
          <w:highlight w:val="none"/>
        </w:rPr>
      </w:r>
      <w:r/>
    </w:p>
    <w:p>
      <w:pPr>
        <w:pStyle w:val="65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十一、投标所需其他材料</w:t>
      </w:r>
      <w:r>
        <w:rPr>
          <w:rFonts w:hint="eastAsia" w:ascii="宋体" w:hAnsi="宋体" w:eastAsia="宋体" w:cs="宋体"/>
          <w:color w:val="000000"/>
          <w:sz w:val="28"/>
          <w:szCs w:val="28"/>
          <w:highlight w:val="none"/>
        </w:rPr>
      </w:r>
      <w:r/>
    </w:p>
    <w:p>
      <w:pPr>
        <w:pStyle w:val="708"/>
        <w:spacing w:line="360" w:lineRule="auto"/>
        <w:tabs>
          <w:tab w:val="right" w:pos="8720" w:leader="dot"/>
        </w:tabs>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3"/>
        <w:spacing w:line="360" w:lineRule="auto"/>
        <w:rPr>
          <w:rFonts w:hint="eastAsia" w:ascii="宋体" w:hAnsi="宋体" w:eastAsia="宋体" w:cs="宋体"/>
          <w:color w:val="000000"/>
          <w:highlight w:val="none"/>
        </w:rPr>
      </w:pPr>
      <w:r/>
      <w:bookmarkStart w:id="200" w:name="_Toc23838"/>
      <w:r>
        <w:rPr>
          <w:rFonts w:hint="eastAsia" w:ascii="宋体" w:hAnsi="宋体" w:eastAsia="宋体" w:cs="宋体"/>
          <w:color w:val="000000"/>
          <w:highlight w:val="none"/>
        </w:rPr>
      </w:r>
      <w:r/>
    </w:p>
    <w:p>
      <w:pPr>
        <w:pStyle w:val="93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1"/>
        <w:jc w:val="left"/>
        <w:spacing w:line="360" w:lineRule="auto"/>
        <w:rPr>
          <w:rFonts w:hint="eastAsia" w:ascii="宋体" w:hAnsi="宋体" w:eastAsia="宋体" w:cs="宋体"/>
          <w:b/>
          <w:color w:val="000000"/>
          <w:sz w:val="32"/>
          <w:szCs w:val="32"/>
          <w:highlight w:val="none"/>
        </w:rPr>
      </w:pPr>
      <w:r/>
      <w:bookmarkEnd w:id="200"/>
      <w:r>
        <w:rPr>
          <w:rFonts w:hint="eastAsia" w:ascii="宋体" w:hAnsi="宋体" w:eastAsia="宋体" w:cs="宋体"/>
          <w:b/>
          <w:color w:val="000000"/>
          <w:sz w:val="32"/>
          <w:szCs w:val="32"/>
          <w:highlight w:val="none"/>
        </w:rPr>
        <w:t xml:space="preserve">一、</w:t>
      </w:r>
      <w:bookmarkEnd w:id="197"/>
      <w:r/>
      <w:bookmarkEnd w:id="198"/>
      <w:r/>
      <w:bookmarkEnd w:id="199"/>
      <w:r/>
      <w:bookmarkStart w:id="201" w:name="_Toc120614284"/>
      <w:r>
        <w:rPr>
          <w:rFonts w:hint="eastAsia" w:ascii="宋体" w:hAnsi="宋体" w:eastAsia="宋体" w:cs="宋体"/>
          <w:b/>
          <w:color w:val="000000"/>
          <w:sz w:val="32"/>
          <w:szCs w:val="32"/>
          <w:highlight w:val="none"/>
        </w:rPr>
        <w:t xml:space="preserve">投标声明及承诺函</w:t>
      </w:r>
      <w:r>
        <w:rPr>
          <w:rFonts w:hint="eastAsia" w:ascii="宋体" w:hAnsi="宋体" w:eastAsia="宋体" w:cs="宋体"/>
          <w:b/>
          <w:color w:val="000000"/>
          <w:sz w:val="32"/>
          <w:szCs w:val="32"/>
          <w:highlight w:val="none"/>
        </w:rPr>
      </w:r>
      <w:r/>
    </w:p>
    <w:p>
      <w:pPr>
        <w:pStyle w:val="931"/>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（采购单位名称）：</w:t>
      </w:r>
      <w:r>
        <w:rPr>
          <w:rFonts w:hint="eastAsia" w:ascii="宋体" w:hAnsi="宋体" w:eastAsia="宋体" w:cs="宋体"/>
          <w:color w:val="000000"/>
          <w:sz w:val="24"/>
          <w:szCs w:val="24"/>
          <w:highlight w:val="none"/>
          <w:u w:val="single"/>
        </w:rPr>
      </w:r>
      <w:r/>
    </w:p>
    <w:p>
      <w:pPr>
        <w:pStyle w:val="93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根据已收到的项目编号为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项目的招标文件，我方在参加本项目招投标活动中，特做出如下承诺：</w:t>
      </w:r>
      <w:r>
        <w:rPr>
          <w:rFonts w:hint="eastAsia" w:ascii="宋体" w:hAnsi="宋体" w:eastAsia="宋体" w:cs="宋体"/>
          <w:color w:val="000000"/>
          <w:sz w:val="24"/>
          <w:szCs w:val="24"/>
          <w:highlight w:val="none"/>
        </w:rPr>
      </w:r>
      <w:r/>
    </w:p>
    <w:p>
      <w:pPr>
        <w:pStyle w:val="93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一、我方</w:t>
      </w:r>
      <w:r>
        <w:rPr>
          <w:rFonts w:hint="eastAsia" w:ascii="宋体" w:hAnsi="宋体" w:eastAsia="宋体" w:cs="宋体"/>
          <w:color w:val="000000"/>
          <w:sz w:val="24"/>
          <w:highlight w:val="none"/>
        </w:rPr>
        <w:t xml:space="preserve">具备《中华人民共和国政府采购法》第二十二条第一款规定的6项条件；</w:t>
      </w:r>
      <w:r>
        <w:rPr>
          <w:rFonts w:hint="eastAsia" w:ascii="宋体" w:hAnsi="宋体" w:eastAsia="宋体" w:cs="宋体"/>
          <w:color w:val="000000"/>
          <w:sz w:val="24"/>
          <w:highlight w:val="none"/>
        </w:rPr>
      </w:r>
      <w:r/>
    </w:p>
    <w:p>
      <w:pPr>
        <w:pStyle w:val="93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93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三、我方按招标文件要求提交投标文件，响应招标文件规定的投标有效期；</w:t>
      </w:r>
      <w:r>
        <w:rPr>
          <w:rFonts w:hint="eastAsia" w:ascii="宋体" w:hAnsi="宋体" w:eastAsia="宋体" w:cs="宋体"/>
          <w:color w:val="000000"/>
          <w:sz w:val="24"/>
          <w:szCs w:val="24"/>
          <w:highlight w:val="none"/>
        </w:rPr>
      </w:r>
      <w:r/>
    </w:p>
    <w:p>
      <w:pPr>
        <w:pStyle w:val="93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hint="eastAsia" w:ascii="宋体" w:hAnsi="宋体" w:eastAsia="宋体" w:cs="宋体"/>
          <w:color w:val="000000"/>
          <w:sz w:val="24"/>
          <w:szCs w:val="24"/>
          <w:highlight w:val="none"/>
        </w:rPr>
      </w:r>
      <w:r/>
    </w:p>
    <w:p>
      <w:pPr>
        <w:pStyle w:val="93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五、我方若违背本声明及承诺约定，经查实，自愿接受采购人及相关主管部门相应的规定处理，并依法承担相应的法律责任。</w:t>
      </w:r>
      <w:r>
        <w:rPr>
          <w:rFonts w:hint="eastAsia" w:ascii="宋体" w:hAnsi="宋体" w:eastAsia="宋体" w:cs="宋体"/>
          <w:color w:val="000000"/>
          <w:sz w:val="24"/>
          <w:szCs w:val="24"/>
          <w:highlight w:val="none"/>
        </w:rPr>
      </w:r>
      <w:r/>
    </w:p>
    <w:p>
      <w:pPr>
        <w:pStyle w:val="93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六、我方同意采购人、采购代理机构将本声明及承诺函上网公开。</w:t>
      </w:r>
      <w:r>
        <w:rPr>
          <w:rFonts w:hint="eastAsia" w:ascii="宋体" w:hAnsi="宋体" w:eastAsia="宋体" w:cs="宋体"/>
          <w:color w:val="000000"/>
          <w:sz w:val="24"/>
          <w:szCs w:val="24"/>
          <w:highlight w:val="none"/>
        </w:rPr>
      </w:r>
      <w:r/>
    </w:p>
    <w:p>
      <w:pPr>
        <w:pStyle w:val="93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1"/>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color w:val="000000"/>
          <w:sz w:val="24"/>
          <w:szCs w:val="24"/>
          <w:highlight w:val="none"/>
        </w:rPr>
      </w:r>
      <w:r/>
    </w:p>
    <w:p>
      <w:pPr>
        <w:pStyle w:val="93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highlight w:val="none"/>
        </w:rPr>
      </w:r>
      <w:r/>
    </w:p>
    <w:p>
      <w:pPr>
        <w:pStyle w:val="93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二、投标人基本情况</w:t>
      </w:r>
      <w:r>
        <w:rPr>
          <w:rFonts w:hint="eastAsia" w:ascii="宋体" w:hAnsi="宋体" w:eastAsia="宋体" w:cs="宋体"/>
          <w:color w:val="000000"/>
          <w:highlight w:val="none"/>
        </w:rPr>
      </w:r>
      <w:r/>
    </w:p>
    <w:p>
      <w:pPr>
        <w:pStyle w:val="934"/>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投标人基本情况表</w:t>
      </w:r>
      <w:r>
        <w:rPr>
          <w:rFonts w:hint="eastAsia" w:ascii="宋体" w:hAnsi="宋体" w:eastAsia="宋体" w:cs="宋体"/>
          <w:color w:val="000000"/>
          <w:sz w:val="44"/>
          <w:szCs w:val="4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注册地区</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注册号或社会信用代码</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注册资本（万元）</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投标人类别</w:t>
            </w:r>
            <w:r>
              <w:rPr>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376"/>
        </w:trPr>
        <w:tc>
          <w:tcPr>
            <w:tcW w:w="152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hint="eastAsia" w:ascii="宋体" w:hAnsi="宋体" w:eastAsia="宋体" w:cs="宋体"/>
                <w:color w:val="000000"/>
                <w:sz w:val="24"/>
                <w:szCs w:val="24"/>
                <w:highlight w:val="none"/>
              </w:rPr>
            </w:r>
            <w:r/>
          </w:p>
        </w:tc>
        <w:tc>
          <w:tcPr>
            <w:gridSpan w:val="3"/>
            <w:tcW w:w="6998" w:type="dxa"/>
            <w:vAlign w:val="top"/>
            <w:textDirection w:val="lrTb"/>
            <w:noWrap w:val="false"/>
          </w:tcPr>
          <w:p>
            <w:pPr>
              <w:pStyle w:val="934"/>
              <w:ind w:firstLine="14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34"/>
        </w:trPr>
        <w:tc>
          <w:tcPr>
            <w:tcW w:w="1526"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9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无需提供营业执照等证明材料</w:t>
            </w:r>
            <w:r>
              <w:rPr>
                <w:rFonts w:hint="eastAsia" w:ascii="宋体" w:hAnsi="宋体" w:eastAsia="宋体" w:cs="宋体"/>
                <w:color w:val="000000"/>
                <w:sz w:val="24"/>
                <w:szCs w:val="24"/>
                <w:highlight w:val="none"/>
              </w:rPr>
            </w:r>
            <w:r/>
          </w:p>
        </w:tc>
      </w:tr>
    </w:tbl>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三、满足特定资格要求的证明文件（如果设置特定资格要求，则需要提供）</w:t>
      </w: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四、法人授权书</w:t>
      </w:r>
      <w:r>
        <w:rPr>
          <w:rFonts w:hint="eastAsia" w:ascii="宋体" w:hAnsi="宋体" w:eastAsia="宋体" w:cs="宋体"/>
          <w:b/>
          <w:color w:val="000000"/>
          <w:sz w:val="32"/>
          <w:szCs w:val="32"/>
          <w:highlight w:val="none"/>
        </w:rPr>
      </w:r>
      <w:r/>
    </w:p>
    <w:p>
      <w:pPr>
        <w:pStyle w:val="904"/>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904"/>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904"/>
        <w:ind w:firstLine="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04"/>
        <w:ind w:firstLine="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04"/>
        <w:ind w:firstLine="120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904"/>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04"/>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bookmarkStart w:id="202" w:name="_Hlt26955070"/>
      <w:r/>
      <w:bookmarkEnd w:id="202"/>
      <w:r/>
      <w:bookmarkStart w:id="203" w:name="_Hlt26671380"/>
      <w:r/>
      <w:bookmarkEnd w:id="203"/>
      <w:r/>
      <w:bookmarkStart w:id="204" w:name="_格式3__银行出具的资信证明"/>
      <w:r/>
      <w:bookmarkEnd w:id="204"/>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71"/>
        <w:spacing w:line="360" w:lineRule="auto"/>
        <w:rPr>
          <w:rFonts w:hint="eastAsia" w:ascii="宋体" w:hAnsi="宋体" w:eastAsia="宋体" w:cs="宋体"/>
          <w:i/>
          <w:color w:val="000000"/>
          <w:sz w:val="24"/>
          <w:szCs w:val="24"/>
          <w:highlight w:val="none"/>
          <w:u w:val="single"/>
          <w:lang w:eastAsia="zh-CN"/>
        </w:rPr>
      </w:pPr>
      <w:r>
        <w:rPr>
          <w:rFonts w:hint="eastAsia" w:ascii="宋体" w:hAnsi="宋体" w:eastAsia="宋体" w:cs="宋体"/>
          <w:i/>
          <w:color w:val="000000"/>
          <w:sz w:val="24"/>
          <w:szCs w:val="24"/>
          <w:highlight w:val="none"/>
          <w:u w:val="single"/>
          <w:lang w:eastAsia="zh-CN"/>
        </w:rPr>
      </w:r>
      <w:r/>
    </w:p>
    <w:p>
      <w:pPr>
        <w:pStyle w:val="671"/>
        <w:ind w:firstLine="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5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54"/>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此处粘贴法人及授权委托人身份证复印件。</w:t>
      </w:r>
      <w:r>
        <w:rPr>
          <w:rFonts w:hint="eastAsia" w:ascii="宋体" w:hAnsi="宋体" w:eastAsia="宋体" w:cs="宋体"/>
          <w:color w:val="000000"/>
          <w:highlight w:val="none"/>
        </w:rPr>
      </w:r>
      <w:r/>
    </w:p>
    <w:tbl>
      <w:tblPr>
        <w:tblStyle w:val="73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5"/>
      </w:tblGrid>
      <w:tr>
        <w:trPr>
          <w:trHeight w:val="2138"/>
        </w:trPr>
        <w:tc>
          <w:tcPr>
            <w:tcMar>
              <w:left w:w="108" w:type="dxa"/>
              <w:top w:w="0" w:type="dxa"/>
              <w:right w:w="108" w:type="dxa"/>
              <w:bottom w:w="0" w:type="dxa"/>
            </w:tcMar>
            <w:tcW w:w="4643" w:type="dxa"/>
            <w:vAlign w:val="center"/>
            <w:textDirection w:val="lrTb"/>
            <w:noWrap w:val="false"/>
          </w:tcPr>
          <w:p>
            <w:pPr>
              <w:pStyle w:val="654"/>
              <w:ind w:left="0" w:right="0" w:firstLine="0"/>
              <w:jc w:val="center"/>
              <w:spacing w:before="0" w:after="0"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法定代表人身份证正面</w:t>
            </w:r>
            <w:r>
              <w:rPr>
                <w:rFonts w:hint="eastAsia" w:ascii="宋体" w:hAnsi="宋体" w:eastAsia="宋体" w:cs="宋体"/>
                <w:color w:val="000000"/>
                <w:highlight w:val="none"/>
              </w:rPr>
            </w:r>
            <w:r/>
          </w:p>
        </w:tc>
        <w:tc>
          <w:tcPr>
            <w:tcMar>
              <w:left w:w="108" w:type="dxa"/>
              <w:top w:w="0" w:type="dxa"/>
              <w:right w:w="108" w:type="dxa"/>
              <w:bottom w:w="0" w:type="dxa"/>
            </w:tcMar>
            <w:tcW w:w="4643" w:type="dxa"/>
            <w:vAlign w:val="center"/>
            <w:textDirection w:val="lrTb"/>
            <w:noWrap w:val="false"/>
          </w:tcPr>
          <w:p>
            <w:pPr>
              <w:pStyle w:val="654"/>
              <w:ind w:left="0" w:right="0" w:firstLine="0"/>
              <w:jc w:val="center"/>
              <w:spacing w:before="0" w:after="0"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法定代表人身份证反面</w:t>
            </w:r>
            <w:r>
              <w:rPr>
                <w:rFonts w:hint="eastAsia" w:ascii="宋体" w:hAnsi="宋体" w:eastAsia="宋体" w:cs="宋体"/>
                <w:color w:val="000000"/>
                <w:highlight w:val="none"/>
              </w:rPr>
            </w:r>
            <w:r/>
          </w:p>
        </w:tc>
      </w:tr>
    </w:tbl>
    <w:p>
      <w:pPr>
        <w:pStyle w:val="654"/>
        <w:ind w:left="0" w:right="0" w:firstLine="0"/>
        <w:spacing w:before="0" w:after="0" w:line="85" w:lineRule="atLeast"/>
        <w:tabs>
          <w:tab w:val="left" w:pos="144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tbl>
      <w:tblPr>
        <w:tblStyle w:val="73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5"/>
      </w:tblGrid>
      <w:tr>
        <w:trPr>
          <w:trHeight w:val="2138"/>
        </w:trPr>
        <w:tc>
          <w:tcPr>
            <w:tcMar>
              <w:left w:w="108" w:type="dxa"/>
              <w:top w:w="0" w:type="dxa"/>
              <w:right w:w="108" w:type="dxa"/>
              <w:bottom w:w="0" w:type="dxa"/>
            </w:tcMar>
            <w:tcW w:w="4643" w:type="dxa"/>
            <w:vAlign w:val="center"/>
            <w:textDirection w:val="lrTb"/>
            <w:noWrap w:val="false"/>
          </w:tcPr>
          <w:p>
            <w:pPr>
              <w:pStyle w:val="654"/>
              <w:ind w:left="0" w:right="0" w:firstLine="0"/>
              <w:jc w:val="center"/>
              <w:spacing w:before="0" w:after="0"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委托代理人身份证正面</w:t>
            </w:r>
            <w:r>
              <w:rPr>
                <w:rFonts w:hint="eastAsia" w:ascii="宋体" w:hAnsi="宋体" w:eastAsia="宋体" w:cs="宋体"/>
                <w:color w:val="000000"/>
                <w:highlight w:val="none"/>
              </w:rPr>
            </w:r>
            <w:r/>
          </w:p>
        </w:tc>
        <w:tc>
          <w:tcPr>
            <w:tcMar>
              <w:left w:w="108" w:type="dxa"/>
              <w:top w:w="0" w:type="dxa"/>
              <w:right w:w="108" w:type="dxa"/>
              <w:bottom w:w="0" w:type="dxa"/>
            </w:tcMar>
            <w:tcW w:w="4643" w:type="dxa"/>
            <w:vAlign w:val="center"/>
            <w:textDirection w:val="lrTb"/>
            <w:noWrap w:val="false"/>
          </w:tcPr>
          <w:p>
            <w:pPr>
              <w:pStyle w:val="654"/>
              <w:ind w:left="0" w:right="0" w:firstLine="0"/>
              <w:jc w:val="center"/>
              <w:spacing w:before="0" w:after="0"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委托代理人身份证反面</w:t>
            </w:r>
            <w:r>
              <w:rPr>
                <w:rFonts w:hint="eastAsia" w:ascii="宋体" w:hAnsi="宋体" w:eastAsia="宋体" w:cs="宋体"/>
                <w:color w:val="000000"/>
                <w:highlight w:val="none"/>
              </w:rPr>
            </w:r>
            <w:r/>
          </w:p>
        </w:tc>
      </w:tr>
    </w:tbl>
    <w:p>
      <w:pPr>
        <w:pStyle w:val="65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54"/>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Cs/>
          <w:color w:val="000000"/>
          <w:sz w:val="24"/>
          <w:highlight w:val="none"/>
        </w:rPr>
        <w:br w:type="page" w:clear="all"/>
      </w:r>
      <w:r>
        <w:rPr>
          <w:rFonts w:hint="eastAsia" w:ascii="宋体" w:hAnsi="宋体" w:eastAsia="宋体" w:cs="宋体"/>
          <w:b/>
          <w:color w:val="000000"/>
          <w:sz w:val="32"/>
          <w:szCs w:val="32"/>
          <w:highlight w:val="none"/>
        </w:rPr>
        <w:t xml:space="preserve">五、开标一览表</w:t>
      </w:r>
      <w:r>
        <w:rPr>
          <w:rFonts w:hint="eastAsia" w:ascii="宋体" w:hAnsi="宋体" w:eastAsia="宋体" w:cs="宋体"/>
          <w:b/>
          <w:color w:val="000000"/>
          <w:sz w:val="32"/>
          <w:szCs w:val="32"/>
          <w:highlight w:val="none"/>
        </w:rPr>
      </w:r>
      <w:r/>
    </w:p>
    <w:p>
      <w:pPr>
        <w:pStyle w:val="654"/>
        <w:jc w:val="cente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color w:val="000000"/>
          <w:sz w:val="24"/>
          <w:szCs w:val="24"/>
          <w:highlight w:val="none"/>
        </w:rPr>
      </w:r>
      <w:r/>
    </w:p>
    <w:tbl>
      <w:tblPr>
        <w:tblStyle w:val="73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2"/>
        <w:gridCol w:w="2056"/>
        <w:gridCol w:w="2056"/>
        <w:gridCol w:w="2476"/>
      </w:tblGrid>
      <w:tr>
        <w:trPr>
          <w:trHeight w:val="2685"/>
        </w:trPr>
        <w:tc>
          <w:tcPr>
            <w:tcMar>
              <w:left w:w="108" w:type="dxa"/>
              <w:top w:w="0" w:type="dxa"/>
              <w:right w:w="108" w:type="dxa"/>
              <w:bottom w:w="0" w:type="dxa"/>
            </w:tcMar>
            <w:tcW w:w="2232" w:type="dxa"/>
            <w:vAlign w:val="center"/>
            <w:textDirection w:val="lrTb"/>
            <w:noWrap w:val="false"/>
          </w:tcPr>
          <w:p>
            <w:pPr>
              <w:pStyle w:val="654"/>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投标报价</w:t>
            </w:r>
            <w:r>
              <w:rPr>
                <w:rFonts w:hint="eastAsia" w:ascii="宋体" w:hAnsi="宋体" w:eastAsia="宋体" w:cs="宋体"/>
                <w:color w:val="000000"/>
                <w:highlight w:val="none"/>
              </w:rPr>
            </w:r>
            <w:r/>
          </w:p>
        </w:tc>
        <w:tc>
          <w:tcPr>
            <w:tcMar>
              <w:left w:w="108" w:type="dxa"/>
              <w:top w:w="0" w:type="dxa"/>
              <w:right w:w="108" w:type="dxa"/>
              <w:bottom w:w="0" w:type="dxa"/>
            </w:tcMar>
            <w:tcW w:w="1810" w:type="dxa"/>
            <w:vAlign w:val="center"/>
            <w:textDirection w:val="lrTb"/>
            <w:noWrap w:val="false"/>
          </w:tcPr>
          <w:p>
            <w:pPr>
              <w:pStyle w:val="654"/>
              <w:ind w:right="0"/>
              <w:spacing w:before="0" w:after="0" w:line="4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总价：</w:t>
            </w:r>
            <w:r>
              <w:rPr>
                <w:rFonts w:hint="eastAsia" w:ascii="宋体" w:hAnsi="宋体" w:eastAsia="宋体" w:cs="宋体"/>
                <w:color w:val="000000"/>
                <w:sz w:val="21"/>
                <w:highlight w:val="none"/>
              </w:rPr>
              <w:t xml:space="preserve">：人民币大写</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1"/>
                <w:highlight w:val="none"/>
              </w:rPr>
              <w:t xml:space="preserve">（小写：</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1"/>
                <w:highlight w:val="none"/>
              </w:rPr>
              <w:t xml:space="preserve">）万元</w:t>
            </w:r>
            <w:r>
              <w:rPr>
                <w:rFonts w:hint="eastAsia" w:ascii="宋体" w:hAnsi="宋体" w:eastAsia="宋体" w:cs="宋体"/>
                <w:color w:val="000000"/>
                <w:highlight w:val="none"/>
              </w:rPr>
            </w:r>
            <w:r/>
          </w:p>
        </w:tc>
        <w:tc>
          <w:tcPr>
            <w:tcMar>
              <w:left w:w="108" w:type="dxa"/>
              <w:top w:w="0" w:type="dxa"/>
              <w:right w:w="108" w:type="dxa"/>
              <w:bottom w:w="0" w:type="dxa"/>
            </w:tcMar>
            <w:tcW w:w="1905" w:type="dxa"/>
            <w:vAlign w:val="center"/>
            <w:textDirection w:val="lrTb"/>
            <w:noWrap w:val="false"/>
          </w:tcPr>
          <w:p>
            <w:pPr>
              <w:pStyle w:val="654"/>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单价：</w:t>
            </w:r>
            <w:r>
              <w:rPr>
                <w:rFonts w:hint="eastAsia" w:ascii="宋体" w:hAnsi="宋体" w:eastAsia="宋体" w:cs="宋体"/>
                <w:color w:val="000000"/>
                <w:sz w:val="22"/>
                <w:highlight w:val="none"/>
                <w:lang w:val="en-US" w:eastAsia="zh-CN"/>
              </w:rPr>
            </w:r>
            <w:r/>
          </w:p>
          <w:p>
            <w:pPr>
              <w:pStyle w:val="654"/>
              <w:ind w:left="0" w:right="0" w:firstLine="0"/>
              <w:spacing w:before="0" w:after="0" w:line="439"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202</w:t>
            </w:r>
            <w:r>
              <w:rPr>
                <w:rFonts w:hint="eastAsia" w:ascii="宋体" w:hAnsi="宋体" w:eastAsia="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年重点管理类排污单位排污许可证技术评估服务项目：人民币大写</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1"/>
                <w:highlight w:val="none"/>
              </w:rPr>
              <w:t xml:space="preserve">（小写：</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1"/>
                <w:highlight w:val="none"/>
              </w:rPr>
              <w:t xml:space="preserve">）万元/家；</w:t>
            </w:r>
            <w:r>
              <w:rPr>
                <w:rFonts w:hint="eastAsia" w:ascii="宋体" w:hAnsi="宋体" w:eastAsia="宋体" w:cs="宋体"/>
                <w:color w:val="000000"/>
                <w:sz w:val="21"/>
                <w:highlight w:val="none"/>
              </w:rPr>
            </w:r>
            <w:r/>
          </w:p>
          <w:p>
            <w:pPr>
              <w:pStyle w:val="654"/>
              <w:ind w:left="0" w:right="0" w:firstLine="0"/>
              <w:spacing w:before="0" w:after="0" w:line="4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202</w:t>
            </w:r>
            <w:r>
              <w:rPr>
                <w:rFonts w:hint="eastAsia" w:ascii="宋体" w:hAnsi="宋体" w:eastAsia="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年简化管理类排污单位排污许可证技术评估服务项目：人民币大写</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1"/>
                <w:highlight w:val="none"/>
              </w:rPr>
              <w:t xml:space="preserve">（小写：</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1"/>
                <w:highlight w:val="none"/>
              </w:rPr>
              <w:t xml:space="preserve">）万元/家</w:t>
            </w: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2475"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202</w:t>
            </w:r>
            <w:r>
              <w:rPr>
                <w:rFonts w:hint="eastAsia" w:ascii="宋体" w:hAnsi="宋体" w:eastAsia="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年重点管理类企业排污许可证技术评估服务家数为</w:t>
            </w:r>
            <w:r>
              <w:rPr>
                <w:rFonts w:hint="eastAsia" w:ascii="宋体" w:hAnsi="宋体" w:eastAsia="宋体" w:cs="宋体"/>
                <w:color w:val="000000"/>
                <w:sz w:val="22"/>
                <w:highlight w:val="none"/>
              </w:rPr>
              <w:t xml:space="preserve">1</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0</w:t>
            </w:r>
            <w:r>
              <w:rPr>
                <w:rFonts w:hint="eastAsia" w:ascii="宋体" w:hAnsi="宋体" w:eastAsia="宋体" w:cs="宋体"/>
                <w:color w:val="000000"/>
                <w:sz w:val="21"/>
                <w:highlight w:val="none"/>
              </w:rPr>
              <w:t xml:space="preserve">家；</w:t>
            </w:r>
            <w:r>
              <w:rPr>
                <w:rFonts w:hint="eastAsia" w:ascii="宋体" w:hAnsi="宋体" w:eastAsia="宋体" w:cs="宋体"/>
                <w:color w:val="000000"/>
                <w:sz w:val="22"/>
                <w:highlight w:val="none"/>
              </w:rPr>
              <w:t xml:space="preserve">202</w:t>
            </w: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1"/>
                <w:highlight w:val="none"/>
              </w:rPr>
              <w:t xml:space="preserve">年简化管理类企业排污许可证技术评估服务家数为</w:t>
            </w:r>
            <w:r>
              <w:rPr>
                <w:rFonts w:hint="eastAsia" w:ascii="宋体" w:hAnsi="宋体" w:cs="宋体"/>
                <w:color w:val="000000"/>
                <w:sz w:val="22"/>
                <w:highlight w:val="none"/>
                <w:lang w:val="en-US" w:eastAsia="zh-CN"/>
              </w:rPr>
              <w:t xml:space="preserve">115</w:t>
            </w:r>
            <w:r>
              <w:rPr>
                <w:rFonts w:hint="eastAsia" w:ascii="宋体" w:hAnsi="宋体" w:eastAsia="宋体" w:cs="宋体"/>
                <w:color w:val="000000"/>
                <w:sz w:val="21"/>
                <w:highlight w:val="none"/>
              </w:rPr>
              <w:t xml:space="preserve">家。备注：服务家数量为暂估量，具体家数以项目实施过程中实际服务家数为准。</w:t>
            </w:r>
            <w:r>
              <w:rPr>
                <w:rFonts w:hint="eastAsia" w:ascii="宋体" w:hAnsi="宋体" w:eastAsia="宋体" w:cs="宋体"/>
                <w:color w:val="000000"/>
                <w:highlight w:val="none"/>
              </w:rPr>
            </w:r>
            <w:r/>
          </w:p>
        </w:tc>
      </w:tr>
      <w:tr>
        <w:trPr>
          <w:trHeight w:val="454"/>
        </w:trPr>
        <w:tc>
          <w:tcPr>
            <w:tcMar>
              <w:left w:w="108" w:type="dxa"/>
              <w:top w:w="0" w:type="dxa"/>
              <w:right w:w="108" w:type="dxa"/>
              <w:bottom w:w="0" w:type="dxa"/>
            </w:tcMar>
            <w:tcW w:w="2232" w:type="dxa"/>
            <w:vAlign w:val="center"/>
            <w:textDirection w:val="lrTb"/>
            <w:noWrap w:val="false"/>
          </w:tcPr>
          <w:p>
            <w:pPr>
              <w:pStyle w:val="654"/>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项目负责人</w:t>
            </w:r>
            <w:r>
              <w:rPr>
                <w:rFonts w:hint="eastAsia" w:ascii="宋体" w:hAnsi="宋体" w:eastAsia="宋体" w:cs="宋体"/>
                <w:color w:val="000000"/>
                <w:highlight w:val="none"/>
              </w:rPr>
            </w:r>
            <w:r/>
          </w:p>
        </w:tc>
        <w:tc>
          <w:tcPr>
            <w:gridSpan w:val="3"/>
            <w:tcMar>
              <w:left w:w="108" w:type="dxa"/>
              <w:top w:w="0" w:type="dxa"/>
              <w:right w:w="108" w:type="dxa"/>
              <w:bottom w:w="0" w:type="dxa"/>
            </w:tcMar>
            <w:tcW w:w="6588"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tc>
      </w:tr>
      <w:tr>
        <w:trPr>
          <w:trHeight w:val="454"/>
        </w:trPr>
        <w:tc>
          <w:tcPr>
            <w:tcMar>
              <w:left w:w="108" w:type="dxa"/>
              <w:top w:w="0" w:type="dxa"/>
              <w:right w:w="108" w:type="dxa"/>
              <w:bottom w:w="0" w:type="dxa"/>
            </w:tcMar>
            <w:tcW w:w="2232" w:type="dxa"/>
            <w:vAlign w:val="center"/>
            <w:textDirection w:val="lrTb"/>
            <w:noWrap w:val="false"/>
          </w:tcPr>
          <w:p>
            <w:pPr>
              <w:pStyle w:val="654"/>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合同履行期限</w:t>
            </w:r>
            <w:r>
              <w:rPr>
                <w:rFonts w:hint="eastAsia" w:ascii="宋体" w:hAnsi="宋体" w:eastAsia="宋体" w:cs="宋体"/>
                <w:color w:val="000000"/>
                <w:highlight w:val="none"/>
              </w:rPr>
            </w:r>
            <w:r/>
          </w:p>
        </w:tc>
        <w:tc>
          <w:tcPr>
            <w:gridSpan w:val="3"/>
            <w:tcMar>
              <w:left w:w="108" w:type="dxa"/>
              <w:top w:w="0" w:type="dxa"/>
              <w:right w:w="108" w:type="dxa"/>
              <w:bottom w:w="0" w:type="dxa"/>
            </w:tcMar>
            <w:tcW w:w="6588"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一年，具体开始时间由采购人在合同中进行约定。（具体要求以采购人要求为准）</w:t>
            </w:r>
            <w:r>
              <w:rPr>
                <w:rFonts w:hint="eastAsia" w:ascii="宋体" w:hAnsi="宋体" w:eastAsia="宋体" w:cs="宋体"/>
                <w:color w:val="000000"/>
                <w:highlight w:val="none"/>
              </w:rPr>
            </w:r>
            <w:r/>
          </w:p>
        </w:tc>
      </w:tr>
      <w:tr>
        <w:trPr>
          <w:trHeight w:val="454"/>
        </w:trPr>
        <w:tc>
          <w:tcPr>
            <w:tcMar>
              <w:left w:w="108" w:type="dxa"/>
              <w:top w:w="0" w:type="dxa"/>
              <w:right w:w="108" w:type="dxa"/>
              <w:bottom w:w="0" w:type="dxa"/>
            </w:tcMar>
            <w:tcW w:w="2232"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投标标的是否全部由小微企业、残疾人福利性单位、监狱和戒毒企业提供</w:t>
            </w:r>
            <w:r>
              <w:rPr>
                <w:rFonts w:hint="eastAsia" w:ascii="宋体" w:hAnsi="宋体" w:eastAsia="宋体" w:cs="宋体"/>
                <w:color w:val="000000"/>
                <w:highlight w:val="none"/>
              </w:rPr>
            </w:r>
            <w:r/>
          </w:p>
        </w:tc>
        <w:tc>
          <w:tcPr>
            <w:gridSpan w:val="3"/>
            <w:tcMar>
              <w:left w:w="108" w:type="dxa"/>
              <w:top w:w="0" w:type="dxa"/>
              <w:right w:w="108" w:type="dxa"/>
              <w:bottom w:w="0" w:type="dxa"/>
            </w:tcMar>
            <w:tcW w:w="6588"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□是</w:t>
            </w:r>
            <w:r>
              <w:rPr>
                <w:rFonts w:hint="eastAsia" w:ascii="宋体" w:hAnsi="宋体" w:eastAsia="宋体" w:cs="宋体"/>
                <w:color w:val="000000"/>
                <w:highlight w:val="none"/>
              </w:rPr>
            </w:r>
            <w:r/>
          </w:p>
          <w:p>
            <w:pPr>
              <w:pStyle w:val="654"/>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□否</w:t>
            </w:r>
            <w:r>
              <w:rPr>
                <w:rFonts w:hint="eastAsia" w:ascii="宋体" w:hAnsi="宋体" w:eastAsia="宋体" w:cs="宋体"/>
                <w:color w:val="000000"/>
                <w:highlight w:val="none"/>
              </w:rPr>
            </w:r>
            <w:r/>
          </w:p>
        </w:tc>
      </w:tr>
      <w:tr>
        <w:trPr>
          <w:trHeight w:val="454"/>
        </w:trPr>
        <w:tc>
          <w:tcPr>
            <w:tcMar>
              <w:left w:w="108" w:type="dxa"/>
              <w:top w:w="0" w:type="dxa"/>
              <w:right w:w="108" w:type="dxa"/>
              <w:bottom w:w="0" w:type="dxa"/>
            </w:tcMar>
            <w:tcW w:w="2232" w:type="dxa"/>
            <w:vAlign w:val="center"/>
            <w:textDirection w:val="lrTb"/>
            <w:noWrap w:val="false"/>
          </w:tcPr>
          <w:p>
            <w:pPr>
              <w:pStyle w:val="654"/>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其他优惠承诺（如果有的话）：</w:t>
            </w:r>
            <w:r>
              <w:rPr>
                <w:rFonts w:hint="eastAsia" w:ascii="宋体" w:hAnsi="宋体" w:eastAsia="宋体" w:cs="宋体"/>
                <w:color w:val="000000"/>
                <w:highlight w:val="none"/>
              </w:rPr>
            </w:r>
            <w:r/>
          </w:p>
        </w:tc>
        <w:tc>
          <w:tcPr>
            <w:gridSpan w:val="3"/>
            <w:tcMar>
              <w:left w:w="108" w:type="dxa"/>
              <w:top w:w="0" w:type="dxa"/>
              <w:right w:w="108" w:type="dxa"/>
              <w:bottom w:w="0" w:type="dxa"/>
            </w:tcMar>
            <w:tcW w:w="6588"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tc>
      </w:tr>
    </w:tbl>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54"/>
        <w:jc w:val="center"/>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 w:val="32"/>
          <w:szCs w:val="32"/>
          <w:highlight w:val="none"/>
        </w:rPr>
        <w:t xml:space="preserve">六、</w:t>
      </w:r>
      <w:r>
        <w:rPr>
          <w:rFonts w:hint="eastAsia" w:ascii="宋体" w:hAnsi="宋体" w:eastAsia="宋体" w:cs="宋体"/>
          <w:color w:val="000000"/>
          <w:szCs w:val="24"/>
          <w:highlight w:val="none"/>
        </w:rPr>
        <w:t xml:space="preserve"> </w:t>
      </w:r>
      <w:r>
        <w:rPr>
          <w:rFonts w:hint="eastAsia" w:ascii="宋体" w:hAnsi="宋体" w:eastAsia="宋体" w:cs="宋体"/>
          <w:b/>
          <w:color w:val="000000"/>
          <w:szCs w:val="24"/>
          <w:highlight w:val="none"/>
        </w:rPr>
        <w:t xml:space="preserve"> </w:t>
      </w:r>
      <w:r>
        <w:rPr>
          <w:rFonts w:hint="eastAsia" w:ascii="宋体" w:hAnsi="宋体" w:eastAsia="宋体" w:cs="宋体"/>
          <w:b/>
          <w:bCs/>
          <w:color w:val="000000"/>
          <w:sz w:val="30"/>
          <w:szCs w:val="30"/>
          <w:highlight w:val="none"/>
        </w:rPr>
        <w:t xml:space="preserve">报价明细表</w:t>
      </w:r>
      <w:r>
        <w:rPr>
          <w:rFonts w:hint="eastAsia" w:ascii="宋体" w:hAnsi="宋体" w:eastAsia="宋体" w:cs="宋体"/>
          <w:b/>
          <w:color w:val="000000"/>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color w:val="000000"/>
          <w:sz w:val="24"/>
          <w:szCs w:val="24"/>
          <w:highlight w:val="none"/>
        </w:rPr>
      </w:r>
      <w:r/>
    </w:p>
    <w:tbl>
      <w:tblPr>
        <w:tblStyle w:val="73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3330"/>
        <w:gridCol w:w="877"/>
        <w:gridCol w:w="1246"/>
        <w:gridCol w:w="1245"/>
        <w:gridCol w:w="1247"/>
      </w:tblGrid>
      <w:tr>
        <w:trPr>
          <w:trHeight w:val="851"/>
        </w:trPr>
        <w:tc>
          <w:tcPr>
            <w:tcMar>
              <w:left w:w="108" w:type="dxa"/>
              <w:top w:w="0" w:type="dxa"/>
              <w:right w:w="108" w:type="dxa"/>
              <w:bottom w:w="0" w:type="dxa"/>
            </w:tcMar>
            <w:tcW w:w="827"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rPr>
                <w:rFonts w:hint="eastAsia" w:ascii="宋体" w:hAnsi="宋体" w:eastAsia="宋体" w:cs="宋体"/>
                <w:color w:val="000000"/>
                <w:highlight w:val="none"/>
              </w:rPr>
            </w:r>
            <w:r/>
          </w:p>
        </w:tc>
        <w:tc>
          <w:tcPr>
            <w:tcMar>
              <w:left w:w="108" w:type="dxa"/>
              <w:top w:w="0" w:type="dxa"/>
              <w:right w:w="108" w:type="dxa"/>
              <w:bottom w:w="0" w:type="dxa"/>
            </w:tcMar>
            <w:tcW w:w="3330"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内容名称</w:t>
            </w:r>
            <w:r>
              <w:rPr>
                <w:rFonts w:hint="eastAsia" w:ascii="宋体" w:hAnsi="宋体" w:eastAsia="宋体" w:cs="宋体"/>
                <w:color w:val="000000"/>
                <w:highlight w:val="none"/>
              </w:rPr>
            </w:r>
            <w:r/>
          </w:p>
        </w:tc>
        <w:tc>
          <w:tcPr>
            <w:tcMar>
              <w:left w:w="108" w:type="dxa"/>
              <w:top w:w="0" w:type="dxa"/>
              <w:right w:w="108" w:type="dxa"/>
              <w:bottom w:w="0" w:type="dxa"/>
            </w:tcMar>
            <w:tcW w:w="877"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rPr>
                <w:rFonts w:hint="eastAsia" w:ascii="宋体" w:hAnsi="宋体" w:eastAsia="宋体" w:cs="宋体"/>
                <w:color w:val="000000"/>
                <w:highlight w:val="none"/>
              </w:rPr>
            </w:r>
            <w:r/>
          </w:p>
        </w:tc>
        <w:tc>
          <w:tcPr>
            <w:tcMar>
              <w:left w:w="108" w:type="dxa"/>
              <w:top w:w="0" w:type="dxa"/>
              <w:right w:w="108" w:type="dxa"/>
              <w:bottom w:w="0" w:type="dxa"/>
            </w:tcMar>
            <w:tcW w:w="1246"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单价（万元）</w:t>
            </w:r>
            <w:r>
              <w:rPr>
                <w:rFonts w:hint="eastAsia" w:ascii="宋体" w:hAnsi="宋体" w:eastAsia="宋体" w:cs="宋体"/>
                <w:color w:val="000000"/>
                <w:highlight w:val="none"/>
              </w:rPr>
            </w:r>
            <w:r/>
          </w:p>
        </w:tc>
        <w:tc>
          <w:tcPr>
            <w:tcMar>
              <w:left w:w="108" w:type="dxa"/>
              <w:top w:w="0" w:type="dxa"/>
              <w:right w:w="108" w:type="dxa"/>
              <w:bottom w:w="0" w:type="dxa"/>
            </w:tcMar>
            <w:tcW w:w="1245"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总价（万元）</w:t>
            </w:r>
            <w:r>
              <w:rPr>
                <w:rFonts w:hint="eastAsia" w:ascii="宋体" w:hAnsi="宋体" w:eastAsia="宋体" w:cs="宋体"/>
                <w:color w:val="000000"/>
                <w:highlight w:val="none"/>
              </w:rPr>
            </w:r>
            <w:r/>
          </w:p>
        </w:tc>
        <w:tc>
          <w:tcPr>
            <w:tcMar>
              <w:left w:w="108" w:type="dxa"/>
              <w:top w:w="0" w:type="dxa"/>
              <w:right w:w="108" w:type="dxa"/>
              <w:bottom w:w="0" w:type="dxa"/>
            </w:tcMar>
            <w:tcW w:w="1247"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rPr>
                <w:rFonts w:hint="eastAsia" w:ascii="宋体" w:hAnsi="宋体" w:eastAsia="宋体" w:cs="宋体"/>
                <w:color w:val="000000"/>
                <w:highlight w:val="none"/>
              </w:rPr>
            </w:r>
            <w:r/>
          </w:p>
        </w:tc>
      </w:tr>
      <w:tr>
        <w:trPr>
          <w:trHeight w:val="851"/>
        </w:trPr>
        <w:tc>
          <w:tcPr>
            <w:tcMar>
              <w:left w:w="108" w:type="dxa"/>
              <w:top w:w="0" w:type="dxa"/>
              <w:right w:w="108" w:type="dxa"/>
              <w:bottom w:w="0" w:type="dxa"/>
            </w:tcMar>
            <w:tcW w:w="827"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highlight w:val="none"/>
              </w:rPr>
            </w:r>
            <w:r/>
          </w:p>
        </w:tc>
        <w:tc>
          <w:tcPr>
            <w:tcMar>
              <w:left w:w="108" w:type="dxa"/>
              <w:top w:w="0" w:type="dxa"/>
              <w:right w:w="108" w:type="dxa"/>
              <w:bottom w:w="0" w:type="dxa"/>
            </w:tcMar>
            <w:tcW w:w="3330"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年重点管理类企业排污许可证技术评估服务</w:t>
            </w:r>
            <w:r>
              <w:rPr>
                <w:rFonts w:hint="eastAsia" w:ascii="宋体" w:hAnsi="宋体" w:eastAsia="宋体" w:cs="宋体"/>
                <w:color w:val="000000"/>
                <w:highlight w:val="none"/>
              </w:rPr>
            </w:r>
            <w:r/>
          </w:p>
        </w:tc>
        <w:tc>
          <w:tcPr>
            <w:tcMar>
              <w:left w:w="108" w:type="dxa"/>
              <w:top w:w="0" w:type="dxa"/>
              <w:right w:w="108" w:type="dxa"/>
              <w:bottom w:w="0" w:type="dxa"/>
            </w:tcMar>
            <w:tcW w:w="877"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108" w:type="dxa"/>
              <w:top w:w="0" w:type="dxa"/>
              <w:right w:w="108" w:type="dxa"/>
              <w:bottom w:w="0" w:type="dxa"/>
            </w:tcMar>
            <w:tcW w:w="1246"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5"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7"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单价最高限价0.6万元/家</w:t>
            </w:r>
            <w:r>
              <w:rPr>
                <w:rFonts w:hint="eastAsia" w:ascii="宋体" w:hAnsi="宋体" w:eastAsia="宋体" w:cs="宋体"/>
                <w:color w:val="000000"/>
                <w:highlight w:val="none"/>
              </w:rPr>
            </w:r>
            <w:r/>
          </w:p>
        </w:tc>
      </w:tr>
      <w:tr>
        <w:trPr>
          <w:trHeight w:val="851"/>
        </w:trPr>
        <w:tc>
          <w:tcPr>
            <w:tcMar>
              <w:left w:w="108" w:type="dxa"/>
              <w:top w:w="0" w:type="dxa"/>
              <w:right w:w="108" w:type="dxa"/>
              <w:bottom w:w="0" w:type="dxa"/>
            </w:tcMar>
            <w:tcW w:w="827"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highlight w:val="none"/>
              </w:rPr>
            </w:r>
            <w:r/>
          </w:p>
        </w:tc>
        <w:tc>
          <w:tcPr>
            <w:tcMar>
              <w:left w:w="108" w:type="dxa"/>
              <w:top w:w="0" w:type="dxa"/>
              <w:right w:w="108" w:type="dxa"/>
              <w:bottom w:w="0" w:type="dxa"/>
            </w:tcMar>
            <w:tcW w:w="3330"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年简化管理类企业排污许可证技术评估服务</w:t>
            </w:r>
            <w:r>
              <w:rPr>
                <w:rFonts w:hint="eastAsia" w:ascii="宋体" w:hAnsi="宋体" w:eastAsia="宋体" w:cs="宋体"/>
                <w:color w:val="000000"/>
                <w:highlight w:val="none"/>
              </w:rPr>
            </w:r>
            <w:r/>
          </w:p>
        </w:tc>
        <w:tc>
          <w:tcPr>
            <w:tcMar>
              <w:left w:w="108" w:type="dxa"/>
              <w:top w:w="0" w:type="dxa"/>
              <w:right w:w="108" w:type="dxa"/>
              <w:bottom w:w="0" w:type="dxa"/>
            </w:tcMar>
            <w:tcW w:w="877"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108" w:type="dxa"/>
              <w:top w:w="0" w:type="dxa"/>
              <w:right w:w="108" w:type="dxa"/>
              <w:bottom w:w="0" w:type="dxa"/>
            </w:tcMar>
            <w:tcW w:w="1246"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5"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7"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单价最高限价0.2万元/家。</w:t>
            </w:r>
            <w:r>
              <w:rPr>
                <w:rFonts w:hint="eastAsia" w:ascii="宋体" w:hAnsi="宋体" w:eastAsia="宋体" w:cs="宋体"/>
                <w:color w:val="000000"/>
                <w:highlight w:val="none"/>
              </w:rPr>
            </w:r>
            <w:r/>
          </w:p>
        </w:tc>
      </w:tr>
      <w:tr>
        <w:trPr>
          <w:trHeight w:val="851"/>
        </w:trPr>
        <w:tc>
          <w:tcPr>
            <w:tcMar>
              <w:left w:w="108" w:type="dxa"/>
              <w:top w:w="0" w:type="dxa"/>
              <w:right w:w="108" w:type="dxa"/>
              <w:bottom w:w="0" w:type="dxa"/>
            </w:tcMar>
            <w:tcW w:w="827"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3330"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77"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6"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5"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7"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r>
      <w:tr>
        <w:trPr>
          <w:trHeight w:val="851"/>
        </w:trPr>
        <w:tc>
          <w:tcPr>
            <w:tcMar>
              <w:left w:w="108" w:type="dxa"/>
              <w:top w:w="0" w:type="dxa"/>
              <w:right w:w="108" w:type="dxa"/>
              <w:bottom w:w="0" w:type="dxa"/>
            </w:tcMar>
            <w:tcW w:w="827"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合计</w:t>
            </w:r>
            <w:r>
              <w:rPr>
                <w:rFonts w:hint="eastAsia" w:ascii="宋体" w:hAnsi="宋体" w:eastAsia="宋体" w:cs="宋体"/>
                <w:color w:val="000000"/>
                <w:highlight w:val="none"/>
              </w:rPr>
            </w:r>
            <w:r/>
          </w:p>
        </w:tc>
        <w:tc>
          <w:tcPr>
            <w:tcMar>
              <w:left w:w="108" w:type="dxa"/>
              <w:top w:w="0" w:type="dxa"/>
              <w:right w:w="108" w:type="dxa"/>
              <w:bottom w:w="0" w:type="dxa"/>
            </w:tcMar>
            <w:tcW w:w="3330"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77"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6"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5"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7" w:type="dxa"/>
            <w:vAlign w:val="center"/>
            <w:textDirection w:val="lrTb"/>
            <w:noWrap w:val="false"/>
          </w:tcPr>
          <w:p>
            <w:pPr>
              <w:pStyle w:val="654"/>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r>
    </w:tbl>
    <w:p>
      <w:pPr>
        <w:pStyle w:val="654"/>
        <w:ind w:left="525" w:right="-5" w:hanging="52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color w:val="000000"/>
          <w:szCs w:val="24"/>
          <w:highlight w:val="none"/>
        </w:rPr>
        <w:t xml:space="preserve">投标人名称（加盖公章）：</w:t>
      </w: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u w:val="single"/>
        </w:rPr>
      </w:pPr>
      <w:r>
        <w:rPr>
          <w:rFonts w:hint="eastAsia" w:ascii="宋体" w:hAnsi="宋体" w:eastAsia="宋体" w:cs="宋体"/>
          <w:color w:val="000000"/>
          <w:szCs w:val="24"/>
          <w:highlight w:val="none"/>
        </w:rPr>
        <w:t xml:space="preserve">投标人法定代表人或其委托人签字：</w:t>
      </w:r>
      <w:r>
        <w:rPr>
          <w:rFonts w:hint="eastAsia" w:ascii="宋体" w:hAnsi="宋体" w:eastAsia="宋体" w:cs="宋体"/>
          <w:b/>
          <w:color w:val="000000"/>
          <w:szCs w:val="24"/>
          <w:highlight w:val="none"/>
          <w:u w:val="singl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color w:val="000000"/>
          <w:szCs w:val="24"/>
          <w:highlight w:val="none"/>
        </w:rPr>
        <w:t xml:space="preserve">日期：     </w:t>
      </w:r>
      <w:r>
        <w:rPr>
          <w:rFonts w:hint="eastAsia" w:ascii="宋体" w:hAnsi="宋体" w:eastAsia="宋体" w:cs="宋体"/>
          <w:b/>
          <w:color w:val="000000"/>
          <w:szCs w:val="24"/>
          <w:highlight w:val="none"/>
        </w:rPr>
      </w:r>
      <w:r/>
    </w:p>
    <w:p>
      <w:pPr>
        <w:pStyle w:val="654"/>
        <w:spacing w:after="120" w:line="360" w:lineRule="auto"/>
        <w:tabs>
          <w:tab w:val="left" w:pos="840" w:leader="none"/>
        </w:tabs>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注：1、“分项报价表”中“合计”金额应当与“开标一览表”中“投标总价”金额一致。</w:t>
      </w:r>
      <w:r>
        <w:rPr>
          <w:rFonts w:hint="eastAsia" w:ascii="宋体" w:hAnsi="宋体" w:eastAsia="宋体" w:cs="宋体"/>
          <w:b/>
          <w:bCs/>
          <w:color w:val="000000"/>
          <w:szCs w:val="24"/>
          <w:highlight w:val="none"/>
        </w:rPr>
      </w:r>
      <w:r/>
    </w:p>
    <w:p>
      <w:pPr>
        <w:pStyle w:val="656"/>
        <w:jc w:val="left"/>
        <w:keepNext w:val="0"/>
        <w:spacing w:before="120" w:after="120" w:line="360" w:lineRule="auto"/>
        <w:rPr>
          <w:rFonts w:hint="eastAsia" w:ascii="宋体" w:hAnsi="宋体" w:eastAsia="宋体" w:cs="宋体"/>
          <w:color w:val="000000"/>
          <w:sz w:val="32"/>
          <w:szCs w:val="32"/>
          <w:highlight w:val="none"/>
          <w:lang w:eastAsia="zh-CN"/>
        </w:rPr>
      </w:pPr>
      <w:r>
        <w:rPr>
          <w:rFonts w:hint="eastAsia" w:ascii="宋体" w:hAnsi="宋体" w:eastAsia="宋体" w:cs="宋体"/>
          <w:strike/>
          <w:color w:val="000000"/>
          <w:sz w:val="32"/>
          <w:szCs w:val="32"/>
          <w:highlight w:val="none"/>
          <w:lang w:eastAsia="zh-CN"/>
        </w:rPr>
        <w:br w:type="page" w:clear="all"/>
      </w:r>
      <w:r>
        <w:rPr>
          <w:rFonts w:hint="eastAsia" w:ascii="宋体" w:hAnsi="宋体" w:eastAsia="宋体" w:cs="宋体"/>
          <w:color w:val="000000"/>
          <w:sz w:val="32"/>
          <w:szCs w:val="32"/>
          <w:highlight w:val="none"/>
          <w:lang w:eastAsia="zh-CN"/>
        </w:rPr>
        <w:t xml:space="preserve">七、中小企业声明函（</w:t>
      </w:r>
      <w:r>
        <w:rPr>
          <w:rFonts w:hint="eastAsia" w:ascii="宋体" w:hAnsi="宋体" w:eastAsia="宋体" w:cs="宋体"/>
          <w:color w:val="000000"/>
          <w:sz w:val="32"/>
          <w:szCs w:val="32"/>
          <w:highlight w:val="none"/>
          <w:lang w:val="en-US" w:eastAsia="zh-CN"/>
        </w:rPr>
        <w:t xml:space="preserve">服务</w:t>
      </w:r>
      <w:r>
        <w:rPr>
          <w:rFonts w:hint="eastAsia" w:ascii="宋体" w:hAnsi="宋体" w:eastAsia="宋体" w:cs="宋体"/>
          <w:color w:val="000000"/>
          <w:sz w:val="32"/>
          <w:szCs w:val="32"/>
          <w:highlight w:val="none"/>
          <w:lang w:eastAsia="zh-CN"/>
        </w:rPr>
        <w:t xml:space="preserve">）</w:t>
      </w:r>
      <w:r>
        <w:rPr>
          <w:rFonts w:hint="eastAsia" w:ascii="宋体" w:hAnsi="宋体" w:eastAsia="宋体" w:cs="宋体"/>
          <w:color w:val="000000"/>
          <w:sz w:val="32"/>
          <w:szCs w:val="32"/>
          <w:highlight w:val="none"/>
          <w:lang w:eastAsia="zh-CN"/>
        </w:rPr>
      </w:r>
      <w:r/>
    </w:p>
    <w:p>
      <w:pPr>
        <w:pStyle w:val="654"/>
        <w:jc w:val="center"/>
        <w:spacing w:line="360" w:lineRule="auto"/>
        <w:tabs>
          <w:tab w:val="left" w:pos="7098" w:leader="none"/>
        </w:tabs>
        <w:rPr>
          <w:rFonts w:hint="eastAsia" w:ascii="宋体" w:hAnsi="宋体" w:eastAsia="宋体" w:cs="宋体"/>
          <w:b/>
          <w:bCs/>
          <w:color w:val="000000"/>
          <w:position w:val="-10"/>
          <w:sz w:val="24"/>
          <w:szCs w:val="24"/>
          <w:highlight w:val="none"/>
        </w:rPr>
      </w:pPr>
      <w:r>
        <w:rPr>
          <w:rFonts w:hint="eastAsia" w:ascii="宋体" w:hAnsi="宋体" w:eastAsia="宋体" w:cs="宋体"/>
          <w:b/>
          <w:bCs/>
          <w:color w:val="000000"/>
          <w:position w:val="-10"/>
          <w:sz w:val="24"/>
          <w:szCs w:val="24"/>
          <w:highlight w:val="none"/>
        </w:rPr>
        <w:t xml:space="preserve">中小企业声明函（</w:t>
      </w:r>
      <w:r>
        <w:rPr>
          <w:rFonts w:hint="eastAsia" w:ascii="宋体" w:hAnsi="宋体" w:eastAsia="宋体" w:cs="宋体"/>
          <w:b/>
          <w:bCs/>
          <w:color w:val="000000"/>
          <w:position w:val="-10"/>
          <w:sz w:val="24"/>
          <w:szCs w:val="24"/>
          <w:highlight w:val="none"/>
          <w:lang w:val="en-US" w:eastAsia="zh-CN"/>
        </w:rPr>
        <w:t xml:space="preserve">服务</w:t>
      </w:r>
      <w:r>
        <w:rPr>
          <w:rFonts w:hint="eastAsia" w:ascii="宋体" w:hAnsi="宋体" w:eastAsia="宋体" w:cs="宋体"/>
          <w:b/>
          <w:bCs/>
          <w:color w:val="000000"/>
          <w:position w:val="-10"/>
          <w:sz w:val="24"/>
          <w:szCs w:val="24"/>
          <w:highlight w:val="none"/>
        </w:rPr>
        <w:t xml:space="preserve">）</w:t>
      </w:r>
      <w:r>
        <w:rPr>
          <w:rFonts w:hint="eastAsia" w:ascii="宋体" w:hAnsi="宋体" w:eastAsia="宋体" w:cs="宋体"/>
          <w:b/>
          <w:bCs/>
          <w:color w:val="000000"/>
          <w:position w:val="-10"/>
          <w:sz w:val="24"/>
          <w:szCs w:val="24"/>
          <w:highlight w:val="none"/>
        </w:rPr>
      </w:r>
      <w:r/>
    </w:p>
    <w:p>
      <w:pPr>
        <w:pStyle w:val="654"/>
        <w:ind w:left="0" w:right="0" w:firstLine="420"/>
        <w:spacing w:before="240" w:after="240" w:line="43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（项目名称） </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654"/>
        <w:ind w:left="0" w:right="0" w:firstLine="420"/>
        <w:spacing w:before="240" w:after="240" w:line="43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（标的名称）</w:t>
      </w:r>
      <w:r>
        <w:rPr>
          <w:rFonts w:hint="eastAsia" w:ascii="宋体" w:hAnsi="宋体" w:eastAsia="宋体" w:cs="宋体"/>
          <w:color w:val="000000"/>
          <w:sz w:val="24"/>
          <w:szCs w:val="24"/>
          <w:highlight w:val="none"/>
        </w:rPr>
        <w:t xml:space="preserve"> ，属于</w:t>
      </w:r>
      <w:r>
        <w:rPr>
          <w:rFonts w:hint="eastAsia" w:ascii="宋体" w:hAnsi="宋体" w:eastAsia="宋体" w:cs="宋体"/>
          <w:color w:val="000000"/>
          <w:sz w:val="24"/>
          <w:szCs w:val="24"/>
          <w:highlight w:val="none"/>
          <w:u w:val="single"/>
        </w:rPr>
        <w:t xml:space="preserve"> （采购文件中明确的所属行业） </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（中型企业、小型企业、微型企业）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4"/>
        <w:ind w:left="0" w:right="0" w:firstLine="420"/>
        <w:spacing w:before="240" w:after="240" w:line="43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（标的名称）</w:t>
      </w:r>
      <w:r>
        <w:rPr>
          <w:rFonts w:hint="eastAsia" w:ascii="宋体" w:hAnsi="宋体" w:eastAsia="宋体" w:cs="宋体"/>
          <w:color w:val="000000"/>
          <w:sz w:val="24"/>
          <w:szCs w:val="24"/>
          <w:highlight w:val="none"/>
        </w:rPr>
        <w:t xml:space="preserve"> ，属于</w:t>
      </w:r>
      <w:r>
        <w:rPr>
          <w:rFonts w:hint="eastAsia" w:ascii="宋体" w:hAnsi="宋体" w:eastAsia="宋体" w:cs="宋体"/>
          <w:color w:val="000000"/>
          <w:sz w:val="24"/>
          <w:szCs w:val="24"/>
          <w:highlight w:val="none"/>
          <w:u w:val="single"/>
        </w:rPr>
        <w:t xml:space="preserve"> （采购文件中明确的所属行业） </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4"/>
        <w:ind w:left="0" w:right="0" w:firstLine="420"/>
        <w:spacing w:before="240" w:after="240" w:line="43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4"/>
        <w:ind w:left="0" w:right="0" w:firstLine="420"/>
        <w:spacing w:before="240" w:after="240" w:line="43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654"/>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position w:val="-10"/>
          <w:sz w:val="24"/>
          <w:szCs w:val="24"/>
          <w:highlight w:val="none"/>
        </w:rPr>
      </w:r>
      <w:r/>
    </w:p>
    <w:p>
      <w:pPr>
        <w:pStyle w:val="654"/>
        <w:ind w:firstLine="480"/>
        <w:jc w:val="right"/>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pStyle w:val="654"/>
        <w:ind w:firstLine="480"/>
        <w:jc w:val="right"/>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企业名称（CA电子公章）:</w:t>
      </w:r>
      <w:r>
        <w:rPr>
          <w:rFonts w:hint="eastAsia" w:ascii="宋体" w:hAnsi="宋体" w:eastAsia="宋体" w:cs="宋体"/>
          <w:color w:val="000000"/>
          <w:position w:val="-10"/>
          <w:sz w:val="24"/>
          <w:szCs w:val="24"/>
          <w:highlight w:val="none"/>
        </w:rPr>
      </w:r>
      <w:r/>
    </w:p>
    <w:p>
      <w:pPr>
        <w:pStyle w:val="654"/>
        <w:ind w:firstLine="480"/>
        <w:jc w:val="right"/>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日 期：</w:t>
      </w:r>
      <w:r>
        <w:rPr>
          <w:rFonts w:hint="eastAsia" w:ascii="宋体" w:hAnsi="宋体" w:eastAsia="宋体" w:cs="宋体"/>
          <w:color w:val="000000"/>
          <w:position w:val="-10"/>
          <w:sz w:val="24"/>
          <w:szCs w:val="24"/>
          <w:highlight w:val="none"/>
        </w:rPr>
      </w:r>
      <w:r/>
    </w:p>
    <w:p>
      <w:pPr>
        <w:pStyle w:val="937"/>
        <w:ind w:firstLine="420"/>
        <w:rPr>
          <w:rFonts w:cs="宋体"/>
          <w:b/>
          <w:bCs/>
          <w:color w:val="000000"/>
          <w:sz w:val="21"/>
          <w:szCs w:val="21"/>
          <w:lang w:eastAsia="zh-CN"/>
        </w:rPr>
      </w:pPr>
      <w:r>
        <w:rPr>
          <w:rFonts w:hint="eastAsia" w:cs="宋体"/>
          <w:color w:val="000000"/>
          <w:sz w:val="21"/>
          <w:szCs w:val="21"/>
          <w:lang w:eastAsia="zh-CN"/>
        </w:rPr>
        <w:t xml:space="preserve">注：</w:t>
      </w:r>
      <w:r>
        <w:rPr>
          <w:rFonts w:hint="eastAsia" w:cs="Calibri"/>
          <w:color w:val="000000"/>
          <w:sz w:val="21"/>
          <w:szCs w:val="21"/>
          <w:lang w:eastAsia="zh-CN"/>
        </w:rPr>
        <w:t xml:space="preserve">【1】</w:t>
      </w:r>
      <w:r>
        <w:rPr>
          <w:rFonts w:cs="Calibri"/>
          <w:color w:val="000000"/>
          <w:sz w:val="21"/>
          <w:szCs w:val="21"/>
          <w:lang w:eastAsia="zh-CN"/>
        </w:rPr>
        <w:t xml:space="preserve"> </w:t>
      </w:r>
      <w:r>
        <w:rPr>
          <w:rFonts w:hint="eastAsia" w:cs="宋体"/>
          <w:color w:val="000000"/>
          <w:sz w:val="21"/>
          <w:szCs w:val="21"/>
          <w:lang w:eastAsia="zh-CN"/>
        </w:rPr>
        <w:t xml:space="preserve">从业人员、营业收入、资产总额填报上一年度数据，无上一年度数据的新成立企业可不填报。</w:t>
      </w:r>
      <w:r>
        <w:rPr>
          <w:rFonts w:cs="宋体"/>
          <w:b/>
          <w:bCs/>
          <w:color w:val="000000"/>
          <w:sz w:val="21"/>
          <w:szCs w:val="21"/>
          <w:lang w:eastAsia="zh-CN"/>
        </w:rPr>
      </w:r>
      <w:r/>
    </w:p>
    <w:p>
      <w:pPr>
        <w:pStyle w:val="937"/>
        <w:ind w:firstLine="422"/>
        <w:rPr>
          <w:rFonts w:cs="宋体"/>
          <w:bCs/>
          <w:color w:val="000000"/>
          <w:sz w:val="21"/>
          <w:szCs w:val="21"/>
          <w:lang w:eastAsia="zh-CN"/>
        </w:rPr>
      </w:pPr>
      <w:r>
        <w:rPr>
          <w:rFonts w:hint="eastAsia" w:cs="宋体"/>
          <w:b/>
          <w:bCs/>
          <w:color w:val="000000"/>
          <w:sz w:val="21"/>
          <w:szCs w:val="21"/>
          <w:lang w:eastAsia="zh-CN"/>
        </w:rPr>
        <w:t xml:space="preserve">  </w:t>
      </w:r>
      <w:bookmarkStart w:id="205" w:name="_Hlk78923390"/>
      <w:r>
        <w:rPr>
          <w:rFonts w:hint="eastAsia" w:cs="宋体"/>
          <w:b/>
          <w:bCs/>
          <w:color w:val="000000"/>
          <w:sz w:val="21"/>
          <w:szCs w:val="21"/>
          <w:lang w:eastAsia="zh-CN"/>
        </w:rPr>
        <w:t xml:space="preserve"> </w:t>
      </w:r>
      <w:r>
        <w:rPr>
          <w:rFonts w:hint="eastAsia" w:cs="Calibri"/>
          <w:color w:val="000000"/>
          <w:sz w:val="21"/>
          <w:szCs w:val="21"/>
          <w:lang w:eastAsia="zh-CN"/>
        </w:rPr>
        <w:t xml:space="preserve">【2】采购标的对应的中小企业划分标准所属行业：</w:t>
      </w:r>
      <w:r>
        <w:rPr>
          <w:rFonts w:hint="eastAsia" w:cs="Calibri"/>
          <w:color w:val="000000"/>
          <w:sz w:val="21"/>
          <w:szCs w:val="21"/>
          <w:lang w:val="en-US" w:eastAsia="zh-CN"/>
        </w:rPr>
        <w:t xml:space="preserve">其他未列明行</w:t>
      </w:r>
      <w:r>
        <w:rPr>
          <w:rFonts w:hint="eastAsia" w:cs="Calibri"/>
          <w:color w:val="000000"/>
          <w:sz w:val="21"/>
          <w:szCs w:val="21"/>
          <w:lang w:eastAsia="zh-CN"/>
        </w:rPr>
        <w:t xml:space="preserve">业。</w:t>
      </w:r>
      <w:r>
        <w:rPr>
          <w:rFonts w:cs="宋体"/>
          <w:bCs/>
          <w:color w:val="000000"/>
          <w:sz w:val="21"/>
          <w:szCs w:val="21"/>
          <w:lang w:eastAsia="zh-CN"/>
        </w:rPr>
      </w:r>
      <w:r/>
    </w:p>
    <w:p>
      <w:pPr>
        <w:pStyle w:val="654"/>
        <w:ind w:firstLine="422"/>
        <w:spacing w:line="360" w:lineRule="auto"/>
        <w:rPr>
          <w:rFonts w:ascii="宋体" w:hAnsi="宋体" w:cs="宋体"/>
          <w:b/>
          <w:bCs/>
          <w:color w:val="000000"/>
          <w:szCs w:val="21"/>
          <w:lang w:eastAsia="zh-CN"/>
        </w:rPr>
      </w:pPr>
      <w:r/>
      <w:bookmarkEnd w:id="205"/>
      <w:r>
        <w:rPr>
          <w:rFonts w:hint="eastAsia" w:ascii="宋体" w:hAnsi="宋体" w:eastAsia="宋体" w:cs="宋体"/>
          <w:b/>
          <w:bCs/>
          <w:color w:val="000000"/>
          <w:szCs w:val="21"/>
          <w:lang w:eastAsia="zh-CN"/>
        </w:rPr>
        <w:t xml:space="preserve">  </w:t>
      </w:r>
      <w:r>
        <w:rPr>
          <w:rFonts w:ascii="宋体" w:hAnsi="宋体" w:cs="宋体"/>
          <w:b/>
          <w:bCs/>
          <w:color w:val="000000"/>
          <w:szCs w:val="21"/>
          <w:lang w:eastAsia="zh-CN"/>
        </w:rPr>
      </w:r>
      <w:r/>
    </w:p>
    <w:p>
      <w:pPr>
        <w:pStyle w:val="654"/>
        <w:jc w:val="left"/>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pStyle w:val="654"/>
        <w:jc w:val="center"/>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残疾人福利性单位声明函</w:t>
      </w:r>
      <w:r>
        <w:rPr>
          <w:rFonts w:hint="eastAsia" w:ascii="宋体" w:hAnsi="宋体" w:eastAsia="宋体" w:cs="宋体"/>
          <w:color w:val="000000"/>
          <w:sz w:val="32"/>
          <w:szCs w:val="32"/>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项目（分包号：**）采购活动由本单位提供服务。</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（备注：1、投标人如不提供此声明函，价格将不做相应扣除。2、中标人为残疾人福利单位的，此声明函将随中标结果同时公告，接受社会监督。）</w:t>
      </w:r>
      <w:r>
        <w:rPr>
          <w:rFonts w:hint="eastAsia" w:ascii="宋体" w:hAnsi="宋体" w:eastAsia="宋体" w:cs="宋体"/>
          <w:color w:val="000000"/>
          <w:sz w:val="24"/>
          <w:highlight w:val="none"/>
        </w:rPr>
      </w:r>
      <w:r/>
    </w:p>
    <w:p>
      <w:pPr>
        <w:pStyle w:val="654"/>
        <w:ind w:firstLine="624"/>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9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4"/>
        <w:ind w:right="180" w:firstLine="36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654"/>
        <w:ind w:firstLine="5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年___月__日</w:t>
      </w: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八、商务、技术</w:t>
      </w:r>
      <w:r>
        <w:rPr>
          <w:rFonts w:hint="eastAsia" w:ascii="宋体" w:hAnsi="宋体" w:eastAsia="宋体" w:cs="宋体"/>
          <w:b/>
          <w:color w:val="000000"/>
          <w:sz w:val="32"/>
          <w:szCs w:val="32"/>
          <w:highlight w:val="none"/>
          <w:lang w:val="en-US" w:eastAsia="zh-CN"/>
        </w:rPr>
        <w:t xml:space="preserve">条款</w:t>
      </w:r>
      <w:r>
        <w:rPr>
          <w:rFonts w:hint="eastAsia" w:ascii="宋体" w:hAnsi="宋体" w:eastAsia="宋体" w:cs="宋体"/>
          <w:b/>
          <w:color w:val="000000"/>
          <w:sz w:val="32"/>
          <w:szCs w:val="32"/>
          <w:highlight w:val="none"/>
        </w:rPr>
        <w:t xml:space="preserve">偏离表</w:t>
      </w:r>
      <w:r>
        <w:rPr>
          <w:rFonts w:hint="eastAsia" w:ascii="宋体" w:hAnsi="宋体" w:eastAsia="宋体" w:cs="宋体"/>
          <w:b/>
          <w:color w:val="000000"/>
          <w:sz w:val="32"/>
          <w:szCs w:val="32"/>
          <w:highlight w:val="none"/>
        </w:rPr>
      </w:r>
      <w:r/>
    </w:p>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商务条款偏离表</w:t>
      </w:r>
      <w:r>
        <w:rPr>
          <w:rFonts w:hint="eastAsia" w:ascii="宋体" w:hAnsi="宋体" w:eastAsia="宋体" w:cs="宋体"/>
          <w:color w:val="000000"/>
          <w:sz w:val="24"/>
          <w:szCs w:val="24"/>
          <w:highlight w:val="none"/>
        </w:rPr>
      </w:r>
      <w:r/>
    </w:p>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Style w:val="733"/>
        <w:tblW w:w="9063" w:type="dxa"/>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08"/>
        <w:gridCol w:w="1492"/>
        <w:gridCol w:w="2477"/>
        <w:gridCol w:w="90"/>
        <w:gridCol w:w="3083"/>
        <w:gridCol w:w="90"/>
        <w:gridCol w:w="1133"/>
        <w:gridCol w:w="90"/>
      </w:tblGrid>
      <w:tr>
        <w:trPr>
          <w:gridAfter w:val="1"/>
          <w:trHeight w:val="284"/>
        </w:trPr>
        <w:tc>
          <w:tcPr>
            <w:gridSpan w:val="3"/>
            <w:tcMar>
              <w:left w:w="10" w:type="dxa"/>
              <w:top w:w="0" w:type="dxa"/>
              <w:right w:w="10" w:type="dxa"/>
              <w:bottom w:w="0" w:type="dxa"/>
            </w:tcMar>
            <w:tcW w:w="4577"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gridSpan w:val="4"/>
            <w:tcMar>
              <w:left w:w="10" w:type="dxa"/>
              <w:top w:w="0" w:type="dxa"/>
              <w:right w:w="10" w:type="dxa"/>
              <w:bottom w:w="0" w:type="dxa"/>
            </w:tcMar>
            <w:tcW w:w="4396" w:type="dxa"/>
            <w:vAlign w:val="center"/>
            <w:textDirection w:val="lrTb"/>
            <w:noWrap w:val="false"/>
          </w:tcPr>
          <w:p>
            <w:pPr>
              <w:pStyle w:val="654"/>
              <w:ind w:left="0" w:right="0" w:firstLine="0"/>
              <w:jc w:val="left"/>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招标文件条目号</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招标文件要求的商务条款</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投标响应</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偏离</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0" w:type="dxa"/>
              <w:top w:w="0" w:type="dxa"/>
              <w:right w:w="0" w:type="dxa"/>
              <w:bottom w:w="0" w:type="dxa"/>
            </w:tcMar>
            <w:tcW w:w="608" w:type="dxa"/>
            <w:vAlign w:val="center"/>
            <w:textDirection w:val="lrTb"/>
            <w:noWrap w:val="false"/>
          </w:tcPr>
          <w:p>
            <w:pPr>
              <w:pStyle w:val="654"/>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0" w:type="dxa"/>
              <w:top w:w="0" w:type="dxa"/>
              <w:right w:w="0" w:type="dxa"/>
              <w:bottom w:w="0" w:type="dxa"/>
            </w:tcMar>
            <w:tcW w:w="1492" w:type="dxa"/>
            <w:vAlign w:val="center"/>
            <w:textDirection w:val="lrTb"/>
            <w:noWrap w:val="false"/>
          </w:tcPr>
          <w:p>
            <w:pPr>
              <w:pStyle w:val="654"/>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0" w:type="dxa"/>
              <w:top w:w="0" w:type="dxa"/>
              <w:right w:w="0" w:type="dxa"/>
              <w:bottom w:w="0" w:type="dxa"/>
            </w:tcMar>
            <w:tcW w:w="2477" w:type="dxa"/>
            <w:vAlign w:val="center"/>
            <w:textDirection w:val="lrTb"/>
            <w:noWrap w:val="false"/>
          </w:tcPr>
          <w:p>
            <w:pPr>
              <w:pStyle w:val="654"/>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0" w:type="dxa"/>
              <w:top w:w="0" w:type="dxa"/>
              <w:right w:w="0" w:type="dxa"/>
              <w:bottom w:w="0" w:type="dxa"/>
            </w:tcMar>
            <w:tcW w:w="90" w:type="dxa"/>
            <w:vAlign w:val="center"/>
            <w:textDirection w:val="lrTb"/>
            <w:noWrap w:val="false"/>
          </w:tcPr>
          <w:p>
            <w:pPr>
              <w:pStyle w:val="654"/>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Mar>
              <w:left w:w="0" w:type="dxa"/>
              <w:top w:w="0" w:type="dxa"/>
              <w:right w:w="0" w:type="dxa"/>
              <w:bottom w:w="0" w:type="dxa"/>
            </w:tcMar>
            <w:tcW w:w="3173" w:type="dxa"/>
            <w:vAlign w:val="center"/>
            <w:textDirection w:val="lrTb"/>
            <w:noWrap w:val="false"/>
          </w:tcPr>
          <w:p>
            <w:pPr>
              <w:pStyle w:val="654"/>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Mar>
              <w:left w:w="0" w:type="dxa"/>
              <w:top w:w="0" w:type="dxa"/>
              <w:right w:w="0" w:type="dxa"/>
              <w:bottom w:w="0" w:type="dxa"/>
            </w:tcMar>
            <w:tcW w:w="1223" w:type="dxa"/>
            <w:vAlign w:val="center"/>
            <w:textDirection w:val="lrTb"/>
            <w:noWrap w:val="false"/>
          </w:tcPr>
          <w:p>
            <w:pPr>
              <w:pStyle w:val="654"/>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rPr>
        <w:t xml:space="preserve">供应商应说明商务条款和偏离情况。</w:t>
      </w:r>
      <w:r>
        <w:rPr>
          <w:rFonts w:hint="eastAsia" w:ascii="宋体" w:hAnsi="宋体" w:eastAsia="宋体" w:cs="宋体"/>
          <w:color w:val="000000"/>
          <w:sz w:val="24"/>
          <w:szCs w:val="24"/>
          <w:highlight w:val="none"/>
        </w:rPr>
      </w:r>
      <w:r/>
    </w:p>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2、如果行数不够，请自行增加。</w:t>
      </w:r>
      <w:r>
        <w:rPr>
          <w:rFonts w:hint="eastAsia" w:ascii="宋体" w:hAnsi="宋体" w:eastAsia="宋体" w:cs="宋体"/>
          <w:color w:val="000000"/>
          <w:sz w:val="24"/>
          <w:szCs w:val="24"/>
          <w:highlight w:val="none"/>
        </w:rPr>
      </w:r>
      <w:r/>
    </w:p>
    <w:p>
      <w:pPr>
        <w:pStyle w:val="654"/>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p>
      <w:pPr>
        <w:pStyle w:val="654"/>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654"/>
        <w:ind w:left="0" w:right="0" w:firstLine="0"/>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技术</w:t>
      </w:r>
      <w:r>
        <w:rPr>
          <w:rFonts w:hint="eastAsia" w:ascii="宋体" w:hAnsi="宋体" w:eastAsia="宋体" w:cs="宋体"/>
          <w:b/>
          <w:color w:val="000000"/>
          <w:sz w:val="24"/>
          <w:szCs w:val="24"/>
          <w:highlight w:val="none"/>
        </w:rPr>
        <w:t xml:space="preserve">条款偏离表</w:t>
      </w:r>
      <w:r>
        <w:rPr>
          <w:rFonts w:hint="eastAsia" w:ascii="宋体" w:hAnsi="宋体" w:eastAsia="宋体" w:cs="宋体"/>
          <w:color w:val="000000"/>
          <w:sz w:val="24"/>
          <w:szCs w:val="24"/>
          <w:highlight w:val="none"/>
        </w:rPr>
      </w:r>
      <w:r/>
    </w:p>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Style w:val="733"/>
        <w:tblW w:w="9063" w:type="dxa"/>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08"/>
        <w:gridCol w:w="1492"/>
        <w:gridCol w:w="2477"/>
        <w:gridCol w:w="90"/>
        <w:gridCol w:w="3083"/>
        <w:gridCol w:w="90"/>
        <w:gridCol w:w="1133"/>
        <w:gridCol w:w="90"/>
      </w:tblGrid>
      <w:tr>
        <w:trPr>
          <w:gridAfter w:val="1"/>
          <w:trHeight w:val="284"/>
        </w:trPr>
        <w:tc>
          <w:tcPr>
            <w:gridSpan w:val="3"/>
            <w:tcMar>
              <w:left w:w="10" w:type="dxa"/>
              <w:top w:w="0" w:type="dxa"/>
              <w:right w:w="10" w:type="dxa"/>
              <w:bottom w:w="0" w:type="dxa"/>
            </w:tcMar>
            <w:tcW w:w="4577"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gridSpan w:val="4"/>
            <w:tcMar>
              <w:left w:w="10" w:type="dxa"/>
              <w:top w:w="0" w:type="dxa"/>
              <w:right w:w="10" w:type="dxa"/>
              <w:bottom w:w="0" w:type="dxa"/>
            </w:tcMar>
            <w:tcW w:w="4396" w:type="dxa"/>
            <w:vAlign w:val="center"/>
            <w:textDirection w:val="lrTb"/>
            <w:noWrap w:val="false"/>
          </w:tcPr>
          <w:p>
            <w:pPr>
              <w:pStyle w:val="654"/>
              <w:ind w:left="0" w:right="0" w:firstLine="0"/>
              <w:jc w:val="left"/>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招标文件条目号</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招标文件要求的商务条款</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投标响应</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偏离</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654"/>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0" w:type="dxa"/>
              <w:top w:w="0" w:type="dxa"/>
              <w:right w:w="0" w:type="dxa"/>
              <w:bottom w:w="0" w:type="dxa"/>
            </w:tcMar>
            <w:tcW w:w="608" w:type="dxa"/>
            <w:vAlign w:val="center"/>
            <w:textDirection w:val="lrTb"/>
            <w:noWrap w:val="false"/>
          </w:tcPr>
          <w:p>
            <w:pPr>
              <w:pStyle w:val="654"/>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0" w:type="dxa"/>
              <w:top w:w="0" w:type="dxa"/>
              <w:right w:w="0" w:type="dxa"/>
              <w:bottom w:w="0" w:type="dxa"/>
            </w:tcMar>
            <w:tcW w:w="1492" w:type="dxa"/>
            <w:vAlign w:val="center"/>
            <w:textDirection w:val="lrTb"/>
            <w:noWrap w:val="false"/>
          </w:tcPr>
          <w:p>
            <w:pPr>
              <w:pStyle w:val="654"/>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0" w:type="dxa"/>
              <w:top w:w="0" w:type="dxa"/>
              <w:right w:w="0" w:type="dxa"/>
              <w:bottom w:w="0" w:type="dxa"/>
            </w:tcMar>
            <w:tcW w:w="2477" w:type="dxa"/>
            <w:vAlign w:val="center"/>
            <w:textDirection w:val="lrTb"/>
            <w:noWrap w:val="false"/>
          </w:tcPr>
          <w:p>
            <w:pPr>
              <w:pStyle w:val="654"/>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0" w:type="dxa"/>
              <w:top w:w="0" w:type="dxa"/>
              <w:right w:w="0" w:type="dxa"/>
              <w:bottom w:w="0" w:type="dxa"/>
            </w:tcMar>
            <w:tcW w:w="90" w:type="dxa"/>
            <w:vAlign w:val="center"/>
            <w:textDirection w:val="lrTb"/>
            <w:noWrap w:val="false"/>
          </w:tcPr>
          <w:p>
            <w:pPr>
              <w:pStyle w:val="654"/>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Mar>
              <w:left w:w="0" w:type="dxa"/>
              <w:top w:w="0" w:type="dxa"/>
              <w:right w:w="0" w:type="dxa"/>
              <w:bottom w:w="0" w:type="dxa"/>
            </w:tcMar>
            <w:tcW w:w="3173" w:type="dxa"/>
            <w:vAlign w:val="center"/>
            <w:textDirection w:val="lrTb"/>
            <w:noWrap w:val="false"/>
          </w:tcPr>
          <w:p>
            <w:pPr>
              <w:pStyle w:val="654"/>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Mar>
              <w:left w:w="0" w:type="dxa"/>
              <w:top w:w="0" w:type="dxa"/>
              <w:right w:w="0" w:type="dxa"/>
              <w:bottom w:w="0" w:type="dxa"/>
            </w:tcMar>
            <w:tcW w:w="1223" w:type="dxa"/>
            <w:vAlign w:val="center"/>
            <w:textDirection w:val="lrTb"/>
            <w:noWrap w:val="false"/>
          </w:tcPr>
          <w:p>
            <w:pPr>
              <w:pStyle w:val="654"/>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rPr>
        <w:t xml:space="preserve">供应商应说明商务条款和偏离情况。</w:t>
      </w:r>
      <w:r>
        <w:rPr>
          <w:rFonts w:hint="eastAsia" w:ascii="宋体" w:hAnsi="宋体" w:eastAsia="宋体" w:cs="宋体"/>
          <w:color w:val="000000"/>
          <w:sz w:val="24"/>
          <w:szCs w:val="24"/>
          <w:highlight w:val="none"/>
        </w:rPr>
      </w:r>
      <w:r/>
    </w:p>
    <w:p>
      <w:pPr>
        <w:pStyle w:val="654"/>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2、如果行数不够，请自行增加。</w:t>
      </w:r>
      <w:r>
        <w:rPr>
          <w:rFonts w:hint="eastAsia" w:ascii="宋体" w:hAnsi="宋体" w:eastAsia="宋体" w:cs="宋体"/>
          <w:color w:val="000000"/>
          <w:sz w:val="24"/>
          <w:szCs w:val="24"/>
          <w:highlight w:val="none"/>
        </w:rPr>
      </w:r>
      <w:r/>
    </w:p>
    <w:p>
      <w:pPr>
        <w:pStyle w:val="654"/>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p>
      <w:pPr>
        <w:pStyle w:val="938"/>
        <w:spacing w:line="360" w:lineRule="auto"/>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九、项目组人员</w:t>
      </w:r>
      <w:r>
        <w:rPr>
          <w:rFonts w:hint="eastAsia" w:ascii="宋体" w:hAnsi="宋体" w:eastAsia="宋体" w:cs="宋体"/>
          <w:color w:val="000000"/>
          <w:highlight w:val="none"/>
        </w:rPr>
      </w:r>
      <w:r/>
    </w:p>
    <w:p>
      <w:pPr>
        <w:pStyle w:val="72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bidi="ar"/>
        </w:rPr>
        <w:t xml:space="preserve">项目组成员（如有）</w:t>
      </w:r>
      <w:r>
        <w:rPr>
          <w:rFonts w:hint="eastAsia" w:ascii="宋体" w:hAnsi="宋体" w:eastAsia="宋体" w:cs="宋体"/>
          <w:b/>
          <w:bCs/>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39"/>
              <w:jc w:val="center"/>
              <w:spacing w:beforeAutospacing="1"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姓名</w:t>
            </w: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39"/>
              <w:jc w:val="center"/>
              <w:spacing w:beforeAutospacing="1"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职务</w:t>
            </w: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39"/>
              <w:jc w:val="center"/>
              <w:spacing w:beforeAutospacing="1"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学历</w:t>
            </w: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39"/>
              <w:ind w:firstLine="280"/>
              <w:spacing w:beforeAutospacing="1"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身份证号</w:t>
            </w: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39"/>
              <w:jc w:val="center"/>
              <w:spacing w:beforeAutospacing="1"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相关证书</w:t>
            </w: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39"/>
              <w:spacing w:beforeAutospacing="1"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723"/>
              <w:jc w:val="center"/>
              <w:spacing w:line="360" w:lineRule="auto"/>
              <w:rPr>
                <w:rFonts w:hint="eastAsia" w:ascii="宋体" w:hAnsi="宋体" w:eastAsia="宋体" w:cs="宋体"/>
                <w:color w:val="000000"/>
                <w:sz w:val="20"/>
                <w:szCs w:val="20"/>
                <w:highlight w:val="none"/>
                <w:lang w:eastAsia="zh-CN"/>
              </w:rPr>
              <w:framePr w:vAnchor="page" w:hAnchor="page" w:xAlign="center" w:y="74"/>
            </w:pPr>
            <w:r>
              <w:rPr>
                <w:rFonts w:hint="eastAsia" w:ascii="宋体" w:hAnsi="宋体" w:eastAsia="宋体" w:cs="宋体"/>
                <w:color w:val="000000"/>
                <w:sz w:val="28"/>
                <w:szCs w:val="28"/>
                <w:highlight w:val="none"/>
                <w:lang w:bidi="ar"/>
              </w:rPr>
              <w:t xml:space="preserve">项目</w:t>
            </w:r>
            <w:r>
              <w:rPr>
                <w:rFonts w:hint="eastAsia" w:ascii="宋体" w:hAnsi="宋体" w:eastAsia="宋体" w:cs="宋体"/>
                <w:color w:val="000000"/>
                <w:sz w:val="28"/>
                <w:szCs w:val="28"/>
                <w:highlight w:val="none"/>
                <w:lang w:val="en-US" w:eastAsia="zh-CN" w:bidi="ar"/>
              </w:rPr>
              <w:t xml:space="preserve">负责人</w:t>
            </w:r>
            <w:r>
              <w:rPr>
                <w:rFonts w:hint="eastAsia" w:ascii="宋体" w:hAnsi="宋体" w:eastAsia="宋体" w:cs="宋体"/>
                <w:color w:val="000000"/>
                <w:sz w:val="20"/>
                <w:szCs w:val="20"/>
                <w:highlight w:val="none"/>
                <w:lang w:eastAsia="zh-CN"/>
              </w:rPr>
            </w:r>
            <w:r/>
          </w:p>
        </w:tc>
        <w:tc>
          <w:tcPr>
            <w:tcW w:w="99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723"/>
              <w:jc w:val="center"/>
              <w:spacing w:line="360" w:lineRule="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lang w:bidi="ar"/>
              </w:rPr>
              <w:t xml:space="preserve">......</w:t>
            </w: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723"/>
              <w:ind w:firstLine="652"/>
              <w:spacing w:line="360" w:lineRule="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lang w:bidi="ar"/>
              </w:rPr>
              <w:t xml:space="preserve">......</w:t>
            </w: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723"/>
              <w:spacing w:line="360" w:lineRule="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723"/>
              <w:spacing w:line="360" w:lineRule="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939"/>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bl>
    <w:p>
      <w:pPr>
        <w:pStyle w:val="723"/>
        <w:ind w:firstLine="398"/>
        <w:spacing w:line="360" w:lineRule="auto"/>
        <w:rPr>
          <w:rFonts w:hint="eastAsia" w:ascii="宋体" w:hAnsi="宋体" w:eastAsia="宋体" w:cs="宋体"/>
          <w:color w:val="000000"/>
          <w:highlight w:val="none"/>
        </w:rPr>
      </w:pPr>
      <w:r>
        <w:rPr>
          <w:rFonts w:hint="eastAsia" w:ascii="宋体" w:hAnsi="宋体" w:eastAsia="宋体" w:cs="宋体"/>
          <w:b/>
          <w:color w:val="000000"/>
          <w:highlight w:val="none"/>
          <w:lang w:bidi="ar"/>
        </w:rPr>
        <w:t xml:space="preserve">注：如供应商中标，项目组成员必须按本表承诺人员操作，不得随意更换</w:t>
      </w:r>
      <w:r>
        <w:rPr>
          <w:rFonts w:hint="eastAsia" w:ascii="宋体" w:hAnsi="宋体" w:eastAsia="宋体" w:cs="宋体"/>
          <w:b/>
          <w:color w:val="000000"/>
          <w:highlight w:val="none"/>
          <w:lang w:bidi="ar"/>
        </w:rPr>
        <w:t xml:space="preserve">。按投标文件要求附相关人员证书。</w:t>
      </w:r>
      <w:r>
        <w:rPr>
          <w:rFonts w:hint="eastAsia" w:ascii="宋体" w:hAnsi="宋体" w:eastAsia="宋体" w:cs="宋体"/>
          <w:color w:val="000000"/>
          <w:highlight w:val="none"/>
        </w:rPr>
      </w:r>
      <w:r/>
    </w:p>
    <w:p>
      <w:pPr>
        <w:pStyle w:val="723"/>
        <w:ind w:firstLine="2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206" w:name="_Toc11176"/>
      <w:r>
        <w:rPr>
          <w:rFonts w:hint="eastAsia" w:ascii="宋体" w:hAnsi="宋体" w:eastAsia="宋体" w:cs="宋体"/>
          <w:b/>
          <w:color w:val="000000"/>
          <w:sz w:val="32"/>
          <w:highlight w:val="none"/>
        </w:rPr>
        <w:t xml:space="preserve">十、</w:t>
      </w:r>
      <w:bookmarkEnd w:id="206"/>
      <w:r>
        <w:rPr>
          <w:rFonts w:hint="eastAsia" w:ascii="宋体" w:hAnsi="宋体" w:eastAsia="宋体" w:cs="宋体"/>
          <w:b/>
          <w:color w:val="000000"/>
          <w:sz w:val="32"/>
          <w:highlight w:val="none"/>
        </w:rPr>
        <w:t xml:space="preserve">企业业绩</w:t>
      </w:r>
      <w:r>
        <w:rPr>
          <w:rFonts w:hint="eastAsia" w:ascii="宋体" w:hAnsi="宋体" w:eastAsia="宋体" w:cs="宋体"/>
          <w:color w:val="000000"/>
          <w:highlight w:val="none"/>
        </w:rPr>
      </w:r>
      <w:r/>
    </w:p>
    <w:p>
      <w:pPr>
        <w:pStyle w:val="941"/>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投标人承担类似项目业绩一览表</w:t>
      </w:r>
      <w:r>
        <w:rPr>
          <w:rFonts w:hint="eastAsia" w:ascii="宋体" w:hAnsi="宋体" w:eastAsia="宋体" w:cs="宋体"/>
          <w:b/>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942"/>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3827" w:type="dxa"/>
            <w:vAlign w:val="center"/>
            <w:textDirection w:val="lrTb"/>
            <w:noWrap w:val="false"/>
          </w:tcPr>
          <w:p>
            <w:pPr>
              <w:pStyle w:val="942"/>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tc>
        <w:tc>
          <w:tcPr>
            <w:tcW w:w="2433" w:type="dxa"/>
            <w:vAlign w:val="center"/>
            <w:textDirection w:val="lrTb"/>
            <w:noWrap w:val="false"/>
          </w:tcPr>
          <w:p>
            <w:pPr>
              <w:pStyle w:val="942"/>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采购单位</w:t>
            </w:r>
            <w:r>
              <w:rPr>
                <w:rFonts w:hint="eastAsia" w:ascii="宋体" w:hAnsi="宋体" w:eastAsia="宋体" w:cs="宋体"/>
                <w:color w:val="000000"/>
                <w:sz w:val="28"/>
                <w:szCs w:val="28"/>
                <w:highlight w:val="none"/>
              </w:rPr>
            </w:r>
            <w:r/>
          </w:p>
        </w:tc>
        <w:tc>
          <w:tcPr>
            <w:tcW w:w="1395" w:type="dxa"/>
            <w:vAlign w:val="center"/>
            <w:textDirection w:val="lrTb"/>
            <w:noWrap w:val="false"/>
          </w:tcPr>
          <w:p>
            <w:pPr>
              <w:pStyle w:val="942"/>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合同金额</w:t>
            </w:r>
            <w:r>
              <w:rPr>
                <w:rFonts w:hint="eastAsia" w:ascii="宋体" w:hAnsi="宋体" w:eastAsia="宋体" w:cs="宋体"/>
                <w:color w:val="000000"/>
                <w:sz w:val="28"/>
                <w:szCs w:val="28"/>
                <w:highlight w:val="none"/>
              </w:rPr>
            </w:r>
            <w:r/>
          </w:p>
        </w:tc>
      </w:tr>
      <w:tr>
        <w:trPr>
          <w:trHeight w:val="1510"/>
        </w:trPr>
        <w:tc>
          <w:tcPr>
            <w:tcW w:w="1229" w:type="dxa"/>
            <w:vAlign w:val="top"/>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10"/>
        </w:trPr>
        <w:tc>
          <w:tcPr>
            <w:tcW w:w="1229" w:type="dxa"/>
            <w:vAlign w:val="top"/>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10"/>
        </w:trPr>
        <w:tc>
          <w:tcPr>
            <w:tcW w:w="1229" w:type="dxa"/>
            <w:vAlign w:val="top"/>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25"/>
        </w:trPr>
        <w:tc>
          <w:tcPr>
            <w:tcW w:w="1229" w:type="dxa"/>
            <w:vAlign w:val="top"/>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942"/>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941"/>
        <w:spacing w:line="360" w:lineRule="auto"/>
        <w:rPr>
          <w:rFonts w:hint="eastAsia" w:ascii="宋体" w:hAnsi="宋体" w:eastAsia="宋体" w:cs="宋体"/>
          <w:color w:val="000000"/>
          <w:highlight w:val="none"/>
        </w:rPr>
      </w:pPr>
      <w:r>
        <w:rPr>
          <w:rFonts w:hint="eastAsia" w:ascii="宋体" w:hAnsi="宋体" w:eastAsia="宋体" w:cs="宋体"/>
          <w:b/>
          <w:color w:val="000000"/>
          <w:sz w:val="24"/>
          <w:highlight w:val="none"/>
        </w:rPr>
        <w:t xml:space="preserve">注：请填写此表，并按要求上传业绩资料电子件。</w:t>
      </w:r>
      <w:r>
        <w:rPr>
          <w:rFonts w:hint="eastAsia" w:ascii="宋体" w:hAnsi="宋体" w:eastAsia="宋体" w:cs="宋体"/>
          <w:color w:val="000000"/>
          <w:highlight w:val="none"/>
        </w:rPr>
      </w:r>
      <w:r/>
    </w:p>
    <w:p>
      <w:pPr>
        <w:pStyle w:val="943"/>
        <w:spacing w:line="360" w:lineRule="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07" w:name="_Toc28140"/>
      <w:r>
        <w:rPr>
          <w:rFonts w:hint="eastAsia" w:ascii="宋体" w:hAnsi="宋体" w:eastAsia="宋体" w:cs="宋体"/>
          <w:color w:val="000000"/>
          <w:highlight w:val="none"/>
        </w:rPr>
        <w:t xml:space="preserve">十一、投标所需其他材料</w:t>
      </w:r>
      <w:bookmarkEnd w:id="207"/>
      <w:r>
        <w:rPr>
          <w:rFonts w:hint="eastAsia" w:ascii="宋体" w:hAnsi="宋体" w:eastAsia="宋体" w:cs="宋体"/>
          <w:color w:val="000000"/>
          <w:highlight w:val="non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1"/>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54"/>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资格要求的证明文件</w:t>
      </w:r>
      <w:r>
        <w:rPr>
          <w:rFonts w:hint="eastAsia" w:ascii="宋体" w:hAnsi="宋体" w:eastAsia="宋体" w:cs="宋体"/>
          <w:i/>
          <w:color w:val="000000"/>
          <w:sz w:val="32"/>
          <w:szCs w:val="32"/>
          <w:highlight w:val="none"/>
          <w:u w:val="single"/>
        </w:rPr>
      </w:r>
      <w:r/>
    </w:p>
    <w:p>
      <w:pPr>
        <w:pStyle w:val="654"/>
        <w:ind w:firstLine="46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下述格式供参考使用，南京地区项目适用于信用承诺制，请根据公告中资格要求，也可提供信用承诺书替代下述部分要求。</w:t>
      </w:r>
      <w:r>
        <w:rPr>
          <w:rFonts w:hint="eastAsia" w:ascii="宋体" w:hAnsi="宋体" w:eastAsia="宋体" w:cs="宋体"/>
          <w:color w:val="000000"/>
          <w:sz w:val="24"/>
          <w:highlight w:val="none"/>
        </w:rPr>
      </w:r>
      <w:r/>
    </w:p>
    <w:p>
      <w:pPr>
        <w:pStyle w:val="654"/>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格式一：</w:t>
      </w:r>
      <w:r>
        <w:rPr>
          <w:rFonts w:hint="eastAsia" w:ascii="宋体" w:hAnsi="宋体" w:eastAsia="宋体" w:cs="宋体"/>
          <w:color w:val="000000"/>
          <w:sz w:val="24"/>
          <w:highlight w:val="none"/>
        </w:rPr>
        <w:t xml:space="preserve">法人或者其他组织的营业执照等证明文件，自然人的身份证明</w:t>
      </w:r>
      <w:r>
        <w:rPr>
          <w:rFonts w:hint="eastAsia" w:ascii="宋体" w:hAnsi="宋体" w:eastAsia="宋体" w:cs="宋体"/>
          <w:color w:val="000000"/>
          <w:sz w:val="24"/>
          <w:szCs w:val="24"/>
          <w:highlight w:val="none"/>
        </w:rPr>
      </w:r>
      <w:r/>
    </w:p>
    <w:p>
      <w:pPr>
        <w:pStyle w:val="654"/>
        <w:ind w:firstLine="7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格式二：</w:t>
      </w:r>
      <w:r>
        <w:rPr>
          <w:rFonts w:hint="eastAsia" w:ascii="宋体" w:hAnsi="宋体" w:eastAsia="宋体" w:cs="宋体"/>
          <w:color w:val="000000"/>
          <w:sz w:val="24"/>
          <w:highlight w:val="none"/>
        </w:rPr>
        <w:t xml:space="preserve">具有良好的商业信誉和健全的财务会计制度</w:t>
      </w:r>
      <w:r>
        <w:rPr>
          <w:rFonts w:hint="eastAsia" w:ascii="宋体" w:hAnsi="宋体" w:eastAsia="宋体" w:cs="宋体"/>
          <w:color w:val="000000"/>
          <w:sz w:val="24"/>
          <w:highlight w:val="none"/>
        </w:rPr>
      </w:r>
      <w:r/>
    </w:p>
    <w:p>
      <w:pPr>
        <w:pStyle w:val="654"/>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格式三：依法缴纳税收和社会保障资金的相关材料</w:t>
      </w:r>
      <w:r>
        <w:rPr>
          <w:rFonts w:hint="eastAsia" w:ascii="宋体" w:hAnsi="宋体" w:eastAsia="宋体" w:cs="宋体"/>
          <w:color w:val="000000"/>
          <w:sz w:val="24"/>
          <w:szCs w:val="24"/>
          <w:highlight w:val="none"/>
        </w:rPr>
      </w:r>
      <w:r/>
    </w:p>
    <w:p>
      <w:pPr>
        <w:pStyle w:val="654"/>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格式四：具备履行合同所必需的设备和专业技术能力的书面声明</w:t>
      </w:r>
      <w:r>
        <w:rPr>
          <w:rFonts w:hint="eastAsia" w:ascii="宋体" w:hAnsi="宋体" w:eastAsia="宋体" w:cs="宋体"/>
          <w:color w:val="000000"/>
          <w:sz w:val="24"/>
          <w:szCs w:val="24"/>
          <w:highlight w:val="none"/>
        </w:rPr>
      </w:r>
      <w:r/>
    </w:p>
    <w:p>
      <w:pPr>
        <w:pStyle w:val="654"/>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格式五：参加政府采购活动前3年内在经营活动中没有重大违法记录的书面声明</w:t>
      </w:r>
      <w:r>
        <w:rPr>
          <w:rFonts w:hint="eastAsia" w:ascii="宋体" w:hAnsi="宋体" w:eastAsia="宋体" w:cs="宋体"/>
          <w:color w:val="000000"/>
          <w:sz w:val="24"/>
          <w:szCs w:val="24"/>
          <w:highlight w:val="none"/>
        </w:rPr>
      </w:r>
      <w:r/>
    </w:p>
    <w:p>
      <w:pPr>
        <w:pStyle w:val="654"/>
        <w:ind w:left="1772" w:hanging="10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Cs w:val="24"/>
          <w:highlight w:val="none"/>
        </w:rPr>
        <w:t xml:space="preserve">　</w:t>
      </w:r>
      <w:r>
        <w:rPr>
          <w:rFonts w:hint="eastAsia" w:ascii="宋体" w:hAnsi="宋体" w:eastAsia="宋体" w:cs="宋体"/>
          <w:b/>
          <w:color w:val="000000"/>
          <w:sz w:val="24"/>
          <w:szCs w:val="24"/>
          <w:highlight w:val="none"/>
        </w:rPr>
      </w:r>
      <w:r/>
    </w:p>
    <w:p>
      <w:pPr>
        <w:pStyle w:val="654"/>
        <w:spacing w:before="50" w:after="145"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格式一</w:t>
      </w:r>
      <w:r>
        <w:rPr>
          <w:rFonts w:hint="eastAsia" w:ascii="宋体" w:hAnsi="宋体" w:eastAsia="宋体" w:cs="宋体"/>
          <w:color w:val="000000"/>
          <w:sz w:val="24"/>
          <w:szCs w:val="24"/>
          <w:highlight w:val="none"/>
        </w:rPr>
      </w:r>
      <w:r/>
    </w:p>
    <w:p>
      <w:pPr>
        <w:pStyle w:val="654"/>
        <w:ind w:firstLine="960"/>
        <w:spacing w:line="360" w:lineRule="auto"/>
        <w:rPr>
          <w:rFonts w:hint="eastAsia" w:ascii="宋体" w:hAnsi="宋体" w:eastAsia="宋体" w:cs="宋体"/>
          <w:b/>
          <w:color w:val="000000"/>
          <w:szCs w:val="24"/>
          <w:highlight w:val="none"/>
        </w:rPr>
      </w:pPr>
      <w:r>
        <w:rPr>
          <w:rFonts w:hint="eastAsia" w:ascii="宋体" w:hAnsi="宋体" w:eastAsia="宋体" w:cs="宋体"/>
          <w:color w:val="000000"/>
          <w:sz w:val="24"/>
          <w:highlight w:val="none"/>
        </w:rPr>
        <w:t xml:space="preserve">法人或者其他组织的营业执照等证明文件，自然人的身份证明</w:t>
      </w:r>
      <w:r>
        <w:rPr>
          <w:rFonts w:hint="eastAsia" w:ascii="宋体" w:hAnsi="宋体" w:eastAsia="宋体" w:cs="宋体"/>
          <w:b/>
          <w:color w:val="000000"/>
          <w:szCs w:val="24"/>
          <w:highlight w:val="none"/>
        </w:rPr>
      </w:r>
      <w:r/>
    </w:p>
    <w:p>
      <w:pPr>
        <w:pStyle w:val="654"/>
        <w:jc w:val="center"/>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格式二</w:t>
      </w:r>
      <w:r>
        <w:rPr>
          <w:rFonts w:hint="eastAsia" w:ascii="宋体" w:hAnsi="宋体" w:eastAsia="宋体" w:cs="宋体"/>
          <w:color w:val="000000"/>
          <w:sz w:val="24"/>
          <w:szCs w:val="24"/>
          <w:highlight w:val="none"/>
        </w:rPr>
      </w:r>
      <w:r/>
    </w:p>
    <w:p>
      <w:pPr>
        <w:pStyle w:val="654"/>
        <w:ind w:right="-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提供参加本次政府采购活动前6个月内至少一个月份的会计报表（至少包括资产负债表和利润表）复印件或其上一年度经审计的财务报告加盖供应商公章扫描上传至电子投标文件中，成立不满6个月的无需提供）</w:t>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b/>
          <w:color w:val="000000"/>
          <w:position w:val="-10"/>
          <w:sz w:val="24"/>
          <w:szCs w:val="20"/>
          <w:highlight w:val="none"/>
        </w:rPr>
      </w:pPr>
      <w:r>
        <w:rPr>
          <w:rFonts w:hint="eastAsia" w:ascii="宋体" w:hAnsi="宋体" w:eastAsia="宋体" w:cs="宋体"/>
          <w:b/>
          <w:color w:val="000000"/>
          <w:position w:val="-10"/>
          <w:sz w:val="24"/>
          <w:szCs w:val="20"/>
          <w:highlight w:val="none"/>
        </w:rPr>
        <w:br w:type="page" w:clear="all"/>
      </w:r>
      <w:r>
        <w:rPr>
          <w:rFonts w:hint="eastAsia" w:ascii="宋体" w:hAnsi="宋体" w:eastAsia="宋体" w:cs="宋体"/>
          <w:b/>
          <w:color w:val="000000"/>
          <w:position w:val="-10"/>
          <w:sz w:val="24"/>
          <w:szCs w:val="20"/>
          <w:highlight w:val="none"/>
        </w:rPr>
      </w:r>
      <w:r/>
    </w:p>
    <w:p>
      <w:pPr>
        <w:pStyle w:val="654"/>
        <w:ind w:right="-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格式三</w:t>
      </w:r>
      <w:r>
        <w:rPr>
          <w:rFonts w:hint="eastAsia" w:ascii="宋体" w:hAnsi="宋体" w:eastAsia="宋体" w:cs="宋体"/>
          <w:color w:val="000000"/>
          <w:sz w:val="24"/>
          <w:szCs w:val="24"/>
          <w:highlight w:val="none"/>
        </w:rPr>
      </w:r>
      <w:r/>
    </w:p>
    <w:p>
      <w:pPr>
        <w:pStyle w:val="654"/>
        <w:ind w:right="-5"/>
        <w:jc w:val="center"/>
        <w:spacing w:line="360" w:lineRule="auto"/>
        <w:rPr>
          <w:rFonts w:hint="eastAsia" w:ascii="宋体" w:hAnsi="宋体" w:eastAsia="宋体" w:cs="宋体"/>
          <w:b/>
          <w:color w:val="000000"/>
          <w:szCs w:val="24"/>
          <w:highlight w:val="none"/>
        </w:rPr>
      </w:pPr>
      <w:r>
        <w:rPr>
          <w:rFonts w:hint="eastAsia" w:ascii="宋体" w:hAnsi="宋体" w:eastAsia="宋体" w:cs="宋体"/>
          <w:color w:val="000000"/>
          <w:sz w:val="24"/>
          <w:szCs w:val="24"/>
          <w:highlight w:val="none"/>
        </w:rPr>
        <w:t xml:space="preserve">依法“</w:t>
      </w:r>
      <w:r>
        <w:rPr>
          <w:rFonts w:hint="eastAsia" w:ascii="宋体" w:hAnsi="宋体" w:eastAsia="宋体" w:cs="宋体"/>
          <w:b/>
          <w:color w:val="000000"/>
          <w:sz w:val="24"/>
          <w:szCs w:val="24"/>
          <w:highlight w:val="none"/>
          <w:u w:val="single"/>
        </w:rPr>
        <w:t xml:space="preserve">缴纳税收” </w:t>
      </w:r>
      <w:r>
        <w:rPr>
          <w:rFonts w:hint="eastAsia" w:ascii="宋体" w:hAnsi="宋体" w:eastAsia="宋体" w:cs="宋体"/>
          <w:color w:val="000000"/>
          <w:sz w:val="24"/>
          <w:szCs w:val="24"/>
          <w:highlight w:val="none"/>
        </w:rPr>
        <w:t xml:space="preserve">和 “</w:t>
      </w:r>
      <w:r>
        <w:rPr>
          <w:rFonts w:hint="eastAsia" w:ascii="宋体" w:hAnsi="宋体" w:eastAsia="宋体" w:cs="宋体"/>
          <w:b/>
          <w:color w:val="000000"/>
          <w:sz w:val="24"/>
          <w:szCs w:val="24"/>
          <w:highlight w:val="none"/>
          <w:u w:val="single"/>
        </w:rPr>
        <w:t xml:space="preserve">社会保障资金”</w:t>
      </w:r>
      <w:r>
        <w:rPr>
          <w:rFonts w:hint="eastAsia" w:ascii="宋体" w:hAnsi="宋体" w:eastAsia="宋体" w:cs="宋体"/>
          <w:color w:val="000000"/>
          <w:sz w:val="24"/>
          <w:szCs w:val="24"/>
          <w:highlight w:val="none"/>
        </w:rPr>
        <w:t xml:space="preserve">的相关材料</w:t>
      </w: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Cs/>
          <w:color w:val="000000"/>
          <w:sz w:val="24"/>
          <w:szCs w:val="24"/>
          <w:highlight w:val="none"/>
        </w:rPr>
        <w:t xml:space="preserve">提供投标人参加本次政府采购活动前6个月内至少一个月缴纳税收及缴纳社会保障资金的证明材料。投标人依法享受缓缴、免缴税收、社会保障资金的提供证明材料</w:t>
      </w:r>
      <w:r>
        <w:rPr>
          <w:rFonts w:hint="eastAsia" w:ascii="宋体" w:hAnsi="宋体" w:eastAsia="宋体" w:cs="宋体"/>
          <w:color w:val="000000"/>
          <w:sz w:val="24"/>
          <w:highlight w:val="none"/>
        </w:rPr>
        <w:t xml:space="preserve">；</w:t>
      </w: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格式四</w:t>
      </w:r>
      <w:r>
        <w:rPr>
          <w:rFonts w:hint="eastAsia" w:ascii="宋体" w:hAnsi="宋体" w:eastAsia="宋体" w:cs="宋体"/>
          <w:color w:val="000000"/>
          <w:sz w:val="24"/>
          <w:szCs w:val="24"/>
          <w:highlight w:val="none"/>
        </w:rPr>
      </w:r>
      <w:r/>
    </w:p>
    <w:p>
      <w:pPr>
        <w:pStyle w:val="654"/>
        <w:ind w:right="-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ind w:right="-5"/>
        <w:jc w:val="center"/>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 w:val="24"/>
          <w:szCs w:val="24"/>
          <w:highlight w:val="none"/>
        </w:rPr>
        <w:t xml:space="preserve">具备履行合同所必需的设备和专业技术能力的书面声明</w:t>
      </w: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firstLine="49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 w:val="24"/>
          <w:szCs w:val="24"/>
          <w:highlight w:val="none"/>
        </w:rPr>
      </w:r>
      <w:r/>
    </w:p>
    <w:p>
      <w:pPr>
        <w:pStyle w:val="654"/>
        <w:ind w:firstLine="49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主要设备有：。</w:t>
      </w:r>
      <w:r>
        <w:rPr>
          <w:rFonts w:hint="eastAsia" w:ascii="宋体" w:hAnsi="宋体" w:eastAsia="宋体" w:cs="宋体"/>
          <w:bCs/>
          <w:color w:val="000000"/>
          <w:sz w:val="24"/>
          <w:szCs w:val="24"/>
          <w:highlight w:val="none"/>
        </w:rPr>
      </w:r>
      <w:r/>
    </w:p>
    <w:p>
      <w:pPr>
        <w:pStyle w:val="654"/>
        <w:ind w:firstLine="49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主要专业技术能力有：。</w:t>
      </w:r>
      <w:r>
        <w:rPr>
          <w:rFonts w:hint="eastAsia" w:ascii="宋体" w:hAnsi="宋体" w:eastAsia="宋体" w:cs="宋体"/>
          <w:bCs/>
          <w:color w:val="000000"/>
          <w:sz w:val="24"/>
          <w:szCs w:val="24"/>
          <w:highlight w:val="none"/>
        </w:rPr>
      </w:r>
      <w:r/>
    </w:p>
    <w:p>
      <w:pPr>
        <w:pStyle w:val="65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54"/>
        <w:ind w:right="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投标人名称（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u w:val="single"/>
        </w:rPr>
        <w:t xml:space="preserve"> __</w:t>
      </w:r>
      <w:r>
        <w:rPr>
          <w:rFonts w:hint="eastAsia" w:ascii="宋体" w:hAnsi="宋体" w:eastAsia="宋体" w:cs="宋体"/>
          <w:bCs/>
          <w:color w:val="000000"/>
          <w:sz w:val="24"/>
          <w:szCs w:val="24"/>
          <w:highlight w:val="none"/>
        </w:rPr>
        <w:t xml:space="preserve">年月日</w:t>
      </w: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格式五</w:t>
      </w:r>
      <w:r>
        <w:rPr>
          <w:rFonts w:hint="eastAsia" w:ascii="宋体" w:hAnsi="宋体" w:eastAsia="宋体" w:cs="宋体"/>
          <w:color w:val="000000"/>
          <w:sz w:val="24"/>
          <w:szCs w:val="24"/>
          <w:highlight w:val="none"/>
        </w:rPr>
      </w:r>
      <w:r/>
    </w:p>
    <w:p>
      <w:pPr>
        <w:pStyle w:val="654"/>
        <w:jc w:val="center"/>
        <w:keepNex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654"/>
        <w:jc w:val="center"/>
        <w:keepNex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参加政府采购活动前 3 年内在经营活动中没有重大违法记</w:t>
      </w:r>
      <w:r>
        <w:rPr>
          <w:rFonts w:hint="eastAsia" w:ascii="宋体" w:hAnsi="宋体" w:eastAsia="宋体" w:cs="宋体"/>
          <w:bCs/>
          <w:color w:val="000000"/>
          <w:sz w:val="24"/>
          <w:szCs w:val="24"/>
          <w:highlight w:val="none"/>
        </w:rPr>
        <w:t xml:space="preserve">录的书面声明</w:t>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654"/>
        <w:jc w:val="center"/>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声  明</w:t>
      </w:r>
      <w:r>
        <w:rPr>
          <w:rFonts w:hint="eastAsia" w:ascii="宋体" w:hAnsi="宋体" w:eastAsia="宋体" w:cs="宋体"/>
          <w:b/>
          <w:bCs/>
          <w:color w:val="000000"/>
          <w:sz w:val="44"/>
          <w:szCs w:val="44"/>
          <w:highlight w:val="none"/>
        </w:rPr>
      </w:r>
      <w:r/>
    </w:p>
    <w:p>
      <w:pPr>
        <w:pStyle w:val="654"/>
        <w:jc w:val="center"/>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65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bCs/>
          <w:color w:val="000000"/>
          <w:sz w:val="24"/>
          <w:szCs w:val="24"/>
          <w:highlight w:val="none"/>
        </w:rPr>
      </w:r>
      <w:r/>
    </w:p>
    <w:p>
      <w:pPr>
        <w:pStyle w:val="65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投标人名称（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年月日</w:t>
      </w: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b/>
          <w:color w:val="000000"/>
          <w:szCs w:val="24"/>
          <w:highlight w:val="none"/>
        </w:rPr>
      </w:pPr>
      <w:r>
        <w:rPr>
          <w:rFonts w:hint="eastAsia" w:ascii="宋体" w:hAnsi="宋体" w:eastAsia="宋体" w:cs="宋体"/>
          <w:color w:val="000000"/>
          <w:sz w:val="24"/>
          <w:szCs w:val="24"/>
          <w:highlight w:val="none"/>
        </w:rPr>
        <w:t xml:space="preserve">格式六</w:t>
      </w:r>
      <w:r>
        <w:rPr>
          <w:rFonts w:hint="eastAsia" w:ascii="宋体" w:hAnsi="宋体" w:eastAsia="宋体" w:cs="宋体"/>
          <w:b/>
          <w:color w:val="000000"/>
          <w:szCs w:val="24"/>
          <w:highlight w:val="none"/>
        </w:rPr>
      </w:r>
      <w:r/>
    </w:p>
    <w:p>
      <w:pPr>
        <w:pStyle w:val="654"/>
        <w:ind w:firstLine="720"/>
        <w:jc w:val="center"/>
        <w:spacing w:line="360" w:lineRule="auto"/>
        <w:rPr>
          <w:rFonts w:hint="eastAsia" w:ascii="宋体" w:hAnsi="宋体" w:eastAsia="宋体" w:cs="宋体"/>
          <w:b/>
          <w:color w:val="000000"/>
          <w:szCs w:val="24"/>
          <w:highlight w:val="none"/>
        </w:rPr>
      </w:pPr>
      <w:r>
        <w:rPr>
          <w:rFonts w:hint="eastAsia" w:ascii="宋体" w:hAnsi="宋体" w:eastAsia="宋体" w:cs="宋体"/>
          <w:bCs/>
          <w:color w:val="000000"/>
          <w:sz w:val="24"/>
          <w:szCs w:val="24"/>
          <w:highlight w:val="none"/>
        </w:rPr>
        <w:t xml:space="preserve">资质证书</w:t>
      </w:r>
      <w:r>
        <w:rPr>
          <w:rFonts w:hint="eastAsia" w:ascii="宋体" w:hAnsi="宋体" w:eastAsia="宋体" w:cs="宋体"/>
          <w:color w:val="000000"/>
          <w:sz w:val="24"/>
          <w:szCs w:val="24"/>
          <w:highlight w:val="none"/>
        </w:rPr>
        <w:t xml:space="preserve">（复印件）</w:t>
      </w:r>
      <w:r>
        <w:rPr>
          <w:rFonts w:hint="eastAsia" w:ascii="宋体" w:hAnsi="宋体" w:eastAsia="宋体" w:cs="宋体"/>
          <w:b/>
          <w:color w:val="000000"/>
          <w:szCs w:val="24"/>
          <w:highlight w:val="none"/>
        </w:rPr>
      </w:r>
      <w:r/>
    </w:p>
    <w:p>
      <w:pPr>
        <w:pStyle w:val="654"/>
        <w:ind w:firstLine="1320"/>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bCs/>
          <w:color w:val="000000"/>
          <w:sz w:val="44"/>
          <w:szCs w:val="44"/>
          <w:highlight w:val="none"/>
        </w:rPr>
        <w:t xml:space="preserve">南京市政府采购供应商信用记录表暨信用承诺书</w:t>
      </w:r>
      <w:r>
        <w:rPr>
          <w:rFonts w:hint="eastAsia" w:ascii="宋体" w:hAnsi="宋体" w:eastAsia="宋体" w:cs="宋体"/>
          <w:color w:val="000000"/>
          <w:sz w:val="44"/>
          <w:szCs w:val="44"/>
          <w:highlight w:val="none"/>
        </w:rPr>
      </w:r>
      <w:r/>
    </w:p>
    <w:p>
      <w:pPr>
        <w:pStyle w:val="654"/>
        <w:jc w:val="righ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年月日</w:t>
      </w:r>
      <w:r>
        <w:rPr>
          <w:rFonts w:hint="eastAsia" w:ascii="宋体" w:hAnsi="宋体" w:eastAsia="宋体" w:cs="宋体"/>
          <w:b/>
          <w:bCs/>
          <w:color w:val="000000"/>
          <w:szCs w:val="24"/>
          <w:highlight w:val="none"/>
        </w:rPr>
      </w:r>
      <w:r/>
    </w:p>
    <w:tbl>
      <w:tblPr>
        <w:tblW w:w="89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单位名称</w:t>
            </w:r>
            <w:r>
              <w:rPr>
                <w:rFonts w:hint="eastAsia" w:ascii="宋体" w:hAnsi="宋体" w:eastAsia="宋体" w:cs="宋体"/>
                <w:b/>
                <w:bCs/>
                <w:color w:val="000000"/>
                <w:szCs w:val="24"/>
                <w:highlight w:val="none"/>
              </w:rPr>
            </w:r>
            <w:r/>
          </w:p>
        </w:tc>
        <w:tc>
          <w:tcPr>
            <w:tcW w:w="3402"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c>
          <w:tcPr>
            <w:tcW w:w="1984"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统一社会信用代码</w:t>
            </w:r>
            <w:r>
              <w:rPr>
                <w:rFonts w:hint="eastAsia" w:ascii="宋体" w:hAnsi="宋体" w:eastAsia="宋体" w:cs="宋体"/>
                <w:b/>
                <w:bCs/>
                <w:color w:val="000000"/>
                <w:szCs w:val="24"/>
                <w:highlight w:val="none"/>
              </w:rPr>
            </w:r>
            <w:r/>
          </w:p>
        </w:tc>
        <w:tc>
          <w:tcPr>
            <w:tcW w:w="1937"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r>
      <w:tr>
        <w:trPr>
          <w:trHeight w:val="20"/>
        </w:trPr>
        <w:tc>
          <w:tcPr>
            <w:tcW w:w="1668"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法定代表人</w:t>
            </w:r>
            <w:r>
              <w:rPr>
                <w:rFonts w:hint="eastAsia" w:ascii="宋体" w:hAnsi="宋体" w:eastAsia="宋体" w:cs="宋体"/>
                <w:b/>
                <w:bCs/>
                <w:color w:val="000000"/>
                <w:szCs w:val="24"/>
                <w:highlight w:val="none"/>
              </w:rPr>
            </w:r>
            <w:r/>
          </w:p>
        </w:tc>
        <w:tc>
          <w:tcPr>
            <w:tcW w:w="3402"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c>
          <w:tcPr>
            <w:tcW w:w="1984"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联系人</w:t>
            </w:r>
            <w:r>
              <w:rPr>
                <w:rFonts w:hint="eastAsia" w:ascii="宋体" w:hAnsi="宋体" w:eastAsia="宋体" w:cs="宋体"/>
                <w:b/>
                <w:bCs/>
                <w:color w:val="000000"/>
                <w:szCs w:val="24"/>
                <w:highlight w:val="none"/>
              </w:rPr>
            </w:r>
            <w:r/>
          </w:p>
        </w:tc>
        <w:tc>
          <w:tcPr>
            <w:tcW w:w="1937"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r>
      <w:tr>
        <w:trPr>
          <w:trHeight w:val="20"/>
        </w:trPr>
        <w:tc>
          <w:tcPr>
            <w:tcW w:w="1668"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联系地址</w:t>
            </w:r>
            <w:r>
              <w:rPr>
                <w:rFonts w:hint="eastAsia" w:ascii="宋体" w:hAnsi="宋体" w:eastAsia="宋体" w:cs="宋体"/>
                <w:b/>
                <w:bCs/>
                <w:color w:val="000000"/>
                <w:szCs w:val="24"/>
                <w:highlight w:val="none"/>
              </w:rPr>
            </w:r>
            <w:r/>
          </w:p>
        </w:tc>
        <w:tc>
          <w:tcPr>
            <w:tcW w:w="3402"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c>
          <w:tcPr>
            <w:tcW w:w="1984"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联系电话</w:t>
            </w:r>
            <w:r>
              <w:rPr>
                <w:rFonts w:hint="eastAsia" w:ascii="宋体" w:hAnsi="宋体" w:eastAsia="宋体" w:cs="宋体"/>
                <w:b/>
                <w:bCs/>
                <w:color w:val="000000"/>
                <w:szCs w:val="24"/>
                <w:highlight w:val="none"/>
              </w:rPr>
            </w:r>
            <w:r/>
          </w:p>
        </w:tc>
        <w:tc>
          <w:tcPr>
            <w:tcW w:w="1937"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r>
      <w:tr>
        <w:trPr>
          <w:trHeight w:val="20"/>
        </w:trPr>
        <w:tc>
          <w:tcPr>
            <w:tcW w:w="1668"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信用得分</w:t>
            </w:r>
            <w:r>
              <w:rPr>
                <w:rFonts w:hint="eastAsia" w:ascii="宋体" w:hAnsi="宋体" w:eastAsia="宋体" w:cs="宋体"/>
                <w:b/>
                <w:bCs/>
                <w:color w:val="000000"/>
                <w:szCs w:val="24"/>
                <w:highlight w:val="none"/>
              </w:rPr>
            </w:r>
            <w:r/>
          </w:p>
        </w:tc>
        <w:tc>
          <w:tcPr>
            <w:tcW w:w="3402"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c>
          <w:tcPr>
            <w:tcW w:w="1984"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星级</w:t>
            </w:r>
            <w:r>
              <w:rPr>
                <w:rFonts w:hint="eastAsia" w:ascii="宋体" w:hAnsi="宋体" w:eastAsia="宋体" w:cs="宋体"/>
                <w:b/>
                <w:bCs/>
                <w:color w:val="000000"/>
                <w:szCs w:val="24"/>
                <w:highlight w:val="none"/>
              </w:rPr>
            </w:r>
            <w:r/>
          </w:p>
        </w:tc>
        <w:tc>
          <w:tcPr>
            <w:tcW w:w="1937"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r>
      <w:tr>
        <w:trPr>
          <w:trHeight w:val="1024"/>
        </w:trPr>
        <w:tc>
          <w:tcPr>
            <w:tcW w:w="1668"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诚信档案记录情况</w:t>
            </w:r>
            <w:r>
              <w:rPr>
                <w:rFonts w:hint="eastAsia" w:ascii="宋体" w:hAnsi="宋体" w:eastAsia="宋体" w:cs="宋体"/>
                <w:b/>
                <w:bCs/>
                <w:color w:val="000000"/>
                <w:szCs w:val="24"/>
                <w:highlight w:val="none"/>
              </w:rPr>
            </w:r>
            <w:r/>
          </w:p>
        </w:tc>
        <w:tc>
          <w:tcPr>
            <w:gridSpan w:val="3"/>
            <w:tcW w:w="7323"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r>
      <w:tr>
        <w:trPr>
          <w:trHeight w:val="5318"/>
        </w:trPr>
        <w:tc>
          <w:tcPr>
            <w:tcW w:w="1668" w:type="dxa"/>
            <w:vAlign w:val="top"/>
            <w:textDirection w:val="lrTb"/>
            <w:noWrap w:val="false"/>
          </w:tcPr>
          <w:p>
            <w:pPr>
              <w:pStyle w:val="654"/>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信用承诺</w:t>
            </w:r>
            <w:r>
              <w:rPr>
                <w:rFonts w:hint="eastAsia" w:ascii="宋体" w:hAnsi="宋体" w:eastAsia="宋体" w:cs="宋体"/>
                <w:b/>
                <w:bCs/>
                <w:color w:val="000000"/>
                <w:szCs w:val="24"/>
                <w:highlight w:val="none"/>
              </w:rPr>
            </w:r>
            <w:r/>
          </w:p>
        </w:tc>
        <w:tc>
          <w:tcPr>
            <w:gridSpan w:val="3"/>
            <w:tcW w:w="7323" w:type="dxa"/>
            <w:vAlign w:val="top"/>
            <w:textDirection w:val="lrTb"/>
            <w:noWrap w:val="false"/>
          </w:tcPr>
          <w:p>
            <w:pPr>
              <w:pStyle w:val="654"/>
              <w:ind w:firstLine="420"/>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我公司自愿参加</w:t>
            </w:r>
            <w:r>
              <w:rPr>
                <w:rFonts w:hint="eastAsia" w:ascii="宋体" w:hAnsi="宋体" w:eastAsia="宋体" w:cs="宋体"/>
                <w:bCs/>
                <w:color w:val="000000"/>
                <w:szCs w:val="24"/>
                <w:highlight w:val="none"/>
                <w:lang w:eastAsia="zh-CN"/>
              </w:rPr>
              <w:t xml:space="preserve">南京江城工程项目管理有限公司</w:t>
            </w:r>
            <w:r>
              <w:rPr>
                <w:rFonts w:hint="eastAsia" w:ascii="宋体" w:hAnsi="宋体" w:eastAsia="宋体" w:cs="宋体"/>
                <w:bCs/>
                <w:color w:val="000000"/>
                <w:szCs w:val="24"/>
                <w:highlight w:val="none"/>
              </w:rPr>
              <w:t xml:space="preserve">组织的本次采购活动，严格遵守《中华人民共和国</w:t>
            </w:r>
            <w:r>
              <w:rPr>
                <w:rFonts w:hint="eastAsia" w:ascii="宋体" w:hAnsi="宋体" w:eastAsia="宋体" w:cs="宋体"/>
                <w:color w:val="000000"/>
                <w:szCs w:val="24"/>
                <w:highlight w:val="none"/>
              </w:rPr>
              <w:t xml:space="preserve">政府采购法</w:t>
            </w:r>
            <w:r>
              <w:rPr>
                <w:rFonts w:hint="eastAsia" w:ascii="宋体" w:hAnsi="宋体" w:eastAsia="宋体" w:cs="宋体"/>
                <w:bCs/>
                <w:color w:val="000000"/>
                <w:szCs w:val="24"/>
                <w:highlight w:val="none"/>
              </w:rPr>
              <w:t xml:space="preserve">》及相关法律法规，坚守公开、公平、公证、诚实信用的原则，已发诚信经营，无条件遵守本次政府采购活动的各项规定。</w:t>
            </w:r>
            <w:r>
              <w:rPr>
                <w:rFonts w:hint="eastAsia" w:ascii="宋体" w:hAnsi="宋体" w:eastAsia="宋体" w:cs="宋体"/>
                <w:b/>
                <w:bCs/>
                <w:color w:val="000000"/>
                <w:szCs w:val="24"/>
                <w:highlight w:val="none"/>
              </w:rPr>
            </w:r>
            <w:r/>
          </w:p>
          <w:p>
            <w:pPr>
              <w:pStyle w:val="654"/>
              <w:ind w:firstLine="420"/>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rPr>
                <w:rFonts w:hint="eastAsia" w:ascii="宋体" w:hAnsi="宋体" w:eastAsia="宋体" w:cs="宋体"/>
                <w:b/>
                <w:bCs/>
                <w:color w:val="000000"/>
                <w:szCs w:val="24"/>
                <w:highlight w:val="none"/>
              </w:rPr>
            </w:r>
            <w:r/>
          </w:p>
          <w:p>
            <w:pPr>
              <w:pStyle w:val="654"/>
              <w:jc w:val="righ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供应商名称（盖章）：</w:t>
            </w:r>
            <w:r>
              <w:rPr>
                <w:rFonts w:hint="eastAsia" w:ascii="宋体" w:hAnsi="宋体" w:eastAsia="宋体" w:cs="宋体"/>
                <w:b/>
                <w:bCs/>
                <w:color w:val="000000"/>
                <w:szCs w:val="24"/>
                <w:highlight w:val="none"/>
              </w:rPr>
            </w:r>
            <w:r/>
          </w:p>
          <w:p>
            <w:pPr>
              <w:pStyle w:val="654"/>
              <w:jc w:val="righ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法定代表人（签字）：</w:t>
            </w:r>
            <w:r>
              <w:rPr>
                <w:rFonts w:hint="eastAsia" w:ascii="宋体" w:hAnsi="宋体" w:eastAsia="宋体" w:cs="宋体"/>
                <w:b/>
                <w:bCs/>
                <w:color w:val="000000"/>
                <w:szCs w:val="24"/>
                <w:highlight w:val="none"/>
              </w:rPr>
            </w:r>
            <w:r/>
          </w:p>
          <w:p>
            <w:pPr>
              <w:pStyle w:val="654"/>
              <w:jc w:val="righ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年月日</w:t>
            </w:r>
            <w:r>
              <w:rPr>
                <w:rFonts w:hint="eastAsia" w:ascii="宋体" w:hAnsi="宋体" w:eastAsia="宋体" w:cs="宋体"/>
                <w:b/>
                <w:bCs/>
                <w:color w:val="000000"/>
                <w:szCs w:val="24"/>
                <w:highlight w:val="none"/>
              </w:rPr>
            </w:r>
            <w:r/>
          </w:p>
        </w:tc>
      </w:tr>
    </w:tbl>
    <w:p>
      <w:pPr>
        <w:pStyle w:val="654"/>
        <w:ind w:firstLine="315"/>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rPr>
          <w:rFonts w:hint="eastAsia" w:ascii="宋体" w:hAnsi="宋体" w:eastAsia="宋体" w:cs="宋体"/>
          <w:bCs/>
          <w:color w:val="000000"/>
          <w:szCs w:val="24"/>
          <w:highlight w:val="none"/>
        </w:rPr>
      </w:r>
      <w:r/>
    </w:p>
    <w:p>
      <w:pPr>
        <w:pStyle w:val="654"/>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 供应商申请网上注册的，应当按以下程序进行： </w:t>
      </w:r>
      <w:r>
        <w:rPr>
          <w:rFonts w:hint="eastAsia" w:ascii="宋体" w:hAnsi="宋体" w:eastAsia="宋体" w:cs="宋体"/>
          <w:bCs/>
          <w:color w:val="000000"/>
          <w:szCs w:val="24"/>
          <w:highlight w:val="none"/>
        </w:rPr>
      </w:r>
      <w:r/>
    </w:p>
    <w:p>
      <w:pPr>
        <w:pStyle w:val="654"/>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   （1）登陆“信用南京”或“南京市政府采购网”网站，点击“政府采购供应商诚信档案”图标，在弹出的用户登录界面，点击“新用户注册”；</w:t>
      </w:r>
      <w:r>
        <w:rPr>
          <w:rFonts w:hint="eastAsia" w:ascii="宋体" w:hAnsi="宋体" w:eastAsia="宋体" w:cs="宋体"/>
          <w:bCs/>
          <w:color w:val="000000"/>
          <w:szCs w:val="24"/>
          <w:highlight w:val="none"/>
        </w:rPr>
      </w:r>
      <w:r/>
    </w:p>
    <w:p>
      <w:pPr>
        <w:pStyle w:val="654"/>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eastAsia="宋体" w:cs="宋体"/>
          <w:bCs/>
          <w:color w:val="000000"/>
          <w:szCs w:val="24"/>
          <w:highlight w:val="none"/>
        </w:rPr>
      </w:r>
      <w:r/>
    </w:p>
    <w:p>
      <w:pPr>
        <w:pStyle w:val="654"/>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注册成功后，供应商参加本次政府采购活动时，在采购文件发布之日起至递交响应文件截止日前，应先登录“信用南京”在线打印其“南京市政府采购供应商信用记录表”，经法定代表人签名盖章后作为响应文件的组成部分“南京市政府采购供应商信用记录表”是其参加本次政府采购活动的必备材料。</w:t>
      </w:r>
      <w:r>
        <w:rPr>
          <w:rFonts w:hint="eastAsia" w:ascii="宋体" w:hAnsi="宋体" w:eastAsia="宋体" w:cs="宋体"/>
          <w:bCs/>
          <w:color w:val="000000"/>
          <w:szCs w:val="24"/>
          <w:highlight w:val="none"/>
        </w:rPr>
      </w:r>
      <w:r/>
    </w:p>
    <w:p>
      <w:pPr>
        <w:pStyle w:val="654"/>
        <w:ind w:firstLine="468"/>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5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54"/>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54"/>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54"/>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54"/>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54"/>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54"/>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54"/>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54"/>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54"/>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54"/>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54"/>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54"/>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54"/>
        <w:spacing w:line="360" w:lineRule="auto"/>
        <w:rPr>
          <w:rFonts w:hint="eastAsia" w:ascii="宋体" w:hAnsi="宋体" w:eastAsia="宋体" w:cs="宋体"/>
          <w:i/>
          <w:color w:val="000000"/>
          <w:sz w:val="32"/>
          <w:szCs w:val="32"/>
          <w:highlight w:val="none"/>
          <w:u w:val="single"/>
        </w:rPr>
      </w:pPr>
      <w:r/>
      <w:bookmarkEnd w:id="190"/>
      <w:r/>
      <w:bookmarkEnd w:id="191"/>
      <w:r/>
      <w:bookmarkEnd w:id="201"/>
      <w:r>
        <w:rPr>
          <w:rFonts w:hint="eastAsia" w:ascii="宋体" w:hAnsi="宋体" w:eastAsia="宋体" w:cs="宋体"/>
          <w:i/>
          <w:color w:val="000000"/>
          <w:sz w:val="32"/>
          <w:szCs w:val="32"/>
          <w:highlight w:val="none"/>
          <w:u w:val="single"/>
        </w:rPr>
      </w:r>
      <w:r/>
    </w:p>
    <w:p>
      <w:pPr>
        <w:pStyle w:val="654"/>
        <w:jc w:val="both"/>
        <w:spacing w:line="360" w:lineRule="auto"/>
        <w:rPr>
          <w:rFonts w:hint="eastAsia" w:ascii="宋体" w:hAnsi="宋体" w:eastAsia="宋体" w:cs="宋体"/>
          <w:b/>
          <w:bCs/>
          <w:color w:val="000000"/>
          <w:sz w:val="32"/>
          <w:szCs w:val="32"/>
          <w:highlight w:val="none"/>
        </w:rPr>
      </w:pPr>
      <w:r/>
      <w:bookmarkStart w:id="208" w:name="_Hlt26609389"/>
      <w:r/>
      <w:bookmarkEnd w:id="208"/>
      <w:r/>
      <w:bookmarkStart w:id="209" w:name="_Hlt26671374"/>
      <w:r/>
      <w:bookmarkEnd w:id="209"/>
      <w:r/>
      <w:bookmarkStart w:id="210" w:name="_Hlt26955066"/>
      <w:r/>
      <w:bookmarkEnd w:id="210"/>
      <w:r/>
      <w:bookmarkStart w:id="211" w:name="_格式2__法定代表人授权书"/>
      <w:r/>
      <w:bookmarkEnd w:id="211"/>
      <w:r>
        <w:rPr>
          <w:rFonts w:hint="eastAsia" w:ascii="宋体" w:hAnsi="宋体" w:eastAsia="宋体" w:cs="宋体"/>
          <w:b/>
          <w:bCs/>
          <w:color w:val="000000"/>
          <w:sz w:val="32"/>
          <w:szCs w:val="32"/>
          <w:highlight w:val="none"/>
        </w:rPr>
      </w:r>
      <w:r/>
    </w:p>
    <w:p>
      <w:pPr>
        <w:pStyle w:val="654"/>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654"/>
        <w:spacing w:before="29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一、质疑投标人基本信息</w:t>
      </w:r>
      <w:r>
        <w:rPr>
          <w:rFonts w:hint="eastAsia" w:ascii="宋体" w:hAnsi="宋体" w:eastAsia="宋体" w:cs="宋体"/>
          <w:bCs/>
          <w:color w:val="000000"/>
          <w:sz w:val="24"/>
          <w:szCs w:val="24"/>
          <w:highlight w:val="none"/>
        </w:rPr>
      </w:r>
      <w:r/>
    </w:p>
    <w:p>
      <w:pPr>
        <w:pStyle w:val="65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65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5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5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5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65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654"/>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1.投标人提出质疑时，应提交质疑函和必要的证明材料。</w:t>
      </w:r>
      <w:r>
        <w:rPr>
          <w:rFonts w:hint="eastAsia" w:ascii="宋体" w:hAnsi="宋体" w:eastAsia="宋体" w:cs="宋体"/>
          <w:color w:val="000000"/>
          <w:sz w:val="24"/>
          <w:szCs w:val="24"/>
          <w:highlight w:val="none"/>
        </w:rPr>
      </w:r>
      <w:r/>
    </w:p>
    <w:p>
      <w:pPr>
        <w:pStyle w:val="654"/>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654"/>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3.质疑投标人若对项目的某一分包进行质疑，质疑函中应列明具体分包号。</w:t>
      </w:r>
      <w:r>
        <w:rPr>
          <w:rFonts w:hint="eastAsia" w:ascii="宋体" w:hAnsi="宋体" w:eastAsia="宋体" w:cs="宋体"/>
          <w:color w:val="000000"/>
          <w:sz w:val="24"/>
          <w:szCs w:val="24"/>
          <w:highlight w:val="none"/>
        </w:rPr>
      </w:r>
      <w:r/>
    </w:p>
    <w:p>
      <w:pPr>
        <w:pStyle w:val="654"/>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654"/>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654"/>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rFonts w:hint="eastAsia" w:ascii="宋体" w:hAnsi="宋体" w:eastAsia="宋体" w:cs="宋体"/>
          <w:color w:val="000000"/>
          <w:sz w:val="24"/>
          <w:szCs w:val="24"/>
          <w:highlight w:val="none"/>
        </w:rPr>
      </w:r>
      <w:r/>
    </w:p>
    <w:p>
      <w:pPr>
        <w:pStyle w:val="671"/>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Style w:val="736"/>
        <w:rFonts w:hint="eastAsia" w:ascii="宋体" w:hAnsi="宋体"/>
      </w:rPr>
      <w:framePr w:wrap="around" w:vAnchor="text" w:hAnchor="margin" w:xAlign="center" w:y="1"/>
    </w:pPr>
    <w:r>
      <w:rPr>
        <w:rFonts w:ascii="宋体" w:hAnsi="宋体"/>
      </w:rPr>
      <w:fldChar w:fldCharType="begin"/>
    </w:r>
    <w:r>
      <w:rPr>
        <w:rStyle w:val="736"/>
        <w:rFonts w:ascii="宋体" w:hAnsi="宋体"/>
      </w:rPr>
      <w:instrText xml:space="preserve">PAGE  </w:instrText>
    </w:r>
    <w:r>
      <w:rPr>
        <w:rFonts w:ascii="宋体" w:hAnsi="宋体"/>
      </w:rPr>
      <w:fldChar w:fldCharType="separate"/>
    </w:r>
    <w:r>
      <w:rPr>
        <w:rStyle w:val="736"/>
        <w:rFonts w:ascii="宋体" w:hAnsi="宋体"/>
      </w:rPr>
      <w:t xml:space="preserve">42</w:t>
    </w:r>
    <w:r>
      <w:rPr>
        <w:rFonts w:ascii="宋体" w:hAnsi="宋体"/>
      </w:rPr>
      <w:fldChar w:fldCharType="end"/>
    </w:r>
    <w:r>
      <w:rPr>
        <w:rStyle w:val="736"/>
        <w:rFonts w:hint="eastAsia" w:ascii="宋体" w:hAnsi="宋体"/>
      </w:rPr>
    </w:r>
    <w:r/>
  </w:p>
  <w:p>
    <w:pPr>
      <w:pStyle w:val="704"/>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Style w:val="736"/>
      </w:rPr>
      <w:framePr w:wrap="around" w:vAnchor="text" w:hAnchor="margin" w:xAlign="center" w:y="1"/>
    </w:pPr>
    <w:r>
      <w:fldChar w:fldCharType="begin"/>
    </w:r>
    <w:r>
      <w:rPr>
        <w:rStyle w:val="736"/>
      </w:rPr>
      <w:instrText xml:space="preserve">PAGE  </w:instrText>
    </w:r>
    <w:r>
      <w:fldChar w:fldCharType="separate"/>
    </w:r>
    <w:r>
      <w:rPr>
        <w:rStyle w:val="736"/>
      </w:rPr>
      <w:t xml:space="preserve">1</w:t>
    </w:r>
    <w:r>
      <w:fldChar w:fldCharType="end"/>
    </w:r>
    <w:r>
      <w:rPr>
        <w:rStyle w:val="736"/>
      </w:rPr>
    </w:r>
    <w:r/>
  </w:p>
  <w:p>
    <w:pPr>
      <w:pStyle w:val="7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898"/>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660"/>
      <w:isLgl w:val="false"/>
      <w:suff w:val="nothing"/>
      <w:lvlText w:val=""/>
      <w:lvlJc w:val="left"/>
      <w:pPr>
        <w:pStyle w:val="654"/>
        <w:ind w:left="0" w:firstLine="0"/>
      </w:pPr>
      <w:rPr>
        <w:rFonts w:hint="eastAsia"/>
      </w:rPr>
    </w:lvl>
    <w:lvl w:ilvl="6">
      <w:start w:val="1"/>
      <w:numFmt w:val="decimal"/>
      <w:pStyle w:val="661"/>
      <w:isLgl w:val="false"/>
      <w:suff w:val="nothing"/>
      <w:lvlText w:val=""/>
      <w:lvlJc w:val="left"/>
      <w:pPr>
        <w:pStyle w:val="654"/>
        <w:ind w:left="0" w:firstLine="0"/>
      </w:pPr>
      <w:rPr>
        <w:rFonts w:hint="eastAsia"/>
      </w:rPr>
    </w:lvl>
    <w:lvl w:ilvl="7">
      <w:start w:val="1"/>
      <w:numFmt w:val="decimal"/>
      <w:pStyle w:val="662"/>
      <w:isLgl w:val="false"/>
      <w:suff w:val="nothing"/>
      <w:lvlText w:val=""/>
      <w:lvlJc w:val="left"/>
      <w:pPr>
        <w:pStyle w:val="654"/>
        <w:ind w:left="0" w:firstLine="0"/>
      </w:pPr>
      <w:rPr>
        <w:rFonts w:hint="eastAsia"/>
      </w:rPr>
    </w:lvl>
    <w:lvl w:ilvl="8">
      <w:start w:val="1"/>
      <w:numFmt w:val="decimal"/>
      <w:pStyle w:val="663"/>
      <w:isLgl w:val="false"/>
      <w:suff w:val="nothing"/>
      <w:lvlText w:val=""/>
      <w:lvlJc w:val="left"/>
      <w:pPr>
        <w:pStyle w:val="654"/>
        <w:ind w:left="0" w:firstLine="0"/>
      </w:pPr>
      <w:rPr>
        <w:rFonts w:hint="eastAsia"/>
      </w:rPr>
    </w:lvl>
  </w:abstractNum>
  <w:abstractNum w:abstractNumId="3">
    <w:multiLevelType w:val="hybridMultilevel"/>
    <w:lvl w:ilvl="0">
      <w:start w:val="1"/>
      <w:numFmt w:val="decimal"/>
      <w:pStyle w:val="914"/>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748"/>
    <w:uiPriority w:val="9"/>
    <w:qFormat/>
    <w:pPr>
      <w:keepLines/>
      <w:keepNext/>
      <w:spacing w:before="480" w:after="200"/>
      <w:outlineLvl w:val="0"/>
    </w:pPr>
    <w:rPr>
      <w:rFonts w:ascii="Arial" w:hAnsi="Arial" w:eastAsia="Arial" w:cs="Arial"/>
      <w:sz w:val="40"/>
      <w:szCs w:val="40"/>
    </w:rPr>
  </w:style>
  <w:style w:type="paragraph" w:styleId="14">
    <w:name w:val="Heading 2"/>
    <w:basedOn w:val="654"/>
    <w:next w:val="654"/>
    <w:link w:val="749"/>
    <w:uiPriority w:val="9"/>
    <w:unhideWhenUsed/>
    <w:qFormat/>
    <w:pPr>
      <w:keepLines/>
      <w:keepNext/>
      <w:spacing w:before="360" w:after="200"/>
      <w:outlineLvl w:val="1"/>
    </w:pPr>
    <w:rPr>
      <w:rFonts w:ascii="Arial" w:hAnsi="Arial" w:eastAsia="Arial" w:cs="Arial"/>
      <w:sz w:val="34"/>
    </w:rPr>
  </w:style>
  <w:style w:type="paragraph" w:styleId="16">
    <w:name w:val="Heading 3"/>
    <w:basedOn w:val="654"/>
    <w:next w:val="654"/>
    <w:link w:val="75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4"/>
    <w:next w:val="654"/>
    <w:link w:val="75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4"/>
    <w:next w:val="654"/>
    <w:link w:val="75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4"/>
    <w:next w:val="654"/>
    <w:link w:val="75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4"/>
    <w:next w:val="654"/>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4"/>
    <w:next w:val="654"/>
    <w:link w:val="75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4"/>
    <w:next w:val="654"/>
    <w:link w:val="756"/>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54"/>
    <w:next w:val="654"/>
    <w:link w:val="742"/>
    <w:uiPriority w:val="10"/>
    <w:qFormat/>
    <w:pPr>
      <w:contextualSpacing/>
      <w:spacing w:before="300" w:after="200"/>
    </w:pPr>
    <w:rPr>
      <w:sz w:val="48"/>
      <w:szCs w:val="48"/>
    </w:rPr>
  </w:style>
  <w:style w:type="paragraph" w:styleId="35">
    <w:name w:val="Subtitle"/>
    <w:basedOn w:val="654"/>
    <w:next w:val="654"/>
    <w:link w:val="743"/>
    <w:uiPriority w:val="11"/>
    <w:qFormat/>
    <w:pPr>
      <w:spacing w:before="200" w:after="200"/>
    </w:pPr>
    <w:rPr>
      <w:sz w:val="24"/>
      <w:szCs w:val="24"/>
    </w:rPr>
  </w:style>
  <w:style w:type="paragraph" w:styleId="41">
    <w:name w:val="Header"/>
    <w:basedOn w:val="654"/>
    <w:link w:val="763"/>
    <w:uiPriority w:val="99"/>
    <w:unhideWhenUsed/>
    <w:pPr>
      <w:spacing w:after="0" w:line="240" w:lineRule="auto"/>
      <w:tabs>
        <w:tab w:val="center" w:pos="7143" w:leader="none"/>
        <w:tab w:val="right" w:pos="14287" w:leader="none"/>
      </w:tabs>
    </w:pPr>
  </w:style>
  <w:style w:type="paragraph" w:styleId="43">
    <w:name w:val="Footer"/>
    <w:basedOn w:val="654"/>
    <w:link w:val="765"/>
    <w:uiPriority w:val="99"/>
    <w:unhideWhenUsed/>
    <w:pPr>
      <w:spacing w:after="0" w:line="240" w:lineRule="auto"/>
      <w:tabs>
        <w:tab w:val="center" w:pos="7143" w:leader="none"/>
        <w:tab w:val="right" w:pos="14287" w:leader="none"/>
      </w:tabs>
    </w:pPr>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4"/>
    <w:link w:val="74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4"/>
    <w:link w:val="74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90">
    <w:name w:val="table of figures"/>
    <w:basedOn w:val="654"/>
    <w:next w:val="654"/>
    <w:uiPriority w:val="99"/>
    <w:unhideWhenUsed/>
    <w:pPr>
      <w:spacing w:after="0" w:afterAutospacing="0"/>
    </w:pPr>
  </w:style>
  <w:style w:type="paragraph" w:styleId="654" w:default="1">
    <w:name w:val="Normal"/>
    <w:next w:val="666"/>
    <w:link w:val="654"/>
    <w:qFormat/>
    <w:pPr>
      <w:jc w:val="both"/>
      <w:widowControl w:val="off"/>
    </w:pPr>
    <w:rPr>
      <w:rFonts w:ascii="Times New Roman" w:hAnsi="Times New Roman" w:eastAsia="宋体" w:cs="Times New Roman"/>
      <w:sz w:val="21"/>
      <w:szCs w:val="21"/>
      <w:lang w:val="en-US" w:eastAsia="zh-CN" w:bidi="ar-SA"/>
    </w:rPr>
  </w:style>
  <w:style w:type="paragraph" w:styleId="655">
    <w:name w:val="标题 1"/>
    <w:basedOn w:val="654"/>
    <w:next w:val="654"/>
    <w:link w:val="668"/>
    <w:qFormat/>
    <w:pPr>
      <w:jc w:val="center"/>
      <w:keepNext/>
      <w:outlineLvl w:val="0"/>
    </w:pPr>
    <w:rPr>
      <w:rFonts w:ascii="楷体_GB2312" w:eastAsia="楷体_GB2312"/>
      <w:sz w:val="28"/>
      <w:szCs w:val="28"/>
      <w:lang w:eastAsia="en-US"/>
    </w:rPr>
  </w:style>
  <w:style w:type="paragraph" w:styleId="656">
    <w:name w:val="标题 2"/>
    <w:basedOn w:val="654"/>
    <w:next w:val="654"/>
    <w:link w:val="669"/>
    <w:qFormat/>
    <w:pPr>
      <w:jc w:val="center"/>
      <w:keepLines/>
      <w:keepNext/>
      <w:spacing w:before="260" w:after="260" w:line="416" w:lineRule="auto"/>
      <w:outlineLvl w:val="1"/>
    </w:pPr>
    <w:rPr>
      <w:rFonts w:ascii="Arial" w:hAnsi="Arial" w:eastAsia="幼圆"/>
      <w:b/>
      <w:bCs/>
      <w:sz w:val="44"/>
      <w:szCs w:val="44"/>
      <w:lang w:eastAsia="en-US"/>
    </w:rPr>
  </w:style>
  <w:style w:type="paragraph" w:styleId="657">
    <w:name w:val="标题 3"/>
    <w:basedOn w:val="654"/>
    <w:next w:val="671"/>
    <w:link w:val="670"/>
    <w:qFormat/>
    <w:pPr>
      <w:keepLines/>
      <w:keepNext/>
      <w:spacing w:before="260" w:after="260" w:line="416" w:lineRule="auto"/>
      <w:outlineLvl w:val="2"/>
    </w:pPr>
    <w:rPr>
      <w:b/>
      <w:bCs/>
      <w:sz w:val="32"/>
      <w:szCs w:val="32"/>
      <w:lang w:eastAsia="en-US"/>
    </w:rPr>
  </w:style>
  <w:style w:type="paragraph" w:styleId="658">
    <w:name w:val="标题 4"/>
    <w:basedOn w:val="654"/>
    <w:next w:val="671"/>
    <w:link w:val="673"/>
    <w:qFormat/>
    <w:pPr>
      <w:keepLines/>
      <w:keepNext/>
      <w:spacing w:before="280" w:after="290" w:line="376" w:lineRule="auto"/>
      <w:outlineLvl w:val="3"/>
    </w:pPr>
    <w:rPr>
      <w:rFonts w:ascii="Arial" w:hAnsi="Arial" w:eastAsia="黑体"/>
      <w:b/>
      <w:bCs/>
      <w:sz w:val="28"/>
      <w:szCs w:val="28"/>
      <w:lang w:eastAsia="en-US"/>
    </w:rPr>
  </w:style>
  <w:style w:type="paragraph" w:styleId="659">
    <w:name w:val="标题 5"/>
    <w:basedOn w:val="654"/>
    <w:next w:val="671"/>
    <w:link w:val="674"/>
    <w:qFormat/>
    <w:pPr>
      <w:keepNext/>
      <w:outlineLvl w:val="4"/>
    </w:pPr>
    <w:rPr>
      <w:rFonts w:ascii="宋体"/>
      <w:color w:val="000000"/>
      <w:sz w:val="28"/>
      <w:szCs w:val="28"/>
      <w:lang w:eastAsia="en-US"/>
    </w:rPr>
  </w:style>
  <w:style w:type="paragraph" w:styleId="660">
    <w:name w:val="标题 6"/>
    <w:basedOn w:val="654"/>
    <w:next w:val="654"/>
    <w:link w:val="675"/>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661">
    <w:name w:val="标题 7"/>
    <w:basedOn w:val="654"/>
    <w:next w:val="654"/>
    <w:link w:val="676"/>
    <w:qFormat/>
    <w:pPr>
      <w:numPr>
        <w:ilvl w:val="6"/>
        <w:numId w:val="1"/>
      </w:numPr>
      <w:keepLines/>
      <w:keepNext/>
      <w:spacing w:before="240" w:after="64" w:line="320" w:lineRule="auto"/>
      <w:outlineLvl w:val="6"/>
    </w:pPr>
    <w:rPr>
      <w:b/>
      <w:bCs/>
      <w:sz w:val="24"/>
      <w:szCs w:val="24"/>
      <w:lang w:eastAsia="en-US"/>
    </w:rPr>
  </w:style>
  <w:style w:type="paragraph" w:styleId="662">
    <w:name w:val="标题 8"/>
    <w:basedOn w:val="654"/>
    <w:next w:val="654"/>
    <w:link w:val="677"/>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663">
    <w:name w:val="标题 9"/>
    <w:basedOn w:val="654"/>
    <w:next w:val="654"/>
    <w:link w:val="678"/>
    <w:qFormat/>
    <w:pPr>
      <w:numPr>
        <w:ilvl w:val="8"/>
        <w:numId w:val="1"/>
      </w:numPr>
      <w:keepLines/>
      <w:keepNext/>
      <w:spacing w:before="240" w:after="64" w:line="320" w:lineRule="auto"/>
      <w:outlineLvl w:val="8"/>
    </w:pPr>
    <w:rPr>
      <w:rFonts w:ascii="Arial" w:hAnsi="Arial" w:eastAsia="黑体"/>
      <w:sz w:val="20"/>
      <w:lang w:eastAsia="en-US"/>
    </w:rPr>
  </w:style>
  <w:style w:type="character" w:styleId="664">
    <w:name w:val="默认段落字体"/>
    <w:next w:val="664"/>
    <w:link w:val="654"/>
    <w:uiPriority w:val="1"/>
    <w:unhideWhenUsed/>
    <w:qFormat/>
  </w:style>
  <w:style w:type="table" w:styleId="665">
    <w:name w:val="普通表格"/>
    <w:next w:val="665"/>
    <w:link w:val="654"/>
    <w:uiPriority w:val="99"/>
    <w:unhideWhenUsed/>
    <w:qFormat/>
    <w:tblPr/>
  </w:style>
  <w:style w:type="paragraph" w:styleId="666">
    <w:name w:val="正文文本"/>
    <w:basedOn w:val="654"/>
    <w:next w:val="666"/>
    <w:link w:val="667"/>
    <w:qFormat/>
    <w:rPr>
      <w:rFonts w:ascii="楷体_GB2312" w:hAnsi="Arial" w:eastAsia="楷体_GB2312"/>
      <w:sz w:val="28"/>
      <w:szCs w:val="28"/>
      <w:lang w:eastAsia="en-US"/>
    </w:rPr>
  </w:style>
  <w:style w:type="character" w:styleId="667">
    <w:name w:val="正文文本 字符"/>
    <w:next w:val="667"/>
    <w:link w:val="666"/>
    <w:qFormat/>
    <w:rPr>
      <w:rFonts w:ascii="楷体_GB2312" w:hAnsi="Arial" w:eastAsia="楷体_GB2312" w:cs="Times New Roman"/>
      <w:sz w:val="28"/>
      <w:szCs w:val="28"/>
    </w:rPr>
  </w:style>
  <w:style w:type="character" w:styleId="668">
    <w:name w:val="标题 1 字符"/>
    <w:next w:val="668"/>
    <w:link w:val="655"/>
    <w:qFormat/>
    <w:rPr>
      <w:rFonts w:ascii="楷体_GB2312" w:hAnsi="Times New Roman" w:eastAsia="楷体_GB2312" w:cs="Times New Roman"/>
      <w:sz w:val="28"/>
      <w:szCs w:val="28"/>
    </w:rPr>
  </w:style>
  <w:style w:type="character" w:styleId="669">
    <w:name w:val="标题 2 字符"/>
    <w:next w:val="669"/>
    <w:link w:val="656"/>
    <w:qFormat/>
    <w:rPr>
      <w:rFonts w:ascii="Arial" w:hAnsi="Arial" w:eastAsia="幼圆" w:cs="Arial"/>
      <w:b/>
      <w:bCs/>
      <w:sz w:val="44"/>
      <w:szCs w:val="44"/>
    </w:rPr>
  </w:style>
  <w:style w:type="character" w:styleId="670">
    <w:name w:val="标题 3 字符"/>
    <w:next w:val="670"/>
    <w:link w:val="657"/>
    <w:qFormat/>
    <w:rPr>
      <w:rFonts w:ascii="Times New Roman" w:hAnsi="Times New Roman" w:eastAsia="宋体" w:cs="Times New Roman"/>
      <w:b/>
      <w:bCs/>
      <w:sz w:val="32"/>
      <w:szCs w:val="32"/>
    </w:rPr>
  </w:style>
  <w:style w:type="paragraph" w:styleId="671">
    <w:name w:val="正文缩进"/>
    <w:basedOn w:val="654"/>
    <w:next w:val="654"/>
    <w:link w:val="672"/>
    <w:qFormat/>
    <w:pPr>
      <w:ind w:firstLine="420"/>
    </w:pPr>
    <w:rPr>
      <w:sz w:val="20"/>
      <w:lang w:eastAsia="en-US"/>
    </w:rPr>
  </w:style>
  <w:style w:type="character" w:styleId="672">
    <w:name w:val="正文缩进 字符"/>
    <w:next w:val="672"/>
    <w:link w:val="671"/>
    <w:qFormat/>
    <w:rPr>
      <w:rFonts w:ascii="Times New Roman" w:hAnsi="Times New Roman" w:eastAsia="宋体" w:cs="Times New Roman"/>
      <w:szCs w:val="21"/>
    </w:rPr>
  </w:style>
  <w:style w:type="character" w:styleId="673">
    <w:name w:val="标题 4 字符"/>
    <w:next w:val="673"/>
    <w:link w:val="658"/>
    <w:qFormat/>
    <w:rPr>
      <w:rFonts w:ascii="Arial" w:hAnsi="Arial" w:eastAsia="黑体" w:cs="Arial"/>
      <w:b/>
      <w:bCs/>
      <w:sz w:val="28"/>
      <w:szCs w:val="28"/>
    </w:rPr>
  </w:style>
  <w:style w:type="character" w:styleId="674">
    <w:name w:val="标题 5 字符"/>
    <w:next w:val="674"/>
    <w:link w:val="659"/>
    <w:qFormat/>
    <w:rPr>
      <w:rFonts w:ascii="宋体" w:hAnsi="Times New Roman" w:eastAsia="宋体" w:cs="Times New Roman"/>
      <w:color w:val="000000"/>
      <w:sz w:val="28"/>
      <w:szCs w:val="28"/>
    </w:rPr>
  </w:style>
  <w:style w:type="character" w:styleId="675">
    <w:name w:val="标题 6 字符"/>
    <w:next w:val="675"/>
    <w:link w:val="660"/>
    <w:qFormat/>
    <w:rPr>
      <w:rFonts w:ascii="Arial" w:hAnsi="Arial" w:eastAsia="黑体" w:cs="Times New Roman"/>
      <w:b/>
      <w:bCs/>
      <w:sz w:val="24"/>
      <w:szCs w:val="24"/>
    </w:rPr>
  </w:style>
  <w:style w:type="character" w:styleId="676">
    <w:name w:val="标题 7 字符"/>
    <w:next w:val="676"/>
    <w:link w:val="661"/>
    <w:qFormat/>
    <w:rPr>
      <w:rFonts w:ascii="Times New Roman" w:hAnsi="Times New Roman" w:eastAsia="宋体" w:cs="Times New Roman"/>
      <w:b/>
      <w:bCs/>
      <w:sz w:val="24"/>
      <w:szCs w:val="24"/>
    </w:rPr>
  </w:style>
  <w:style w:type="character" w:styleId="677">
    <w:name w:val="标题 8 字符"/>
    <w:next w:val="677"/>
    <w:link w:val="662"/>
    <w:qFormat/>
    <w:rPr>
      <w:rFonts w:ascii="Arial" w:hAnsi="Arial" w:eastAsia="黑体" w:cs="Times New Roman"/>
      <w:sz w:val="24"/>
      <w:szCs w:val="24"/>
    </w:rPr>
  </w:style>
  <w:style w:type="character" w:styleId="678">
    <w:name w:val="标题 9 字符"/>
    <w:next w:val="678"/>
    <w:link w:val="663"/>
    <w:qFormat/>
    <w:rPr>
      <w:rFonts w:ascii="Arial" w:hAnsi="Arial" w:eastAsia="黑体" w:cs="Times New Roman"/>
      <w:szCs w:val="21"/>
    </w:rPr>
  </w:style>
  <w:style w:type="paragraph" w:styleId="679">
    <w:name w:val="列表 3"/>
    <w:basedOn w:val="654"/>
    <w:next w:val="679"/>
    <w:link w:val="654"/>
    <w:qFormat/>
    <w:pPr>
      <w:ind w:left="100" w:hanging="200"/>
    </w:pPr>
  </w:style>
  <w:style w:type="paragraph" w:styleId="680">
    <w:name w:val="目录 7"/>
    <w:basedOn w:val="654"/>
    <w:next w:val="654"/>
    <w:link w:val="654"/>
    <w:semiHidden/>
    <w:qFormat/>
    <w:pPr>
      <w:ind w:left="1260"/>
      <w:jc w:val="left"/>
    </w:pPr>
  </w:style>
  <w:style w:type="paragraph" w:styleId="681">
    <w:name w:val="题注"/>
    <w:basedOn w:val="654"/>
    <w:next w:val="654"/>
    <w:link w:val="654"/>
    <w:uiPriority w:val="35"/>
    <w:unhideWhenUsed/>
    <w:qFormat/>
    <w:pPr>
      <w:spacing w:line="276" w:lineRule="auto"/>
    </w:pPr>
    <w:rPr>
      <w:b/>
      <w:bCs/>
      <w:color w:val="4f81bd"/>
      <w:sz w:val="18"/>
      <w:szCs w:val="18"/>
    </w:rPr>
  </w:style>
  <w:style w:type="paragraph" w:styleId="682">
    <w:name w:val="文档结构图"/>
    <w:basedOn w:val="654"/>
    <w:next w:val="682"/>
    <w:link w:val="683"/>
    <w:semiHidden/>
    <w:qFormat/>
    <w:pPr>
      <w:shd w:val="clear" w:color="auto" w:fill="000080"/>
    </w:pPr>
    <w:rPr>
      <w:sz w:val="20"/>
      <w:lang w:eastAsia="en-US"/>
    </w:rPr>
  </w:style>
  <w:style w:type="character" w:styleId="683">
    <w:name w:val="文档结构图 字符"/>
    <w:next w:val="683"/>
    <w:link w:val="682"/>
    <w:semiHidden/>
    <w:qFormat/>
    <w:rPr>
      <w:rFonts w:ascii="Times New Roman" w:hAnsi="Times New Roman" w:eastAsia="宋体" w:cs="Times New Roman"/>
      <w:szCs w:val="21"/>
      <w:shd w:val="clear" w:color="auto" w:fill="000080"/>
    </w:rPr>
  </w:style>
  <w:style w:type="paragraph" w:styleId="684">
    <w:name w:val="批注文字"/>
    <w:basedOn w:val="654"/>
    <w:next w:val="684"/>
    <w:link w:val="685"/>
    <w:semiHidden/>
    <w:qFormat/>
    <w:pPr>
      <w:jc w:val="left"/>
    </w:pPr>
    <w:rPr>
      <w:sz w:val="20"/>
      <w:lang w:eastAsia="en-US"/>
    </w:rPr>
  </w:style>
  <w:style w:type="character" w:styleId="685">
    <w:name w:val="批注文字 字符"/>
    <w:next w:val="685"/>
    <w:link w:val="684"/>
    <w:semiHidden/>
    <w:qFormat/>
    <w:rPr>
      <w:rFonts w:ascii="Times New Roman" w:hAnsi="Times New Roman" w:eastAsia="宋体" w:cs="Times New Roman"/>
      <w:szCs w:val="21"/>
    </w:rPr>
  </w:style>
  <w:style w:type="paragraph" w:styleId="686">
    <w:name w:val="正文文本 3"/>
    <w:basedOn w:val="654"/>
    <w:next w:val="686"/>
    <w:link w:val="687"/>
    <w:qFormat/>
    <w:rPr>
      <w:rFonts w:ascii="仿宋_GB2312" w:hAnsi="Arial" w:eastAsia="仿宋_GB2312"/>
      <w:sz w:val="32"/>
      <w:szCs w:val="32"/>
      <w:lang w:eastAsia="en-US"/>
    </w:rPr>
  </w:style>
  <w:style w:type="character" w:styleId="687">
    <w:name w:val="正文文本 3 字符"/>
    <w:next w:val="687"/>
    <w:link w:val="686"/>
    <w:qFormat/>
    <w:rPr>
      <w:rFonts w:ascii="仿宋_GB2312" w:hAnsi="Arial" w:eastAsia="仿宋_GB2312" w:cs="Times New Roman"/>
      <w:sz w:val="32"/>
      <w:szCs w:val="32"/>
    </w:rPr>
  </w:style>
  <w:style w:type="paragraph" w:styleId="688">
    <w:name w:val="正文文本缩进"/>
    <w:basedOn w:val="654"/>
    <w:next w:val="654"/>
    <w:link w:val="689"/>
    <w:qFormat/>
    <w:pPr>
      <w:ind w:firstLine="645"/>
    </w:pPr>
    <w:rPr>
      <w:rFonts w:ascii="楷体_GB2312" w:eastAsia="楷体_GB2312"/>
      <w:sz w:val="32"/>
      <w:szCs w:val="32"/>
      <w:lang w:eastAsia="en-US"/>
    </w:rPr>
  </w:style>
  <w:style w:type="character" w:styleId="689">
    <w:name w:val="正文文本缩进 字符"/>
    <w:next w:val="689"/>
    <w:link w:val="688"/>
    <w:qFormat/>
    <w:rPr>
      <w:rFonts w:ascii="楷体_GB2312" w:hAnsi="Times New Roman" w:eastAsia="楷体_GB2312" w:cs="Times New Roman"/>
      <w:sz w:val="32"/>
      <w:szCs w:val="32"/>
    </w:rPr>
  </w:style>
  <w:style w:type="paragraph" w:styleId="690">
    <w:name w:val="列表 2"/>
    <w:basedOn w:val="654"/>
    <w:next w:val="690"/>
    <w:link w:val="654"/>
    <w:qFormat/>
    <w:pPr>
      <w:ind w:left="100" w:hanging="200"/>
    </w:pPr>
  </w:style>
  <w:style w:type="paragraph" w:styleId="691">
    <w:name w:val="目录 5"/>
    <w:basedOn w:val="654"/>
    <w:next w:val="654"/>
    <w:link w:val="654"/>
    <w:semiHidden/>
    <w:qFormat/>
    <w:pPr>
      <w:ind w:left="840"/>
      <w:jc w:val="left"/>
    </w:pPr>
  </w:style>
  <w:style w:type="paragraph" w:styleId="692">
    <w:name w:val="目录 3"/>
    <w:basedOn w:val="654"/>
    <w:next w:val="654"/>
    <w:link w:val="654"/>
    <w:semiHidden/>
    <w:qFormat/>
    <w:pPr>
      <w:ind w:left="420"/>
      <w:jc w:val="left"/>
    </w:pPr>
    <w:rPr>
      <w:i/>
      <w:iCs/>
      <w:szCs w:val="24"/>
    </w:rPr>
  </w:style>
  <w:style w:type="paragraph" w:styleId="693">
    <w:name w:val="纯文本"/>
    <w:basedOn w:val="654"/>
    <w:next w:val="693"/>
    <w:link w:val="694"/>
    <w:qFormat/>
    <w:rPr>
      <w:rFonts w:ascii="宋体" w:hAnsi="Courier New"/>
      <w:sz w:val="20"/>
      <w:lang w:eastAsia="en-US"/>
    </w:rPr>
  </w:style>
  <w:style w:type="character" w:styleId="694">
    <w:name w:val="纯文本 字符"/>
    <w:next w:val="694"/>
    <w:link w:val="693"/>
    <w:qFormat/>
    <w:rPr>
      <w:rFonts w:ascii="宋体" w:hAnsi="Courier New" w:eastAsia="宋体" w:cs="Courier New"/>
      <w:szCs w:val="21"/>
    </w:rPr>
  </w:style>
  <w:style w:type="paragraph" w:styleId="695">
    <w:name w:val="目录 8"/>
    <w:basedOn w:val="654"/>
    <w:next w:val="654"/>
    <w:link w:val="654"/>
    <w:semiHidden/>
    <w:qFormat/>
    <w:pPr>
      <w:ind w:left="1470"/>
      <w:jc w:val="left"/>
    </w:pPr>
  </w:style>
  <w:style w:type="paragraph" w:styleId="696">
    <w:name w:val="日期"/>
    <w:basedOn w:val="654"/>
    <w:next w:val="654"/>
    <w:link w:val="697"/>
    <w:qFormat/>
    <w:rPr>
      <w:sz w:val="24"/>
      <w:szCs w:val="24"/>
      <w:lang w:eastAsia="en-US"/>
    </w:rPr>
  </w:style>
  <w:style w:type="character" w:styleId="697">
    <w:name w:val="日期 字符"/>
    <w:next w:val="697"/>
    <w:link w:val="696"/>
    <w:qFormat/>
    <w:rPr>
      <w:rFonts w:ascii="Times New Roman" w:hAnsi="Times New Roman" w:eastAsia="宋体" w:cs="Times New Roman"/>
      <w:sz w:val="24"/>
      <w:szCs w:val="24"/>
    </w:rPr>
  </w:style>
  <w:style w:type="paragraph" w:styleId="698">
    <w:name w:val="正文文本缩进 2"/>
    <w:basedOn w:val="654"/>
    <w:next w:val="698"/>
    <w:link w:val="699"/>
    <w:qFormat/>
    <w:pPr>
      <w:ind w:left="630" w:firstLine="645"/>
    </w:pPr>
    <w:rPr>
      <w:rFonts w:ascii="Arial" w:hAnsi="Arial" w:eastAsia="仿宋_GB2312"/>
      <w:sz w:val="32"/>
      <w:szCs w:val="32"/>
      <w:lang w:eastAsia="en-US"/>
    </w:rPr>
  </w:style>
  <w:style w:type="character" w:styleId="699">
    <w:name w:val="正文文本缩进 2 字符"/>
    <w:next w:val="699"/>
    <w:link w:val="698"/>
    <w:qFormat/>
    <w:rPr>
      <w:rFonts w:ascii="Arial" w:hAnsi="Arial" w:eastAsia="仿宋_GB2312" w:cs="Arial"/>
      <w:sz w:val="32"/>
      <w:szCs w:val="32"/>
    </w:rPr>
  </w:style>
  <w:style w:type="paragraph" w:styleId="700">
    <w:name w:val="尾注文本"/>
    <w:basedOn w:val="654"/>
    <w:next w:val="700"/>
    <w:link w:val="701"/>
    <w:uiPriority w:val="99"/>
    <w:unhideWhenUsed/>
    <w:qFormat/>
    <w:rPr>
      <w:sz w:val="20"/>
    </w:rPr>
  </w:style>
  <w:style w:type="character" w:styleId="701">
    <w:name w:val="尾注文本 字符"/>
    <w:next w:val="701"/>
    <w:link w:val="700"/>
    <w:uiPriority w:val="99"/>
    <w:qFormat/>
    <w:rPr>
      <w:sz w:val="20"/>
    </w:rPr>
  </w:style>
  <w:style w:type="paragraph" w:styleId="702">
    <w:name w:val="批注框文本"/>
    <w:basedOn w:val="654"/>
    <w:next w:val="702"/>
    <w:link w:val="703"/>
    <w:semiHidden/>
    <w:qFormat/>
    <w:rPr>
      <w:sz w:val="18"/>
      <w:szCs w:val="18"/>
      <w:lang w:eastAsia="en-US"/>
    </w:rPr>
  </w:style>
  <w:style w:type="character" w:styleId="703">
    <w:name w:val="批注框文本 字符"/>
    <w:next w:val="703"/>
    <w:link w:val="702"/>
    <w:semiHidden/>
    <w:qFormat/>
    <w:rPr>
      <w:rFonts w:ascii="Times New Roman" w:hAnsi="Times New Roman" w:eastAsia="宋体" w:cs="Times New Roman"/>
      <w:sz w:val="18"/>
      <w:szCs w:val="18"/>
    </w:rPr>
  </w:style>
  <w:style w:type="paragraph" w:styleId="704">
    <w:name w:val="页脚"/>
    <w:basedOn w:val="654"/>
    <w:next w:val="704"/>
    <w:link w:val="705"/>
    <w:qFormat/>
    <w:pPr>
      <w:jc w:val="left"/>
      <w:tabs>
        <w:tab w:val="center" w:pos="4153" w:leader="none"/>
        <w:tab w:val="right" w:pos="8306" w:leader="none"/>
      </w:tabs>
    </w:pPr>
    <w:rPr>
      <w:sz w:val="18"/>
      <w:szCs w:val="18"/>
      <w:lang w:eastAsia="en-US"/>
    </w:rPr>
  </w:style>
  <w:style w:type="character" w:styleId="705">
    <w:name w:val="页脚 字符"/>
    <w:next w:val="705"/>
    <w:link w:val="704"/>
    <w:qFormat/>
    <w:rPr>
      <w:rFonts w:ascii="Times New Roman" w:hAnsi="Times New Roman" w:eastAsia="宋体" w:cs="Times New Roman"/>
      <w:sz w:val="18"/>
      <w:szCs w:val="18"/>
    </w:rPr>
  </w:style>
  <w:style w:type="paragraph" w:styleId="706">
    <w:name w:val="页眉"/>
    <w:basedOn w:val="654"/>
    <w:next w:val="706"/>
    <w:link w:val="707"/>
    <w:qFormat/>
    <w:pPr>
      <w:jc w:val="center"/>
      <w:tabs>
        <w:tab w:val="center" w:pos="4153" w:leader="none"/>
        <w:tab w:val="right" w:pos="8306" w:leader="none"/>
      </w:tabs>
      <w:pBdr>
        <w:bottom w:val="single" w:color="000000" w:sz="6" w:space="1"/>
      </w:pBdr>
    </w:pPr>
    <w:rPr>
      <w:sz w:val="18"/>
      <w:szCs w:val="18"/>
      <w:lang w:eastAsia="en-US"/>
    </w:rPr>
  </w:style>
  <w:style w:type="character" w:styleId="707">
    <w:name w:val="页眉 字符"/>
    <w:next w:val="707"/>
    <w:link w:val="706"/>
    <w:qFormat/>
    <w:rPr>
      <w:rFonts w:ascii="Times New Roman" w:hAnsi="Times New Roman" w:eastAsia="宋体" w:cs="Times New Roman"/>
      <w:sz w:val="18"/>
      <w:szCs w:val="18"/>
    </w:rPr>
  </w:style>
  <w:style w:type="paragraph" w:styleId="708">
    <w:name w:val="目录 1"/>
    <w:basedOn w:val="654"/>
    <w:next w:val="654"/>
    <w:link w:val="654"/>
    <w:semiHidden/>
    <w:qFormat/>
    <w:pPr>
      <w:jc w:val="left"/>
      <w:spacing w:before="120" w:after="120" w:line="400" w:lineRule="exact"/>
      <w:tabs>
        <w:tab w:val="right" w:pos="8720" w:leader="dot"/>
      </w:tabs>
    </w:pPr>
    <w:rPr>
      <w:rFonts w:ascii="宋体" w:hAnsi="宋体"/>
      <w:caps/>
      <w:sz w:val="24"/>
      <w:szCs w:val="24"/>
    </w:rPr>
  </w:style>
  <w:style w:type="paragraph" w:styleId="709">
    <w:name w:val="目录 4"/>
    <w:basedOn w:val="654"/>
    <w:next w:val="654"/>
    <w:link w:val="654"/>
    <w:semiHidden/>
    <w:qFormat/>
    <w:pPr>
      <w:ind w:left="630"/>
      <w:jc w:val="left"/>
    </w:pPr>
  </w:style>
  <w:style w:type="paragraph" w:styleId="710">
    <w:name w:val="副标题"/>
    <w:basedOn w:val="654"/>
    <w:next w:val="654"/>
    <w:link w:val="711"/>
    <w:uiPriority w:val="11"/>
    <w:qFormat/>
    <w:pPr>
      <w:spacing w:before="200" w:after="200"/>
    </w:pPr>
    <w:rPr>
      <w:sz w:val="24"/>
      <w:szCs w:val="24"/>
    </w:rPr>
  </w:style>
  <w:style w:type="character" w:styleId="711">
    <w:name w:val="副标题 字符"/>
    <w:next w:val="711"/>
    <w:link w:val="710"/>
    <w:uiPriority w:val="11"/>
    <w:qFormat/>
    <w:rPr>
      <w:sz w:val="24"/>
      <w:szCs w:val="24"/>
    </w:rPr>
  </w:style>
  <w:style w:type="paragraph" w:styleId="712">
    <w:name w:val="列表"/>
    <w:basedOn w:val="654"/>
    <w:next w:val="712"/>
    <w:link w:val="654"/>
    <w:qFormat/>
    <w:pPr>
      <w:ind w:left="200" w:hanging="200"/>
    </w:pPr>
  </w:style>
  <w:style w:type="paragraph" w:styleId="713">
    <w:name w:val="脚注文本"/>
    <w:basedOn w:val="654"/>
    <w:next w:val="713"/>
    <w:link w:val="714"/>
    <w:uiPriority w:val="99"/>
    <w:unhideWhenUsed/>
    <w:qFormat/>
    <w:pPr>
      <w:spacing w:after="40"/>
    </w:pPr>
    <w:rPr>
      <w:sz w:val="18"/>
    </w:rPr>
  </w:style>
  <w:style w:type="character" w:styleId="714">
    <w:name w:val="脚注文本 字符"/>
    <w:next w:val="714"/>
    <w:link w:val="713"/>
    <w:uiPriority w:val="99"/>
    <w:qFormat/>
    <w:rPr>
      <w:sz w:val="18"/>
    </w:rPr>
  </w:style>
  <w:style w:type="paragraph" w:styleId="715">
    <w:name w:val="目录 6"/>
    <w:basedOn w:val="654"/>
    <w:next w:val="654"/>
    <w:link w:val="654"/>
    <w:semiHidden/>
    <w:qFormat/>
    <w:pPr>
      <w:ind w:left="1050"/>
      <w:jc w:val="left"/>
    </w:pPr>
  </w:style>
  <w:style w:type="paragraph" w:styleId="716">
    <w:name w:val="正文文本缩进 3"/>
    <w:basedOn w:val="654"/>
    <w:next w:val="716"/>
    <w:link w:val="717"/>
    <w:qFormat/>
    <w:pPr>
      <w:ind w:left="645" w:firstLine="645"/>
    </w:pPr>
    <w:rPr>
      <w:rFonts w:ascii="Arial" w:hAnsi="Arial" w:eastAsia="仿宋_GB2312"/>
      <w:color w:val="ffff00"/>
      <w:sz w:val="32"/>
      <w:szCs w:val="32"/>
      <w:lang w:eastAsia="en-US"/>
    </w:rPr>
  </w:style>
  <w:style w:type="character" w:styleId="717">
    <w:name w:val="正文文本缩进 3 字符"/>
    <w:next w:val="717"/>
    <w:link w:val="716"/>
    <w:qFormat/>
    <w:rPr>
      <w:rFonts w:ascii="Arial" w:hAnsi="Arial" w:eastAsia="仿宋_GB2312" w:cs="Arial"/>
      <w:color w:val="ffff00"/>
      <w:sz w:val="32"/>
      <w:szCs w:val="32"/>
    </w:rPr>
  </w:style>
  <w:style w:type="paragraph" w:styleId="718">
    <w:name w:val="图表目录"/>
    <w:basedOn w:val="654"/>
    <w:next w:val="654"/>
    <w:link w:val="654"/>
    <w:semiHidden/>
    <w:qFormat/>
    <w:pPr>
      <w:ind w:left="840" w:hanging="420"/>
    </w:pPr>
  </w:style>
  <w:style w:type="paragraph" w:styleId="719">
    <w:name w:val="目录 2"/>
    <w:basedOn w:val="654"/>
    <w:next w:val="654"/>
    <w:link w:val="654"/>
    <w:semiHidden/>
    <w:qFormat/>
    <w:pPr>
      <w:ind w:left="210"/>
      <w:jc w:val="left"/>
    </w:pPr>
    <w:rPr>
      <w:smallCaps/>
      <w:szCs w:val="24"/>
    </w:rPr>
  </w:style>
  <w:style w:type="paragraph" w:styleId="720">
    <w:name w:val="目录 9"/>
    <w:basedOn w:val="654"/>
    <w:next w:val="654"/>
    <w:link w:val="654"/>
    <w:semiHidden/>
    <w:qFormat/>
    <w:pPr>
      <w:ind w:left="1680"/>
      <w:jc w:val="left"/>
    </w:pPr>
  </w:style>
  <w:style w:type="paragraph" w:styleId="721">
    <w:name w:val="正文文本 2"/>
    <w:basedOn w:val="654"/>
    <w:next w:val="721"/>
    <w:link w:val="722"/>
    <w:qFormat/>
    <w:pPr>
      <w:jc w:val="center"/>
      <w:widowControl/>
    </w:pPr>
    <w:rPr>
      <w:rFonts w:ascii="楷体_GB2312" w:eastAsia="楷体_GB2312"/>
      <w:sz w:val="28"/>
      <w:szCs w:val="28"/>
      <w:lang w:eastAsia="en-US"/>
    </w:rPr>
  </w:style>
  <w:style w:type="character" w:styleId="722">
    <w:name w:val="正文文本 2 字符"/>
    <w:next w:val="722"/>
    <w:link w:val="721"/>
    <w:qFormat/>
    <w:rPr>
      <w:rFonts w:ascii="楷体_GB2312" w:hAnsi="Times New Roman" w:eastAsia="楷体_GB2312" w:cs="Times New Roman"/>
      <w:sz w:val="28"/>
      <w:szCs w:val="28"/>
    </w:rPr>
  </w:style>
  <w:style w:type="paragraph" w:styleId="723">
    <w:name w:val="普通(网站)"/>
    <w:basedOn w:val="654"/>
    <w:next w:val="723"/>
    <w:link w:val="654"/>
    <w:uiPriority w:val="99"/>
    <w:qFormat/>
    <w:pPr>
      <w:jc w:val="left"/>
      <w:spacing w:before="100" w:beforeAutospacing="1" w:after="100" w:afterAutospacing="1"/>
      <w:widowControl/>
    </w:pPr>
    <w:rPr>
      <w:rFonts w:ascii="宋体" w:hAnsi="宋体" w:cs="宋体"/>
      <w:sz w:val="24"/>
      <w:szCs w:val="24"/>
    </w:rPr>
  </w:style>
  <w:style w:type="paragraph" w:styleId="724">
    <w:name w:val="索引 1"/>
    <w:basedOn w:val="654"/>
    <w:next w:val="654"/>
    <w:link w:val="654"/>
    <w:semiHidden/>
    <w:qFormat/>
    <w:pPr>
      <w:spacing w:line="240" w:lineRule="atLeast"/>
    </w:pPr>
    <w:rPr>
      <w:b/>
      <w:bCs/>
    </w:rPr>
  </w:style>
  <w:style w:type="paragraph" w:styleId="725">
    <w:name w:val="标题"/>
    <w:basedOn w:val="654"/>
    <w:next w:val="654"/>
    <w:link w:val="726"/>
    <w:uiPriority w:val="10"/>
    <w:qFormat/>
    <w:pPr>
      <w:contextualSpacing/>
      <w:spacing w:before="300" w:after="200"/>
    </w:pPr>
    <w:rPr>
      <w:sz w:val="48"/>
      <w:szCs w:val="48"/>
    </w:rPr>
  </w:style>
  <w:style w:type="character" w:styleId="726">
    <w:name w:val="标题 字符"/>
    <w:next w:val="726"/>
    <w:link w:val="725"/>
    <w:uiPriority w:val="10"/>
    <w:qFormat/>
    <w:rPr>
      <w:sz w:val="48"/>
      <w:szCs w:val="48"/>
    </w:rPr>
  </w:style>
  <w:style w:type="paragraph" w:styleId="727">
    <w:name w:val="批注主题"/>
    <w:basedOn w:val="684"/>
    <w:next w:val="684"/>
    <w:link w:val="728"/>
    <w:semiHidden/>
    <w:qFormat/>
    <w:rPr>
      <w:b/>
      <w:bCs/>
    </w:rPr>
  </w:style>
  <w:style w:type="character" w:styleId="728">
    <w:name w:val="批注主题 字符"/>
    <w:next w:val="728"/>
    <w:link w:val="727"/>
    <w:semiHidden/>
    <w:qFormat/>
    <w:rPr>
      <w:rFonts w:ascii="Times New Roman" w:hAnsi="Times New Roman" w:eastAsia="宋体" w:cs="Times New Roman"/>
      <w:b/>
      <w:bCs/>
      <w:szCs w:val="21"/>
    </w:rPr>
  </w:style>
  <w:style w:type="paragraph" w:styleId="729">
    <w:name w:val="正文首行缩进"/>
    <w:basedOn w:val="654"/>
    <w:next w:val="729"/>
    <w:link w:val="730"/>
    <w:qFormat/>
    <w:pPr>
      <w:ind w:firstLine="200"/>
      <w:spacing w:line="360" w:lineRule="auto"/>
    </w:pPr>
    <w:rPr>
      <w:rFonts w:ascii="仿宋_GB2312" w:eastAsia="仿宋_GB2312"/>
      <w:sz w:val="30"/>
      <w:szCs w:val="30"/>
      <w:lang w:eastAsia="en-US"/>
    </w:rPr>
  </w:style>
  <w:style w:type="character" w:styleId="730">
    <w:name w:val="正文文本首行缩进 字符"/>
    <w:next w:val="730"/>
    <w:link w:val="729"/>
    <w:qFormat/>
    <w:rPr>
      <w:rFonts w:ascii="仿宋_GB2312" w:hAnsi="Times New Roman" w:eastAsia="仿宋_GB2312" w:cs="Times New Roman"/>
      <w:sz w:val="30"/>
      <w:szCs w:val="30"/>
    </w:rPr>
  </w:style>
  <w:style w:type="paragraph" w:styleId="731">
    <w:name w:val="正文首行缩进 2"/>
    <w:basedOn w:val="688"/>
    <w:next w:val="731"/>
    <w:link w:val="732"/>
    <w:qFormat/>
    <w:pPr>
      <w:ind w:firstLine="420"/>
      <w:spacing w:line="360" w:lineRule="auto"/>
    </w:pPr>
    <w:rPr>
      <w:rFonts w:ascii="宋体" w:hAnsi="宋体" w:eastAsia="宋体"/>
      <w:szCs w:val="20"/>
    </w:rPr>
  </w:style>
  <w:style w:type="character" w:styleId="732">
    <w:name w:val="正文文本首行缩进 2 字符"/>
    <w:next w:val="732"/>
    <w:link w:val="731"/>
    <w:qFormat/>
    <w:rPr>
      <w:rFonts w:ascii="宋体" w:hAnsi="宋体" w:eastAsia="宋体" w:cs="Times New Roman"/>
      <w:sz w:val="32"/>
      <w:szCs w:val="20"/>
    </w:rPr>
  </w:style>
  <w:style w:type="table" w:styleId="733">
    <w:name w:val="网格型"/>
    <w:basedOn w:val="665"/>
    <w:next w:val="733"/>
    <w:link w:val="654"/>
    <w:qFormat/>
    <w:pPr>
      <w:jc w:val="both"/>
      <w:widowControl w:val="off"/>
    </w:pPr>
    <w:tblPr/>
  </w:style>
  <w:style w:type="character" w:styleId="734">
    <w:name w:val="要点"/>
    <w:next w:val="734"/>
    <w:link w:val="654"/>
    <w:qFormat/>
    <w:rPr>
      <w:b/>
      <w:bCs/>
    </w:rPr>
  </w:style>
  <w:style w:type="character" w:styleId="735">
    <w:name w:val="尾注引用"/>
    <w:next w:val="735"/>
    <w:link w:val="654"/>
    <w:uiPriority w:val="99"/>
    <w:unhideWhenUsed/>
    <w:qFormat/>
    <w:rPr>
      <w:vertAlign w:val="superscript"/>
    </w:rPr>
  </w:style>
  <w:style w:type="character" w:styleId="736">
    <w:name w:val="页码"/>
    <w:next w:val="736"/>
    <w:link w:val="654"/>
    <w:qFormat/>
  </w:style>
  <w:style w:type="character" w:styleId="737">
    <w:name w:val="已访问的超链接"/>
    <w:basedOn w:val="664"/>
    <w:next w:val="737"/>
    <w:link w:val="654"/>
    <w:uiPriority w:val="99"/>
    <w:unhideWhenUsed/>
    <w:rPr>
      <w:color w:val="800080"/>
      <w:u w:val="single"/>
    </w:rPr>
  </w:style>
  <w:style w:type="character" w:styleId="738">
    <w:name w:val="强调"/>
    <w:next w:val="738"/>
    <w:link w:val="654"/>
    <w:qFormat/>
    <w:rPr>
      <w:rFonts w:ascii="Times New Roman" w:hAnsi="Times New Roman" w:eastAsia="宋体" w:cs="Times New Roman"/>
      <w:i/>
    </w:rPr>
  </w:style>
  <w:style w:type="character" w:styleId="739">
    <w:name w:val="超链接"/>
    <w:next w:val="739"/>
    <w:link w:val="654"/>
    <w:qFormat/>
    <w:rPr>
      <w:color w:val="0000ff"/>
      <w:u w:val="single"/>
    </w:rPr>
  </w:style>
  <w:style w:type="character" w:styleId="740">
    <w:name w:val="批注引用"/>
    <w:next w:val="740"/>
    <w:link w:val="654"/>
    <w:semiHidden/>
    <w:qFormat/>
    <w:rPr>
      <w:sz w:val="21"/>
      <w:szCs w:val="21"/>
    </w:rPr>
  </w:style>
  <w:style w:type="character" w:styleId="741">
    <w:name w:val="脚注引用"/>
    <w:next w:val="741"/>
    <w:link w:val="654"/>
    <w:uiPriority w:val="99"/>
    <w:unhideWhenUsed/>
    <w:qFormat/>
    <w:rPr>
      <w:vertAlign w:val="superscript"/>
    </w:rPr>
  </w:style>
  <w:style w:type="character" w:styleId="742">
    <w:name w:val="Title Char"/>
    <w:basedOn w:val="664"/>
    <w:next w:val="742"/>
    <w:link w:val="654"/>
    <w:uiPriority w:val="10"/>
    <w:qFormat/>
    <w:rPr>
      <w:sz w:val="48"/>
      <w:szCs w:val="48"/>
    </w:rPr>
  </w:style>
  <w:style w:type="character" w:styleId="743">
    <w:name w:val="Subtitle Char"/>
    <w:basedOn w:val="664"/>
    <w:next w:val="743"/>
    <w:link w:val="654"/>
    <w:uiPriority w:val="11"/>
    <w:qFormat/>
    <w:rPr>
      <w:sz w:val="24"/>
      <w:szCs w:val="24"/>
    </w:rPr>
  </w:style>
  <w:style w:type="character" w:styleId="744">
    <w:name w:val="Quote Char"/>
    <w:next w:val="744"/>
    <w:link w:val="654"/>
    <w:uiPriority w:val="29"/>
    <w:qFormat/>
    <w:rPr>
      <w:i/>
    </w:rPr>
  </w:style>
  <w:style w:type="character" w:styleId="745">
    <w:name w:val="Intense Quote Char"/>
    <w:next w:val="745"/>
    <w:link w:val="654"/>
    <w:uiPriority w:val="30"/>
    <w:qFormat/>
    <w:rPr>
      <w:i/>
    </w:rPr>
  </w:style>
  <w:style w:type="character" w:styleId="746">
    <w:name w:val="Footnote Text Char"/>
    <w:next w:val="746"/>
    <w:link w:val="654"/>
    <w:uiPriority w:val="99"/>
    <w:qFormat/>
    <w:rPr>
      <w:sz w:val="18"/>
    </w:rPr>
  </w:style>
  <w:style w:type="character" w:styleId="747">
    <w:name w:val="Endnote Text Char"/>
    <w:next w:val="747"/>
    <w:link w:val="654"/>
    <w:uiPriority w:val="99"/>
    <w:qFormat/>
    <w:rPr>
      <w:sz w:val="20"/>
    </w:rPr>
  </w:style>
  <w:style w:type="character" w:styleId="748">
    <w:name w:val="Heading 1 Char"/>
    <w:next w:val="748"/>
    <w:link w:val="654"/>
    <w:uiPriority w:val="9"/>
    <w:qFormat/>
    <w:rPr>
      <w:rFonts w:ascii="Arial" w:hAnsi="Arial" w:eastAsia="Arial" w:cs="Arial"/>
      <w:sz w:val="40"/>
      <w:szCs w:val="40"/>
    </w:rPr>
  </w:style>
  <w:style w:type="character" w:styleId="749">
    <w:name w:val="Heading 2 Char"/>
    <w:next w:val="749"/>
    <w:link w:val="654"/>
    <w:uiPriority w:val="9"/>
    <w:qFormat/>
    <w:rPr>
      <w:rFonts w:ascii="Arial" w:hAnsi="Arial" w:eastAsia="Arial" w:cs="Arial"/>
      <w:sz w:val="34"/>
    </w:rPr>
  </w:style>
  <w:style w:type="character" w:styleId="750">
    <w:name w:val="Heading 3 Char"/>
    <w:next w:val="750"/>
    <w:link w:val="654"/>
    <w:uiPriority w:val="9"/>
    <w:qFormat/>
    <w:rPr>
      <w:rFonts w:ascii="Arial" w:hAnsi="Arial" w:eastAsia="Arial" w:cs="Arial"/>
      <w:sz w:val="30"/>
      <w:szCs w:val="30"/>
    </w:rPr>
  </w:style>
  <w:style w:type="character" w:styleId="751">
    <w:name w:val="Heading 4 Char"/>
    <w:next w:val="751"/>
    <w:link w:val="654"/>
    <w:uiPriority w:val="9"/>
    <w:qFormat/>
    <w:rPr>
      <w:rFonts w:ascii="Arial" w:hAnsi="Arial" w:eastAsia="Arial" w:cs="Arial"/>
      <w:b/>
      <w:bCs/>
      <w:sz w:val="26"/>
      <w:szCs w:val="26"/>
    </w:rPr>
  </w:style>
  <w:style w:type="character" w:styleId="752">
    <w:name w:val="Heading 5 Char"/>
    <w:next w:val="752"/>
    <w:link w:val="654"/>
    <w:uiPriority w:val="9"/>
    <w:qFormat/>
    <w:rPr>
      <w:rFonts w:ascii="Arial" w:hAnsi="Arial" w:eastAsia="Arial" w:cs="Arial"/>
      <w:b/>
      <w:bCs/>
      <w:sz w:val="24"/>
      <w:szCs w:val="24"/>
    </w:rPr>
  </w:style>
  <w:style w:type="character" w:styleId="753">
    <w:name w:val="Heading 6 Char"/>
    <w:next w:val="753"/>
    <w:link w:val="654"/>
    <w:uiPriority w:val="9"/>
    <w:qFormat/>
    <w:rPr>
      <w:rFonts w:ascii="Arial" w:hAnsi="Arial" w:eastAsia="Arial" w:cs="Arial"/>
      <w:b/>
      <w:bCs/>
      <w:sz w:val="22"/>
      <w:szCs w:val="22"/>
    </w:rPr>
  </w:style>
  <w:style w:type="character" w:styleId="754">
    <w:name w:val="Heading 7 Char"/>
    <w:next w:val="754"/>
    <w:link w:val="654"/>
    <w:uiPriority w:val="9"/>
    <w:qFormat/>
    <w:rPr>
      <w:rFonts w:ascii="Arial" w:hAnsi="Arial" w:eastAsia="Arial" w:cs="Arial"/>
      <w:b/>
      <w:bCs/>
      <w:i/>
      <w:iCs/>
      <w:sz w:val="22"/>
      <w:szCs w:val="22"/>
    </w:rPr>
  </w:style>
  <w:style w:type="character" w:styleId="755">
    <w:name w:val="Heading 8 Char"/>
    <w:next w:val="755"/>
    <w:link w:val="654"/>
    <w:uiPriority w:val="9"/>
    <w:qFormat/>
    <w:rPr>
      <w:rFonts w:ascii="Arial" w:hAnsi="Arial" w:eastAsia="Arial" w:cs="Arial"/>
      <w:i/>
      <w:iCs/>
      <w:sz w:val="22"/>
      <w:szCs w:val="22"/>
    </w:rPr>
  </w:style>
  <w:style w:type="character" w:styleId="756">
    <w:name w:val="Heading 9 Char"/>
    <w:next w:val="756"/>
    <w:link w:val="654"/>
    <w:uiPriority w:val="9"/>
    <w:qFormat/>
    <w:rPr>
      <w:rFonts w:ascii="Arial" w:hAnsi="Arial" w:eastAsia="Arial" w:cs="Arial"/>
      <w:i/>
      <w:iCs/>
      <w:sz w:val="21"/>
      <w:szCs w:val="21"/>
    </w:rPr>
  </w:style>
  <w:style w:type="paragraph" w:styleId="757">
    <w:name w:val="List Paragraph"/>
    <w:basedOn w:val="654"/>
    <w:next w:val="757"/>
    <w:link w:val="654"/>
    <w:qFormat/>
    <w:pPr>
      <w:contextualSpacing/>
      <w:ind w:left="720"/>
      <w:jc w:val="left"/>
      <w:widowControl/>
    </w:pPr>
    <w:rPr>
      <w:rFonts w:ascii="Calibri" w:hAnsi="Calibri"/>
      <w:sz w:val="24"/>
      <w:szCs w:val="24"/>
      <w:lang w:eastAsia="en-US" w:bidi="en-US"/>
    </w:rPr>
  </w:style>
  <w:style w:type="paragraph" w:styleId="758">
    <w:name w:val="No Spacing"/>
    <w:next w:val="758"/>
    <w:link w:val="654"/>
    <w:uiPriority w:val="99"/>
    <w:qFormat/>
    <w:pPr>
      <w:jc w:val="both"/>
      <w:widowControl w:val="off"/>
    </w:pPr>
    <w:rPr>
      <w:rFonts w:ascii="Times New Roman" w:hAnsi="Times New Roman" w:eastAsia="宋体" w:cs="Times New Roman"/>
      <w:sz w:val="21"/>
      <w:szCs w:val="21"/>
      <w:lang w:val="en-US" w:eastAsia="zh-CN" w:bidi="ar-SA"/>
    </w:rPr>
  </w:style>
  <w:style w:type="paragraph" w:styleId="759">
    <w:name w:val="Quote"/>
    <w:basedOn w:val="654"/>
    <w:next w:val="654"/>
    <w:link w:val="760"/>
    <w:uiPriority w:val="29"/>
    <w:qFormat/>
    <w:pPr>
      <w:ind w:left="720" w:right="720"/>
    </w:pPr>
    <w:rPr>
      <w:i/>
    </w:rPr>
  </w:style>
  <w:style w:type="character" w:styleId="760">
    <w:name w:val="引用 字符"/>
    <w:next w:val="760"/>
    <w:link w:val="759"/>
    <w:uiPriority w:val="29"/>
    <w:qFormat/>
    <w:rPr>
      <w:i/>
    </w:rPr>
  </w:style>
  <w:style w:type="paragraph" w:styleId="761">
    <w:name w:val="Intense Quote"/>
    <w:basedOn w:val="654"/>
    <w:next w:val="654"/>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明显引用 字符"/>
    <w:next w:val="762"/>
    <w:link w:val="761"/>
    <w:uiPriority w:val="30"/>
    <w:qFormat/>
    <w:rPr>
      <w:i/>
    </w:rPr>
  </w:style>
  <w:style w:type="character" w:styleId="763">
    <w:name w:val="Header Char"/>
    <w:next w:val="763"/>
    <w:link w:val="654"/>
    <w:uiPriority w:val="99"/>
    <w:qFormat/>
  </w:style>
  <w:style w:type="character" w:styleId="764">
    <w:name w:val="Footer Char"/>
    <w:next w:val="764"/>
    <w:link w:val="654"/>
    <w:uiPriority w:val="99"/>
    <w:qFormat/>
  </w:style>
  <w:style w:type="character" w:styleId="765">
    <w:name w:val="Caption Char"/>
    <w:next w:val="765"/>
    <w:link w:val="654"/>
    <w:uiPriority w:val="99"/>
    <w:qFormat/>
  </w:style>
  <w:style w:type="table" w:styleId="766">
    <w:name w:val="Table Grid Light"/>
    <w:next w:val="766"/>
    <w:link w:val="654"/>
    <w:uiPriority w:val="59"/>
    <w:qFormat/>
    <w:tblPr/>
  </w:style>
  <w:style w:type="table" w:styleId="767">
    <w:name w:val="Plain Table 1"/>
    <w:next w:val="767"/>
    <w:link w:val="654"/>
    <w:uiPriority w:val="59"/>
    <w:qFormat/>
    <w:tblPr/>
  </w:style>
  <w:style w:type="table" w:styleId="768">
    <w:name w:val="Plain Table 2"/>
    <w:next w:val="768"/>
    <w:link w:val="654"/>
    <w:uiPriority w:val="59"/>
    <w:qFormat/>
    <w:tblPr/>
  </w:style>
  <w:style w:type="table" w:styleId="769">
    <w:name w:val="Plain Table 3"/>
    <w:next w:val="769"/>
    <w:link w:val="654"/>
    <w:uiPriority w:val="99"/>
    <w:qFormat/>
    <w:tblPr/>
  </w:style>
  <w:style w:type="table" w:styleId="770">
    <w:name w:val="Plain Table 4"/>
    <w:next w:val="770"/>
    <w:link w:val="654"/>
    <w:uiPriority w:val="99"/>
    <w:qFormat/>
    <w:tblPr/>
  </w:style>
  <w:style w:type="table" w:styleId="771">
    <w:name w:val="Plain Table 5"/>
    <w:next w:val="771"/>
    <w:link w:val="654"/>
    <w:uiPriority w:val="99"/>
    <w:qFormat/>
    <w:tblPr/>
  </w:style>
  <w:style w:type="table" w:styleId="772">
    <w:name w:val="Grid Table 1 Light"/>
    <w:next w:val="772"/>
    <w:link w:val="654"/>
    <w:uiPriority w:val="99"/>
    <w:qFormat/>
    <w:tblPr/>
  </w:style>
  <w:style w:type="table" w:styleId="773">
    <w:name w:val="Grid Table 1 Light - Accent 1"/>
    <w:next w:val="773"/>
    <w:link w:val="654"/>
    <w:uiPriority w:val="99"/>
    <w:qFormat/>
    <w:tblPr/>
  </w:style>
  <w:style w:type="table" w:styleId="774">
    <w:name w:val="Grid Table 1 Light - Accent 2"/>
    <w:next w:val="774"/>
    <w:link w:val="654"/>
    <w:uiPriority w:val="99"/>
    <w:qFormat/>
    <w:tblPr/>
  </w:style>
  <w:style w:type="table" w:styleId="775">
    <w:name w:val="Grid Table 1 Light - Accent 3"/>
    <w:next w:val="775"/>
    <w:link w:val="654"/>
    <w:uiPriority w:val="99"/>
    <w:qFormat/>
    <w:tblPr/>
  </w:style>
  <w:style w:type="table" w:styleId="776">
    <w:name w:val="Grid Table 1 Light - Accent 4"/>
    <w:next w:val="776"/>
    <w:link w:val="654"/>
    <w:uiPriority w:val="99"/>
    <w:qFormat/>
    <w:tblPr/>
  </w:style>
  <w:style w:type="table" w:styleId="777">
    <w:name w:val="Grid Table 1 Light - Accent 5"/>
    <w:next w:val="777"/>
    <w:link w:val="654"/>
    <w:uiPriority w:val="99"/>
    <w:qFormat/>
    <w:tblPr/>
  </w:style>
  <w:style w:type="table" w:styleId="778">
    <w:name w:val="Grid Table 1 Light - Accent 6"/>
    <w:next w:val="778"/>
    <w:link w:val="654"/>
    <w:uiPriority w:val="99"/>
    <w:qFormat/>
    <w:tblPr/>
  </w:style>
  <w:style w:type="table" w:styleId="779">
    <w:name w:val="Grid Table 2"/>
    <w:next w:val="779"/>
    <w:link w:val="654"/>
    <w:uiPriority w:val="99"/>
    <w:qFormat/>
    <w:tblPr/>
  </w:style>
  <w:style w:type="table" w:styleId="780">
    <w:name w:val="Grid Table 2 - Accent 1"/>
    <w:next w:val="780"/>
    <w:link w:val="654"/>
    <w:uiPriority w:val="99"/>
    <w:qFormat/>
    <w:tblPr/>
  </w:style>
  <w:style w:type="table" w:styleId="781">
    <w:name w:val="Grid Table 2 - Accent 2"/>
    <w:next w:val="781"/>
    <w:link w:val="654"/>
    <w:uiPriority w:val="99"/>
    <w:qFormat/>
    <w:tblPr/>
  </w:style>
  <w:style w:type="table" w:styleId="782">
    <w:name w:val="Grid Table 2 - Accent 3"/>
    <w:next w:val="782"/>
    <w:link w:val="654"/>
    <w:uiPriority w:val="99"/>
    <w:qFormat/>
    <w:tblPr/>
  </w:style>
  <w:style w:type="table" w:styleId="783">
    <w:name w:val="Grid Table 2 - Accent 4"/>
    <w:next w:val="783"/>
    <w:link w:val="654"/>
    <w:uiPriority w:val="99"/>
    <w:qFormat/>
    <w:tblPr/>
  </w:style>
  <w:style w:type="table" w:styleId="784">
    <w:name w:val="Grid Table 2 - Accent 5"/>
    <w:next w:val="784"/>
    <w:link w:val="654"/>
    <w:uiPriority w:val="99"/>
    <w:qFormat/>
    <w:tblPr/>
  </w:style>
  <w:style w:type="table" w:styleId="785">
    <w:name w:val="Grid Table 2 - Accent 6"/>
    <w:next w:val="785"/>
    <w:link w:val="654"/>
    <w:uiPriority w:val="99"/>
    <w:qFormat/>
    <w:tblPr/>
  </w:style>
  <w:style w:type="table" w:styleId="786">
    <w:name w:val="Grid Table 3"/>
    <w:next w:val="786"/>
    <w:link w:val="654"/>
    <w:uiPriority w:val="99"/>
    <w:qFormat/>
    <w:tblPr/>
  </w:style>
  <w:style w:type="table" w:styleId="787">
    <w:name w:val="Grid Table 3 - Accent 1"/>
    <w:next w:val="787"/>
    <w:link w:val="654"/>
    <w:uiPriority w:val="99"/>
    <w:qFormat/>
    <w:tblPr/>
  </w:style>
  <w:style w:type="table" w:styleId="788">
    <w:name w:val="Grid Table 3 - Accent 2"/>
    <w:next w:val="788"/>
    <w:link w:val="654"/>
    <w:uiPriority w:val="99"/>
    <w:qFormat/>
    <w:tblPr/>
  </w:style>
  <w:style w:type="table" w:styleId="789">
    <w:name w:val="Grid Table 3 - Accent 3"/>
    <w:next w:val="789"/>
    <w:link w:val="654"/>
    <w:uiPriority w:val="99"/>
    <w:qFormat/>
    <w:tblPr/>
  </w:style>
  <w:style w:type="table" w:styleId="790">
    <w:name w:val="Grid Table 3 - Accent 4"/>
    <w:next w:val="790"/>
    <w:link w:val="654"/>
    <w:uiPriority w:val="99"/>
    <w:qFormat/>
    <w:tblPr/>
  </w:style>
  <w:style w:type="table" w:styleId="791">
    <w:name w:val="Grid Table 3 - Accent 5"/>
    <w:next w:val="791"/>
    <w:link w:val="654"/>
    <w:uiPriority w:val="99"/>
    <w:qFormat/>
    <w:tblPr/>
  </w:style>
  <w:style w:type="table" w:styleId="792">
    <w:name w:val="Grid Table 3 - Accent 6"/>
    <w:next w:val="792"/>
    <w:link w:val="654"/>
    <w:uiPriority w:val="99"/>
    <w:qFormat/>
    <w:tblPr/>
  </w:style>
  <w:style w:type="table" w:styleId="793">
    <w:name w:val="Grid Table 4"/>
    <w:next w:val="793"/>
    <w:link w:val="654"/>
    <w:uiPriority w:val="59"/>
    <w:qFormat/>
    <w:tblPr/>
  </w:style>
  <w:style w:type="table" w:styleId="794">
    <w:name w:val="Grid Table 4 - Accent 1"/>
    <w:next w:val="794"/>
    <w:link w:val="654"/>
    <w:uiPriority w:val="59"/>
    <w:qFormat/>
    <w:tblPr/>
  </w:style>
  <w:style w:type="table" w:styleId="795">
    <w:name w:val="Grid Table 4 - Accent 2"/>
    <w:next w:val="795"/>
    <w:link w:val="654"/>
    <w:uiPriority w:val="59"/>
    <w:qFormat/>
    <w:tblPr/>
  </w:style>
  <w:style w:type="table" w:styleId="796">
    <w:name w:val="Grid Table 4 - Accent 3"/>
    <w:next w:val="796"/>
    <w:link w:val="654"/>
    <w:uiPriority w:val="59"/>
    <w:qFormat/>
    <w:tblPr/>
  </w:style>
  <w:style w:type="table" w:styleId="797">
    <w:name w:val="Grid Table 4 - Accent 4"/>
    <w:next w:val="797"/>
    <w:link w:val="654"/>
    <w:uiPriority w:val="59"/>
    <w:qFormat/>
    <w:tblPr/>
  </w:style>
  <w:style w:type="table" w:styleId="798">
    <w:name w:val="Grid Table 4 - Accent 5"/>
    <w:next w:val="798"/>
    <w:link w:val="654"/>
    <w:uiPriority w:val="59"/>
    <w:qFormat/>
    <w:tblPr/>
  </w:style>
  <w:style w:type="table" w:styleId="799">
    <w:name w:val="Grid Table 4 - Accent 6"/>
    <w:next w:val="799"/>
    <w:link w:val="654"/>
    <w:uiPriority w:val="59"/>
    <w:qFormat/>
    <w:tblPr/>
  </w:style>
  <w:style w:type="table" w:styleId="800">
    <w:name w:val="Grid Table 5 Dark"/>
    <w:next w:val="800"/>
    <w:link w:val="654"/>
    <w:uiPriority w:val="99"/>
    <w:qFormat/>
    <w:tblPr/>
  </w:style>
  <w:style w:type="table" w:styleId="801">
    <w:name w:val="Grid Table 5 Dark- Accent 1"/>
    <w:next w:val="801"/>
    <w:link w:val="654"/>
    <w:uiPriority w:val="99"/>
    <w:qFormat/>
    <w:tblPr/>
  </w:style>
  <w:style w:type="table" w:styleId="802">
    <w:name w:val="Grid Table 5 Dark - Accent 2"/>
    <w:next w:val="802"/>
    <w:link w:val="654"/>
    <w:uiPriority w:val="99"/>
    <w:qFormat/>
    <w:tblPr/>
  </w:style>
  <w:style w:type="table" w:styleId="803">
    <w:name w:val="Grid Table 5 Dark - Accent 3"/>
    <w:next w:val="803"/>
    <w:link w:val="654"/>
    <w:uiPriority w:val="99"/>
    <w:qFormat/>
    <w:tblPr/>
  </w:style>
  <w:style w:type="table" w:styleId="804">
    <w:name w:val="Grid Table 5 Dark- Accent 4"/>
    <w:next w:val="804"/>
    <w:link w:val="654"/>
    <w:uiPriority w:val="99"/>
    <w:qFormat/>
    <w:tblPr/>
  </w:style>
  <w:style w:type="table" w:styleId="805">
    <w:name w:val="Grid Table 5 Dark - Accent 5"/>
    <w:next w:val="805"/>
    <w:link w:val="654"/>
    <w:uiPriority w:val="99"/>
    <w:qFormat/>
    <w:tblPr/>
  </w:style>
  <w:style w:type="table" w:styleId="806">
    <w:name w:val="Grid Table 5 Dark - Accent 6"/>
    <w:next w:val="806"/>
    <w:link w:val="654"/>
    <w:uiPriority w:val="99"/>
    <w:qFormat/>
    <w:tblPr/>
  </w:style>
  <w:style w:type="table" w:styleId="807">
    <w:name w:val="Grid Table 6 Colorful"/>
    <w:next w:val="807"/>
    <w:link w:val="654"/>
    <w:uiPriority w:val="99"/>
    <w:qFormat/>
    <w:tblPr/>
  </w:style>
  <w:style w:type="table" w:styleId="808">
    <w:name w:val="Grid Table 6 Colorful - Accent 1"/>
    <w:next w:val="808"/>
    <w:link w:val="654"/>
    <w:uiPriority w:val="99"/>
    <w:qFormat/>
    <w:tblPr/>
  </w:style>
  <w:style w:type="table" w:styleId="809">
    <w:name w:val="Grid Table 6 Colorful - Accent 2"/>
    <w:next w:val="809"/>
    <w:link w:val="654"/>
    <w:uiPriority w:val="99"/>
    <w:qFormat/>
    <w:tblPr/>
  </w:style>
  <w:style w:type="table" w:styleId="810">
    <w:name w:val="Grid Table 6 Colorful - Accent 3"/>
    <w:next w:val="810"/>
    <w:link w:val="654"/>
    <w:uiPriority w:val="99"/>
    <w:qFormat/>
    <w:tblPr/>
  </w:style>
  <w:style w:type="table" w:styleId="811">
    <w:name w:val="Grid Table 6 Colorful - Accent 4"/>
    <w:next w:val="811"/>
    <w:link w:val="654"/>
    <w:uiPriority w:val="99"/>
    <w:qFormat/>
    <w:tblPr/>
  </w:style>
  <w:style w:type="table" w:styleId="812">
    <w:name w:val="Grid Table 6 Colorful - Accent 5"/>
    <w:next w:val="812"/>
    <w:link w:val="654"/>
    <w:uiPriority w:val="99"/>
    <w:qFormat/>
    <w:tblPr/>
  </w:style>
  <w:style w:type="table" w:styleId="813">
    <w:name w:val="Grid Table 6 Colorful - Accent 6"/>
    <w:next w:val="813"/>
    <w:link w:val="654"/>
    <w:uiPriority w:val="99"/>
    <w:qFormat/>
    <w:tblPr/>
  </w:style>
  <w:style w:type="table" w:styleId="814">
    <w:name w:val="Grid Table 7 Colorful"/>
    <w:next w:val="814"/>
    <w:link w:val="654"/>
    <w:uiPriority w:val="99"/>
    <w:qFormat/>
    <w:tblPr/>
  </w:style>
  <w:style w:type="table" w:styleId="815">
    <w:name w:val="Grid Table 7 Colorful - Accent 1"/>
    <w:next w:val="815"/>
    <w:link w:val="654"/>
    <w:uiPriority w:val="99"/>
    <w:qFormat/>
    <w:tblPr/>
  </w:style>
  <w:style w:type="table" w:styleId="816">
    <w:name w:val="Grid Table 7 Colorful - Accent 2"/>
    <w:next w:val="816"/>
    <w:link w:val="654"/>
    <w:uiPriority w:val="99"/>
    <w:qFormat/>
    <w:tblPr/>
  </w:style>
  <w:style w:type="table" w:styleId="817">
    <w:name w:val="Grid Table 7 Colorful - Accent 3"/>
    <w:next w:val="817"/>
    <w:link w:val="654"/>
    <w:uiPriority w:val="99"/>
    <w:qFormat/>
    <w:tblPr/>
  </w:style>
  <w:style w:type="table" w:styleId="818">
    <w:name w:val="Grid Table 7 Colorful - Accent 4"/>
    <w:next w:val="818"/>
    <w:link w:val="654"/>
    <w:uiPriority w:val="99"/>
    <w:qFormat/>
    <w:tblPr/>
  </w:style>
  <w:style w:type="table" w:styleId="819">
    <w:name w:val="Grid Table 7 Colorful - Accent 5"/>
    <w:next w:val="819"/>
    <w:link w:val="654"/>
    <w:uiPriority w:val="99"/>
    <w:qFormat/>
    <w:tblPr/>
  </w:style>
  <w:style w:type="table" w:styleId="820">
    <w:name w:val="Grid Table 7 Colorful - Accent 6"/>
    <w:next w:val="820"/>
    <w:link w:val="654"/>
    <w:uiPriority w:val="99"/>
    <w:qFormat/>
    <w:tblPr/>
  </w:style>
  <w:style w:type="table" w:styleId="821">
    <w:name w:val="List Table 1 Light"/>
    <w:next w:val="821"/>
    <w:link w:val="654"/>
    <w:uiPriority w:val="99"/>
    <w:qFormat/>
    <w:tblPr/>
  </w:style>
  <w:style w:type="table" w:styleId="822">
    <w:name w:val="List Table 1 Light - Accent 1"/>
    <w:next w:val="822"/>
    <w:link w:val="654"/>
    <w:uiPriority w:val="99"/>
    <w:qFormat/>
    <w:tblPr/>
  </w:style>
  <w:style w:type="table" w:styleId="823">
    <w:name w:val="List Table 1 Light - Accent 2"/>
    <w:next w:val="823"/>
    <w:link w:val="654"/>
    <w:uiPriority w:val="99"/>
    <w:qFormat/>
    <w:tblPr/>
  </w:style>
  <w:style w:type="table" w:styleId="824">
    <w:name w:val="List Table 1 Light - Accent 3"/>
    <w:next w:val="824"/>
    <w:link w:val="654"/>
    <w:uiPriority w:val="99"/>
    <w:qFormat/>
    <w:tblPr/>
  </w:style>
  <w:style w:type="table" w:styleId="825">
    <w:name w:val="List Table 1 Light - Accent 4"/>
    <w:next w:val="825"/>
    <w:link w:val="654"/>
    <w:uiPriority w:val="99"/>
    <w:qFormat/>
    <w:tblPr/>
  </w:style>
  <w:style w:type="table" w:styleId="826">
    <w:name w:val="List Table 1 Light - Accent 5"/>
    <w:next w:val="826"/>
    <w:link w:val="654"/>
    <w:uiPriority w:val="99"/>
    <w:qFormat/>
    <w:tblPr/>
  </w:style>
  <w:style w:type="table" w:styleId="827">
    <w:name w:val="List Table 1 Light - Accent 6"/>
    <w:next w:val="827"/>
    <w:link w:val="654"/>
    <w:uiPriority w:val="99"/>
    <w:qFormat/>
    <w:tblPr/>
  </w:style>
  <w:style w:type="table" w:styleId="828">
    <w:name w:val="List Table 2"/>
    <w:next w:val="828"/>
    <w:link w:val="654"/>
    <w:uiPriority w:val="99"/>
    <w:qFormat/>
    <w:tblPr/>
  </w:style>
  <w:style w:type="table" w:styleId="829">
    <w:name w:val="List Table 2 - Accent 1"/>
    <w:next w:val="829"/>
    <w:link w:val="654"/>
    <w:uiPriority w:val="99"/>
    <w:qFormat/>
    <w:tblPr/>
  </w:style>
  <w:style w:type="table" w:styleId="830">
    <w:name w:val="List Table 2 - Accent 2"/>
    <w:next w:val="830"/>
    <w:link w:val="654"/>
    <w:uiPriority w:val="99"/>
    <w:qFormat/>
    <w:tblPr/>
  </w:style>
  <w:style w:type="table" w:styleId="831">
    <w:name w:val="List Table 2 - Accent 3"/>
    <w:next w:val="831"/>
    <w:link w:val="654"/>
    <w:uiPriority w:val="99"/>
    <w:qFormat/>
    <w:tblPr/>
  </w:style>
  <w:style w:type="table" w:styleId="832">
    <w:name w:val="List Table 2 - Accent 4"/>
    <w:next w:val="832"/>
    <w:link w:val="654"/>
    <w:uiPriority w:val="99"/>
    <w:qFormat/>
    <w:tblPr/>
  </w:style>
  <w:style w:type="table" w:styleId="833">
    <w:name w:val="List Table 2 - Accent 5"/>
    <w:next w:val="833"/>
    <w:link w:val="654"/>
    <w:uiPriority w:val="99"/>
    <w:qFormat/>
    <w:tblPr/>
  </w:style>
  <w:style w:type="table" w:styleId="834">
    <w:name w:val="List Table 2 - Accent 6"/>
    <w:next w:val="834"/>
    <w:link w:val="654"/>
    <w:uiPriority w:val="99"/>
    <w:qFormat/>
    <w:tblPr/>
  </w:style>
  <w:style w:type="table" w:styleId="835">
    <w:name w:val="List Table 3"/>
    <w:next w:val="835"/>
    <w:link w:val="654"/>
    <w:uiPriority w:val="99"/>
    <w:qFormat/>
    <w:tblPr/>
  </w:style>
  <w:style w:type="table" w:styleId="836">
    <w:name w:val="List Table 3 - Accent 1"/>
    <w:next w:val="836"/>
    <w:link w:val="654"/>
    <w:uiPriority w:val="99"/>
    <w:qFormat/>
    <w:tblPr/>
  </w:style>
  <w:style w:type="table" w:styleId="837">
    <w:name w:val="List Table 3 - Accent 2"/>
    <w:next w:val="837"/>
    <w:link w:val="654"/>
    <w:uiPriority w:val="99"/>
    <w:qFormat/>
    <w:tblPr/>
  </w:style>
  <w:style w:type="table" w:styleId="838">
    <w:name w:val="List Table 3 - Accent 3"/>
    <w:next w:val="838"/>
    <w:link w:val="654"/>
    <w:uiPriority w:val="99"/>
    <w:qFormat/>
    <w:tblPr/>
  </w:style>
  <w:style w:type="table" w:styleId="839">
    <w:name w:val="List Table 3 - Accent 4"/>
    <w:next w:val="839"/>
    <w:link w:val="654"/>
    <w:uiPriority w:val="99"/>
    <w:qFormat/>
    <w:tblPr/>
  </w:style>
  <w:style w:type="table" w:styleId="840">
    <w:name w:val="List Table 3 - Accent 5"/>
    <w:next w:val="840"/>
    <w:link w:val="654"/>
    <w:uiPriority w:val="99"/>
    <w:qFormat/>
    <w:tblPr/>
  </w:style>
  <w:style w:type="table" w:styleId="841">
    <w:name w:val="List Table 3 - Accent 6"/>
    <w:next w:val="841"/>
    <w:link w:val="654"/>
    <w:uiPriority w:val="99"/>
    <w:qFormat/>
    <w:tblPr/>
  </w:style>
  <w:style w:type="table" w:styleId="842">
    <w:name w:val="List Table 4"/>
    <w:next w:val="842"/>
    <w:link w:val="654"/>
    <w:uiPriority w:val="99"/>
    <w:qFormat/>
    <w:tblPr/>
  </w:style>
  <w:style w:type="table" w:styleId="843">
    <w:name w:val="List Table 4 - Accent 1"/>
    <w:next w:val="843"/>
    <w:link w:val="654"/>
    <w:uiPriority w:val="99"/>
    <w:qFormat/>
    <w:tblPr/>
  </w:style>
  <w:style w:type="table" w:styleId="844">
    <w:name w:val="List Table 4 - Accent 2"/>
    <w:next w:val="844"/>
    <w:link w:val="654"/>
    <w:uiPriority w:val="99"/>
    <w:qFormat/>
    <w:tblPr/>
  </w:style>
  <w:style w:type="table" w:styleId="845">
    <w:name w:val="List Table 4 - Accent 3"/>
    <w:next w:val="845"/>
    <w:link w:val="654"/>
    <w:uiPriority w:val="99"/>
    <w:qFormat/>
    <w:tblPr/>
  </w:style>
  <w:style w:type="table" w:styleId="846">
    <w:name w:val="List Table 4 - Accent 4"/>
    <w:next w:val="846"/>
    <w:link w:val="654"/>
    <w:uiPriority w:val="99"/>
    <w:qFormat/>
    <w:tblPr/>
  </w:style>
  <w:style w:type="table" w:styleId="847">
    <w:name w:val="List Table 4 - Accent 5"/>
    <w:next w:val="847"/>
    <w:link w:val="654"/>
    <w:uiPriority w:val="99"/>
    <w:qFormat/>
    <w:tblPr/>
  </w:style>
  <w:style w:type="table" w:styleId="848">
    <w:name w:val="List Table 4 - Accent 6"/>
    <w:next w:val="848"/>
    <w:link w:val="654"/>
    <w:uiPriority w:val="99"/>
    <w:qFormat/>
    <w:tblPr/>
  </w:style>
  <w:style w:type="table" w:styleId="849">
    <w:name w:val="List Table 5 Dark"/>
    <w:next w:val="849"/>
    <w:link w:val="654"/>
    <w:uiPriority w:val="99"/>
    <w:qFormat/>
    <w:tblPr/>
  </w:style>
  <w:style w:type="table" w:styleId="850">
    <w:name w:val="List Table 5 Dark - Accent 1"/>
    <w:next w:val="850"/>
    <w:link w:val="654"/>
    <w:uiPriority w:val="99"/>
    <w:qFormat/>
    <w:tblPr/>
  </w:style>
  <w:style w:type="table" w:styleId="851">
    <w:name w:val="List Table 5 Dark - Accent 2"/>
    <w:next w:val="851"/>
    <w:link w:val="654"/>
    <w:uiPriority w:val="99"/>
    <w:qFormat/>
    <w:tblPr/>
  </w:style>
  <w:style w:type="table" w:styleId="852">
    <w:name w:val="List Table 5 Dark - Accent 3"/>
    <w:next w:val="852"/>
    <w:link w:val="654"/>
    <w:uiPriority w:val="99"/>
    <w:qFormat/>
    <w:tblPr/>
  </w:style>
  <w:style w:type="table" w:styleId="853">
    <w:name w:val="List Table 5 Dark - Accent 4"/>
    <w:next w:val="853"/>
    <w:link w:val="654"/>
    <w:uiPriority w:val="99"/>
    <w:qFormat/>
    <w:tblPr/>
  </w:style>
  <w:style w:type="table" w:styleId="854">
    <w:name w:val="List Table 5 Dark - Accent 5"/>
    <w:next w:val="854"/>
    <w:link w:val="654"/>
    <w:uiPriority w:val="99"/>
    <w:qFormat/>
    <w:tblPr/>
  </w:style>
  <w:style w:type="table" w:styleId="855">
    <w:name w:val="List Table 5 Dark - Accent 6"/>
    <w:next w:val="855"/>
    <w:link w:val="654"/>
    <w:uiPriority w:val="99"/>
    <w:qFormat/>
    <w:tblPr/>
  </w:style>
  <w:style w:type="table" w:styleId="856">
    <w:name w:val="List Table 6 Colorful"/>
    <w:next w:val="856"/>
    <w:link w:val="654"/>
    <w:uiPriority w:val="99"/>
    <w:qFormat/>
    <w:tblPr/>
  </w:style>
  <w:style w:type="table" w:styleId="857">
    <w:name w:val="List Table 6 Colorful - Accent 1"/>
    <w:next w:val="857"/>
    <w:link w:val="654"/>
    <w:uiPriority w:val="99"/>
    <w:qFormat/>
    <w:tblPr/>
  </w:style>
  <w:style w:type="table" w:styleId="858">
    <w:name w:val="List Table 6 Colorful - Accent 2"/>
    <w:next w:val="858"/>
    <w:link w:val="654"/>
    <w:uiPriority w:val="99"/>
    <w:qFormat/>
    <w:tblPr/>
  </w:style>
  <w:style w:type="table" w:styleId="859">
    <w:name w:val="List Table 6 Colorful - Accent 3"/>
    <w:next w:val="859"/>
    <w:link w:val="654"/>
    <w:uiPriority w:val="99"/>
    <w:qFormat/>
    <w:tblPr/>
  </w:style>
  <w:style w:type="table" w:styleId="860">
    <w:name w:val="List Table 6 Colorful - Accent 4"/>
    <w:next w:val="860"/>
    <w:link w:val="654"/>
    <w:uiPriority w:val="99"/>
    <w:qFormat/>
    <w:tblPr/>
  </w:style>
  <w:style w:type="table" w:styleId="861">
    <w:name w:val="List Table 6 Colorful - Accent 5"/>
    <w:next w:val="861"/>
    <w:link w:val="654"/>
    <w:uiPriority w:val="99"/>
    <w:qFormat/>
    <w:tblPr/>
  </w:style>
  <w:style w:type="table" w:styleId="862">
    <w:name w:val="List Table 6 Colorful - Accent 6"/>
    <w:next w:val="862"/>
    <w:link w:val="654"/>
    <w:uiPriority w:val="99"/>
    <w:qFormat/>
    <w:tblPr/>
  </w:style>
  <w:style w:type="table" w:styleId="863">
    <w:name w:val="List Table 7 Colorful"/>
    <w:next w:val="863"/>
    <w:link w:val="654"/>
    <w:uiPriority w:val="99"/>
    <w:qFormat/>
    <w:tblPr/>
  </w:style>
  <w:style w:type="table" w:styleId="864">
    <w:name w:val="List Table 7 Colorful - Accent 1"/>
    <w:next w:val="864"/>
    <w:link w:val="654"/>
    <w:uiPriority w:val="99"/>
    <w:qFormat/>
    <w:tblPr/>
  </w:style>
  <w:style w:type="table" w:styleId="865">
    <w:name w:val="List Table 7 Colorful - Accent 2"/>
    <w:next w:val="865"/>
    <w:link w:val="654"/>
    <w:uiPriority w:val="99"/>
    <w:qFormat/>
    <w:tblPr/>
  </w:style>
  <w:style w:type="table" w:styleId="866">
    <w:name w:val="List Table 7 Colorful - Accent 3"/>
    <w:next w:val="866"/>
    <w:link w:val="654"/>
    <w:uiPriority w:val="99"/>
    <w:qFormat/>
    <w:tblPr/>
  </w:style>
  <w:style w:type="table" w:styleId="867">
    <w:name w:val="List Table 7 Colorful - Accent 4"/>
    <w:next w:val="867"/>
    <w:link w:val="654"/>
    <w:uiPriority w:val="99"/>
    <w:qFormat/>
    <w:tblPr/>
  </w:style>
  <w:style w:type="table" w:styleId="868">
    <w:name w:val="List Table 7 Colorful - Accent 5"/>
    <w:next w:val="868"/>
    <w:link w:val="654"/>
    <w:uiPriority w:val="99"/>
    <w:qFormat/>
    <w:tblPr/>
  </w:style>
  <w:style w:type="table" w:styleId="869">
    <w:name w:val="List Table 7 Colorful - Accent 6"/>
    <w:next w:val="869"/>
    <w:link w:val="654"/>
    <w:uiPriority w:val="99"/>
    <w:qFormat/>
    <w:tblPr/>
  </w:style>
  <w:style w:type="table" w:styleId="870">
    <w:name w:val="Lined - Accent"/>
    <w:next w:val="870"/>
    <w:link w:val="654"/>
    <w:uiPriority w:val="99"/>
    <w:qFormat/>
    <w:rPr>
      <w:color w:val="404040"/>
    </w:rPr>
    <w:tblPr/>
  </w:style>
  <w:style w:type="table" w:styleId="871">
    <w:name w:val="Lined - Accent 1"/>
    <w:next w:val="871"/>
    <w:link w:val="654"/>
    <w:uiPriority w:val="99"/>
    <w:qFormat/>
    <w:rPr>
      <w:color w:val="404040"/>
    </w:rPr>
    <w:tblPr/>
  </w:style>
  <w:style w:type="table" w:styleId="872">
    <w:name w:val="Lined - Accent 2"/>
    <w:next w:val="872"/>
    <w:link w:val="654"/>
    <w:uiPriority w:val="99"/>
    <w:qFormat/>
    <w:rPr>
      <w:color w:val="404040"/>
    </w:rPr>
    <w:tblPr/>
  </w:style>
  <w:style w:type="table" w:styleId="873">
    <w:name w:val="Lined - Accent 3"/>
    <w:next w:val="873"/>
    <w:link w:val="654"/>
    <w:uiPriority w:val="99"/>
    <w:qFormat/>
    <w:rPr>
      <w:color w:val="404040"/>
    </w:rPr>
    <w:tblPr/>
  </w:style>
  <w:style w:type="table" w:styleId="874">
    <w:name w:val="Lined - Accent 4"/>
    <w:next w:val="874"/>
    <w:link w:val="654"/>
    <w:uiPriority w:val="99"/>
    <w:qFormat/>
    <w:rPr>
      <w:color w:val="404040"/>
    </w:rPr>
    <w:tblPr/>
  </w:style>
  <w:style w:type="table" w:styleId="875">
    <w:name w:val="Lined - Accent 5"/>
    <w:next w:val="875"/>
    <w:link w:val="654"/>
    <w:uiPriority w:val="99"/>
    <w:qFormat/>
    <w:rPr>
      <w:color w:val="404040"/>
    </w:rPr>
    <w:tblPr/>
  </w:style>
  <w:style w:type="table" w:styleId="876">
    <w:name w:val="Lined - Accent 6"/>
    <w:next w:val="876"/>
    <w:link w:val="654"/>
    <w:uiPriority w:val="99"/>
    <w:qFormat/>
    <w:rPr>
      <w:color w:val="404040"/>
    </w:rPr>
    <w:tblPr/>
  </w:style>
  <w:style w:type="table" w:styleId="877">
    <w:name w:val="Bordered &amp; Lined - Accent"/>
    <w:next w:val="877"/>
    <w:link w:val="654"/>
    <w:uiPriority w:val="99"/>
    <w:qFormat/>
    <w:rPr>
      <w:color w:val="404040"/>
    </w:rPr>
    <w:tblPr/>
  </w:style>
  <w:style w:type="table" w:styleId="878">
    <w:name w:val="Bordered &amp; Lined - Accent 1"/>
    <w:next w:val="878"/>
    <w:link w:val="654"/>
    <w:uiPriority w:val="99"/>
    <w:qFormat/>
    <w:rPr>
      <w:color w:val="404040"/>
    </w:rPr>
    <w:tblPr/>
  </w:style>
  <w:style w:type="table" w:styleId="879">
    <w:name w:val="Bordered &amp; Lined - Accent 2"/>
    <w:next w:val="879"/>
    <w:link w:val="654"/>
    <w:uiPriority w:val="99"/>
    <w:qFormat/>
    <w:rPr>
      <w:color w:val="404040"/>
    </w:rPr>
    <w:tblPr/>
  </w:style>
  <w:style w:type="table" w:styleId="880">
    <w:name w:val="Bordered &amp; Lined - Accent 3"/>
    <w:next w:val="880"/>
    <w:link w:val="654"/>
    <w:uiPriority w:val="99"/>
    <w:qFormat/>
    <w:rPr>
      <w:color w:val="404040"/>
    </w:rPr>
    <w:tblPr/>
  </w:style>
  <w:style w:type="table" w:styleId="881">
    <w:name w:val="Bordered &amp; Lined - Accent 4"/>
    <w:next w:val="881"/>
    <w:link w:val="654"/>
    <w:uiPriority w:val="99"/>
    <w:qFormat/>
    <w:rPr>
      <w:color w:val="404040"/>
    </w:rPr>
    <w:tblPr/>
  </w:style>
  <w:style w:type="table" w:styleId="882">
    <w:name w:val="Bordered &amp; Lined - Accent 5"/>
    <w:next w:val="882"/>
    <w:link w:val="654"/>
    <w:uiPriority w:val="99"/>
    <w:qFormat/>
    <w:rPr>
      <w:color w:val="404040"/>
    </w:rPr>
    <w:tblPr/>
  </w:style>
  <w:style w:type="table" w:styleId="883">
    <w:name w:val="Bordered &amp; Lined - Accent 6"/>
    <w:next w:val="883"/>
    <w:link w:val="654"/>
    <w:uiPriority w:val="99"/>
    <w:qFormat/>
    <w:rPr>
      <w:color w:val="404040"/>
    </w:rPr>
    <w:tblPr/>
  </w:style>
  <w:style w:type="table" w:styleId="884">
    <w:name w:val="Bordered"/>
    <w:next w:val="884"/>
    <w:link w:val="654"/>
    <w:uiPriority w:val="99"/>
    <w:qFormat/>
    <w:tblPr/>
  </w:style>
  <w:style w:type="table" w:styleId="885">
    <w:name w:val="Bordered - Accent 1"/>
    <w:next w:val="885"/>
    <w:link w:val="654"/>
    <w:uiPriority w:val="99"/>
    <w:qFormat/>
    <w:tblPr/>
  </w:style>
  <w:style w:type="table" w:styleId="886">
    <w:name w:val="Bordered - Accent 2"/>
    <w:next w:val="886"/>
    <w:link w:val="654"/>
    <w:uiPriority w:val="99"/>
    <w:qFormat/>
    <w:tblPr/>
  </w:style>
  <w:style w:type="table" w:styleId="887">
    <w:name w:val="Bordered - Accent 3"/>
    <w:next w:val="887"/>
    <w:link w:val="654"/>
    <w:uiPriority w:val="99"/>
    <w:qFormat/>
    <w:tblPr/>
  </w:style>
  <w:style w:type="table" w:styleId="888">
    <w:name w:val="Bordered - Accent 4"/>
    <w:next w:val="888"/>
    <w:link w:val="654"/>
    <w:uiPriority w:val="99"/>
    <w:qFormat/>
    <w:tblPr/>
  </w:style>
  <w:style w:type="table" w:styleId="889">
    <w:name w:val="Bordered - Accent 5"/>
    <w:next w:val="889"/>
    <w:link w:val="654"/>
    <w:uiPriority w:val="99"/>
    <w:qFormat/>
    <w:tblPr/>
  </w:style>
  <w:style w:type="table" w:styleId="890">
    <w:name w:val="Bordered - Accent 6"/>
    <w:next w:val="890"/>
    <w:link w:val="654"/>
    <w:uiPriority w:val="99"/>
    <w:qFormat/>
    <w:tblPr/>
  </w:style>
  <w:style w:type="paragraph" w:styleId="891">
    <w:name w:val="TOC Heading"/>
    <w:next w:val="891"/>
    <w:link w:val="654"/>
    <w:uiPriority w:val="39"/>
    <w:unhideWhenUsed/>
    <w:qFormat/>
    <w:rPr>
      <w:rFonts w:ascii="Times New Roman" w:hAnsi="Times New Roman" w:eastAsia="宋体" w:cs="Times New Roman"/>
      <w:lang w:val="en-US" w:eastAsia="zh-CN" w:bidi="ar-SA"/>
    </w:rPr>
  </w:style>
  <w:style w:type="character" w:styleId="892">
    <w:name w:val="已访问的超链接1"/>
    <w:next w:val="892"/>
    <w:link w:val="654"/>
    <w:qFormat/>
    <w:rPr>
      <w:color w:val="800080"/>
      <w:u w:val="single"/>
    </w:rPr>
  </w:style>
  <w:style w:type="paragraph" w:styleId="893">
    <w:name w:val="正文空2字"/>
    <w:basedOn w:val="894"/>
    <w:next w:val="893"/>
    <w:link w:val="654"/>
    <w:uiPriority w:val="99"/>
    <w:qFormat/>
    <w:pPr>
      <w:ind w:firstLine="640"/>
      <w:spacing w:line="560" w:lineRule="exact"/>
      <w:widowControl w:val="off"/>
    </w:pPr>
    <w:rPr>
      <w:rFonts w:ascii="仿宋_GB2312" w:hAnsi="仿宋_GB2312" w:cs="仿宋_GB2312"/>
      <w:lang w:val="zh-TW"/>
    </w:rPr>
  </w:style>
  <w:style w:type="paragraph" w:styleId="894">
    <w:name w:val="左对齐正文"/>
    <w:next w:val="894"/>
    <w:link w:val="654"/>
    <w:uiPriority w:val="99"/>
    <w:qFormat/>
    <w:rPr>
      <w:rFonts w:ascii="Calibri" w:hAnsi="Calibri" w:eastAsia="仿宋_GB2312" w:cs="Calibri"/>
      <w:sz w:val="32"/>
      <w:szCs w:val="32"/>
      <w:lang w:val="en-US" w:eastAsia="zh-CN" w:bidi="ar-SA"/>
    </w:rPr>
  </w:style>
  <w:style w:type="paragraph" w:styleId="895">
    <w:name w:val="索引 41"/>
    <w:basedOn w:val="654"/>
    <w:next w:val="654"/>
    <w:link w:val="654"/>
    <w:semiHidden/>
    <w:qFormat/>
    <w:pPr>
      <w:ind w:left="1260"/>
    </w:pPr>
    <w:rPr>
      <w:rFonts w:ascii="Calibri" w:hAnsi="Calibri" w:eastAsia="Calibri" w:cs="宋体"/>
      <w:sz w:val="20"/>
      <w:lang w:val="zh-CN"/>
    </w:rPr>
  </w:style>
  <w:style w:type="character" w:styleId="896">
    <w:name w:val="font5 Char"/>
    <w:next w:val="896"/>
    <w:link w:val="654"/>
    <w:qFormat/>
    <w:rPr>
      <w:rFonts w:ascii="宋体" w:hAnsi="宋体" w:eastAsia="宋体"/>
      <w:sz w:val="28"/>
      <w:szCs w:val="28"/>
      <w:lang w:val="en-US" w:eastAsia="zh-CN" w:bidi="ar-SA"/>
    </w:rPr>
  </w:style>
  <w:style w:type="character" w:styleId="897">
    <w:name w:val="二级目录 Char"/>
    <w:next w:val="897"/>
    <w:link w:val="898"/>
    <w:qFormat/>
    <w:rPr>
      <w:b/>
      <w:sz w:val="30"/>
      <w:szCs w:val="28"/>
      <w:lang w:val="en-US" w:eastAsia="zh-CN" w:bidi="ar-SA"/>
    </w:rPr>
  </w:style>
  <w:style w:type="paragraph" w:styleId="898">
    <w:name w:val="二级目录"/>
    <w:next w:val="654"/>
    <w:link w:val="897"/>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899">
    <w:name w:val="列出段落 Char"/>
    <w:next w:val="899"/>
    <w:link w:val="900"/>
    <w:qFormat/>
    <w:rPr>
      <w:rFonts w:ascii="Calibri" w:hAnsi="Calibri"/>
      <w:sz w:val="24"/>
      <w:szCs w:val="24"/>
      <w:lang w:eastAsia="en-US" w:bidi="en-US"/>
    </w:rPr>
  </w:style>
  <w:style w:type="paragraph" w:styleId="900">
    <w:name w:val="列出段落1"/>
    <w:basedOn w:val="654"/>
    <w:next w:val="900"/>
    <w:link w:val="899"/>
    <w:qFormat/>
    <w:pPr>
      <w:contextualSpacing/>
      <w:ind w:left="720"/>
      <w:jc w:val="left"/>
      <w:widowControl/>
    </w:pPr>
    <w:rPr>
      <w:rFonts w:ascii="Calibri" w:hAnsi="Calibri"/>
      <w:sz w:val="24"/>
      <w:szCs w:val="24"/>
      <w:lang w:eastAsia="en-US" w:bidi="en-US"/>
    </w:rPr>
  </w:style>
  <w:style w:type="paragraph" w:styleId="901">
    <w:name w:val="Body Text(ch)"/>
    <w:basedOn w:val="654"/>
    <w:next w:val="666"/>
    <w:link w:val="654"/>
    <w:qFormat/>
    <w:pPr>
      <w:spacing w:after="120"/>
    </w:pPr>
    <w:rPr>
      <w:rFonts w:ascii="宋体" w:hAnsi="Arial"/>
      <w:bCs/>
      <w:iCs/>
      <w:szCs w:val="24"/>
    </w:rPr>
  </w:style>
  <w:style w:type="paragraph" w:styleId="902">
    <w:name w:val="xl27"/>
    <w:basedOn w:val="654"/>
    <w:next w:val="902"/>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3">
    <w:name w:val="xl26"/>
    <w:basedOn w:val="654"/>
    <w:next w:val="903"/>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04">
    <w:name w:val="Char"/>
    <w:basedOn w:val="654"/>
    <w:next w:val="904"/>
    <w:link w:val="654"/>
    <w:qFormat/>
    <w:pPr>
      <w:ind w:firstLine="200"/>
      <w:tabs>
        <w:tab w:val="left" w:pos="360" w:leader="none"/>
      </w:tabs>
    </w:pPr>
    <w:rPr>
      <w:sz w:val="28"/>
      <w:szCs w:val="30"/>
    </w:rPr>
  </w:style>
  <w:style w:type="paragraph" w:styleId="905">
    <w:name w:val="Char1"/>
    <w:basedOn w:val="682"/>
    <w:next w:val="905"/>
    <w:link w:val="654"/>
    <w:qFormat/>
    <w:rPr>
      <w:rFonts w:ascii="Tahoma" w:hAnsi="Tahoma"/>
      <w:sz w:val="24"/>
      <w:szCs w:val="24"/>
    </w:rPr>
  </w:style>
  <w:style w:type="paragraph" w:styleId="906">
    <w:name w:val="普通正文"/>
    <w:basedOn w:val="654"/>
    <w:next w:val="906"/>
    <w:link w:val="654"/>
    <w:qFormat/>
    <w:pPr>
      <w:ind w:firstLine="480"/>
      <w:jc w:val="left"/>
      <w:spacing w:before="120" w:after="120" w:line="360" w:lineRule="auto"/>
    </w:pPr>
    <w:rPr>
      <w:rFonts w:ascii="Arial" w:hAnsi="Arial"/>
      <w:sz w:val="24"/>
      <w:szCs w:val="24"/>
    </w:rPr>
  </w:style>
  <w:style w:type="paragraph" w:styleId="907">
    <w:name w:val="table_lines"/>
    <w:basedOn w:val="654"/>
    <w:next w:val="907"/>
    <w:link w:val="654"/>
    <w:qFormat/>
    <w:pPr>
      <w:jc w:val="left"/>
      <w:widowControl/>
    </w:pPr>
    <w:rPr>
      <w:sz w:val="20"/>
      <w:szCs w:val="20"/>
      <w:lang w:val="de-DE" w:eastAsia="de-DE"/>
    </w:rPr>
  </w:style>
  <w:style w:type="paragraph" w:styleId="908">
    <w:name w:val="附录1"/>
    <w:next w:val="908"/>
    <w:link w:val="654"/>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09">
    <w:name w:val="font7"/>
    <w:basedOn w:val="654"/>
    <w:next w:val="909"/>
    <w:link w:val="654"/>
    <w:qFormat/>
    <w:pPr>
      <w:jc w:val="left"/>
      <w:spacing w:before="100" w:beforeAutospacing="1" w:after="100" w:afterAutospacing="1"/>
      <w:widowControl/>
    </w:pPr>
    <w:rPr>
      <w:rFonts w:hint="eastAsia" w:ascii="宋体" w:hAnsi="宋体"/>
      <w:sz w:val="18"/>
      <w:szCs w:val="18"/>
    </w:rPr>
  </w:style>
  <w:style w:type="paragraph" w:styleId="910">
    <w:name w:val="Char Char Char Char"/>
    <w:basedOn w:val="682"/>
    <w:next w:val="910"/>
    <w:link w:val="654"/>
    <w:qFormat/>
    <w:pPr>
      <w:spacing w:line="360" w:lineRule="auto"/>
    </w:pPr>
    <w:rPr>
      <w:rFonts w:ascii="Tahoma" w:hAnsi="Tahoma"/>
      <w:sz w:val="24"/>
      <w:szCs w:val="24"/>
    </w:rPr>
  </w:style>
  <w:style w:type="paragraph" w:styleId="911">
    <w:name w:val="4"/>
    <w:basedOn w:val="654"/>
    <w:next w:val="716"/>
    <w:link w:val="654"/>
    <w:qFormat/>
    <w:pPr>
      <w:ind w:firstLine="420"/>
      <w:spacing w:line="360" w:lineRule="auto"/>
    </w:pPr>
    <w:rPr>
      <w:color w:val="ff0000"/>
      <w:sz w:val="24"/>
      <w:szCs w:val="24"/>
    </w:rPr>
  </w:style>
  <w:style w:type="paragraph" w:styleId="912">
    <w:name w:val="普通 (Web)"/>
    <w:basedOn w:val="654"/>
    <w:next w:val="912"/>
    <w:link w:val="654"/>
    <w:qFormat/>
    <w:pPr>
      <w:jc w:val="left"/>
      <w:spacing w:before="100" w:beforeAutospacing="1" w:after="100" w:afterAutospacing="1"/>
      <w:widowControl/>
    </w:pPr>
    <w:rPr>
      <w:rFonts w:ascii="宋体" w:hAnsi="宋体"/>
      <w:sz w:val="24"/>
      <w:szCs w:val="24"/>
    </w:rPr>
  </w:style>
  <w:style w:type="paragraph" w:styleId="913">
    <w:name w:val="Char Char Char Char Char Char Char Char Char Char"/>
    <w:basedOn w:val="654"/>
    <w:next w:val="913"/>
    <w:link w:val="654"/>
    <w:qFormat/>
    <w:pPr>
      <w:spacing w:line="360" w:lineRule="auto"/>
    </w:pPr>
    <w:rPr>
      <w:sz w:val="24"/>
      <w:szCs w:val="20"/>
    </w:rPr>
  </w:style>
  <w:style w:type="paragraph" w:styleId="914">
    <w:name w:val="样式1"/>
    <w:basedOn w:val="654"/>
    <w:next w:val="914"/>
    <w:link w:val="654"/>
    <w:qFormat/>
    <w:pPr>
      <w:numPr>
        <w:ilvl w:val="0"/>
        <w:numId w:val="3"/>
      </w:numPr>
      <w:tabs>
        <w:tab w:val="left" w:pos="709" w:leader="none"/>
      </w:tabs>
    </w:pPr>
    <w:rPr>
      <w:rFonts w:ascii="宋体" w:hAnsi="宋体"/>
    </w:rPr>
  </w:style>
  <w:style w:type="paragraph" w:styleId="915">
    <w:name w:val="font6"/>
    <w:basedOn w:val="654"/>
    <w:next w:val="915"/>
    <w:link w:val="654"/>
    <w:qFormat/>
    <w:pPr>
      <w:jc w:val="left"/>
      <w:spacing w:before="100" w:beforeAutospacing="1" w:after="100" w:afterAutospacing="1"/>
      <w:widowControl/>
    </w:pPr>
    <w:rPr>
      <w:rFonts w:hint="eastAsia" w:ascii="宋体" w:hAnsi="宋体"/>
      <w:sz w:val="28"/>
      <w:szCs w:val="28"/>
      <w:u w:val="single"/>
    </w:rPr>
  </w:style>
  <w:style w:type="paragraph" w:styleId="916">
    <w:name w:val="xl25"/>
    <w:basedOn w:val="654"/>
    <w:next w:val="916"/>
    <w:link w:val="65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7">
    <w:name w:val="图标"/>
    <w:basedOn w:val="654"/>
    <w:next w:val="654"/>
    <w:link w:val="65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8">
    <w:name w:val="标题3"/>
    <w:basedOn w:val="654"/>
    <w:next w:val="654"/>
    <w:link w:val="654"/>
    <w:qFormat/>
    <w:pPr>
      <w:ind w:firstLine="624"/>
      <w:spacing w:line="590" w:lineRule="atLeast"/>
    </w:pPr>
    <w:rPr>
      <w:rFonts w:ascii="方正黑体_GBK" w:eastAsia="方正黑体_GBK"/>
      <w:sz w:val="32"/>
      <w:szCs w:val="32"/>
    </w:rPr>
  </w:style>
  <w:style w:type="paragraph" w:styleId="919">
    <w:name w:val="xl24"/>
    <w:basedOn w:val="654"/>
    <w:next w:val="919"/>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0">
    <w:name w:val="xl29"/>
    <w:basedOn w:val="654"/>
    <w:next w:val="920"/>
    <w:link w:val="65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21">
    <w:name w:val="Char Char Char Char Char Char Char Char"/>
    <w:basedOn w:val="654"/>
    <w:next w:val="921"/>
    <w:link w:val="654"/>
    <w:qFormat/>
    <w:pPr>
      <w:jc w:val="left"/>
      <w:spacing w:after="160" w:line="240" w:lineRule="exact"/>
      <w:widowControl/>
    </w:pPr>
    <w:rPr>
      <w:rFonts w:ascii="Verdana" w:hAnsi="Verdana"/>
      <w:sz w:val="20"/>
      <w:szCs w:val="20"/>
      <w:lang w:eastAsia="en-US"/>
    </w:rPr>
  </w:style>
  <w:style w:type="paragraph" w:styleId="922">
    <w:name w:val="xl28"/>
    <w:basedOn w:val="654"/>
    <w:next w:val="922"/>
    <w:link w:val="65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23">
    <w:name w:val="Char Char Char Char Char Char Char Char1"/>
    <w:basedOn w:val="654"/>
    <w:next w:val="923"/>
    <w:link w:val="654"/>
    <w:qFormat/>
    <w:pPr>
      <w:jc w:val="left"/>
      <w:spacing w:after="160" w:line="240" w:lineRule="exact"/>
      <w:widowControl/>
    </w:pPr>
    <w:rPr>
      <w:rFonts w:ascii="Verdana" w:hAnsi="Verdana"/>
      <w:sz w:val="20"/>
      <w:szCs w:val="20"/>
      <w:lang w:eastAsia="en-US"/>
    </w:rPr>
  </w:style>
  <w:style w:type="paragraph" w:styleId="924">
    <w:name w:val="xl30"/>
    <w:basedOn w:val="654"/>
    <w:next w:val="924"/>
    <w:link w:val="654"/>
    <w:qFormat/>
    <w:pPr>
      <w:jc w:val="center"/>
      <w:spacing w:before="100" w:beforeAutospacing="1" w:after="100" w:afterAutospacing="1"/>
      <w:widowControl/>
    </w:pPr>
    <w:rPr>
      <w:rFonts w:ascii="宋体" w:hAnsi="宋体"/>
      <w:b/>
      <w:bCs/>
      <w:sz w:val="36"/>
      <w:szCs w:val="36"/>
    </w:rPr>
  </w:style>
  <w:style w:type="paragraph" w:styleId="925">
    <w:name w:val="Char Char Char Char1"/>
    <w:basedOn w:val="682"/>
    <w:next w:val="925"/>
    <w:link w:val="654"/>
    <w:qFormat/>
    <w:pPr>
      <w:spacing w:line="360" w:lineRule="auto"/>
    </w:pPr>
    <w:rPr>
      <w:rFonts w:ascii="Tahoma" w:hAnsi="Tahoma"/>
      <w:sz w:val="24"/>
      <w:szCs w:val="24"/>
    </w:rPr>
  </w:style>
  <w:style w:type="paragraph" w:styleId="926">
    <w:name w:val="table_1stline"/>
    <w:basedOn w:val="654"/>
    <w:next w:val="926"/>
    <w:link w:val="654"/>
    <w:qFormat/>
    <w:pPr>
      <w:jc w:val="left"/>
      <w:spacing w:before="120"/>
      <w:widowControl/>
    </w:pPr>
    <w:rPr>
      <w:bCs/>
      <w:sz w:val="20"/>
      <w:szCs w:val="20"/>
      <w:lang w:val="de-DE" w:eastAsia="de-DE"/>
    </w:rPr>
  </w:style>
  <w:style w:type="paragraph" w:styleId="927">
    <w:name w:val="font5"/>
    <w:basedOn w:val="654"/>
    <w:next w:val="927"/>
    <w:link w:val="654"/>
    <w:qFormat/>
    <w:pPr>
      <w:jc w:val="left"/>
      <w:spacing w:before="100" w:beforeAutospacing="1" w:after="100" w:afterAutospacing="1"/>
      <w:widowControl/>
    </w:pPr>
    <w:rPr>
      <w:rFonts w:hint="eastAsia" w:ascii="宋体" w:hAnsi="宋体"/>
      <w:sz w:val="28"/>
      <w:szCs w:val="28"/>
    </w:rPr>
  </w:style>
  <w:style w:type="paragraph" w:styleId="928">
    <w:name w:val="标题1"/>
    <w:basedOn w:val="654"/>
    <w:next w:val="654"/>
    <w:link w:val="65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9">
    <w:name w:val="Revision"/>
    <w:next w:val="929"/>
    <w:link w:val="654"/>
    <w:uiPriority w:val="99"/>
    <w:semiHidden/>
    <w:qFormat/>
    <w:rPr>
      <w:rFonts w:ascii="Times New Roman" w:hAnsi="Times New Roman" w:eastAsia="宋体" w:cs="Times New Roman"/>
      <w:sz w:val="21"/>
      <w:szCs w:val="21"/>
      <w:lang w:val="en-US" w:eastAsia="zh-CN" w:bidi="ar-SA"/>
    </w:rPr>
  </w:style>
  <w:style w:type="table" w:styleId="930">
    <w:name w:val="Table Normal"/>
    <w:next w:val="930"/>
    <w:link w:val="654"/>
    <w:qFormat/>
    <w:tblPr/>
  </w:style>
  <w:style w:type="paragraph" w:styleId="931">
    <w:name w:val="Normal_5_0"/>
    <w:next w:val="931"/>
    <w:link w:val="654"/>
    <w:qFormat/>
    <w:pPr>
      <w:jc w:val="both"/>
      <w:widowControl w:val="off"/>
    </w:pPr>
    <w:rPr>
      <w:rFonts w:ascii="Calibri" w:hAnsi="Calibri" w:eastAsia="宋体" w:cs="Times New Roman"/>
      <w:sz w:val="21"/>
      <w:szCs w:val="22"/>
      <w:lang w:val="en-US" w:eastAsia="zh-CN" w:bidi="ar-SA"/>
    </w:rPr>
  </w:style>
  <w:style w:type="paragraph" w:styleId="932">
    <w:name w:val="Normal_6_0"/>
    <w:next w:val="932"/>
    <w:link w:val="654"/>
    <w:qFormat/>
    <w:rPr>
      <w:rFonts w:ascii="黑体" w:hAnsi="黑体" w:eastAsia="黑体" w:cs="黑体"/>
      <w:b/>
      <w:sz w:val="32"/>
      <w:szCs w:val="24"/>
      <w:lang w:val="en-US" w:eastAsia="zh-CN" w:bidi="ar-SA"/>
    </w:rPr>
  </w:style>
  <w:style w:type="paragraph" w:styleId="933">
    <w:name w:val="Normal_1_2"/>
    <w:next w:val="933"/>
    <w:link w:val="654"/>
    <w:qFormat/>
    <w:rPr>
      <w:rFonts w:ascii="Times New Roman" w:hAnsi="Times New Roman" w:eastAsia="Times New Roman" w:cs="Times New Roman"/>
      <w:sz w:val="24"/>
      <w:szCs w:val="24"/>
      <w:lang w:val="en-US" w:eastAsia="zh-CN" w:bidi="ar-SA"/>
    </w:rPr>
  </w:style>
  <w:style w:type="paragraph" w:styleId="934">
    <w:name w:val="正文_2"/>
    <w:next w:val="934"/>
    <w:link w:val="654"/>
    <w:qFormat/>
    <w:pPr>
      <w:jc w:val="both"/>
      <w:widowControl w:val="off"/>
    </w:pPr>
    <w:rPr>
      <w:rFonts w:ascii="Calibri" w:hAnsi="Calibri" w:eastAsia="宋体" w:cs="Times New Roman"/>
      <w:sz w:val="21"/>
      <w:szCs w:val="22"/>
      <w:lang w:val="en-US" w:eastAsia="zh-CN" w:bidi="ar-SA"/>
    </w:rPr>
  </w:style>
  <w:style w:type="paragraph" w:styleId="935">
    <w:name w:val="正文文本12"/>
    <w:basedOn w:val="654"/>
    <w:next w:val="935"/>
    <w:link w:val="654"/>
    <w:uiPriority w:val="1"/>
    <w:qFormat/>
    <w:pPr>
      <w:ind w:left="120"/>
    </w:pPr>
    <w:rPr>
      <w:rFonts w:ascii="宋体" w:hAnsi="宋体" w:cs="宋体"/>
      <w:lang w:val="zh-CN" w:bidi="zh-CN"/>
    </w:rPr>
  </w:style>
  <w:style w:type="paragraph" w:styleId="936">
    <w:name w:val="正文2"/>
    <w:basedOn w:val="654"/>
    <w:next w:val="936"/>
    <w:link w:val="654"/>
    <w:qFormat/>
    <w:pPr>
      <w:ind w:firstLine="510"/>
      <w:spacing w:before="156" w:line="360" w:lineRule="auto"/>
    </w:pPr>
    <w:rPr>
      <w:sz w:val="24"/>
      <w:szCs w:val="20"/>
    </w:rPr>
  </w:style>
  <w:style w:type="paragraph" w:styleId="937">
    <w:name w:val="首行缩进"/>
    <w:basedOn w:val="654"/>
    <w:next w:val="937"/>
    <w:link w:val="654"/>
    <w:qFormat/>
    <w:pPr>
      <w:ind w:firstLine="480"/>
    </w:pPr>
    <w:rPr>
      <w:lang w:val="zh-CN"/>
    </w:rPr>
  </w:style>
  <w:style w:type="paragraph" w:styleId="938">
    <w:name w:val="Normal_18_0"/>
    <w:next w:val="938"/>
    <w:link w:val="654"/>
    <w:qFormat/>
    <w:rPr>
      <w:rFonts w:ascii="黑体" w:hAnsi="黑体" w:eastAsia="黑体" w:cs="黑体"/>
      <w:b/>
      <w:sz w:val="32"/>
      <w:szCs w:val="24"/>
      <w:lang w:val="en-US" w:eastAsia="zh-CN" w:bidi="ar-SA"/>
    </w:rPr>
  </w:style>
  <w:style w:type="paragraph" w:styleId="939">
    <w:name w:val="正文_12_0_0_0_0"/>
    <w:basedOn w:val="654"/>
    <w:next w:val="939"/>
    <w:link w:val="654"/>
    <w:qFormat/>
    <w:rPr>
      <w:szCs w:val="24"/>
    </w:rPr>
  </w:style>
  <w:style w:type="paragraph" w:styleId="940">
    <w:name w:val="正文_12_0_0_0"/>
    <w:next w:val="940"/>
    <w:link w:val="654"/>
    <w:qFormat/>
    <w:pPr>
      <w:jc w:val="both"/>
      <w:widowControl w:val="off"/>
    </w:pPr>
    <w:rPr>
      <w:rFonts w:ascii="Times New Roman" w:hAnsi="Times New Roman" w:eastAsia="宋体" w:cs="Times New Roman"/>
      <w:sz w:val="21"/>
      <w:szCs w:val="24"/>
      <w:lang w:val="en-US" w:eastAsia="zh-CN" w:bidi="ar-SA"/>
    </w:rPr>
  </w:style>
  <w:style w:type="paragraph" w:styleId="941">
    <w:name w:val="正文_14_0"/>
    <w:next w:val="941"/>
    <w:link w:val="654"/>
    <w:qFormat/>
    <w:pPr>
      <w:jc w:val="both"/>
      <w:widowControl w:val="off"/>
    </w:pPr>
    <w:rPr>
      <w:rFonts w:ascii="Calibri" w:hAnsi="Calibri" w:eastAsia="宋体" w:cs="Times New Roman"/>
      <w:sz w:val="21"/>
      <w:szCs w:val="22"/>
      <w:lang w:val="en-US" w:eastAsia="zh-CN" w:bidi="ar-SA"/>
    </w:rPr>
  </w:style>
  <w:style w:type="paragraph" w:styleId="942">
    <w:name w:val="正文_14_0_0"/>
    <w:next w:val="942"/>
    <w:link w:val="654"/>
    <w:qFormat/>
    <w:pPr>
      <w:jc w:val="both"/>
      <w:widowControl w:val="off"/>
    </w:pPr>
    <w:rPr>
      <w:rFonts w:ascii="Times New Roman" w:hAnsi="Times New Roman" w:eastAsia="宋体" w:cs="Times New Roman"/>
      <w:sz w:val="21"/>
      <w:szCs w:val="24"/>
      <w:lang w:val="en-US" w:eastAsia="zh-CN" w:bidi="ar-SA"/>
    </w:rPr>
  </w:style>
  <w:style w:type="paragraph" w:styleId="943">
    <w:name w:val="Normal_20"/>
    <w:next w:val="943"/>
    <w:link w:val="654"/>
    <w:qFormat/>
    <w:rPr>
      <w:rFonts w:ascii="黑体" w:hAnsi="黑体" w:eastAsia="黑体" w:cs="黑体"/>
      <w:b/>
      <w:sz w:val="32"/>
      <w:szCs w:val="24"/>
      <w:lang w:val="en-US" w:eastAsia="zh-CN" w:bidi="ar-SA"/>
    </w:rPr>
  </w:style>
  <w:style w:type="paragraph" w:styleId="944">
    <w:name w:val="正文_15_0"/>
    <w:next w:val="944"/>
    <w:link w:val="654"/>
    <w:qFormat/>
    <w:pPr>
      <w:jc w:val="both"/>
      <w:widowControl w:val="off"/>
    </w:pPr>
    <w:rPr>
      <w:rFonts w:ascii="Calibri" w:hAnsi="Calibri" w:eastAsia="宋体" w:cs="Times New Roman"/>
      <w:sz w:val="21"/>
      <w:szCs w:val="22"/>
      <w:lang w:val="en-US" w:eastAsia="zh-CN" w:bidi="ar-SA"/>
    </w:rPr>
  </w:style>
  <w:style w:type="paragraph" w:styleId="945">
    <w:name w:val="Normal_0"/>
    <w:next w:val="945"/>
    <w:link w:val="654"/>
    <w:qFormat/>
    <w:rPr>
      <w:rFonts w:ascii="黑体" w:hAnsi="黑体" w:eastAsia="黑体" w:cs="Times New Roman"/>
      <w:b/>
      <w:sz w:val="32"/>
      <w:szCs w:val="24"/>
      <w:lang w:val="en-US" w:eastAsia="zh-CN" w:bidi="ar-SA"/>
    </w:rPr>
  </w:style>
  <w:style w:type="paragraph" w:styleId="946">
    <w:name w:val="部分1"/>
    <w:basedOn w:val="654"/>
    <w:next w:val="946"/>
    <w:link w:val="654"/>
    <w:qFormat/>
    <w:pPr>
      <w:jc w:val="center"/>
      <w:keepNext/>
      <w:pageBreakBefore/>
      <w:spacing w:line="360" w:lineRule="auto"/>
      <w:tabs>
        <w:tab w:val="left" w:pos="720" w:leader="none"/>
      </w:tabs>
      <w:outlineLvl w:val="0"/>
    </w:pPr>
    <w:rPr>
      <w:rFonts w:eastAsia="黑体"/>
      <w:b/>
      <w:sz w:val="36"/>
      <w:szCs w:val="20"/>
    </w:rPr>
  </w:style>
  <w:style w:type="paragraph" w:styleId="947">
    <w:name w:val="正文111"/>
    <w:next w:val="654"/>
    <w:link w:val="654"/>
    <w:qFormat/>
    <w:pPr>
      <w:jc w:val="both"/>
      <w:widowControl w:val="off"/>
    </w:pPr>
    <w:rPr>
      <w:rFonts w:ascii="Times New Roman" w:hAnsi="Times New Roman" w:eastAsia="宋体" w:cs="Times New Roman"/>
      <w:sz w:val="21"/>
      <w:szCs w:val="24"/>
      <w:lang w:val="en-US" w:eastAsia="zh-CN" w:bidi="ar-SA"/>
    </w:rPr>
  </w:style>
  <w:style w:type="table" w:styleId="948">
    <w:name w:val="网格型3"/>
    <w:basedOn w:val="665"/>
    <w:next w:val="948"/>
    <w:link w:val="654"/>
    <w:qFormat/>
    <w:rPr>
      <w:rFonts w:ascii="Calibri" w:hAnsi="Calibri"/>
      <w:sz w:val="22"/>
      <w:lang w:bidi="mn-Mong-CN"/>
    </w:rPr>
    <w:tblPr/>
  </w:style>
  <w:style w:type="paragraph" w:styleId="949">
    <w:name w:val="正文文本11"/>
    <w:basedOn w:val="654"/>
    <w:next w:val="654"/>
    <w:link w:val="654"/>
    <w:uiPriority w:val="99"/>
    <w:qFormat/>
    <w:pPr>
      <w:spacing w:after="120"/>
    </w:pPr>
    <w:rPr>
      <w:sz w:val="20"/>
      <w:szCs w:val="24"/>
    </w:rPr>
  </w:style>
  <w:style w:type="paragraph" w:styleId="950">
    <w:name w:val="Normal_17_1"/>
    <w:next w:val="950"/>
    <w:link w:val="654"/>
    <w:qFormat/>
    <w:pPr>
      <w:jc w:val="both"/>
      <w:widowControl w:val="off"/>
    </w:pPr>
    <w:rPr>
      <w:rFonts w:ascii="Calibri" w:hAnsi="Calibri" w:eastAsia="宋体" w:cs="Times New Roman"/>
      <w:sz w:val="21"/>
      <w:szCs w:val="22"/>
      <w:lang w:val="en-US" w:eastAsia="zh-CN" w:bidi="ar-SA"/>
    </w:rPr>
  </w:style>
  <w:style w:type="paragraph" w:styleId="951">
    <w:name w:val="Table Paragraph"/>
    <w:basedOn w:val="654"/>
    <w:next w:val="951"/>
    <w:link w:val="654"/>
    <w:uiPriority w:val="1"/>
    <w:qFormat/>
    <w:pPr>
      <w:jc w:val="left"/>
    </w:pPr>
    <w:rPr>
      <w:rFonts w:ascii="宋体" w:hAnsi="宋体" w:cs="宋体"/>
      <w:sz w:val="22"/>
      <w:lang w:val="zh-CN" w:bidi="zh-CN"/>
    </w:rPr>
  </w:style>
  <w:style w:type="character" w:styleId="10813" w:default="1">
    <w:name w:val="Default Paragraph Font"/>
    <w:uiPriority w:val="1"/>
    <w:semiHidden/>
    <w:unhideWhenUsed/>
  </w:style>
  <w:style w:type="numbering" w:styleId="10814" w:default="1">
    <w:name w:val="No List"/>
    <w:uiPriority w:val="99"/>
    <w:semiHidden/>
    <w:unhideWhenUsed/>
  </w:style>
  <w:style w:type="table" w:styleId="10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汪丹丹</cp:lastModifiedBy>
  <cp:revision>2</cp:revision>
  <dcterms:created xsi:type="dcterms:W3CDTF">2025-03-25T08:20:00Z</dcterms:created>
  <dcterms:modified xsi:type="dcterms:W3CDTF">2026-07-30T03:02:54Z</dcterms:modified>
</cp:coreProperties>
</file>