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885"/>
      </w:pPr>
      <w:r/>
      <w:r/>
    </w:p>
    <w:p>
      <w:pPr>
        <w:pStyle w:val="1106"/>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2026第十四届环太湖国际公路自行车赛暨长三角穿越赛（南京站） </w:t>
      </w:r>
      <w:r/>
    </w:p>
    <w:p>
      <w:pPr>
        <w:ind w:firstLine="1506"/>
        <w:rPr>
          <w:b/>
          <w:sz w:val="30"/>
          <w:szCs w:val="30"/>
        </w:rPr>
      </w:pPr>
      <w:r>
        <w:rPr>
          <w:rFonts w:hint="eastAsia"/>
          <w:b/>
          <w:sz w:val="30"/>
          <w:szCs w:val="30"/>
        </w:rPr>
        <w:t xml:space="preserve">项目编号：</w:t>
      </w:r>
      <w:r>
        <w:rPr>
          <w:rFonts w:hint="eastAsia"/>
          <w:b/>
          <w:sz w:val="32"/>
          <w:szCs w:val="32"/>
        </w:rPr>
        <w:t xml:space="preserve">JSZC-320115-GXGL-G2026-0019 </w:t>
      </w:r>
      <w:r>
        <w:rPr>
          <w:rFonts w:hint="eastAsia"/>
          <w:b/>
          <w:sz w:val="30"/>
          <w:szCs w:val="30"/>
        </w:rPr>
        <w:t xml:space="preserve">              </w:t>
      </w:r>
      <w:r/>
    </w:p>
    <w:p>
      <w:pPr>
        <w:jc w:val="center"/>
        <w:rPr>
          <w:b/>
          <w:sz w:val="30"/>
          <w:szCs w:val="30"/>
        </w:rPr>
      </w:pPr>
      <w:r>
        <w:rPr>
          <w:rFonts w:hint="eastAsia"/>
          <w:b/>
          <w:sz w:val="30"/>
          <w:szCs w:val="30"/>
        </w:rPr>
        <w:t xml:space="preserve">（不</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center"/>
        <w:rPr>
          <w:rFonts w:ascii="宋体" w:hAnsi="宋体" w:cs="宋体"/>
          <w:b/>
          <w:bCs/>
          <w:sz w:val="28"/>
          <w:szCs w:val="28"/>
        </w:rPr>
      </w:pPr>
      <w:r>
        <w:rPr>
          <w:rFonts w:ascii="宋体" w:hAnsi="宋体" w:cs="宋体"/>
          <w:b/>
          <w:bCs/>
          <w:sz w:val="28"/>
          <w:szCs w:val="28"/>
        </w:rPr>
      </w:r>
      <w:r/>
    </w:p>
    <w:p>
      <w:pPr>
        <w:pStyle w:val="845"/>
      </w:pPr>
      <w:r/>
      <w:r/>
    </w:p>
    <w:p>
      <w:r/>
      <w:r/>
    </w:p>
    <w:p>
      <w:pPr>
        <w:jc w:val="center"/>
        <w:spacing w:line="480" w:lineRule="exact"/>
        <w:rPr>
          <w:rFonts w:ascii="宋体" w:hAnsi="宋体" w:cs="宋体"/>
          <w:b/>
          <w:bCs/>
          <w:sz w:val="28"/>
          <w:szCs w:val="28"/>
        </w:rPr>
      </w:pPr>
      <w:r>
        <w:rPr>
          <w:rFonts w:ascii="宋体" w:hAnsi="宋体" w:cs="宋体"/>
          <w:b/>
          <w:bCs/>
          <w:sz w:val="28"/>
          <w:szCs w:val="28"/>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1106"/>
        <w:ind w:firstLine="0"/>
        <w:jc w:val="center"/>
        <w:rPr>
          <w:b/>
          <w:bCs/>
          <w:sz w:val="32"/>
        </w:rPr>
      </w:pPr>
      <w:r>
        <w:rPr>
          <w:rFonts w:hint="eastAsia"/>
          <w:b/>
          <w:bCs/>
          <w:sz w:val="32"/>
        </w:rPr>
        <w:t xml:space="preserve">江苏国兴建设项目管理有限公司</w:t>
      </w:r>
      <w:r/>
    </w:p>
    <w:p>
      <w:pPr>
        <w:jc w:val="center"/>
        <w:rPr>
          <w:b/>
          <w:sz w:val="32"/>
          <w:szCs w:val="32"/>
        </w:rPr>
      </w:pPr>
      <w:r>
        <w:rPr>
          <w:rFonts w:hint="eastAsia"/>
          <w:b/>
          <w:sz w:val="32"/>
          <w:szCs w:val="32"/>
        </w:rPr>
        <w:t xml:space="preserve">2026年7月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auto"/>
      </w:pPr>
      <w:r>
        <w:rPr>
          <w:rFonts w:hint="eastAsia"/>
        </w:rPr>
        <w:t xml:space="preserve">                      </w:t>
      </w:r>
      <w:r/>
    </w:p>
    <w:p>
      <w:pPr>
        <w:pStyle w:val="845"/>
      </w:pPr>
      <w:r/>
      <w:r/>
    </w:p>
    <w:p>
      <w:r/>
      <w:r/>
    </w:p>
    <w:p>
      <w:pPr>
        <w:pStyle w:val="845"/>
      </w:pPr>
      <w:r/>
      <w:r/>
    </w:p>
    <w:p>
      <w:r/>
      <w:r/>
    </w:p>
    <w:p>
      <w:pPr>
        <w:jc w:val="center"/>
        <w:spacing w:line="480" w:lineRule="auto"/>
        <w:rPr>
          <w:rFonts w:ascii="黑体" w:hAnsi="Arial" w:eastAsia="黑体"/>
          <w:b/>
          <w:sz w:val="44"/>
        </w:rPr>
        <w:outlineLvl w:val="0"/>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投标邀请…………………………………… 3</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投标人须知………………………………… 5</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合同文本……………………………………13</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采购需求……………………………………17</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评标方法与评标标准………………………25</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投标文件格式………………………………27</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rPr>
        <w:br w:type="page" w:clear="all"/>
      </w:r>
      <w:bookmarkEnd w:id="0"/>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sz w:val="24"/>
          <w:szCs w:val="24"/>
        </w:rPr>
      </w:pPr>
      <w:r/>
      <w:bookmarkStart w:id="6" w:name="_Toc28359002"/>
      <w:r/>
      <w:bookmarkStart w:id="7" w:name="_Toc35393621"/>
      <w:r/>
      <w:bookmarkStart w:id="8" w:name="_Hlk24379207"/>
      <w:r/>
      <w:bookmarkStart w:id="9" w:name="_Toc28359079"/>
      <w:r/>
      <w:bookmarkStart w:id="10" w:name="_Toc38985263"/>
      <w:r/>
      <w:bookmarkStart w:id="11" w:name="_Toc35393790"/>
      <w:r>
        <w:rPr>
          <w:rFonts w:hint="eastAsia" w:ascii="宋体" w:hAnsi="宋体"/>
          <w:color w:val="000000"/>
          <w:sz w:val="24"/>
          <w:szCs w:val="24"/>
        </w:rPr>
        <w:t xml:space="preserve">受南京市江宁区文化和旅游局（采</w:t>
      </w:r>
      <w:r>
        <w:rPr>
          <w:rFonts w:hint="eastAsia" w:ascii="宋体" w:hAnsi="宋体"/>
          <w:sz w:val="24"/>
          <w:szCs w:val="24"/>
        </w:rPr>
        <w:t xml:space="preserve">购单位）委托，</w:t>
      </w:r>
      <w:r>
        <w:rPr>
          <w:rFonts w:hint="eastAsia" w:ascii="宋体" w:hAnsi="宋体"/>
          <w:color w:val="000000"/>
          <w:sz w:val="24"/>
          <w:szCs w:val="24"/>
        </w:rPr>
        <w:t xml:space="preserve">江苏国兴建设项目管理有限公司（以下简称“招标代理”）</w:t>
      </w:r>
      <w:r>
        <w:rPr>
          <w:rFonts w:hint="eastAsia" w:ascii="宋体" w:hAnsi="宋体"/>
          <w:sz w:val="24"/>
          <w:szCs w:val="24"/>
        </w:rPr>
        <w:t xml:space="preserve">就</w:t>
      </w:r>
      <w:r>
        <w:rPr>
          <w:rFonts w:hint="eastAsia" w:ascii="宋体" w:hAnsi="宋体"/>
          <w:color w:val="000000"/>
          <w:sz w:val="24"/>
          <w:szCs w:val="24"/>
        </w:rPr>
        <w:t xml:space="preserve">2026第十四届环太湖国际公路自行车赛暨长三角穿越赛（南京站）（项目名称）进行公开招标采购，欢</w:t>
      </w:r>
      <w:r>
        <w:rPr>
          <w:rFonts w:hint="eastAsia" w:ascii="宋体" w:hAnsi="宋体"/>
          <w:sz w:val="24"/>
          <w:szCs w:val="24"/>
        </w:rPr>
        <w:t xml:space="preserve">迎符合条件的供应商投标。</w:t>
      </w:r>
      <w:r/>
    </w:p>
    <w:p>
      <w:pPr>
        <w:pStyle w:val="1141"/>
        <w:ind w:firstLine="465"/>
        <w:spacing w:before="145" w:after="145" w:line="252" w:lineRule="auto"/>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00"/>
          <w:sz w:val="24"/>
          <w:szCs w:val="24"/>
          <w:highlight w:val="none"/>
        </w:rPr>
      </w:pPr>
      <w:r/>
      <w:bookmarkStart w:id="12" w:name="_Toc28359003"/>
      <w:r/>
      <w:bookmarkStart w:id="13" w:name="_Toc35393622"/>
      <w:r/>
      <w:bookmarkStart w:id="14" w:name="_Toc38985264"/>
      <w:r/>
      <w:bookmarkStart w:id="15" w:name="_Toc28359080"/>
      <w:r/>
      <w:bookmarkStart w:id="16" w:name="_Toc35393791"/>
      <w:r>
        <w:rPr>
          <w:rFonts w:hint="eastAsia" w:ascii="宋体" w:hAnsi="宋体"/>
          <w:color w:val="000000"/>
          <w:sz w:val="24"/>
          <w:szCs w:val="24"/>
        </w:rPr>
        <w:t xml:space="preserve">1.项目</w:t>
      </w:r>
      <w:r>
        <w:rPr>
          <w:rFonts w:hint="eastAsia" w:ascii="宋体" w:hAnsi="宋体"/>
          <w:color w:val="000000"/>
          <w:sz w:val="24"/>
          <w:szCs w:val="24"/>
          <w:highlight w:val="none"/>
        </w:rPr>
        <w:t xml:space="preserve">编号：JSZC-320192-JZCG-G2026-0021 </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2.项目名称：2026第十四届环太湖国际公路自行车赛暨长三角穿越赛（南京站）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3.预算金额：200万元</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4.最高限价：200万元</w:t>
      </w:r>
      <w:r/>
    </w:p>
    <w:p>
      <w:pPr>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5.采购需求（简介）：2026第十四届环太湖国际公路自行车赛暨长三角穿越赛（南京站）</w:t>
      </w:r>
      <w:r>
        <w:rPr>
          <w:rFonts w:hint="eastAsia" w:ascii="宋体" w:hAnsi="宋体" w:cs="宋体"/>
          <w:color w:val="000000"/>
          <w:sz w:val="24"/>
          <w:szCs w:val="24"/>
          <w:highlight w:val="none"/>
        </w:rPr>
        <w:t xml:space="preserve">（详细内容见本招标文件第四章） </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自合同签订之日起至赛事服务结束，根据采购人实际要求完成所有服务。</w:t>
      </w:r>
      <w:r/>
    </w:p>
    <w:p>
      <w:pPr>
        <w:ind w:firstLine="480"/>
        <w:spacing w:line="252" w:lineRule="auto"/>
        <w:rPr>
          <w:rFonts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p>
    <w:p>
      <w:pPr>
        <w:ind w:firstLine="480"/>
        <w:spacing w:line="252" w:lineRule="auto"/>
        <w:rPr>
          <w:color w:val="000000"/>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p>
    <w:p>
      <w:pPr>
        <w:pStyle w:val="1141"/>
        <w:ind w:firstLine="465"/>
        <w:spacing w:before="145" w:after="145"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s="宋体"/>
          <w:sz w:val="24"/>
          <w:szCs w:val="24"/>
        </w:rPr>
        <w:t xml:space="preserve">（一）通用资格要求</w:t>
      </w:r>
      <w:r/>
    </w:p>
    <w:p>
      <w:pPr>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52"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sz w:val="24"/>
          <w:szCs w:val="24"/>
        </w:rPr>
      </w:pPr>
      <w:r>
        <w:rPr>
          <w:rFonts w:hint="eastAsia" w:ascii="宋体" w:hAnsi="宋体"/>
          <w:sz w:val="24"/>
          <w:szCs w:val="24"/>
        </w:rPr>
        <w:t xml:space="preserve">2.落实政府采购政策需满足的</w:t>
      </w:r>
      <w:r>
        <w:rPr>
          <w:rFonts w:hint="eastAsia" w:ascii="宋体" w:hAnsi="宋体"/>
          <w:color w:val="000000"/>
          <w:sz w:val="24"/>
          <w:szCs w:val="24"/>
        </w:rPr>
        <w:t xml:space="preserve">资格要求：无</w:t>
      </w:r>
      <w:r/>
    </w:p>
    <w:p>
      <w:pPr>
        <w:ind w:firstLine="480"/>
        <w:spacing w:line="252" w:lineRule="auto"/>
        <w:rPr>
          <w:rFonts w:ascii="宋体" w:hAnsi="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ascii="宋体" w:hAnsi="宋体"/>
          <w:sz w:val="24"/>
          <w:szCs w:val="24"/>
        </w:rPr>
      </w:pPr>
      <w:r>
        <w:rPr>
          <w:rFonts w:hint="eastAsia" w:ascii="宋体" w:hAnsi="宋体"/>
          <w:sz w:val="24"/>
          <w:szCs w:val="24"/>
        </w:rPr>
        <w:t xml:space="preserve">（二）本项目特定资格要求：</w:t>
      </w:r>
      <w:r>
        <w:rPr>
          <w:rFonts w:hint="eastAsia" w:ascii="宋体" w:hAnsi="宋体"/>
          <w:color w:val="000000"/>
          <w:sz w:val="24"/>
          <w:szCs w:val="24"/>
        </w:rPr>
        <w:t xml:space="preserve">无</w:t>
      </w:r>
      <w:r/>
    </w:p>
    <w:p>
      <w:pPr>
        <w:pStyle w:val="1141"/>
        <w:ind w:firstLine="465"/>
        <w:spacing w:before="145" w:after="145" w:line="252" w:lineRule="auto"/>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1141"/>
        <w:ind w:firstLine="465"/>
        <w:spacing w:before="145" w:after="145" w:line="252" w:lineRule="auto"/>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
    </w:p>
    <w:p>
      <w:pPr>
        <w:ind w:firstLine="480"/>
        <w:spacing w:line="252" w:lineRule="auto"/>
        <w:rPr>
          <w:rFonts w:ascii="宋体" w:hAnsi="宋体"/>
          <w:bCs/>
          <w:sz w:val="24"/>
          <w:szCs w:val="24"/>
          <w:u w:val="single"/>
        </w:rPr>
      </w:pPr>
      <w:r/>
      <w:bookmarkStart w:id="27" w:name="_Toc28359084"/>
      <w:r/>
      <w:bookmarkStart w:id="28" w:name="_Toc28359007"/>
      <w:r/>
      <w:bookmarkStart w:id="29" w:name="_Toc35393794"/>
      <w:r/>
      <w:bookmarkStart w:id="30" w:name="_Toc38985267"/>
      <w:r/>
      <w:bookmarkStart w:id="31" w:name="_Toc35393625"/>
      <w:r>
        <w:rPr>
          <w:rFonts w:hint="eastAsia" w:ascii="宋体" w:hAnsi="宋体" w:cs="宋体"/>
          <w:sz w:val="24"/>
          <w:szCs w:val="24"/>
        </w:rPr>
        <w:t xml:space="preserve">1.提交投标文件截止时间、开标时间：</w:t>
      </w:r>
      <w:r>
        <w:rPr>
          <w:rFonts w:hint="eastAsia" w:ascii="宋体" w:hAnsi="宋体" w:cs="宋体"/>
          <w:b/>
          <w:color w:val="000000"/>
          <w:sz w:val="24"/>
          <w:szCs w:val="24"/>
        </w:rPr>
        <w:t xml:space="preserve">2026</w:t>
      </w:r>
      <w:r>
        <w:rPr>
          <w:rFonts w:hint="eastAsia" w:ascii="宋体" w:hAnsi="宋体"/>
          <w:b/>
          <w:color w:val="000000"/>
          <w:sz w:val="24"/>
          <w:szCs w:val="24"/>
        </w:rPr>
        <w:t xml:space="preserve">年</w:t>
      </w:r>
      <w:r>
        <w:rPr>
          <w:rFonts w:hint="eastAsia" w:ascii="宋体" w:hAnsi="宋体" w:cs="宋体"/>
          <w:b/>
          <w:color w:val="000000"/>
          <w:sz w:val="24"/>
          <w:szCs w:val="24"/>
          <w:lang w:val="en-US" w:eastAsia="zh-CN"/>
        </w:rPr>
        <w:t xml:space="preserve">08</w:t>
      </w:r>
      <w:r>
        <w:rPr>
          <w:rFonts w:hint="eastAsia" w:ascii="宋体" w:hAnsi="宋体"/>
          <w:b/>
          <w:color w:val="000000"/>
          <w:sz w:val="24"/>
          <w:szCs w:val="24"/>
        </w:rPr>
        <w:t xml:space="preserve">月</w:t>
      </w:r>
      <w:r>
        <w:rPr>
          <w:rFonts w:hint="eastAsia" w:ascii="宋体" w:hAnsi="宋体"/>
          <w:b/>
          <w:color w:val="000000"/>
          <w:sz w:val="24"/>
          <w:szCs w:val="24"/>
        </w:rPr>
        <w:t xml:space="preserve">24日</w:t>
      </w:r>
      <w:r>
        <w:rPr>
          <w:rFonts w:hint="eastAsia" w:ascii="宋体" w:hAnsi="宋体" w:cs="宋体"/>
          <w:b/>
          <w:color w:val="000000"/>
          <w:sz w:val="24"/>
          <w:szCs w:val="24"/>
          <w:lang w:val="en-US" w:eastAsia="zh-CN"/>
        </w:rPr>
        <w:t xml:space="preserve">9</w:t>
      </w:r>
      <w:r>
        <w:rPr>
          <w:rFonts w:hint="eastAsia"/>
          <w:b/>
          <w:color w:val="000000"/>
          <w:sz w:val="24"/>
          <w:szCs w:val="24"/>
        </w:rPr>
        <w:t xml:space="preserve">时</w:t>
      </w:r>
      <w:r>
        <w:rPr>
          <w:rFonts w:hint="eastAsia" w:ascii="宋体" w:hAnsi="宋体" w:cs="宋体"/>
          <w:b/>
          <w:color w:val="000000"/>
          <w:sz w:val="24"/>
          <w:szCs w:val="24"/>
          <w:lang w:val="en-US" w:eastAsia="zh-CN"/>
        </w:rPr>
        <w:t xml:space="preserve">30</w:t>
      </w:r>
      <w:r>
        <w:rPr>
          <w:rFonts w:hint="eastAsia" w:ascii="宋体" w:hAnsi="宋体"/>
          <w:b/>
          <w:color w:val="000000"/>
          <w:sz w:val="24"/>
          <w:szCs w:val="24"/>
        </w:rPr>
        <w:t xml:space="preserve">分</w:t>
      </w:r>
      <w:r>
        <w:rPr>
          <w:rFonts w:hint="eastAsia" w:ascii="宋体" w:hAnsi="宋体"/>
          <w:bCs/>
          <w:sz w:val="24"/>
          <w:szCs w:val="24"/>
        </w:rPr>
        <w:t xml:space="preserve">（北京时间）。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1141"/>
        <w:ind w:firstLine="465"/>
        <w:spacing w:before="145" w:after="145" w:line="252" w:lineRule="auto"/>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1141"/>
        <w:ind w:firstLine="498"/>
        <w:spacing w:before="145" w:after="145" w:line="252" w:lineRule="auto"/>
        <w:rPr>
          <w:rFonts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spacing w:line="252" w:lineRule="auto"/>
        <w:tabs>
          <w:tab w:val="left" w:pos="900" w:leader="none"/>
        </w:tabs>
        <w:rPr>
          <w:rFonts w:ascii="宋体" w:hAnsi="宋体"/>
          <w:bCs/>
          <w:color w:val="000000"/>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600"/>
        <w:widowControl/>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名  称：南京市江宁区文化和旅游局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sz w:val="24"/>
          <w:szCs w:val="24"/>
        </w:rPr>
        <w:t xml:space="preserve">南京市江宁区胜太路18号</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联系人：陈科</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18112908523</w:t>
      </w:r>
      <w:r/>
    </w:p>
    <w:p>
      <w:pPr>
        <w:ind w:firstLine="480"/>
        <w:spacing w:line="252" w:lineRule="auto"/>
        <w:rPr>
          <w:rFonts w:ascii="宋体" w:hAnsi="宋体"/>
          <w:sz w:val="24"/>
          <w:szCs w:val="24"/>
        </w:rPr>
      </w:pPr>
      <w:r/>
      <w:bookmarkStart w:id="40" w:name="_Toc28359009"/>
      <w:r/>
      <w:bookmarkStart w:id="41" w:name="_Toc28359086"/>
      <w:r>
        <w:rPr>
          <w:rFonts w:hint="eastAsia" w:ascii="宋体" w:hAnsi="宋体"/>
          <w:sz w:val="24"/>
          <w:szCs w:val="24"/>
        </w:rPr>
        <w:t xml:space="preserve">2.</w:t>
      </w:r>
      <w:bookmarkEnd w:id="40"/>
      <w:r/>
      <w:bookmarkEnd w:id="41"/>
      <w:r>
        <w:rPr>
          <w:rFonts w:hint="eastAsia" w:ascii="宋体" w:hAnsi="宋体"/>
          <w:sz w:val="24"/>
          <w:szCs w:val="24"/>
        </w:rPr>
        <w:t xml:space="preserve">招标代理</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w:t>
      </w:r>
      <w:r>
        <w:rPr>
          <w:rFonts w:ascii="宋体" w:hAnsi="宋体"/>
          <w:sz w:val="24"/>
          <w:szCs w:val="24"/>
        </w:rPr>
        <w:t xml:space="preserve">南京市江宁区佳湖西路7号</w:t>
      </w:r>
      <w:r>
        <w:rPr>
          <w:rFonts w:hint="eastAsia" w:ascii="宋体" w:hAnsi="宋体"/>
          <w:sz w:val="24"/>
          <w:szCs w:val="24"/>
        </w:rPr>
        <w:t xml:space="preserve">（尚园）</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联系人：王工</w:t>
      </w:r>
      <w:r/>
    </w:p>
    <w:p>
      <w:pPr>
        <w:ind w:firstLine="480"/>
        <w:spacing w:line="252" w:lineRule="auto"/>
      </w:pPr>
      <w:r>
        <w:rPr>
          <w:rFonts w:hint="eastAsia" w:ascii="宋体" w:hAnsi="宋体"/>
          <w:color w:val="000000"/>
          <w:sz w:val="24"/>
          <w:szCs w:val="24"/>
        </w:rPr>
        <w:t xml:space="preserve">联系电话：025-85578881</w:t>
      </w:r>
      <w:r>
        <w:rPr>
          <w:rFonts w:ascii="宋体" w:hAnsi="宋体"/>
          <w:color w:val="000000"/>
          <w:sz w:val="24"/>
          <w:szCs w:val="24"/>
        </w:rPr>
        <w:br w:type="page" w:clear="all"/>
      </w:r>
      <w:r/>
    </w:p>
    <w:p>
      <w:pPr>
        <w:pStyle w:val="885"/>
        <w:ind w:left="0"/>
        <w:jc w:val="center"/>
        <w:tabs>
          <w:tab w:val="left" w:pos="463" w:leader="none"/>
        </w:tabs>
        <w:rPr>
          <w:rFonts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
    </w:p>
    <w:p>
      <w:pPr>
        <w:pStyle w:val="835"/>
        <w:ind w:firstLine="465"/>
        <w:spacing w:before="120" w:after="120"/>
        <w:rPr>
          <w:rFonts w:ascii="方正黑体_GBK" w:hAnsi="方正黑体_GBK" w:eastAsia="方正黑体_GBK" w:cs="方正黑体_GBK"/>
        </w:rPr>
      </w:pPr>
      <w:r/>
      <w:bookmarkStart w:id="47" w:name="_Toc513029203"/>
      <w:r/>
      <w:bookmarkStart w:id="48" w:name="_Toc16938519"/>
      <w:r/>
      <w:bookmarkStart w:id="49" w:name="_Toc20823275"/>
      <w:r/>
      <w:bookmarkStart w:id="50" w:name="_Toc120614214"/>
      <w:r/>
      <w:bookmarkStart w:id="51" w:name="_Toc20823314"/>
      <w:r/>
      <w:bookmarkStart w:id="52" w:name="_Toc479757207"/>
      <w:r/>
      <w:bookmarkStart w:id="53" w:name="_Toc513029242"/>
      <w:r/>
      <w:bookmarkStart w:id="54" w:name="_Toc120614221"/>
      <w:r/>
      <w:bookmarkStart w:id="55" w:name="_Toc16938558"/>
      <w:r>
        <w:rPr>
          <w:rFonts w:hint="eastAsia" w:ascii="方正黑体_GBK" w:hAnsi="方正黑体_GBK" w:eastAsia="方正黑体_GBK" w:cs="方正黑体_GBK"/>
        </w:rPr>
        <w:t xml:space="preserve">一、总则</w:t>
      </w:r>
      <w:bookmarkEnd w:id="47"/>
      <w:r/>
      <w:bookmarkEnd w:id="48"/>
      <w:r/>
      <w:bookmarkEnd w:id="49"/>
      <w:r/>
      <w:bookmarkEnd w:id="50"/>
      <w:r/>
      <w:r/>
    </w:p>
    <w:p>
      <w:pPr>
        <w:pStyle w:val="837"/>
        <w:ind w:firstLine="422"/>
        <w:spacing w:before="0" w:after="0"/>
        <w:rPr>
          <w:rFonts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37"/>
        <w:ind w:firstLine="422"/>
        <w:spacing w:before="0" w:after="0"/>
        <w:rPr>
          <w:rFonts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37"/>
        <w:ind w:firstLine="422"/>
        <w:spacing w:before="0" w:after="0"/>
        <w:rPr>
          <w:rFonts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
    </w:p>
    <w:p>
      <w:pPr>
        <w:ind w:firstLine="420"/>
        <w:rPr>
          <w:rFonts w:ascii="宋体" w:hAnsi="宋体"/>
          <w:sz w:val="24"/>
          <w:highlight w:val="none"/>
        </w:rPr>
      </w:pPr>
      <w:r>
        <w:rPr>
          <w:rFonts w:hint="eastAsia" w:ascii="宋体" w:hAnsi="宋体"/>
          <w:sz w:val="24"/>
        </w:rPr>
        <w:t xml:space="preserve">3.1 本次招标及由此产生的</w:t>
      </w:r>
      <w:r>
        <w:rPr>
          <w:rFonts w:hint="eastAsia" w:ascii="宋体" w:hAnsi="宋体"/>
          <w:sz w:val="24"/>
          <w:highlight w:val="none"/>
        </w:rPr>
        <w:t xml:space="preserve">合同受中华人民共和国有关的法律法规制约和保护。</w:t>
      </w:r>
      <w:r/>
    </w:p>
    <w:p>
      <w:pPr>
        <w:pStyle w:val="837"/>
        <w:ind w:firstLine="422"/>
        <w:spacing w:before="0" w:after="0"/>
        <w:rPr>
          <w:rFonts w:ascii="方正楷体_GBK" w:hAnsi="方正楷体_GBK" w:eastAsia="方正楷体_GBK" w:cs="方正楷体_GBK"/>
          <w:sz w:val="28"/>
          <w:szCs w:val="28"/>
          <w:highlight w:val="none"/>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sz w:val="28"/>
          <w:szCs w:val="28"/>
          <w:highlight w:val="none"/>
        </w:rPr>
        <w:t xml:space="preserve">4.投标费用</w:t>
      </w:r>
      <w:bookmarkEnd w:id="67"/>
      <w:r/>
      <w:bookmarkEnd w:id="68"/>
      <w:r/>
      <w:bookmarkEnd w:id="69"/>
      <w:r/>
      <w:bookmarkEnd w:id="70"/>
      <w:r/>
      <w:r/>
    </w:p>
    <w:p>
      <w:pPr>
        <w:ind w:firstLine="420"/>
        <w:rPr>
          <w:rFonts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投标人应自行承担所有与参加投标有关的费用，无论投标过程中的做法和结果如何，招标代理在任何情况下均无义务和责任承担这些费用。</w:t>
      </w:r>
      <w:r/>
    </w:p>
    <w:p>
      <w:pPr>
        <w:ind w:firstLine="420"/>
        <w:rPr>
          <w:rFonts w:ascii="宋体" w:hAnsi="宋体"/>
          <w:sz w:val="24"/>
          <w:highlight w:val="none"/>
        </w:rPr>
      </w:pPr>
      <w:r>
        <w:rPr>
          <w:rFonts w:hint="eastAsia" w:ascii="宋体" w:hAnsi="宋体"/>
          <w:sz w:val="24"/>
          <w:highlight w:val="none"/>
        </w:rPr>
        <w:t xml:space="preserve">4.2 本项目预算已包含代理费。代理费由中标人支付，投标人投标报价中应当包含招标代理服务费，采购人不再另行支付。本项目招标代理服务费以中标价为基础参照国家发展计划委员会发布的计价格[2002]1980号文件所附的招标代理业务收费标准计算向代理机构支付，不足4000元按4000元支付。费用由中标人一次性支付。</w:t>
      </w:r>
      <w:r/>
    </w:p>
    <w:p>
      <w:pPr>
        <w:pStyle w:val="837"/>
        <w:ind w:firstLine="422"/>
        <w:spacing w:before="0" w:after="0"/>
        <w:rPr>
          <w:rFonts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5.招标文件的约束力</w:t>
      </w:r>
      <w:r/>
    </w:p>
    <w:p>
      <w:pPr>
        <w:ind w:firstLine="420"/>
        <w:rPr>
          <w:rFonts w:ascii="宋体" w:hAnsi="宋体"/>
          <w:sz w:val="24"/>
          <w:highlight w:val="none"/>
        </w:rPr>
      </w:pPr>
      <w:r>
        <w:rPr>
          <w:rFonts w:hint="eastAsia" w:ascii="宋体" w:hAnsi="宋体"/>
          <w:sz w:val="24"/>
          <w:highlight w:val="none"/>
        </w:rPr>
        <w:t xml:space="preserve">5.1 投标人一旦参加本项目采购活动，即被认为接受了本文件的规定和约束。</w:t>
      </w:r>
      <w:r/>
    </w:p>
    <w:p>
      <w:pPr>
        <w:pStyle w:val="835"/>
        <w:ind w:firstLine="465"/>
        <w:spacing w:before="120" w:after="120"/>
        <w:rPr>
          <w:rFonts w:ascii="方正黑体_GBK" w:hAnsi="方正黑体_GBK" w:eastAsia="方正黑体_GBK" w:cs="方正黑体_GBK"/>
          <w:highlight w:val="none"/>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highlight w:val="none"/>
        </w:rPr>
        <w:t xml:space="preserve">二、招标文件</w:t>
      </w:r>
      <w:bookmarkEnd w:id="71"/>
      <w:r/>
      <w:bookmarkEnd w:id="72"/>
      <w:r/>
      <w:bookmarkEnd w:id="73"/>
      <w:r/>
      <w:bookmarkEnd w:id="74"/>
      <w:r/>
      <w:r/>
    </w:p>
    <w:p>
      <w:pPr>
        <w:pStyle w:val="837"/>
        <w:ind w:firstLine="422"/>
        <w:spacing w:before="0" w:after="0"/>
        <w:rPr>
          <w:rFonts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投标人应仔细检查招标文件是否齐全，如有缺漏请立即与招标代理联系。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7"/>
        <w:ind w:firstLine="422"/>
        <w:spacing w:before="0" w:after="0"/>
        <w:rPr>
          <w:rFonts w:ascii="方正楷体_GBK" w:hAnsi="方正楷体_GBK" w:eastAsia="方正楷体_GBK" w:cs="方正楷体_GBK"/>
          <w:sz w:val="28"/>
          <w:szCs w:val="28"/>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任何要求对招标文件进行澄清的投标人，应在投标截止期十日前按招标公告中的通讯地址，以书面形式通知招标代理。</w:t>
      </w:r>
      <w:r/>
    </w:p>
    <w:p>
      <w:pPr>
        <w:pStyle w:val="837"/>
        <w:ind w:firstLine="422"/>
        <w:spacing w:before="0" w:after="0"/>
        <w:rPr>
          <w:rFonts w:ascii="方正楷体_GBK" w:hAnsi="方正楷体_GBK" w:eastAsia="方正楷体_GBK" w:cs="方正楷体_GBK"/>
          <w:sz w:val="28"/>
          <w:szCs w:val="28"/>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
    </w:p>
    <w:p>
      <w:pPr>
        <w:ind w:firstLine="420"/>
        <w:rPr>
          <w:rFonts w:ascii="宋体" w:hAnsi="宋体"/>
          <w:sz w:val="24"/>
        </w:rPr>
      </w:pPr>
      <w:r/>
      <w:bookmarkStart w:id="86" w:name="_Toc120614216"/>
      <w:r/>
      <w:bookmarkStart w:id="87" w:name="_Toc513029213"/>
      <w:r/>
      <w:bookmarkStart w:id="88" w:name="_Toc16938529"/>
      <w:r/>
      <w:bookmarkStart w:id="89" w:name="_Toc462564072"/>
      <w:r/>
      <w:bookmarkStart w:id="90" w:name="_Toc20823285"/>
      <w:r>
        <w:rPr>
          <w:rFonts w:hint="eastAsia" w:ascii="宋体" w:hAnsi="宋体"/>
          <w:sz w:val="24"/>
        </w:rPr>
        <w:t xml:space="preserve">8.1 在投标截止时间前，招标代理可以对招标文件进行修改。招标文件的修改将在原公告媒体发布更正公告，更正内容将作为招标文件的组成部分，并对投标人具有约束力。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招标代理有权按照法定的要求推迟投标截止日期和开标日期，并在原公告媒体发布更正公告。</w:t>
      </w:r>
      <w:r/>
    </w:p>
    <w:p>
      <w:pPr>
        <w:pStyle w:val="83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837"/>
        <w:ind w:firstLine="422"/>
        <w:spacing w:before="0" w:after="0"/>
        <w:rPr>
          <w:rFonts w:ascii="方正楷体_GBK" w:hAnsi="方正楷体_GBK" w:eastAsia="方正楷体_GBK" w:cs="方正楷体_GBK"/>
          <w:sz w:val="28"/>
          <w:szCs w:val="28"/>
        </w:rPr>
      </w:pPr>
      <w:r/>
      <w:bookmarkStart w:id="91" w:name="_Toc513029214"/>
      <w:r/>
      <w:bookmarkStart w:id="92" w:name="_Toc16938530"/>
      <w:r/>
      <w:bookmarkStart w:id="93" w:name="_Toc20823286"/>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投标人提交的投标文件以及投标人与招标代理就有关投标的所有来往通知、函件和文件均应使用简体中文。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37"/>
        <w:ind w:firstLine="422"/>
        <w:spacing w:before="0" w:after="0"/>
        <w:rPr>
          <w:rFonts w:ascii="方正楷体_GBK" w:hAnsi="方正楷体_GBK" w:eastAsia="方正楷体_GBK" w:cs="方正楷体_GBK"/>
          <w:sz w:val="28"/>
          <w:szCs w:val="28"/>
        </w:rPr>
      </w:pPr>
      <w:r/>
      <w:bookmarkStart w:id="95" w:name="_Toc20823287"/>
      <w:r/>
      <w:bookmarkStart w:id="96" w:name="_Toc462564074"/>
      <w:r/>
      <w:bookmarkStart w:id="97" w:name="_Toc16938531"/>
      <w:r/>
      <w:bookmarkStart w:id="98" w:name="_Toc513029215"/>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37"/>
        <w:ind w:firstLine="422"/>
        <w:spacing w:before="0" w:after="0"/>
        <w:rPr>
          <w:rFonts w:ascii="方正楷体_GBK" w:hAnsi="方正楷体_GBK" w:eastAsia="方正楷体_GBK" w:cs="方正楷体_GBK"/>
          <w:sz w:val="28"/>
          <w:szCs w:val="28"/>
        </w:rPr>
      </w:pPr>
      <w:r/>
      <w:bookmarkStart w:id="99" w:name="_Hlt26670360"/>
      <w:r/>
      <w:bookmarkEnd w:id="99"/>
      <w:r/>
      <w:bookmarkStart w:id="100" w:name="_Hlt26668975"/>
      <w:r/>
      <w:bookmarkEnd w:id="100"/>
      <w:r/>
      <w:bookmarkStart w:id="101" w:name="_Hlt26954838"/>
      <w:r/>
      <w:bookmarkEnd w:id="101"/>
      <w:r/>
      <w:bookmarkStart w:id="102" w:name="_Toc513029219"/>
      <w:r/>
      <w:bookmarkStart w:id="103" w:name="_Toc49090509"/>
      <w:r/>
      <w:bookmarkStart w:id="104" w:name="_Toc14577357"/>
      <w:r/>
      <w:bookmarkStart w:id="105" w:name="_Toc49090507"/>
      <w:r/>
      <w:bookmarkStart w:id="106" w:name="_Toc14577354"/>
      <w:r/>
      <w:bookmarkStart w:id="107" w:name="_Toc513029216"/>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37"/>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p>
    <w:p>
      <w:pPr>
        <w:ind w:firstLine="420"/>
        <w:rPr>
          <w:rFonts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37"/>
        <w:ind w:firstLine="422"/>
        <w:spacing w:before="0" w:after="0"/>
        <w:rPr>
          <w:rFonts w:ascii="方正楷体_GBK" w:hAnsi="方正楷体_GBK" w:eastAsia="方正楷体_GBK" w:cs="方正楷体_GBK"/>
          <w:sz w:val="28"/>
          <w:szCs w:val="28"/>
        </w:rPr>
      </w:pPr>
      <w:r/>
      <w:bookmarkStart w:id="112" w:name="_Hlt26668983"/>
      <w:r/>
      <w:bookmarkEnd w:id="112"/>
      <w:r/>
      <w:bookmarkStart w:id="113" w:name="_Hlt26954846"/>
      <w:r/>
      <w:bookmarkEnd w:id="113"/>
      <w:r/>
      <w:bookmarkStart w:id="114" w:name="_Hlt26954848"/>
      <w:r/>
      <w:bookmarkEnd w:id="114"/>
      <w:r/>
      <w:bookmarkStart w:id="115" w:name="_Hlt26670403"/>
      <w:r/>
      <w:bookmarkEnd w:id="115"/>
      <w:r/>
      <w:bookmarkStart w:id="116" w:name="_Hlt26670486"/>
      <w:r/>
      <w:bookmarkEnd w:id="116"/>
      <w:r/>
      <w:bookmarkStart w:id="117" w:name="_Hlt26670482"/>
      <w:r/>
      <w:bookmarkEnd w:id="117"/>
      <w:r/>
      <w:bookmarkStart w:id="118" w:name="_Hlt26954842"/>
      <w:r/>
      <w:bookmarkEnd w:id="118"/>
      <w:r/>
      <w:bookmarkStart w:id="119" w:name="_Hlt26670425"/>
      <w:r/>
      <w:bookmarkEnd w:id="119"/>
      <w:r/>
      <w:bookmarkStart w:id="120" w:name="_Hlt26954731"/>
      <w:r/>
      <w:bookmarkEnd w:id="120"/>
      <w:r/>
      <w:bookmarkStart w:id="121" w:name="_Hlt26954844"/>
      <w:r/>
      <w:bookmarkEnd w:id="121"/>
      <w:r>
        <w:rPr>
          <w:rFonts w:hint="eastAsia" w:ascii="方正楷体_GBK" w:hAnsi="方正楷体_GBK" w:eastAsia="方正楷体_GBK" w:cs="方正楷体_GBK"/>
          <w:sz w:val="28"/>
          <w:szCs w:val="28"/>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37"/>
        <w:ind w:firstLine="422"/>
        <w:spacing w:before="0" w:after="0"/>
        <w:rPr>
          <w:rFonts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2"/>
      <w:r/>
      <w:bookmarkEnd w:id="123"/>
      <w:r/>
      <w:r/>
    </w:p>
    <w:p>
      <w:pPr>
        <w:pStyle w:val="837"/>
        <w:ind w:firstLine="422"/>
        <w:spacing w:before="0" w:after="0"/>
        <w:rPr>
          <w:rFonts w:ascii="方正楷体_GBK" w:hAnsi="方正楷体_GBK" w:eastAsia="方正楷体_GBK" w:cs="方正楷体_GBK"/>
          <w:sz w:val="28"/>
          <w:szCs w:val="28"/>
        </w:rPr>
      </w:pPr>
      <w:r/>
      <w:bookmarkStart w:id="124" w:name="_Hlt26954850"/>
      <w:r/>
      <w:bookmarkEnd w:id="124"/>
      <w:r/>
      <w:bookmarkStart w:id="125" w:name="_Hlt26954734"/>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15.投标有效期</w:t>
      </w:r>
      <w:bookmarkEnd w:id="127"/>
      <w:r/>
      <w:bookmarkEnd w:id="128"/>
      <w:r/>
      <w:r/>
    </w:p>
    <w:p>
      <w:pPr>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37"/>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35"/>
        <w:ind w:firstLine="465"/>
        <w:spacing w:before="120" w:after="120"/>
        <w:rPr>
          <w:rFonts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16938540"/>
      <w:r/>
      <w:bookmarkStart w:id="133" w:name="_Toc513029224"/>
      <w:r/>
      <w:bookmarkStart w:id="134" w:name="_Toc120614217"/>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
    </w:p>
    <w:p>
      <w:pPr>
        <w:pStyle w:val="837"/>
        <w:ind w:firstLine="392"/>
        <w:spacing w:before="0" w:after="0"/>
        <w:rPr>
          <w:rFonts w:ascii="方正楷体_GBK" w:hAnsi="方正楷体_GBK" w:eastAsia="方正楷体_GBK" w:cs="方正楷体_GBK"/>
        </w:rPr>
      </w:pPr>
      <w:r/>
      <w:bookmarkStart w:id="138" w:name="_Toc462564084"/>
      <w:r/>
      <w:bookmarkStart w:id="139" w:name="_Toc20823297"/>
      <w:r/>
      <w:bookmarkStart w:id="140" w:name="_Toc16938541"/>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bookmarkEnd w:id="142"/>
      <w:r/>
      <w:bookmarkEnd w:id="143"/>
      <w:r/>
      <w:bookmarkEnd w:id="144"/>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招标代理可以按照规定，通过修改招标文件酌情延长投标截止时间，在此情况下，投标人的所有权利和义务均以延长后新的截止时间为准。</w:t>
      </w:r>
      <w:r/>
    </w:p>
    <w:p>
      <w:pPr>
        <w:pStyle w:val="837"/>
        <w:ind w:firstLine="392"/>
        <w:spacing w:before="0" w:after="0"/>
        <w:rPr>
          <w:rFonts w:ascii="方正楷体_GBK" w:hAnsi="方正楷体_GBK" w:eastAsia="方正楷体_GBK" w:cs="方正楷体_GBK"/>
        </w:rPr>
      </w:pPr>
      <w:r/>
      <w:bookmarkStart w:id="145" w:name="_Toc20823299"/>
      <w:r/>
      <w:bookmarkStart w:id="146" w:name="_Toc513029227"/>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37"/>
        <w:ind w:firstLine="392"/>
        <w:spacing w:before="0" w:after="0"/>
        <w:rPr>
          <w:rFonts w:ascii="方正楷体_GBK" w:hAnsi="方正楷体_GBK" w:eastAsia="方正楷体_GBK" w:cs="方正楷体_GBK"/>
        </w:rPr>
      </w:pPr>
      <w:r/>
      <w:bookmarkStart w:id="148" w:name="_Toc20823300"/>
      <w:r/>
      <w:bookmarkStart w:id="149" w:name="_Toc513029228"/>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120614218"/>
      <w:r/>
      <w:bookmarkStart w:id="154" w:name="_Toc20823301"/>
      <w:r/>
      <w:r/>
    </w:p>
    <w:p>
      <w:pPr>
        <w:pStyle w:val="83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837"/>
        <w:ind w:firstLine="392"/>
        <w:spacing w:before="0" w:after="0"/>
        <w:rPr>
          <w:rFonts w:ascii="方正楷体_GBK" w:hAnsi="方正楷体_GBK" w:eastAsia="方正楷体_GBK" w:cs="方正楷体_GBK"/>
        </w:rPr>
      </w:pPr>
      <w:r/>
      <w:bookmarkStart w:id="155" w:name="_Toc20823302"/>
      <w:r/>
      <w:bookmarkStart w:id="156" w:name="_Toc16938546"/>
      <w:r/>
      <w:bookmarkStart w:id="157" w:name="_Toc513029230"/>
      <w:r>
        <w:rPr>
          <w:rFonts w:hint="eastAsia" w:ascii="方正楷体_GBK" w:hAnsi="方正楷体_GBK" w:eastAsia="方正楷体_GBK" w:cs="方正楷体_GBK"/>
        </w:rPr>
        <w:t xml:space="preserve">20.开标</w:t>
      </w:r>
      <w:bookmarkEnd w:id="155"/>
      <w:r/>
      <w:bookmarkEnd w:id="156"/>
      <w:r/>
      <w:bookmarkEnd w:id="15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37"/>
        <w:ind w:firstLine="392"/>
        <w:spacing w:before="0" w:after="0"/>
        <w:rPr>
          <w:rFonts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8"/>
      <w:r/>
      <w:bookmarkEnd w:id="159"/>
      <w:r/>
      <w:bookmarkEnd w:id="160"/>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凡是与审查、澄清、评价和比较投标的有关资料以及授标建议等，采购人、评委、招标代理均不得向投标人或与评标无关的其他人员透露。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招标代理和评委会不向未中标的投标人解释未中标原因，也不公布评标过程中的相关细节。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37"/>
        <w:ind w:firstLine="392"/>
        <w:spacing w:before="0" w:after="0"/>
        <w:rPr>
          <w:rFonts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37"/>
        <w:ind w:firstLine="392"/>
        <w:spacing w:before="0" w:after="0"/>
        <w:rPr>
          <w:rFonts w:ascii="方正楷体_GBK" w:hAnsi="方正楷体_GBK" w:eastAsia="方正楷体_GBK" w:cs="方正楷体_GBK"/>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未通过资格审查或符合性审查的投标人，招标代理将通过苏采云系统告知其具体原因，评标结束后不再接受有关询问。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7" w:name="_Toc20823306"/>
      <w:r/>
      <w:bookmarkStart w:id="168" w:name="_Toc16938550"/>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投标人在开、评标全过程中应保持通讯畅通，及时登录苏采云系统查阅、答复相关信息，并安排专人与招标代理及评委会联系。</w:t>
      </w:r>
      <w:r/>
    </w:p>
    <w:p>
      <w:pPr>
        <w:ind w:firstLine="420"/>
        <w:rPr>
          <w:rFonts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65%</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1" w:name="_Toc20823307"/>
      <w:r/>
      <w:bookmarkStart w:id="172" w:name="_Toc16938551"/>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5"/>
      <w:r/>
      <w:bookmarkEnd w:id="136"/>
      <w:r/>
      <w:bookmarkEnd w:id="137"/>
      <w:r/>
      <w:bookmarkEnd w:id="171"/>
      <w:r/>
      <w:bookmarkEnd w:id="172"/>
      <w:r/>
      <w:bookmarkEnd w:id="173"/>
      <w:r/>
      <w:r/>
    </w:p>
    <w:p>
      <w:pPr>
        <w:pStyle w:val="835"/>
        <w:ind w:firstLine="465"/>
        <w:spacing w:before="120" w:after="120"/>
        <w:rPr>
          <w:rFonts w:ascii="方正黑体_GBK" w:hAnsi="方正黑体_GBK" w:eastAsia="方正黑体_GBK" w:cs="方正黑体_GBK"/>
        </w:rPr>
      </w:pPr>
      <w:r/>
      <w:bookmarkStart w:id="174" w:name="_Toc120614219"/>
      <w:r>
        <w:rPr>
          <w:rFonts w:hint="eastAsia" w:ascii="方正黑体_GBK" w:hAnsi="方正黑体_GBK" w:eastAsia="方正黑体_GBK" w:cs="方正黑体_GBK"/>
        </w:rPr>
        <w:t xml:space="preserve">六、定标</w:t>
      </w:r>
      <w:bookmarkEnd w:id="174"/>
      <w:r/>
      <w:r/>
    </w:p>
    <w:p>
      <w:pPr>
        <w:pStyle w:val="837"/>
        <w:ind w:firstLine="392"/>
        <w:spacing w:before="0" w:after="0"/>
        <w:rPr>
          <w:rFonts w:ascii="方正楷体_GBK" w:hAnsi="方正楷体_GBK" w:eastAsia="方正楷体_GBK" w:cs="方正楷体_GBK"/>
        </w:rPr>
      </w:pPr>
      <w:r/>
      <w:bookmarkStart w:id="175" w:name="_Toc513029238"/>
      <w:r/>
      <w:bookmarkStart w:id="176" w:name="_Toc16938554"/>
      <w:r/>
      <w:bookmarkStart w:id="177" w:name="_Toc20823310"/>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按第二种方式确定中标人的，招标代理自评审结束之日起两个工作日内将评审报告送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招标代理将在“江苏政府采购网”发布中标公告，公告期限为1个工作日。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向评审专家、采购人或招标代理工作人员行贿或者提供其他不正当利益。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与其他供应商、评审专家、采购人或招标代理工作人员恶意串通。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8"/>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中标结果确定后，招标代理将向中标人发出《中标通知书》。中标人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35"/>
        <w:ind w:firstLine="465"/>
        <w:spacing w:before="120" w:after="120"/>
        <w:rPr>
          <w:rFonts w:ascii="方正黑体_GBK" w:hAnsi="方正黑体_GBK" w:eastAsia="方正黑体_GBK" w:cs="方正黑体_GBK"/>
        </w:rPr>
      </w:pPr>
      <w:r/>
      <w:bookmarkStart w:id="179" w:name="_Toc120614220"/>
      <w:r/>
      <w:bookmarkStart w:id="180" w:name="_Toc513029236"/>
      <w:r/>
      <w:bookmarkStart w:id="181" w:name="_Toc20823308"/>
      <w:r/>
      <w:bookmarkStart w:id="182" w:name="_Toc16938552"/>
      <w:r>
        <w:rPr>
          <w:rFonts w:hint="eastAsia" w:ascii="方正黑体_GBK" w:hAnsi="方正黑体_GBK" w:eastAsia="方正黑体_GBK" w:cs="方正黑体_GBK"/>
        </w:rPr>
        <w:t xml:space="preserve">七、授予合同</w:t>
      </w:r>
      <w:bookmarkEnd w:id="179"/>
      <w:r/>
      <w:bookmarkEnd w:id="180"/>
      <w:r/>
      <w:bookmarkEnd w:id="181"/>
      <w:r/>
      <w:bookmarkEnd w:id="182"/>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3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3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规定以书面形式向采购人或招标代理提出质疑。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80"/>
        <w:spacing w:line="252" w:lineRule="auto"/>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供应商根据质疑事项向相应的质疑答复主体提出质疑，由采购人负责答复的质疑，采购人将《质疑函》《质疑答复函》抄送招标代理。供应商可向采购人或招标代理提出质疑，由采购人或招标代理负责答复。</w:t>
      </w:r>
      <w:r/>
    </w:p>
    <w:p>
      <w:pPr>
        <w:ind w:firstLine="480"/>
        <w:spacing w:line="252" w:lineRule="auto"/>
        <w:rPr>
          <w:rFonts w:ascii="宋体" w:hAnsi="宋体"/>
          <w:sz w:val="24"/>
          <w:szCs w:val="24"/>
        </w:rPr>
      </w:pPr>
      <w:r>
        <w:rPr>
          <w:rFonts w:ascii="宋体" w:hAnsi="宋体" w:cs="宋体"/>
          <w:sz w:val="24"/>
          <w:szCs w:val="24"/>
        </w:rPr>
        <w:t xml:space="preserve">采购人《质疑函》收件人：</w:t>
      </w:r>
      <w:r>
        <w:rPr>
          <w:rFonts w:hint="eastAsia" w:ascii="宋体" w:hAnsi="宋体" w:cs="宋体"/>
          <w:sz w:val="24"/>
          <w:szCs w:val="24"/>
        </w:rPr>
        <w:t xml:space="preserve">陈科</w:t>
      </w:r>
      <w:r>
        <w:rPr>
          <w:rFonts w:ascii="宋体" w:hAnsi="宋体" w:cs="宋体"/>
          <w:sz w:val="24"/>
          <w:szCs w:val="24"/>
        </w:rPr>
        <w:t xml:space="preserve">，收件地址：</w:t>
      </w:r>
      <w:r>
        <w:rPr>
          <w:rFonts w:hint="eastAsia" w:ascii="宋体" w:hAnsi="宋体"/>
          <w:sz w:val="24"/>
          <w:szCs w:val="24"/>
        </w:rPr>
        <w:t xml:space="preserve">南京市江宁区胜太路18号。</w:t>
      </w:r>
      <w:r/>
    </w:p>
    <w:p>
      <w:pPr>
        <w:ind w:firstLine="480"/>
        <w:spacing w:line="252" w:lineRule="auto"/>
        <w:rPr>
          <w:rFonts w:ascii="宋体" w:hAnsi="宋体"/>
          <w:b/>
          <w:bCs/>
          <w:sz w:val="24"/>
          <w:szCs w:val="22"/>
          <w:lang w:val="zh-CN"/>
        </w:rPr>
      </w:pPr>
      <w:r>
        <w:rPr>
          <w:rFonts w:hint="eastAsia" w:ascii="宋体" w:hAnsi="宋体" w:cs="宋体"/>
          <w:sz w:val="24"/>
          <w:szCs w:val="24"/>
        </w:rPr>
        <w:t xml:space="preserve">招标代理</w:t>
      </w:r>
      <w:r>
        <w:rPr>
          <w:rFonts w:ascii="宋体" w:hAnsi="宋体" w:cs="宋体"/>
          <w:sz w:val="24"/>
          <w:szCs w:val="24"/>
          <w:lang w:val="zh-CN"/>
        </w:rPr>
        <w:t xml:space="preserve">《质疑函》收件人：</w:t>
      </w:r>
      <w:r>
        <w:rPr>
          <w:rFonts w:hint="eastAsia" w:ascii="宋体" w:hAnsi="宋体"/>
          <w:sz w:val="24"/>
          <w:szCs w:val="24"/>
        </w:rPr>
        <w:t xml:space="preserve">王工</w:t>
      </w:r>
      <w:r>
        <w:rPr>
          <w:rFonts w:ascii="宋体" w:hAnsi="宋体" w:cs="宋体"/>
          <w:sz w:val="24"/>
          <w:szCs w:val="24"/>
          <w:lang w:val="zh-CN"/>
        </w:rPr>
        <w:t xml:space="preserve">，</w:t>
      </w:r>
      <w:r>
        <w:rPr>
          <w:rFonts w:ascii="宋体" w:hAnsi="宋体" w:cs="宋体"/>
          <w:sz w:val="24"/>
          <w:szCs w:val="24"/>
        </w:rPr>
        <w:t xml:space="preserve">收件</w:t>
      </w:r>
      <w:r>
        <w:rPr>
          <w:rFonts w:ascii="宋体" w:hAnsi="宋体" w:cs="宋体"/>
          <w:sz w:val="24"/>
          <w:szCs w:val="24"/>
          <w:lang w:val="zh-CN"/>
        </w:rPr>
        <w:t xml:space="preserve">地址：</w:t>
      </w:r>
      <w:r>
        <w:rPr>
          <w:rFonts w:ascii="宋体" w:hAnsi="宋体"/>
          <w:sz w:val="24"/>
          <w:szCs w:val="24"/>
        </w:rPr>
        <w:t xml:space="preserve">南京市江宁区佳湖西路7号</w:t>
      </w:r>
      <w:r>
        <w:rPr>
          <w:rFonts w:hint="eastAsia" w:ascii="宋体" w:hAnsi="宋体"/>
          <w:sz w:val="24"/>
          <w:szCs w:val="24"/>
        </w:rPr>
        <w:t xml:space="preserve">（尚园）</w:t>
      </w:r>
      <w:r>
        <w:rPr>
          <w:rFonts w:hint="eastAsia" w:ascii="宋体" w:hAnsi="宋体"/>
          <w:sz w:val="24"/>
          <w:lang w:val="zh-CN"/>
        </w:rPr>
        <w:t xml:space="preserve">，联系电话：</w:t>
      </w:r>
      <w:r>
        <w:rPr>
          <w:rFonts w:hint="eastAsia" w:ascii="宋体" w:hAnsi="宋体"/>
          <w:color w:val="000000"/>
          <w:sz w:val="24"/>
          <w:szCs w:val="24"/>
        </w:rPr>
        <w:t xml:space="preserve">025-85578881</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837"/>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ascii="宋体" w:hAnsi="宋体"/>
          <w:sz w:val="24"/>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885"/>
      </w:pPr>
      <w:r/>
      <w:r/>
    </w:p>
    <w:p>
      <w:pPr>
        <w:rPr>
          <w:lang w:val="zh-CN"/>
        </w:rPr>
      </w:pPr>
      <w:r>
        <w:rPr>
          <w:lang w:val="zh-CN"/>
        </w:rPr>
      </w:r>
      <w:r/>
    </w:p>
    <w:p>
      <w:pPr>
        <w:pStyle w:val="885"/>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jc w:val="center"/>
        <w:spacing w:before="120" w:after="120" w:line="264" w:lineRule="auto"/>
        <w:rPr>
          <w:rFonts w:ascii="宋体" w:hAnsi="宋体"/>
          <w:bCs/>
          <w:sz w:val="24"/>
        </w:rPr>
      </w:pPr>
      <w:r/>
      <w:bookmarkStart w:id="183" w:name="_Toc513029243"/>
      <w:r/>
      <w:bookmarkStart w:id="184" w:name="_Toc20823315"/>
      <w:r/>
      <w:bookmarkStart w:id="185" w:name="_Toc16938559"/>
      <w:r/>
      <w:bookmarkStart w:id="186" w:name="_Toc20823346"/>
      <w:r/>
      <w:bookmarkStart w:id="187" w:name="_Toc16938590"/>
      <w:r/>
      <w:bookmarkStart w:id="188" w:name="_Toc120614244"/>
      <w:r/>
      <w:bookmarkStart w:id="189" w:name="_Hlt16619350"/>
      <w:r/>
      <w:bookmarkStart w:id="190" w:name="_Toc462564139"/>
      <w:r/>
      <w:bookmarkStart w:id="191" w:name="_Toc479757211"/>
      <w:r>
        <w:rPr>
          <w:rFonts w:hint="eastAsia" w:ascii="宋体" w:hAnsi="宋体"/>
          <w:bCs/>
          <w:sz w:val="24"/>
        </w:rPr>
        <w:t xml:space="preserve">以下为本项目的合同条款，合同双方不得对招标、投标文件内容作实质性修改。</w:t>
      </w:r>
      <w:r/>
    </w:p>
    <w:p>
      <w:pPr>
        <w:pStyle w:val="885"/>
        <w:ind w:left="0"/>
        <w:spacing w:line="264" w:lineRule="auto"/>
      </w:pPr>
      <w:r/>
      <w:bookmarkEnd w:id="183"/>
      <w:r/>
      <w:bookmarkEnd w:id="184"/>
      <w:r/>
      <w:bookmarkEnd w:id="185"/>
      <w:r/>
      <w:r/>
    </w:p>
    <w:p>
      <w:pPr>
        <w:jc w:val="center"/>
        <w:rPr>
          <w:rFonts w:asciiTheme="minorEastAsia" w:hAnsiTheme="minorEastAsia" w:eastAsiaTheme="minorEastAsia"/>
          <w:color w:val="000000"/>
          <w:sz w:val="44"/>
        </w:rPr>
      </w:pPr>
      <w:r>
        <w:rPr>
          <w:rFonts w:hint="eastAsia" w:asciiTheme="minorEastAsia" w:hAnsiTheme="minorEastAsia" w:eastAsiaTheme="minorEastAsia"/>
          <w:color w:val="000000"/>
          <w:sz w:val="44"/>
        </w:rPr>
        <w:t xml:space="preserve">政府采购合同（服务）</w:t>
      </w:r>
      <w:r/>
    </w:p>
    <w:p>
      <w:pPr>
        <w:ind w:firstLine="315"/>
        <w:rPr>
          <w:rFonts w:asciiTheme="minorEastAsia" w:hAnsiTheme="minorEastAsia" w:eastAsiaTheme="minorEastAsia"/>
          <w:b/>
          <w:color w:val="000000"/>
          <w:sz w:val="32"/>
        </w:rPr>
      </w:pPr>
      <w:r>
        <w:rPr>
          <w:rFonts w:asciiTheme="minorEastAsia" w:hAnsiTheme="minorEastAsia" w:eastAsiaTheme="minorEastAsia"/>
          <w:b/>
          <w:color w:val="000000"/>
          <w:sz w:val="32"/>
        </w:rPr>
      </w:r>
      <w:r/>
    </w:p>
    <w:p>
      <w:pPr>
        <w:ind w:firstLine="1807"/>
        <w:rPr>
          <w:rFonts w:asciiTheme="minorEastAsia" w:hAnsiTheme="minorEastAsia" w:eastAsiaTheme="minorEastAsia"/>
          <w:b/>
          <w:color w:val="000000"/>
          <w:sz w:val="36"/>
        </w:rPr>
      </w:pPr>
      <w:r>
        <w:rPr>
          <w:rFonts w:asciiTheme="minorEastAsia" w:hAnsiTheme="minorEastAsia" w:eastAsiaTheme="minorEastAsia"/>
          <w:b/>
          <w:color w:val="000000"/>
          <w:sz w:val="36"/>
        </w:rPr>
      </w:r>
      <w:r/>
    </w:p>
    <w:p>
      <w:pPr>
        <w:ind w:firstLine="1807"/>
        <w:rPr>
          <w:rFonts w:asciiTheme="minorEastAsia" w:hAnsiTheme="minorEastAsia" w:eastAsiaTheme="minorEastAsia"/>
          <w:b/>
          <w:color w:val="000000"/>
          <w:sz w:val="36"/>
        </w:rPr>
      </w:pPr>
      <w:r>
        <w:rPr>
          <w:rFonts w:asciiTheme="minorEastAsia" w:hAnsiTheme="minorEastAsia" w:eastAsiaTheme="minorEastAsia"/>
          <w:b/>
          <w:color w:val="000000"/>
          <w:sz w:val="36"/>
        </w:rPr>
      </w:r>
      <w:r/>
    </w:p>
    <w:p>
      <w:pPr>
        <w:ind w:firstLine="1807"/>
        <w:spacing w:line="360" w:lineRule="auto"/>
        <w:rPr>
          <w:rFonts w:asciiTheme="minorEastAsia" w:hAnsiTheme="minorEastAsia" w:eastAsiaTheme="minorEastAsia"/>
          <w:b/>
          <w:color w:val="000000"/>
          <w:sz w:val="36"/>
        </w:rPr>
      </w:pPr>
      <w:r>
        <w:rPr>
          <w:rFonts w:asciiTheme="minorEastAsia" w:hAnsiTheme="minorEastAsia" w:eastAsiaTheme="minorEastAsia"/>
          <w:b/>
          <w:color w:val="000000"/>
          <w:sz w:val="36"/>
        </w:rPr>
      </w:r>
      <w:r/>
    </w:p>
    <w:p>
      <w:pPr>
        <w:ind w:firstLine="1280"/>
        <w:spacing w:line="360" w:lineRule="auto"/>
        <w:rPr>
          <w:rFonts w:ascii="宋体" w:hAnsi="宋体" w:cs="宋体"/>
          <w:bCs/>
          <w:color w:val="000000"/>
          <w:sz w:val="32"/>
          <w:szCs w:val="32"/>
        </w:rPr>
      </w:pPr>
      <w:r>
        <w:rPr>
          <w:rFonts w:hint="eastAsia" w:ascii="宋体" w:hAnsi="宋体" w:cs="宋体"/>
          <w:bCs/>
          <w:color w:val="000000"/>
          <w:sz w:val="32"/>
          <w:szCs w:val="32"/>
        </w:rPr>
        <w:t xml:space="preserve">合同编号：</w:t>
      </w:r>
      <w:r/>
    </w:p>
    <w:p>
      <w:pPr>
        <w:ind w:firstLine="1280"/>
        <w:spacing w:line="360" w:lineRule="auto"/>
        <w:rPr>
          <w:rFonts w:ascii="宋体" w:hAnsi="宋体" w:cs="宋体"/>
          <w:bCs/>
          <w:color w:val="000000"/>
          <w:sz w:val="32"/>
          <w:szCs w:val="32"/>
        </w:rPr>
      </w:pPr>
      <w:r>
        <w:rPr>
          <w:rFonts w:hint="eastAsia" w:ascii="宋体" w:hAnsi="宋体" w:cs="宋体"/>
          <w:bCs/>
          <w:color w:val="000000"/>
          <w:sz w:val="32"/>
          <w:szCs w:val="32"/>
        </w:rPr>
        <w:t xml:space="preserve">项目名称：</w:t>
      </w:r>
      <w:r/>
    </w:p>
    <w:p>
      <w:pPr>
        <w:ind w:firstLine="1280"/>
        <w:spacing w:line="360" w:lineRule="auto"/>
        <w:rPr>
          <w:rFonts w:ascii="宋体" w:hAnsi="宋体" w:cs="宋体"/>
          <w:bCs/>
          <w:color w:val="000000"/>
          <w:sz w:val="32"/>
          <w:szCs w:val="32"/>
          <w:u w:val="single"/>
        </w:rPr>
      </w:pPr>
      <w:r>
        <w:rPr>
          <w:rFonts w:hint="eastAsia" w:ascii="宋体" w:hAnsi="宋体" w:cs="宋体"/>
          <w:bCs/>
          <w:color w:val="000000"/>
          <w:sz w:val="32"/>
          <w:szCs w:val="32"/>
        </w:rPr>
        <w:t xml:space="preserve">采购人：南京市江宁区文化和旅游局</w:t>
      </w:r>
      <w:r/>
    </w:p>
    <w:p>
      <w:pPr>
        <w:ind w:firstLine="1280"/>
        <w:spacing w:line="360" w:lineRule="auto"/>
        <w:rPr>
          <w:rFonts w:ascii="宋体" w:hAnsi="宋体" w:cs="宋体"/>
          <w:bCs/>
          <w:color w:val="000000"/>
          <w:sz w:val="32"/>
          <w:szCs w:val="32"/>
        </w:rPr>
      </w:pPr>
      <w:r>
        <w:rPr>
          <w:rFonts w:hint="eastAsia" w:ascii="宋体" w:hAnsi="宋体" w:cs="宋体"/>
          <w:bCs/>
          <w:color w:val="000000"/>
          <w:sz w:val="32"/>
          <w:szCs w:val="32"/>
        </w:rPr>
        <w:t xml:space="preserve">供应商：</w:t>
      </w:r>
      <w:r/>
    </w:p>
    <w:p>
      <w:pPr>
        <w:ind w:firstLine="1280"/>
        <w:spacing w:line="360" w:lineRule="auto"/>
        <w:rPr>
          <w:rFonts w:ascii="宋体" w:hAnsi="宋体" w:cs="宋体"/>
          <w:b/>
          <w:color w:val="000000"/>
          <w:sz w:val="32"/>
          <w:szCs w:val="32"/>
        </w:rPr>
      </w:pPr>
      <w:r>
        <w:rPr>
          <w:rFonts w:hint="eastAsia" w:ascii="宋体" w:hAnsi="宋体" w:cs="宋体"/>
          <w:bCs/>
          <w:color w:val="000000"/>
          <w:sz w:val="32"/>
          <w:szCs w:val="32"/>
        </w:rPr>
        <w:t xml:space="preserve">签订日期：</w:t>
      </w:r>
      <w:r/>
    </w:p>
    <w:p>
      <w:pPr>
        <w:spacing w:line="360" w:lineRule="auto"/>
        <w:rPr>
          <w:rFonts w:asciiTheme="minorEastAsia" w:hAnsiTheme="minorEastAsia" w:eastAsiaTheme="minorEastAsia"/>
          <w:color w:val="000000"/>
          <w:sz w:val="36"/>
        </w:rPr>
      </w:pPr>
      <w:r>
        <w:rPr>
          <w:rFonts w:asciiTheme="minorEastAsia" w:hAnsiTheme="minorEastAsia" w:eastAsiaTheme="minorEastAsia"/>
          <w:color w:val="000000"/>
          <w:sz w:val="36"/>
        </w:rPr>
      </w:r>
      <w:r/>
    </w:p>
    <w:p>
      <w:pPr>
        <w:rPr>
          <w:rFonts w:asciiTheme="minorEastAsia" w:hAnsiTheme="minorEastAsia" w:eastAsiaTheme="minorEastAsia"/>
          <w:color w:val="000000"/>
          <w:sz w:val="36"/>
        </w:rPr>
      </w:pPr>
      <w:r>
        <w:rPr>
          <w:rFonts w:asciiTheme="minorEastAsia" w:hAnsiTheme="minorEastAsia" w:eastAsiaTheme="minorEastAsia"/>
          <w:color w:val="000000"/>
          <w:sz w:val="36"/>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b/>
          <w:bCs/>
          <w:color w:val="000000"/>
          <w:sz w:val="30"/>
          <w:szCs w:val="30"/>
        </w:rPr>
        <w:br w:type="page" w:clear="all"/>
      </w:r>
      <w:r>
        <w:rPr>
          <w:rFonts w:hint="eastAsia" w:asciiTheme="minorEastAsia" w:hAnsiTheme="minorEastAsia" w:eastAsiaTheme="minorEastAsia" w:cstheme="minorEastAsia"/>
        </w:rPr>
        <w:t xml:space="preserve">合同编号：</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采购人：南京市江宁区文化和旅游局（以下简称甲方）</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住所地：南京市江宁区胜太路18号</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供应商：（以下简称乙方）</w:t>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住所地：</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根据《中华人民共和国政府采购法》、《中华人民共和国民法典》等法律法规的规定，甲乙双方根据采购代理机构组织的公开招标结果，签署本合同。</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第一条 合同标的</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color w:val="000000"/>
        </w:rPr>
        <w:t xml:space="preserve">乙方根据甲方需求提供下列服务</w:t>
      </w:r>
      <w:r>
        <w:rPr>
          <w:rFonts w:hint="eastAsia" w:asciiTheme="minorEastAsia" w:hAnsiTheme="minorEastAsia" w:eastAsiaTheme="minorEastAsia" w:cstheme="minorEastAsia"/>
          <w:color w:val="000000"/>
          <w:u w:val="single"/>
        </w:rPr>
        <w:t xml:space="preserve">：2026第十四届环太湖国际公路自行车赛暨长三角穿越赛（南京站）</w:t>
      </w:r>
      <w:r>
        <w:rPr>
          <w:rFonts w:hint="eastAsia" w:asciiTheme="minorEastAsia" w:hAnsiTheme="minorEastAsia" w:eastAsiaTheme="minorEastAsia" w:cstheme="minorEastAsia"/>
          <w:color w:val="000000"/>
        </w:rPr>
        <w:t xml:space="preserve">，项目负责人：</w:t>
      </w:r>
      <w:r>
        <w:rPr>
          <w:rFonts w:hint="eastAsia" w:asciiTheme="minorEastAsia" w:hAnsiTheme="minorEastAsia" w:eastAsiaTheme="minorEastAsia" w:cstheme="minorEastAsia"/>
          <w:color w:val="000000"/>
          <w:u w:val="single"/>
        </w:rPr>
        <w:t xml:space="preserve">            </w:t>
      </w:r>
      <w:r>
        <w:rPr>
          <w:rFonts w:hint="eastAsia" w:asciiTheme="minorEastAsia" w:hAnsiTheme="minorEastAsia" w:eastAsiaTheme="minorEastAsia" w:cstheme="minorEastAsia"/>
          <w:color w:val="000000"/>
        </w:rPr>
        <w:t xml:space="preserve">，服务内容详见乙方响应文件等。</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第二条 合同总价款</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本合同项下服务总价款为___________（大写）人民币，分项价款在“投标报价表”中有明确规定。</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本合同总价款是完成本项目所发生的所有含税费用、支付给员工的工资和国家强制缴纳的各种社会保障资金，以及投标人认为需要的其他费用等。</w:t>
      </w:r>
      <w:r/>
    </w:p>
    <w:p>
      <w:pPr>
        <w:pStyle w:val="1140"/>
        <w:rPr>
          <w:rFonts w:asciiTheme="minorEastAsia" w:hAnsiTheme="minorEastAsia" w:eastAsiaTheme="minorEastAsia" w:cstheme="minorEastAsia"/>
          <w:color w:val="000000"/>
          <w:lang w:val="en-US"/>
        </w:rPr>
      </w:pPr>
      <w:r>
        <w:rPr>
          <w:rFonts w:hint="eastAsia" w:asciiTheme="minorEastAsia" w:hAnsiTheme="minorEastAsia" w:eastAsiaTheme="minorEastAsia" w:cstheme="minorEastAsia"/>
          <w:color w:val="000000"/>
          <w:lang w:val="en-US"/>
        </w:rPr>
        <w:t xml:space="preserve">本合同总价款还包含乙方应当提供的伴随服务/售后服务费用。</w:t>
      </w:r>
      <w:r/>
    </w:p>
    <w:p>
      <w:pPr>
        <w:pStyle w:val="114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本合同执行期间合同总价款不变。</w:t>
      </w:r>
      <w:r/>
    </w:p>
    <w:p>
      <w:pPr>
        <w:ind w:firstLine="413"/>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第三条 组成本合同的有关文件</w:t>
      </w:r>
      <w:r/>
    </w:p>
    <w:p>
      <w:pPr>
        <w:ind w:firstLine="411"/>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下列关于</w:t>
      </w:r>
      <w:r>
        <w:rPr>
          <w:rFonts w:hint="eastAsia" w:asciiTheme="minorEastAsia" w:hAnsiTheme="minorEastAsia" w:eastAsiaTheme="minorEastAsia" w:cstheme="minorEastAsia"/>
          <w:color w:val="000000"/>
          <w:u w:val="single"/>
        </w:rPr>
        <w:t xml:space="preserve">          号</w:t>
      </w:r>
      <w:r>
        <w:rPr>
          <w:rFonts w:hint="eastAsia" w:asciiTheme="minorEastAsia" w:hAnsiTheme="minorEastAsia" w:eastAsiaTheme="minorEastAsia" w:cstheme="minorEastAsia"/>
          <w:color w:val="000000"/>
        </w:rPr>
        <w:t xml:space="preserve">标（项目编号）的招投标文件或与本次采购活动方式相适应的文件及有关附件是本合同不可分割的组成部分，与本合同具有同等法律效力，这些文件包括但不限于：</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（1）乙方提供的响应文件和投标报价表（含分项报价表）；</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（2）技术规格响应表；</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（3）投标承诺/服务承诺；</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（4）成交通知书；</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（5）甲乙双方商定的其他文件等。</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第四条 权利保证</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负责整个赛事的安全保障，应制定完善的安全管理方案，确保甲方赛事活动安全、有序的进行。若因乙方未履行安全保障义务（包含但不限于安保人员巡视、赛前设施检查等），一旦出现安全问题，由乙方自行承担全部责任。</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第五条 质量保证</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乙方所提供的服务的技术规格应与招标文件规定的技术规格及所附的“技术条款偏离表”相一致；若技术性能无特殊说明，则按国家有关部门最新颁布的标准及规范为准。</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第六条 交付和验收</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1、乙方应当在合同签订后</w:t>
      </w:r>
      <w:r>
        <w:rPr>
          <w:rFonts w:hint="eastAsia" w:asciiTheme="minorEastAsia" w:hAnsiTheme="minorEastAsia" w:eastAsiaTheme="minorEastAsia" w:cstheme="minorEastAsia"/>
          <w:color w:val="000000"/>
          <w:u w:val="single"/>
        </w:rPr>
        <w:t xml:space="preserve">  服务期   </w:t>
      </w:r>
      <w:r>
        <w:rPr>
          <w:rFonts w:hint="eastAsia" w:asciiTheme="minorEastAsia" w:hAnsiTheme="minorEastAsia" w:eastAsiaTheme="minorEastAsia" w:cstheme="minorEastAsia"/>
          <w:color w:val="000000"/>
        </w:rPr>
        <w:t xml:space="preserve">内完成服务事项。</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2、验收标准：按行业通行标准、采购人要求和乙方投标文件的承诺。</w:t>
      </w:r>
      <w:r/>
    </w:p>
    <w:p>
      <w:pPr>
        <w:ind w:firstLine="422"/>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第七条 合同款支付</w:t>
      </w:r>
      <w:r/>
    </w:p>
    <w:p>
      <w:pPr>
        <w:ind w:firstLine="420"/>
        <w:spacing w:line="360" w:lineRule="auto"/>
        <w:shd w:val="clear" w:color="auto" w:fill="ffffff"/>
        <w:rPr>
          <w:rFonts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1、本合同项下所有款项均</w:t>
      </w:r>
      <w:r>
        <w:rPr>
          <w:rFonts w:hint="eastAsia" w:asciiTheme="minorEastAsia" w:hAnsiTheme="minorEastAsia" w:eastAsiaTheme="minorEastAsia" w:cstheme="minorEastAsia"/>
          <w:highlight w:val="none"/>
        </w:rPr>
        <w:t xml:space="preserve">以人民币支付。</w:t>
      </w:r>
      <w:r/>
    </w:p>
    <w:p>
      <w:pPr>
        <w:ind w:firstLine="420"/>
        <w:spacing w:line="360" w:lineRule="auto"/>
        <w:shd w:val="clear" w:color="auto" w:fill="ffffff"/>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2、本合同项下的采购资金由甲方自行支付，乙方向甲方开具符合甲方财务要求的增值税发票。</w:t>
      </w:r>
      <w:r/>
    </w:p>
    <w:p>
      <w:pPr>
        <w:ind w:firstLine="420"/>
        <w:spacing w:line="360" w:lineRule="auto"/>
        <w:shd w:val="clear" w:color="auto" w:fill="ffffff"/>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3、付款方式：合同签订后5个工作日内预付合同总价款的30%，待赛事结束经审计后10个工作日内按审定价支付尾款。</w:t>
      </w:r>
      <w:r/>
    </w:p>
    <w:p>
      <w:pPr>
        <w:ind w:firstLine="420"/>
        <w:spacing w:line="360" w:lineRule="auto"/>
        <w:rPr>
          <w:rFonts w:asciiTheme="minorEastAsia" w:hAnsiTheme="minorEastAsia" w:eastAsiaTheme="minorEastAsia" w:cstheme="minorEastAsia"/>
          <w:b/>
          <w:bCs/>
          <w:color w:val="000000"/>
          <w:highlight w:val="none"/>
        </w:rPr>
      </w:pPr>
      <w:r>
        <w:rPr>
          <w:rFonts w:hint="eastAsia" w:asciiTheme="minorEastAsia" w:hAnsiTheme="minorEastAsia" w:eastAsiaTheme="minorEastAsia" w:cstheme="minorEastAsia"/>
          <w:b/>
          <w:bCs/>
          <w:color w:val="000000"/>
          <w:highlight w:val="none"/>
        </w:rPr>
        <w:t xml:space="preserve">八、项目验收</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highlight w:val="none"/>
        </w:rPr>
        <w:t xml:space="preserve">1、服务期满后，甲方依法组织履约验收工作，乙方</w:t>
      </w:r>
      <w:r>
        <w:rPr>
          <w:rFonts w:hint="eastAsia" w:asciiTheme="minorEastAsia" w:hAnsiTheme="minorEastAsia" w:eastAsiaTheme="minorEastAsia" w:cstheme="minorEastAsia"/>
          <w:color w:val="000000"/>
        </w:rPr>
        <w:t xml:space="preserve">应做好相应配合工作。</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2、如有必要，甲方可邀请专家参与验收，相关意见将作为验收结论的参考。</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第九条 违约责任</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1、甲方无正当理由拒收服务、拒付服务款的，由甲方向乙方偿付合同总价的5%违约金。</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2、甲方未按合同规定的期限向乙方支付货款的，每逾期1天甲方向乙方偿付欠款总额的5‰滞纳金，但累计滞纳金总额不超过欠款总额的5% 。</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3、如乙方不能交付服务、完成安装调试的，甲方有权扣留全部履约保证金；同时乙方应向甲方支付合同总价5%的违约金。</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4、乙方逾期交付的，每逾期1天，乙方向甲方偿付合同总额的5‰的滞纳金。如乙方逾期交付达10天，甲方有权解除合同，解除合同的通知自到达乙方时生效。</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5、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7、乙方未按本合同的规定和“服务承诺”提供伴随服务/售后服务的，应按合同总价款的5 %向甲方承担违约责任。</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第十条 合同的变更和终止</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1、除《政府采购法》第50条第二款规定的情形外，本合同一经签订，甲乙双方不得擅自变更、中止或终止合同。</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2、除发生法律规定的不能预见、不能避免并不能克服的客观情况外，甲乙双方不得放弃或拒绝履行合同。乙方放弃或拒绝履行合同，保证金不予退还。</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第十一条 合同的转让</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乙方不得擅自部分或全部转让其应履行的合同义务。</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第十二条 争议的解决</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（1）向甲方所在地有管辖权的人民法院提起诉讼；</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（2）向南京仲裁委员会按其仲裁规则申请仲裁。</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如没有约定，默认采取第2种方式解决争议。</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3、在仲裁期间，本合同应继续履行。</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第十三条 诚实信用</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乙方应诚实信用，严格按照招标文件要求和服务承诺履行合同，不向甲方进行商业贿赂或者提供不正当利益。</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第十四条 知识产权及保密</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3、乙方应当保证其提交的成果符合国家及地方现有法律、法规、规章政策及行业规范之要求、符合本合同目的。如果因不符合上述要求给甲方或其他第三人造成损失的，乙方应予以赔偿。</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4、对于乙</w:t>
      </w:r>
      <w:r>
        <w:rPr>
          <w:rFonts w:hint="eastAsia" w:asciiTheme="minorEastAsia" w:hAnsiTheme="minorEastAsia" w:eastAsiaTheme="minorEastAsia" w:cstheme="minorEastAsia"/>
          <w:color w:val="000000"/>
        </w:rPr>
        <w:t xml:space="preserve">方为履行本合同向甲方提供的所有阶段性和最终设计成果，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成果。未经甲方事前书面许可，乙方不得对上述成果做任何复制、修改、转让、自行或提供给他人做任何方式的使用。乙方违反本条规定的，甲方有权单方解除本合同，乙方应返还甲方所支付费用并赔偿甲方因此受到的损失。</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5、乙方保证其向甲方提交的成果的组成部分或全部不会侵犯他人的合法权益，也不存在技术缺陷，否则，甲方有权要求乙方赔偿因此给甲方造成的全部损失。</w:t>
      </w:r>
      <w:r/>
    </w:p>
    <w:p>
      <w:pPr>
        <w:ind w:firstLine="56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r/>
    </w:p>
    <w:p>
      <w:pPr>
        <w:ind w:firstLine="56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color w:val="000000"/>
        </w:rPr>
        <w:t xml:space="preserve">7、如甲方的知识产权遭到他人侵犯的，乙方应协助甲方维护其合法权。</w:t>
      </w:r>
      <w:r/>
    </w:p>
    <w:p>
      <w:pPr>
        <w:ind w:firstLine="420"/>
        <w:spacing w:line="360" w:lineRule="auto"/>
        <w:rPr>
          <w:rFonts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第十五条 合同生效及其他</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1、本合同自签订之日起生效。</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2、本合同一式捌份，甲乙双方各执叁份，一份交采购代理机构存档，一份报送政府采购监督管理部门备案。</w:t>
      </w:r>
      <w:r/>
    </w:p>
    <w:p>
      <w:pPr>
        <w:ind w:firstLine="420"/>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3、本合同应按照中华人民共和国的现行法律进行解释。</w:t>
      </w:r>
      <w:r/>
    </w:p>
    <w:tbl>
      <w:tblPr>
        <w:tblStyle w:val="783"/>
        <w:tblW w:w="0" w:type="auto"/>
        <w:jc w:val="center"/>
        <w:tblLayout w:type="fixed"/>
        <w:tblCellMar>
          <w:left w:w="0" w:type="dxa"/>
          <w:top w:w="0" w:type="dxa"/>
          <w:right w:w="0" w:type="dxa"/>
          <w:bottom w:w="0" w:type="dxa"/>
        </w:tblCellMar>
        <w:tblLook w:val="04A0" w:firstRow="1" w:lastRow="0" w:firstColumn="1" w:lastColumn="0" w:noHBand="0" w:noVBand="1"/>
      </w:tblPr>
      <w:tblGrid>
        <w:gridCol w:w="4898"/>
        <w:gridCol w:w="4388"/>
      </w:tblGrid>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甲方（采购人）：南京市江宁区文化和旅游局（盖章）</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代表人：</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代表人：</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电话：</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电话：</w:t>
            </w:r>
            <w:r/>
          </w:p>
          <w:p>
            <w:pPr>
              <w:pStyle w:val="1140"/>
              <w:ind w:firstLine="0"/>
              <w:rPr>
                <w:rFonts w:asciiTheme="minorEastAsia" w:hAnsiTheme="minorEastAsia" w:eastAsiaTheme="minorEastAsia" w:cstheme="minorEastAsia"/>
                <w:color w:val="000000"/>
                <w:lang w:val="en-US"/>
              </w:rPr>
            </w:pPr>
            <w:r>
              <w:rPr>
                <w:rFonts w:hint="eastAsia" w:asciiTheme="minorEastAsia" w:hAnsiTheme="minorEastAsia" w:eastAsiaTheme="minorEastAsia" w:cstheme="minorEastAsia"/>
                <w:color w:val="000000"/>
                <w:lang w:val="en-US"/>
              </w:rPr>
              <w:t xml:space="preserve">统一社会信用代码：</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开户银行：</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开户银行：</w:t>
            </w:r>
            <w:r/>
          </w:p>
        </w:tc>
      </w:tr>
      <w:tr>
        <w:trPr>
          <w:jc w:val="center"/>
          <w:trHeight w:val="781"/>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帐号：</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帐号：</w:t>
            </w:r>
            <w:r/>
          </w:p>
        </w:tc>
      </w:tr>
      <w:tr>
        <w:trPr>
          <w:jc w:val="center"/>
          <w:trHeight w:val="551"/>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tc>
      </w:tr>
    </w:tbl>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803"/>
        <w:ind w:firstLine="480"/>
        <w:jc w:val="center"/>
        <w:rPr>
          <w:rFonts w:asciiTheme="minorEastAsia" w:hAnsiTheme="minorEastAsia" w:eastAsiaTheme="minorEastAsia" w:cstheme="minorEastAsia"/>
          <w:color w:val="000000"/>
          <w:sz w:val="21"/>
          <w:lang w:val="zh-CN"/>
        </w:rPr>
      </w:pPr>
      <w:r>
        <w:rPr>
          <w:rFonts w:hint="eastAsia" w:asciiTheme="minorEastAsia" w:hAnsiTheme="minorEastAsia" w:eastAsiaTheme="minorEastAsia" w:cstheme="minorEastAsia"/>
          <w:color w:val="000000"/>
          <w:sz w:val="21"/>
          <w:lang w:val="zh-CN"/>
        </w:rPr>
        <w:t xml:space="preserve">《*******合同》补充协议（合同附件）</w:t>
      </w:r>
      <w:r/>
    </w:p>
    <w:p>
      <w:pPr>
        <w:pStyle w:val="790"/>
        <w:jc w:val="center"/>
        <w:spacing w:line="360" w:lineRule="auto"/>
        <w:rPr>
          <w:rFonts w:asciiTheme="minorEastAsia" w:hAnsiTheme="minorEastAsia" w:eastAsiaTheme="minorEastAsia" w:cstheme="minorEastAsia"/>
        </w:rPr>
        <w:sectPr>
          <w:footerReference w:type="default" r:id="rId10"/>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Theme="minorEastAsia" w:hAnsiTheme="minorEastAsia" w:eastAsiaTheme="minorEastAsia" w:cstheme="minorEastAsia"/>
          <w:color w:val="000000"/>
        </w:rPr>
        <w:t xml:space="preserve">如遇招标文件及合同未约定事项，双方可友好协商签订补充协议</w:t>
      </w:r>
      <w:bookmarkEnd w:id="186"/>
      <w:r/>
      <w:bookmarkEnd w:id="187"/>
      <w:r/>
      <w:bookmarkEnd w:id="188"/>
      <w:r/>
      <w:bookmarkEnd w:id="189"/>
      <w:r/>
      <w:r/>
    </w:p>
    <w:p>
      <w:pPr>
        <w:jc w:val="center"/>
        <w:spacing w:before="120" w:after="120" w:line="0" w:lineRule="atLeast"/>
        <w:rPr>
          <w:rFonts w:ascii="方正小标宋简体" w:hAnsi="方正小标宋简体" w:eastAsia="方正小标宋简体" w:cs="方正小标宋简体"/>
          <w:color w:val="000000"/>
          <w:sz w:val="36"/>
          <w:szCs w:val="36"/>
          <w:highlight w:val="none"/>
        </w:rPr>
        <w:outlineLvl w:val="0"/>
      </w:pPr>
      <w:r/>
      <w:bookmarkStart w:id="192" w:name="_Toc120614281"/>
      <w:r/>
      <w:bookmarkStart w:id="193" w:name="_Toc26554093"/>
      <w:r/>
      <w:bookmarkStart w:id="194" w:name="_Toc49090575"/>
      <w:r>
        <w:rPr>
          <w:rFonts w:hint="eastAsia" w:ascii="方正小标宋简体" w:hAnsi="方正小标宋简体" w:eastAsia="方正小标宋简体" w:cs="方正小标宋简体"/>
          <w:color w:val="000000"/>
          <w:sz w:val="36"/>
          <w:szCs w:val="36"/>
          <w:highlight w:val="none"/>
        </w:rPr>
        <w:t xml:space="preserve">第四章  采购需求</w:t>
      </w:r>
      <w:r/>
    </w:p>
    <w:p>
      <w:pPr>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p>
    <w:p>
      <w:pPr>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spacing w:line="264" w:lineRule="auto"/>
        <w:widowControl/>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（一）项目背景</w:t>
      </w:r>
      <w:r/>
    </w:p>
    <w:p>
      <w:pPr>
        <w:ind w:left="420" w:firstLine="480"/>
        <w:rPr>
          <w:rFonts w:ascii="宋体" w:hAnsi="宋体" w:cs="宋体"/>
          <w:sz w:val="24"/>
          <w:szCs w:val="24"/>
          <w:highlight w:val="none"/>
        </w:rPr>
      </w:pPr>
      <w:r>
        <w:rPr>
          <w:rFonts w:ascii="宋体" w:hAnsi="宋体" w:cs="宋体"/>
          <w:sz w:val="24"/>
          <w:szCs w:val="24"/>
          <w:highlight w:val="none"/>
        </w:rPr>
        <w:t xml:space="preserve">环太湖国际公路自行车赛由国际自行车联盟（UCI）、国家体育总局批准设立，自2010年创办以来已成功举办十三届，目前赛事级别为UCI职业系列赛（</w:t>
      </w:r>
      <w:r>
        <w:rPr>
          <w:highlight w:val="none"/>
        </w:rPr>
        <w:fldChar w:fldCharType="begin"/>
      </w:r>
      <w:r>
        <w:rPr>
          <w:highlight w:val="none"/>
        </w:rPr>
        <w:instrText xml:space="preserve"> HYPERLINK "https://2.pro/" \t "https://chat.deepseek.com/a/chat/s/_blank" </w:instrText>
      </w:r>
      <w:r>
        <w:rPr>
          <w:highlight w:val="none"/>
        </w:rPr>
        <w:fldChar w:fldCharType="separate"/>
      </w:r>
      <w:r>
        <w:rPr>
          <w:rFonts w:ascii="宋体" w:hAnsi="宋体" w:cs="宋体"/>
          <w:sz w:val="24"/>
          <w:szCs w:val="24"/>
          <w:highlight w:val="none"/>
        </w:rPr>
        <w:t xml:space="preserve">2.Pro</w:t>
      </w:r>
      <w:r>
        <w:rPr>
          <w:rFonts w:ascii="宋体" w:hAnsi="宋体" w:cs="宋体"/>
          <w:sz w:val="24"/>
          <w:szCs w:val="24"/>
          <w:highlight w:val="none"/>
        </w:rPr>
        <w:fldChar w:fldCharType="end"/>
      </w:r>
      <w:r>
        <w:rPr>
          <w:rFonts w:ascii="宋体" w:hAnsi="宋体" w:cs="宋体"/>
          <w:sz w:val="24"/>
          <w:szCs w:val="24"/>
          <w:highlight w:val="none"/>
        </w:rPr>
        <w:t xml:space="preserve">级），为UCI在华举办的国际A类赛事，与环海南岛、环青海湖并列为国内三大环赛。赛事每年吸引全球20余支顶级职业车队、百余名顶尖职业运动员参赛，已成为长三角区域最具影响力的国际品牌赛事之一。</w:t>
      </w:r>
      <w:r/>
    </w:p>
    <w:p>
      <w:pPr>
        <w:ind w:left="420" w:firstLine="480"/>
        <w:rPr>
          <w:rFonts w:ascii="宋体" w:hAnsi="宋体" w:cs="宋体"/>
          <w:sz w:val="24"/>
          <w:szCs w:val="24"/>
          <w:highlight w:val="none"/>
        </w:rPr>
      </w:pPr>
      <w:r>
        <w:rPr>
          <w:rFonts w:ascii="宋体" w:hAnsi="宋体" w:cs="宋体"/>
          <w:sz w:val="24"/>
          <w:szCs w:val="24"/>
          <w:highlight w:val="none"/>
        </w:rPr>
        <w:t xml:space="preserve">2024年江宁区承办该赛总决赛及总颁奖仪式。2025年承办第十三届环太湖国际公路自行车赛首站比赛及开幕仪式，江宁赛段被UCI官方评价为"历年来为数不多的集自然风光、园林艺术和人文景观为一体的赛道"。赛事获CCTV-5、江苏卫视、南京广播电视台等电视媒体报道，人民网、新华网、中新网等网站深入报道，全网相关报道达9388篇次，传播价值达2.67亿元；网络直播累计观看人数502.88万人次。赛事期间直接带动体育旅游收入约2700万元，间接经济效益近9300万元。</w:t>
      </w:r>
      <w:r/>
    </w:p>
    <w:p>
      <w:pPr>
        <w:ind w:left="420" w:firstLine="480"/>
        <w:rPr>
          <w:rFonts w:ascii="宋体" w:hAnsi="宋体" w:cs="宋体"/>
          <w:sz w:val="24"/>
          <w:szCs w:val="24"/>
          <w:highlight w:val="none"/>
        </w:rPr>
      </w:pPr>
      <w:r>
        <w:rPr>
          <w:rFonts w:ascii="宋体" w:hAnsi="宋体" w:cs="宋体"/>
          <w:sz w:val="24"/>
          <w:szCs w:val="24"/>
          <w:highlight w:val="none"/>
        </w:rPr>
        <w:t xml:space="preserve">为深入推动文体旅融合，进一步宣传推介江宁，扩大江宁知名度、美誉度，助力经济发展，承办2026第十四届环太湖国际公路自行车赛暨长三角穿越赛（南京站）首站比赛。</w:t>
      </w:r>
      <w:r/>
    </w:p>
    <w:p>
      <w:pPr>
        <w:ind w:firstLine="480"/>
        <w:spacing w:line="264" w:lineRule="auto"/>
        <w:widowControl/>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（二）项目建设遵循标准</w:t>
      </w:r>
      <w:r/>
    </w:p>
    <w:p>
      <w:pPr>
        <w:ind w:firstLine="480"/>
        <w:spacing w:line="264" w:lineRule="auto"/>
        <w:widowControl/>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遵循国家、行业及地方现行的规范和标准。</w:t>
      </w:r>
      <w:r/>
    </w:p>
    <w:p>
      <w:pPr>
        <w:numPr>
          <w:ilvl w:val="0"/>
          <w:numId w:val="5"/>
        </w:numPr>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项目清单</w:t>
      </w:r>
      <w:r/>
    </w:p>
    <w:tbl>
      <w:tblPr>
        <w:tblStyle w:val="805"/>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990"/>
        <w:gridCol w:w="1197"/>
        <w:gridCol w:w="1197"/>
        <w:gridCol w:w="1197"/>
        <w:gridCol w:w="3179"/>
      </w:tblGrid>
      <w:tr>
        <w:trPr>
          <w:trHeight w:val="567"/>
          <w:tblHeader/>
        </w:trPr>
        <w:tc>
          <w:tcPr>
            <w:tcW w:w="0" w:type="auto"/>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序号</w:t>
            </w:r>
            <w:r/>
          </w:p>
        </w:tc>
        <w:tc>
          <w:tcPr>
            <w:tcW w:w="0" w:type="auto"/>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项目类别</w:t>
            </w:r>
            <w:r/>
          </w:p>
        </w:tc>
        <w:tc>
          <w:tcPr>
            <w:tcW w:w="0" w:type="auto"/>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单位</w:t>
            </w:r>
            <w:r/>
          </w:p>
        </w:tc>
        <w:tc>
          <w:tcPr>
            <w:tcW w:w="0" w:type="auto"/>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数量</w:t>
            </w:r>
            <w:r/>
          </w:p>
        </w:tc>
        <w:tc>
          <w:tcPr>
            <w:tcW w:w="0" w:type="auto"/>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备注</w:t>
            </w:r>
            <w:r/>
          </w:p>
        </w:tc>
        <w:tc>
          <w:tcPr>
            <w:tcW w:w="3179" w:type="dxa"/>
            <w:vAlign w:val="center"/>
            <w:textDirection w:val="lrTb"/>
            <w:noWrap w:val="false"/>
          </w:tcPr>
          <w:p>
            <w:pPr>
              <w:jc w:val="center"/>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所属行业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新闻宣传</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赛事搭建</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开幕式</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劳务费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欢迎晚宴</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酒店住宿</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餐饮</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安全保障</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医疗保障</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0" w:type="auto"/>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r>
        <w:trPr>
          <w:trHeight w:val="567"/>
        </w:trPr>
        <w:tc>
          <w:tcPr>
            <w:tcW w:w="1196"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W w:w="1990"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w:t>
            </w:r>
            <w:r/>
          </w:p>
        </w:tc>
        <w:tc>
          <w:tcPr>
            <w:tcW w:w="1197"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c>
          <w:tcPr>
            <w:tcW w:w="1197"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1197"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W w:w="3179" w:type="dxa"/>
            <w:vAlign w:val="center"/>
            <w:textDirection w:val="lrTb"/>
            <w:noWrap w:val="false"/>
          </w:tcPr>
          <w:p>
            <w:pPr>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其他未列明行业</w:t>
            </w:r>
            <w:r/>
          </w:p>
        </w:tc>
      </w:tr>
    </w:tbl>
    <w:p>
      <w:pPr>
        <w:ind w:firstLine="482"/>
        <w:rPr>
          <w:rFonts w:ascii="宋体" w:hAnsi="宋体" w:cs="宋体"/>
          <w:b/>
          <w:bCs/>
          <w:sz w:val="24"/>
          <w:szCs w:val="24"/>
          <w:highlight w:val="none"/>
        </w:rPr>
      </w:pPr>
      <w:r>
        <w:rPr>
          <w:rFonts w:ascii="宋体" w:hAnsi="宋体" w:cs="宋体"/>
          <w:b/>
          <w:bCs/>
          <w:sz w:val="24"/>
          <w:szCs w:val="24"/>
          <w:highlight w:val="none"/>
        </w:rPr>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★四、服务内容</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供应商须全面承担2026第十四届环太湖国际公路自行车赛暨长三角穿越赛（南京站）的赛事策划执行、资源整合及全流程管理工作，确保赛事高效合规举办</w:t>
      </w:r>
      <w:r>
        <w:rPr>
          <w:highlight w:val="none"/>
        </w:rPr>
        <w:fldChar w:fldCharType="begin"/>
      </w:r>
      <w:r>
        <w:rPr>
          <w:highlight w:val="none"/>
        </w:rPr>
        <w:instrText xml:space="preserve"> HYPERLINK "http://www.qidong.gov.cn/qdsrmzf/zzcg/content/6c56ada3-0a3a-46c4-aa22-7210321de98f.html" \t "https://chat.deepseek.com/a/chat/s/_blank" </w:instrText>
      </w:r>
      <w:r>
        <w:rPr>
          <w:highlight w:val="none"/>
        </w:rPr>
        <w:fldChar w:fldCharType="separate"/>
      </w:r>
      <w:r>
        <w:rPr>
          <w:highlight w:val="none"/>
        </w:rPr>
        <w:fldChar w:fldCharType="end"/>
      </w:r>
      <w:r>
        <w:rPr>
          <w:rFonts w:hint="eastAsia" w:ascii="宋体" w:hAnsi="宋体" w:cs="宋体"/>
          <w:sz w:val="24"/>
          <w:szCs w:val="24"/>
          <w:highlight w:val="none"/>
        </w:rPr>
        <w:t xml:space="preserve">。具体服务内容包括但不限于以下方面：</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（一）赛事组织与策划</w:t>
      </w:r>
      <w:r/>
    </w:p>
    <w:p>
      <w:pPr>
        <w:numPr>
          <w:ilvl w:val="0"/>
          <w:numId w:val="6"/>
        </w:numPr>
        <w:ind w:firstLine="480"/>
        <w:rPr>
          <w:rFonts w:ascii="宋体" w:hAnsi="宋体" w:cs="宋体"/>
          <w:sz w:val="24"/>
          <w:szCs w:val="24"/>
          <w:highlight w:val="none"/>
        </w:rPr>
      </w:pPr>
      <w:r>
        <w:rPr>
          <w:rFonts w:hint="eastAsia" w:ascii="宋体" w:hAnsi="宋体" w:cs="宋体"/>
          <w:sz w:val="24"/>
          <w:szCs w:val="24"/>
          <w:highlight w:val="none"/>
        </w:rPr>
        <w:t xml:space="preserve">根据UCI职业系列赛（</w:t>
      </w:r>
      <w:r>
        <w:rPr>
          <w:highlight w:val="none"/>
        </w:rPr>
        <w:fldChar w:fldCharType="begin"/>
      </w:r>
      <w:r>
        <w:rPr>
          <w:highlight w:val="none"/>
        </w:rPr>
        <w:instrText xml:space="preserve"> HYPERLINK "https://2.pro/" \t "https://chat.deepseek.com/a/chat/s/_blank" </w:instrText>
      </w:r>
      <w:r>
        <w:rPr>
          <w:highlight w:val="none"/>
        </w:rPr>
        <w:fldChar w:fldCharType="separate"/>
      </w:r>
      <w:r>
        <w:rPr>
          <w:rFonts w:hint="eastAsia" w:ascii="宋体" w:hAnsi="宋体" w:cs="宋体"/>
          <w:sz w:val="24"/>
          <w:szCs w:val="24"/>
          <w:highlight w:val="none"/>
        </w:rPr>
        <w:t xml:space="preserve">2.Pro</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级）办赛标准，制定赛事总体策划方案、竞赛组织方案及工作进度计划。</w:t>
      </w:r>
      <w:r/>
    </w:p>
    <w:p>
      <w:pPr>
        <w:numPr>
          <w:ilvl w:val="0"/>
          <w:numId w:val="6"/>
        </w:numPr>
        <w:ind w:firstLine="480"/>
        <w:rPr>
          <w:rFonts w:ascii="宋体" w:hAnsi="宋体" w:cs="宋体"/>
          <w:sz w:val="24"/>
          <w:szCs w:val="24"/>
          <w:highlight w:val="none"/>
        </w:rPr>
      </w:pPr>
      <w:r>
        <w:rPr>
          <w:rFonts w:hint="eastAsia" w:ascii="宋体" w:hAnsi="宋体" w:cs="宋体"/>
          <w:sz w:val="24"/>
          <w:szCs w:val="24"/>
          <w:highlight w:val="none"/>
        </w:rPr>
        <w:t xml:space="preserve">负责与UCI、中国自行车运动协会、江苏省体育局、浙江省体育局、南京市人民政府等主办及承办单位的沟通协调。</w:t>
      </w:r>
      <w:r/>
    </w:p>
    <w:p>
      <w:pPr>
        <w:numPr>
          <w:ilvl w:val="0"/>
          <w:numId w:val="6"/>
        </w:numPr>
        <w:ind w:firstLine="480"/>
        <w:rPr>
          <w:rFonts w:ascii="宋体" w:hAnsi="宋体" w:cs="宋体"/>
          <w:sz w:val="24"/>
          <w:szCs w:val="24"/>
          <w:highlight w:val="none"/>
        </w:rPr>
      </w:pPr>
      <w:r>
        <w:rPr>
          <w:rFonts w:hint="eastAsia" w:ascii="宋体" w:hAnsi="宋体" w:cs="宋体"/>
          <w:sz w:val="24"/>
          <w:szCs w:val="24"/>
          <w:highlight w:val="none"/>
        </w:rPr>
        <w:t xml:space="preserve">负责赛事后勤综合保障工作。包括嘉宾；参赛车队由在UCI注册的洲际职业队、洲际队、国家队组成，共计22支车队、154名职业运动员；工作人员；志愿者等赛事相关工作人员。</w:t>
      </w:r>
      <w:r/>
    </w:p>
    <w:p>
      <w:pPr>
        <w:numPr>
          <w:ilvl w:val="0"/>
          <w:numId w:val="6"/>
        </w:numPr>
        <w:ind w:firstLine="480"/>
        <w:rPr>
          <w:rFonts w:ascii="宋体" w:hAnsi="宋体" w:cs="宋体"/>
          <w:sz w:val="24"/>
          <w:szCs w:val="24"/>
          <w:highlight w:val="none"/>
        </w:rPr>
      </w:pPr>
      <w:r>
        <w:rPr>
          <w:rFonts w:hint="eastAsia" w:ascii="宋体" w:hAnsi="宋体" w:cs="宋体"/>
          <w:sz w:val="24"/>
          <w:szCs w:val="24"/>
          <w:highlight w:val="none"/>
        </w:rPr>
        <w:t xml:space="preserve">负责赛事安全管理、舆情处置等工作。</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（二）赛事路线规划与赛道保障</w:t>
      </w:r>
      <w:r/>
    </w:p>
    <w:p>
      <w:pPr>
        <w:numPr>
          <w:ilvl w:val="0"/>
          <w:numId w:val="7"/>
        </w:numPr>
        <w:ind w:firstLine="480"/>
        <w:rPr>
          <w:rFonts w:ascii="宋体" w:hAnsi="宋体" w:cs="宋体"/>
          <w:sz w:val="24"/>
          <w:szCs w:val="24"/>
          <w:highlight w:val="none"/>
        </w:rPr>
      </w:pPr>
      <w:r>
        <w:rPr>
          <w:rFonts w:hint="eastAsia" w:ascii="宋体" w:hAnsi="宋体" w:cs="宋体"/>
          <w:sz w:val="24"/>
          <w:szCs w:val="24"/>
          <w:highlight w:val="none"/>
        </w:rPr>
        <w:t xml:space="preserve">赛事路线：起点为圣湖东路（景区入口广场）→圣湖东路（左侧道路逆行）→铜龙省道（右转）→孟春路→圣湖东路（左侧道路逆行）→园博园路→雪浪路→梦悦路→仙麒大道辅路→圣湖西路→圣湖东路→终点园博园路。</w:t>
      </w:r>
      <w:r/>
    </w:p>
    <w:p>
      <w:pPr>
        <w:numPr>
          <w:ilvl w:val="0"/>
          <w:numId w:val="7"/>
        </w:numPr>
        <w:ind w:firstLine="480"/>
        <w:rPr>
          <w:rFonts w:ascii="宋体" w:hAnsi="宋体" w:cs="宋体"/>
          <w:sz w:val="24"/>
          <w:szCs w:val="24"/>
          <w:highlight w:val="none"/>
        </w:rPr>
      </w:pPr>
      <w:r>
        <w:rPr>
          <w:rFonts w:hint="eastAsia" w:ascii="宋体" w:hAnsi="宋体" w:cs="宋体"/>
          <w:sz w:val="24"/>
          <w:szCs w:val="24"/>
          <w:highlight w:val="none"/>
        </w:rPr>
        <w:t xml:space="preserve">采用绕圈赛模式，总里程100公里以内（单圈约17公里），赛道位于江苏园博园内部。</w:t>
      </w:r>
      <w:r/>
    </w:p>
    <w:p>
      <w:pPr>
        <w:numPr>
          <w:ilvl w:val="0"/>
          <w:numId w:val="7"/>
        </w:numPr>
        <w:ind w:firstLine="480"/>
        <w:rPr>
          <w:rFonts w:ascii="宋体" w:hAnsi="宋体" w:cs="宋体"/>
          <w:sz w:val="24"/>
          <w:szCs w:val="24"/>
          <w:highlight w:val="none"/>
        </w:rPr>
      </w:pPr>
      <w:r>
        <w:rPr>
          <w:rFonts w:hint="eastAsia" w:ascii="宋体" w:hAnsi="宋体" w:cs="宋体"/>
          <w:sz w:val="24"/>
          <w:szCs w:val="24"/>
          <w:highlight w:val="none"/>
        </w:rPr>
        <w:t xml:space="preserve">负责赛道布置、修整及保障工作。</w:t>
      </w:r>
      <w:r/>
    </w:p>
    <w:p>
      <w:pPr>
        <w:numPr>
          <w:ilvl w:val="0"/>
          <w:numId w:val="7"/>
        </w:numPr>
        <w:ind w:firstLine="480"/>
        <w:rPr>
          <w:rFonts w:ascii="宋体" w:hAnsi="宋体" w:cs="宋体"/>
          <w:sz w:val="24"/>
          <w:szCs w:val="24"/>
          <w:highlight w:val="none"/>
        </w:rPr>
      </w:pPr>
      <w:r>
        <w:rPr>
          <w:rFonts w:hint="eastAsia" w:ascii="宋体" w:hAnsi="宋体" w:cs="宋体"/>
          <w:sz w:val="24"/>
          <w:szCs w:val="24"/>
          <w:highlight w:val="none"/>
        </w:rPr>
        <w:t xml:space="preserve">负责赛道沿线景观布置及赛事氛围营造。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（三）开幕式策划与执行</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开幕式时间：2026年9月12日上午，地点：南京江宁园博园主会场。</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暖场表演：邀请当地特色文艺团体进行演出。</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领导致辞环节的组织与保障。</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运动员与裁判代表宣誓环节。</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启动仪式：通过创意装置正式开启赛事。</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文艺展演：融合体育与艺术元素。</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开幕式舞台搭建（含LED屏、赛道门头等）。</w:t>
      </w:r>
      <w:r/>
    </w:p>
    <w:p>
      <w:pPr>
        <w:numPr>
          <w:ilvl w:val="0"/>
          <w:numId w:val="8"/>
        </w:numPr>
        <w:ind w:firstLine="480"/>
        <w:rPr>
          <w:rFonts w:ascii="宋体" w:hAnsi="宋体" w:cs="宋体"/>
          <w:sz w:val="24"/>
          <w:szCs w:val="24"/>
          <w:highlight w:val="none"/>
        </w:rPr>
      </w:pPr>
      <w:r>
        <w:rPr>
          <w:rFonts w:hint="eastAsia" w:ascii="宋体" w:hAnsi="宋体" w:cs="宋体"/>
          <w:sz w:val="24"/>
          <w:szCs w:val="24"/>
          <w:highlight w:val="none"/>
        </w:rPr>
        <w:t xml:space="preserve">烟花秀表演。</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（四）新闻宣传与媒体传播</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负责赛事整体宣传推广方案的制定与执行。</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负责赛事照片直播。</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负责赛事推广与宣传。</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负责交通管制通告的发布。</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协调CCTV-5、江苏卫视、南京广播电视台等电视媒体报道。</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协调人民网、新华网、中新网等网站媒体深入报道。</w:t>
      </w:r>
      <w:r/>
    </w:p>
    <w:p>
      <w:pPr>
        <w:numPr>
          <w:ilvl w:val="0"/>
          <w:numId w:val="9"/>
        </w:numPr>
        <w:ind w:firstLine="480"/>
        <w:rPr>
          <w:rFonts w:ascii="宋体" w:hAnsi="宋体" w:cs="宋体"/>
          <w:sz w:val="24"/>
          <w:szCs w:val="24"/>
          <w:highlight w:val="none"/>
        </w:rPr>
      </w:pPr>
      <w:r>
        <w:rPr>
          <w:rFonts w:hint="eastAsia" w:ascii="宋体" w:hAnsi="宋体" w:cs="宋体"/>
          <w:sz w:val="24"/>
          <w:szCs w:val="24"/>
          <w:highlight w:val="none"/>
        </w:rPr>
        <w:t xml:space="preserve">负责赛事网络直播的组织与保障。</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（五）接待与后勤保障</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接待对象：参赛运动员、国际技术官员、领导嘉宾、媒体记者等，预计总人数约650人。</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接待时间：2026年9月10日至12日（3天）。</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住宿保障：在江宁园博园周边选定3至4家酒店作为指定接待酒店，确保房间设施齐全、交通便利，为国际友人提供双语服务。</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餐饮服务：在酒店设置赛事专属用餐区域，提供中西结合自助餐，标注食材过敏原信息，保障饮食安全。</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接送服务：在机场、高铁站安排专人专车接送，为运动员提供自行车运输车辆。</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注册报到：在酒店大堂设立赛事接待处，提供一站式报到服务。</w:t>
      </w:r>
      <w:r/>
    </w:p>
    <w:p>
      <w:pPr>
        <w:numPr>
          <w:ilvl w:val="0"/>
          <w:numId w:val="10"/>
        </w:numPr>
        <w:ind w:firstLine="480"/>
        <w:rPr>
          <w:rFonts w:ascii="宋体" w:hAnsi="宋体" w:cs="宋体"/>
          <w:sz w:val="24"/>
          <w:szCs w:val="24"/>
          <w:highlight w:val="none"/>
        </w:rPr>
      </w:pPr>
      <w:r>
        <w:rPr>
          <w:rFonts w:hint="eastAsia" w:ascii="宋体" w:hAnsi="宋体" w:cs="宋体"/>
          <w:sz w:val="24"/>
          <w:szCs w:val="24"/>
          <w:highlight w:val="none"/>
        </w:rPr>
        <w:t xml:space="preserve">欢迎晚宴：负责组织车队、裁判等人员的欢迎晚宴。</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（六）安全保障</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制定安全保卫工作计划和突发事件应急预案。</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负责比赛路线的交通管制、车辆疏导及线路的安全保障。</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赛区内主要路段设置管制岗，对通行的机动车、非机动车、人员进行管制通行。</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起终点周围主要路口、沿途岔道口配备交警，停车区域设置交警协助引导车辆停放。</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赛前通过各类媒体向居民和游客通告赛事当天封路信息及园区暂停开放时间。</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根据赛事路线提前半小时进行交通管控，赛道完全封闭在比赛开始前15至20分钟开始。</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配备赛事铁马、安保人员、交通设施及安保设备。</w:t>
      </w:r>
      <w:r/>
    </w:p>
    <w:p>
      <w:pPr>
        <w:numPr>
          <w:ilvl w:val="0"/>
          <w:numId w:val="11"/>
        </w:numPr>
        <w:ind w:firstLine="480"/>
        <w:rPr>
          <w:rFonts w:ascii="宋体" w:hAnsi="宋体" w:cs="宋体"/>
          <w:sz w:val="24"/>
          <w:szCs w:val="24"/>
          <w:highlight w:val="none"/>
        </w:rPr>
      </w:pPr>
      <w:r>
        <w:rPr>
          <w:rFonts w:hint="eastAsia" w:ascii="宋体" w:hAnsi="宋体" w:cs="宋体"/>
          <w:sz w:val="24"/>
          <w:szCs w:val="24"/>
          <w:highlight w:val="none"/>
        </w:rPr>
        <w:t xml:space="preserve">安保工作各阶段安排：</w:t>
      </w:r>
      <w:r/>
    </w:p>
    <w:p>
      <w:pPr>
        <w:numPr>
          <w:ilvl w:val="0"/>
          <w:numId w:val="12"/>
        </w:numPr>
        <w:ind w:firstLine="480"/>
        <w:rPr>
          <w:rFonts w:ascii="宋体" w:hAnsi="宋体" w:cs="宋体"/>
          <w:sz w:val="24"/>
          <w:szCs w:val="24"/>
          <w:highlight w:val="none"/>
        </w:rPr>
      </w:pPr>
      <w:r>
        <w:rPr>
          <w:rFonts w:hint="eastAsia" w:ascii="宋体" w:hAnsi="宋体" w:cs="宋体"/>
          <w:sz w:val="24"/>
          <w:szCs w:val="24"/>
          <w:highlight w:val="none"/>
        </w:rPr>
        <w:t xml:space="preserve">计划筹备阶段：对比赛线路进行初步勘察，确定比赛线路，拟定安保工作方案。</w:t>
      </w:r>
      <w:r/>
    </w:p>
    <w:p>
      <w:pPr>
        <w:numPr>
          <w:ilvl w:val="0"/>
          <w:numId w:val="12"/>
        </w:numPr>
        <w:ind w:firstLine="480"/>
        <w:rPr>
          <w:rFonts w:ascii="宋体" w:hAnsi="宋体" w:cs="宋体"/>
          <w:sz w:val="24"/>
          <w:szCs w:val="24"/>
          <w:highlight w:val="none"/>
        </w:rPr>
      </w:pPr>
      <w:r>
        <w:rPr>
          <w:rFonts w:hint="eastAsia" w:ascii="宋体" w:hAnsi="宋体" w:cs="宋体"/>
          <w:sz w:val="24"/>
          <w:szCs w:val="24"/>
          <w:highlight w:val="none"/>
        </w:rPr>
        <w:t xml:space="preserve">联络沟通阶段：与公安部门就赛事安保事宜进行沟通。</w:t>
      </w:r>
      <w:r/>
    </w:p>
    <w:p>
      <w:pPr>
        <w:numPr>
          <w:ilvl w:val="0"/>
          <w:numId w:val="12"/>
        </w:numPr>
        <w:ind w:firstLine="480"/>
        <w:rPr>
          <w:rFonts w:ascii="宋体" w:hAnsi="宋体" w:cs="宋体"/>
          <w:sz w:val="24"/>
          <w:szCs w:val="24"/>
          <w:highlight w:val="none"/>
        </w:rPr>
      </w:pPr>
      <w:r>
        <w:rPr>
          <w:rFonts w:hint="eastAsia" w:ascii="宋体" w:hAnsi="宋体" w:cs="宋体"/>
          <w:sz w:val="24"/>
          <w:szCs w:val="24"/>
          <w:highlight w:val="none"/>
        </w:rPr>
        <w:t xml:space="preserve">启动协调阶段：制订赛事组织工作方案，召开各相关部门任务分工会。</w:t>
      </w:r>
      <w:r/>
    </w:p>
    <w:p>
      <w:pPr>
        <w:numPr>
          <w:ilvl w:val="0"/>
          <w:numId w:val="12"/>
        </w:numPr>
        <w:ind w:firstLine="480"/>
        <w:rPr>
          <w:rFonts w:ascii="宋体" w:hAnsi="宋体" w:cs="宋体"/>
          <w:sz w:val="24"/>
          <w:szCs w:val="24"/>
          <w:highlight w:val="none"/>
        </w:rPr>
      </w:pPr>
      <w:r>
        <w:rPr>
          <w:rFonts w:hint="eastAsia" w:ascii="宋体" w:hAnsi="宋体" w:cs="宋体"/>
          <w:sz w:val="24"/>
          <w:szCs w:val="24"/>
          <w:highlight w:val="none"/>
        </w:rPr>
        <w:t xml:space="preserve">推进落实阶段：组委会集中办公，确定起终点人员车辆流线、赛道封闭、警力安保人员布置等。</w:t>
      </w:r>
      <w:r/>
    </w:p>
    <w:p>
      <w:pPr>
        <w:numPr>
          <w:ilvl w:val="0"/>
          <w:numId w:val="12"/>
        </w:numPr>
        <w:ind w:firstLine="480"/>
        <w:rPr>
          <w:rFonts w:ascii="宋体" w:hAnsi="宋体" w:cs="宋体"/>
          <w:sz w:val="24"/>
          <w:szCs w:val="24"/>
          <w:highlight w:val="none"/>
        </w:rPr>
      </w:pPr>
      <w:r>
        <w:rPr>
          <w:rFonts w:hint="eastAsia" w:ascii="宋体" w:hAnsi="宋体" w:cs="宋体"/>
          <w:sz w:val="24"/>
          <w:szCs w:val="24"/>
          <w:highlight w:val="none"/>
        </w:rPr>
        <w:t xml:space="preserve">赛时赛后阶段：确保各项安保工作落实到人，赛事当天做好现场竞赛组织、安全保卫和医疗救护保障工作。</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（七）医疗保障</w:t>
      </w:r>
      <w:r/>
    </w:p>
    <w:p>
      <w:pPr>
        <w:numPr>
          <w:ilvl w:val="0"/>
          <w:numId w:val="13"/>
        </w:numPr>
        <w:ind w:firstLine="480"/>
        <w:rPr>
          <w:rFonts w:ascii="宋体" w:hAnsi="宋体" w:cs="宋体"/>
          <w:sz w:val="24"/>
          <w:szCs w:val="24"/>
          <w:highlight w:val="none"/>
        </w:rPr>
      </w:pPr>
      <w:r>
        <w:rPr>
          <w:rFonts w:hint="eastAsia" w:ascii="宋体" w:hAnsi="宋体" w:cs="宋体"/>
          <w:sz w:val="24"/>
          <w:szCs w:val="24"/>
          <w:highlight w:val="none"/>
        </w:rPr>
        <w:t xml:space="preserve">共需动用标准救护车4辆。</w:t>
      </w:r>
      <w:r/>
    </w:p>
    <w:p>
      <w:pPr>
        <w:numPr>
          <w:ilvl w:val="0"/>
          <w:numId w:val="13"/>
        </w:numPr>
        <w:ind w:firstLine="480"/>
        <w:rPr>
          <w:rFonts w:ascii="宋体" w:hAnsi="宋体" w:cs="宋体"/>
          <w:sz w:val="24"/>
          <w:szCs w:val="24"/>
          <w:highlight w:val="none"/>
        </w:rPr>
      </w:pPr>
      <w:r>
        <w:rPr>
          <w:rFonts w:hint="eastAsia" w:ascii="宋体" w:hAnsi="宋体" w:cs="宋体"/>
          <w:sz w:val="24"/>
          <w:szCs w:val="24"/>
          <w:highlight w:val="none"/>
        </w:rPr>
        <w:t xml:space="preserve">设置医疗站2个（运动员入住酒店和颁奖现场）。</w:t>
      </w:r>
      <w:r/>
    </w:p>
    <w:p>
      <w:pPr>
        <w:numPr>
          <w:ilvl w:val="0"/>
          <w:numId w:val="13"/>
        </w:numPr>
        <w:ind w:firstLine="480"/>
        <w:rPr>
          <w:rFonts w:ascii="宋体" w:hAnsi="宋体" w:cs="宋体"/>
          <w:sz w:val="24"/>
          <w:szCs w:val="24"/>
          <w:highlight w:val="none"/>
        </w:rPr>
      </w:pPr>
      <w:r>
        <w:rPr>
          <w:rFonts w:hint="eastAsia" w:ascii="宋体" w:hAnsi="宋体" w:cs="宋体"/>
          <w:sz w:val="24"/>
          <w:szCs w:val="24"/>
          <w:highlight w:val="none"/>
        </w:rPr>
        <w:t xml:space="preserve">配备专业医务人员总人数15人。</w:t>
      </w:r>
      <w:r/>
    </w:p>
    <w:p>
      <w:pPr>
        <w:numPr>
          <w:ilvl w:val="0"/>
          <w:numId w:val="13"/>
        </w:numPr>
        <w:ind w:firstLine="480"/>
        <w:rPr>
          <w:rFonts w:ascii="宋体" w:hAnsi="宋体" w:cs="宋体"/>
          <w:sz w:val="24"/>
          <w:szCs w:val="24"/>
          <w:highlight w:val="none"/>
        </w:rPr>
      </w:pPr>
      <w:r>
        <w:rPr>
          <w:rFonts w:hint="eastAsia" w:ascii="宋体" w:hAnsi="宋体" w:cs="宋体"/>
          <w:sz w:val="24"/>
          <w:szCs w:val="24"/>
          <w:highlight w:val="none"/>
        </w:rPr>
        <w:t xml:space="preserve">为赛道上的医疗救护工作开辟安全畅通的临时专用通道。</w:t>
      </w:r>
      <w:r/>
    </w:p>
    <w:p>
      <w:pPr>
        <w:numPr>
          <w:ilvl w:val="0"/>
          <w:numId w:val="13"/>
        </w:numPr>
        <w:ind w:firstLine="480"/>
        <w:rPr>
          <w:rFonts w:ascii="宋体" w:hAnsi="宋体" w:cs="宋体"/>
          <w:sz w:val="24"/>
          <w:szCs w:val="24"/>
          <w:highlight w:val="none"/>
        </w:rPr>
      </w:pPr>
      <w:r>
        <w:rPr>
          <w:rFonts w:hint="eastAsia" w:ascii="宋体" w:hAnsi="宋体" w:cs="宋体"/>
          <w:sz w:val="24"/>
          <w:szCs w:val="24"/>
          <w:highlight w:val="none"/>
        </w:rPr>
        <w:t xml:space="preserve">配备医护人员、急救设备及药品耗材。</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（八）应急管理</w:t>
      </w:r>
      <w:r/>
    </w:p>
    <w:p>
      <w:pPr>
        <w:numPr>
          <w:ilvl w:val="0"/>
          <w:numId w:val="14"/>
        </w:numPr>
        <w:ind w:firstLine="480"/>
        <w:rPr>
          <w:rFonts w:ascii="宋体" w:hAnsi="宋体" w:cs="宋体"/>
          <w:sz w:val="24"/>
          <w:szCs w:val="24"/>
          <w:highlight w:val="none"/>
        </w:rPr>
      </w:pPr>
      <w:r>
        <w:rPr>
          <w:rFonts w:hint="eastAsia" w:ascii="宋体" w:hAnsi="宋体" w:cs="宋体"/>
          <w:sz w:val="24"/>
          <w:szCs w:val="24"/>
          <w:highlight w:val="none"/>
        </w:rPr>
        <w:t xml:space="preserve">配合成立赛事突发公共事件应急工作组。</w:t>
      </w:r>
      <w:r/>
    </w:p>
    <w:p>
      <w:pPr>
        <w:numPr>
          <w:ilvl w:val="0"/>
          <w:numId w:val="14"/>
        </w:numPr>
        <w:ind w:firstLine="480"/>
        <w:rPr>
          <w:rFonts w:ascii="宋体" w:hAnsi="宋体" w:cs="宋体"/>
          <w:sz w:val="24"/>
          <w:szCs w:val="24"/>
          <w:highlight w:val="none"/>
        </w:rPr>
      </w:pPr>
      <w:r>
        <w:rPr>
          <w:rFonts w:hint="eastAsia" w:ascii="宋体" w:hAnsi="宋体" w:cs="宋体"/>
          <w:sz w:val="24"/>
          <w:szCs w:val="24"/>
          <w:highlight w:val="none"/>
        </w:rPr>
        <w:t xml:space="preserve">根据部门职能制定各领域突发事件应急预案。</w:t>
      </w:r>
      <w:r/>
    </w:p>
    <w:p>
      <w:pPr>
        <w:numPr>
          <w:ilvl w:val="0"/>
          <w:numId w:val="14"/>
        </w:numPr>
        <w:ind w:firstLine="480"/>
        <w:rPr>
          <w:rFonts w:ascii="宋体" w:hAnsi="宋体" w:cs="宋体"/>
          <w:sz w:val="24"/>
          <w:szCs w:val="24"/>
          <w:highlight w:val="none"/>
        </w:rPr>
      </w:pPr>
      <w:r>
        <w:rPr>
          <w:rFonts w:hint="eastAsia" w:ascii="宋体" w:hAnsi="宋体" w:cs="宋体"/>
          <w:sz w:val="24"/>
          <w:szCs w:val="24"/>
          <w:highlight w:val="none"/>
        </w:rPr>
        <w:t xml:space="preserve">负责组织、领导、指挥和监督赛事突发公共事件应急预案的制定、运行及应急响应行动。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（九）志愿者管理</w:t>
      </w:r>
      <w:r/>
    </w:p>
    <w:p>
      <w:pPr>
        <w:numPr>
          <w:ilvl w:val="0"/>
          <w:numId w:val="15"/>
        </w:numPr>
        <w:ind w:firstLine="480"/>
        <w:rPr>
          <w:rFonts w:ascii="宋体" w:hAnsi="宋体" w:cs="宋体"/>
          <w:sz w:val="24"/>
          <w:szCs w:val="24"/>
          <w:highlight w:val="none"/>
        </w:rPr>
      </w:pPr>
      <w:r>
        <w:rPr>
          <w:rFonts w:hint="eastAsia" w:ascii="宋体" w:hAnsi="宋体" w:cs="宋体"/>
          <w:sz w:val="24"/>
          <w:szCs w:val="24"/>
          <w:highlight w:val="none"/>
        </w:rPr>
        <w:t xml:space="preserve">负责志愿者的招募、培训、管理工作</w:t>
      </w:r>
      <w:r>
        <w:rPr>
          <w:highlight w:val="none"/>
        </w:rPr>
        <w:fldChar w:fldCharType="begin"/>
      </w:r>
      <w:r>
        <w:rPr>
          <w:highlight w:val="none"/>
        </w:rPr>
        <w:instrText xml:space="preserve"> HYPERLINK "http://www.qidong.gov.cn/qdsrmzf/zzcg/content/6c56ada3-0a3a-46c4-aa22-7210321de98f.html" \t "https://chat.deepseek.com/a/chat/s/_blank" </w:instrText>
      </w:r>
      <w:r>
        <w:rPr>
          <w:highlight w:val="none"/>
        </w:rPr>
        <w:fldChar w:fldCharType="separate"/>
      </w:r>
      <w:r>
        <w:rPr>
          <w:highlight w:val="none"/>
        </w:rPr>
        <w:fldChar w:fldCharType="end"/>
      </w:r>
      <w:r>
        <w:rPr>
          <w:rFonts w:hint="eastAsia" w:ascii="宋体" w:hAnsi="宋体" w:cs="宋体"/>
          <w:sz w:val="24"/>
          <w:szCs w:val="24"/>
          <w:highlight w:val="none"/>
        </w:rPr>
        <w:t xml:space="preserve">。</w:t>
      </w:r>
      <w:r/>
    </w:p>
    <w:p>
      <w:pPr>
        <w:numPr>
          <w:ilvl w:val="0"/>
          <w:numId w:val="15"/>
        </w:numPr>
        <w:ind w:firstLine="480"/>
        <w:rPr>
          <w:rFonts w:ascii="宋体" w:hAnsi="宋体" w:cs="宋体"/>
          <w:sz w:val="24"/>
          <w:szCs w:val="24"/>
          <w:highlight w:val="none"/>
        </w:rPr>
      </w:pPr>
      <w:r>
        <w:rPr>
          <w:rFonts w:hint="eastAsia" w:ascii="宋体" w:hAnsi="宋体" w:cs="宋体"/>
          <w:sz w:val="24"/>
          <w:szCs w:val="24"/>
          <w:highlight w:val="none"/>
        </w:rPr>
        <w:t xml:space="preserve">确保志愿者在赛事各环节有效开展工作。</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（十）场地与设施保障</w:t>
      </w:r>
      <w:r/>
    </w:p>
    <w:p>
      <w:pPr>
        <w:numPr>
          <w:ilvl w:val="0"/>
          <w:numId w:val="16"/>
        </w:numPr>
        <w:ind w:firstLine="480"/>
        <w:rPr>
          <w:rFonts w:ascii="宋体" w:hAnsi="宋体" w:cs="宋体"/>
          <w:sz w:val="24"/>
          <w:szCs w:val="24"/>
          <w:highlight w:val="none"/>
        </w:rPr>
      </w:pPr>
      <w:r>
        <w:rPr>
          <w:rFonts w:hint="eastAsia" w:ascii="宋体" w:hAnsi="宋体" w:cs="宋体"/>
          <w:sz w:val="24"/>
          <w:szCs w:val="24"/>
          <w:highlight w:val="none"/>
        </w:rPr>
        <w:t xml:space="preserve">负责提供赛事所需竞赛与活动场地。</w:t>
      </w:r>
      <w:r/>
    </w:p>
    <w:p>
      <w:pPr>
        <w:numPr>
          <w:ilvl w:val="0"/>
          <w:numId w:val="16"/>
        </w:numPr>
        <w:ind w:firstLine="480"/>
        <w:rPr>
          <w:rFonts w:ascii="宋体" w:hAnsi="宋体" w:cs="宋体"/>
          <w:sz w:val="24"/>
          <w:szCs w:val="24"/>
          <w:highlight w:val="none"/>
        </w:rPr>
      </w:pPr>
      <w:r>
        <w:rPr>
          <w:rFonts w:hint="eastAsia" w:ascii="宋体" w:hAnsi="宋体" w:cs="宋体"/>
          <w:sz w:val="24"/>
          <w:szCs w:val="24"/>
          <w:highlight w:val="none"/>
        </w:rPr>
        <w:t xml:space="preserve">负责起终点的供电保障。</w:t>
      </w:r>
      <w:r/>
    </w:p>
    <w:p>
      <w:pPr>
        <w:numPr>
          <w:ilvl w:val="0"/>
          <w:numId w:val="16"/>
        </w:numPr>
        <w:ind w:firstLine="480"/>
        <w:rPr>
          <w:rFonts w:ascii="宋体" w:hAnsi="宋体" w:cs="宋体"/>
          <w:sz w:val="24"/>
          <w:szCs w:val="24"/>
          <w:highlight w:val="none"/>
        </w:rPr>
      </w:pPr>
      <w:r>
        <w:rPr>
          <w:rFonts w:hint="eastAsia" w:ascii="宋体" w:hAnsi="宋体" w:cs="宋体"/>
          <w:sz w:val="24"/>
          <w:szCs w:val="24"/>
          <w:highlight w:val="none"/>
        </w:rPr>
        <w:t xml:space="preserve">负责起终点的网络通讯保障。</w:t>
      </w:r>
      <w:r/>
    </w:p>
    <w:p>
      <w:pPr>
        <w:numPr>
          <w:ilvl w:val="0"/>
          <w:numId w:val="16"/>
        </w:numPr>
        <w:ind w:firstLine="480"/>
        <w:rPr>
          <w:rFonts w:ascii="宋体" w:hAnsi="宋体" w:cs="宋体"/>
          <w:sz w:val="24"/>
          <w:szCs w:val="24"/>
          <w:highlight w:val="none"/>
        </w:rPr>
      </w:pPr>
      <w:r>
        <w:rPr>
          <w:rFonts w:hint="eastAsia" w:ascii="宋体" w:hAnsi="宋体" w:cs="宋体"/>
          <w:sz w:val="24"/>
          <w:szCs w:val="24"/>
          <w:highlight w:val="none"/>
        </w:rPr>
        <w:t xml:space="preserve">主会场舞台（含LED屏、赛道门头、非遗市集展区、露营区）搭建。</w:t>
      </w:r>
      <w:r/>
    </w:p>
    <w:p>
      <w:pPr>
        <w:numPr>
          <w:ilvl w:val="0"/>
          <w:numId w:val="16"/>
        </w:numPr>
        <w:ind w:firstLine="480"/>
        <w:rPr>
          <w:rFonts w:ascii="宋体" w:hAnsi="宋体" w:cs="宋体"/>
          <w:sz w:val="24"/>
          <w:szCs w:val="24"/>
          <w:highlight w:val="none"/>
        </w:rPr>
      </w:pPr>
      <w:r>
        <w:rPr>
          <w:rFonts w:hint="eastAsia" w:ascii="宋体" w:hAnsi="宋体" w:cs="宋体"/>
          <w:sz w:val="24"/>
          <w:szCs w:val="24"/>
          <w:highlight w:val="none"/>
        </w:rPr>
        <w:t xml:space="preserve">负责赛事各类设备租赁管护</w:t>
      </w:r>
      <w:r>
        <w:rPr>
          <w:highlight w:val="none"/>
        </w:rPr>
        <w:fldChar w:fldCharType="begin"/>
      </w:r>
      <w:r>
        <w:rPr>
          <w:highlight w:val="none"/>
        </w:rPr>
        <w:instrText xml:space="preserve"> HYPERLINK "http://www.qidong.gov.cn/qdsrmzf/zzcg/content/6c56ada3-0a3a-46c4-aa22-7210321de98f.html" \t "https://chat.deepseek.com/a/chat/s/_blank" </w:instrText>
      </w:r>
      <w:r>
        <w:rPr>
          <w:highlight w:val="none"/>
        </w:rPr>
        <w:fldChar w:fldCharType="separate"/>
      </w:r>
      <w:r>
        <w:rPr>
          <w:highlight w:val="none"/>
        </w:rPr>
        <w:fldChar w:fldCharType="end"/>
      </w:r>
      <w:r>
        <w:rPr>
          <w:rFonts w:hint="eastAsia" w:ascii="宋体" w:hAnsi="宋体" w:cs="宋体"/>
          <w:sz w:val="24"/>
          <w:szCs w:val="24"/>
          <w:highlight w:val="none"/>
        </w:rPr>
        <w:t xml:space="preserve">。</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（十一）其他保障</w:t>
      </w:r>
      <w:r/>
    </w:p>
    <w:p>
      <w:pPr>
        <w:numPr>
          <w:ilvl w:val="0"/>
          <w:numId w:val="17"/>
        </w:numPr>
        <w:ind w:firstLine="480"/>
        <w:rPr>
          <w:rFonts w:ascii="宋体" w:hAnsi="宋体" w:cs="宋体"/>
          <w:sz w:val="24"/>
          <w:szCs w:val="24"/>
          <w:highlight w:val="none"/>
        </w:rPr>
      </w:pPr>
      <w:r>
        <w:rPr>
          <w:rFonts w:hint="eastAsia" w:ascii="宋体" w:hAnsi="宋体" w:cs="宋体"/>
          <w:sz w:val="24"/>
          <w:szCs w:val="24"/>
          <w:highlight w:val="none"/>
        </w:rPr>
        <w:t xml:space="preserve">负责比赛赛道路面的建设和维护。</w:t>
      </w:r>
      <w:r/>
    </w:p>
    <w:p>
      <w:pPr>
        <w:numPr>
          <w:ilvl w:val="0"/>
          <w:numId w:val="17"/>
        </w:numPr>
        <w:ind w:firstLine="480"/>
        <w:rPr>
          <w:rFonts w:ascii="宋体" w:hAnsi="宋体" w:cs="宋体"/>
          <w:sz w:val="24"/>
          <w:szCs w:val="24"/>
          <w:highlight w:val="none"/>
        </w:rPr>
      </w:pPr>
      <w:r>
        <w:rPr>
          <w:rFonts w:hint="eastAsia" w:ascii="宋体" w:hAnsi="宋体" w:cs="宋体"/>
          <w:sz w:val="24"/>
          <w:szCs w:val="24"/>
          <w:highlight w:val="none"/>
        </w:rPr>
        <w:t xml:space="preserve">负责比赛现场VIP区域管理与服务。</w:t>
      </w:r>
      <w:r/>
    </w:p>
    <w:p>
      <w:pPr>
        <w:numPr>
          <w:ilvl w:val="0"/>
          <w:numId w:val="17"/>
        </w:numPr>
        <w:ind w:firstLine="480"/>
        <w:rPr>
          <w:rFonts w:ascii="宋体" w:hAnsi="宋体" w:cs="宋体"/>
          <w:sz w:val="24"/>
          <w:szCs w:val="24"/>
          <w:highlight w:val="none"/>
        </w:rPr>
      </w:pPr>
      <w:r>
        <w:rPr>
          <w:rFonts w:hint="eastAsia" w:ascii="宋体" w:hAnsi="宋体" w:cs="宋体"/>
          <w:sz w:val="24"/>
          <w:szCs w:val="24"/>
          <w:highlight w:val="none"/>
        </w:rPr>
        <w:t xml:space="preserve">负责赛事运营团队的后勤保障工作。</w:t>
      </w:r>
      <w:r/>
    </w:p>
    <w:p>
      <w:pPr>
        <w:numPr>
          <w:ilvl w:val="0"/>
          <w:numId w:val="17"/>
        </w:numPr>
        <w:ind w:firstLine="480"/>
        <w:rPr>
          <w:rFonts w:ascii="宋体" w:hAnsi="宋体" w:cs="宋体"/>
          <w:sz w:val="24"/>
          <w:szCs w:val="24"/>
          <w:highlight w:val="none"/>
        </w:rPr>
      </w:pPr>
      <w:r>
        <w:rPr>
          <w:rFonts w:hint="eastAsia" w:ascii="宋体" w:hAnsi="宋体" w:cs="宋体"/>
          <w:sz w:val="24"/>
          <w:szCs w:val="24"/>
          <w:highlight w:val="none"/>
        </w:rPr>
        <w:t xml:space="preserve">负责车辆租赁保障。</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★五、技术要求</w:t>
      </w:r>
      <w:r/>
    </w:p>
    <w:p>
      <w:pPr>
        <w:ind w:firstLine="422"/>
        <w:rPr>
          <w:b/>
          <w:bCs/>
          <w:highlight w:val="none"/>
        </w:rPr>
      </w:pPr>
      <w:r>
        <w:rPr>
          <w:b/>
          <w:bCs/>
          <w:highlight w:val="none"/>
        </w:rPr>
        <w:t xml:space="preserve">（一）人员配置要求</w:t>
      </w:r>
      <w:r/>
    </w:p>
    <w:p>
      <w:pPr>
        <w:numPr>
          <w:ilvl w:val="0"/>
          <w:numId w:val="18"/>
        </w:numPr>
        <w:ind w:firstLine="480"/>
        <w:rPr>
          <w:rFonts w:ascii="宋体" w:hAnsi="宋体" w:cs="宋体"/>
          <w:sz w:val="24"/>
          <w:szCs w:val="24"/>
          <w:highlight w:val="none"/>
        </w:rPr>
      </w:pPr>
      <w:r>
        <w:rPr>
          <w:rFonts w:ascii="宋体" w:hAnsi="宋体" w:cs="宋体"/>
          <w:sz w:val="24"/>
          <w:szCs w:val="24"/>
          <w:highlight w:val="none"/>
        </w:rPr>
        <w:t xml:space="preserve">供应商须组建不少于</w:t>
      </w:r>
      <w:r>
        <w:rPr>
          <w:rFonts w:hint="eastAsia" w:ascii="宋体" w:hAnsi="宋体" w:cs="宋体"/>
          <w:sz w:val="24"/>
          <w:szCs w:val="24"/>
          <w:highlight w:val="none"/>
        </w:rPr>
        <w:t xml:space="preserve">15</w:t>
      </w:r>
      <w:r>
        <w:rPr>
          <w:rFonts w:ascii="宋体" w:hAnsi="宋体" w:cs="宋体"/>
          <w:sz w:val="24"/>
          <w:szCs w:val="24"/>
          <w:highlight w:val="none"/>
        </w:rPr>
        <w:t xml:space="preserve">人的核心运营团队，包括但不限于项目负责人、竞赛组织人员、宣传策划人员、后勤保障人员等。</w:t>
      </w:r>
      <w:r/>
    </w:p>
    <w:p>
      <w:pPr>
        <w:numPr>
          <w:ilvl w:val="0"/>
          <w:numId w:val="18"/>
        </w:numPr>
        <w:ind w:firstLine="480"/>
        <w:rPr>
          <w:rFonts w:ascii="宋体" w:hAnsi="宋体" w:cs="宋体"/>
          <w:sz w:val="24"/>
          <w:szCs w:val="24"/>
          <w:highlight w:val="none"/>
        </w:rPr>
      </w:pPr>
      <w:r>
        <w:rPr>
          <w:rFonts w:ascii="宋体" w:hAnsi="宋体" w:cs="宋体"/>
          <w:sz w:val="24"/>
          <w:szCs w:val="24"/>
          <w:highlight w:val="none"/>
        </w:rPr>
        <w:t xml:space="preserve">须配备具有英语沟通能力的工作人员，保障国际参赛队伍及官员的接待服务。</w:t>
      </w:r>
      <w:r/>
    </w:p>
    <w:p>
      <w:pPr>
        <w:ind w:left="420"/>
        <w:rPr>
          <w:rFonts w:ascii="宋体" w:hAnsi="宋体" w:cs="宋体"/>
          <w:b/>
          <w:bCs/>
          <w:sz w:val="24"/>
          <w:szCs w:val="24"/>
          <w:highlight w:val="none"/>
        </w:rPr>
      </w:pPr>
      <w:r>
        <w:rPr>
          <w:rFonts w:ascii="宋体" w:hAnsi="宋体" w:cs="宋体"/>
          <w:b/>
          <w:bCs/>
          <w:sz w:val="24"/>
          <w:szCs w:val="24"/>
          <w:highlight w:val="none"/>
        </w:rPr>
        <w:t xml:space="preserve">（二）专业能力要求</w:t>
      </w:r>
      <w:r/>
    </w:p>
    <w:p>
      <w:pPr>
        <w:numPr>
          <w:ilvl w:val="0"/>
          <w:numId w:val="19"/>
        </w:numPr>
        <w:ind w:firstLine="480"/>
        <w:rPr>
          <w:rFonts w:ascii="宋体" w:hAnsi="宋体" w:cs="宋体"/>
          <w:sz w:val="24"/>
          <w:szCs w:val="24"/>
          <w:highlight w:val="none"/>
        </w:rPr>
      </w:pPr>
      <w:r>
        <w:rPr>
          <w:rFonts w:ascii="宋体" w:hAnsi="宋体" w:cs="宋体"/>
          <w:sz w:val="24"/>
          <w:szCs w:val="24"/>
          <w:highlight w:val="none"/>
        </w:rPr>
        <w:t xml:space="preserve">供应商须熟悉UCI职业系列赛（</w:t>
      </w:r>
      <w:r>
        <w:rPr>
          <w:highlight w:val="none"/>
        </w:rPr>
        <w:fldChar w:fldCharType="begin"/>
      </w:r>
      <w:r>
        <w:rPr>
          <w:highlight w:val="none"/>
        </w:rPr>
        <w:instrText xml:space="preserve"> HYPERLINK "https://2.pro/" \t "https://chat.deepseek.com/a/chat/s/_blank" </w:instrText>
      </w:r>
      <w:r>
        <w:rPr>
          <w:highlight w:val="none"/>
        </w:rPr>
        <w:fldChar w:fldCharType="separate"/>
      </w:r>
      <w:r>
        <w:rPr>
          <w:rFonts w:ascii="宋体" w:hAnsi="宋体" w:cs="宋体"/>
          <w:sz w:val="24"/>
          <w:szCs w:val="24"/>
          <w:highlight w:val="none"/>
        </w:rPr>
        <w:t xml:space="preserve">2.Pro</w:t>
      </w:r>
      <w:r>
        <w:rPr>
          <w:rFonts w:ascii="宋体" w:hAnsi="宋体" w:cs="宋体"/>
          <w:sz w:val="24"/>
          <w:szCs w:val="24"/>
          <w:highlight w:val="none"/>
        </w:rPr>
        <w:fldChar w:fldCharType="end"/>
      </w:r>
      <w:r>
        <w:rPr>
          <w:rFonts w:ascii="宋体" w:hAnsi="宋体" w:cs="宋体"/>
          <w:sz w:val="24"/>
          <w:szCs w:val="24"/>
          <w:highlight w:val="none"/>
        </w:rPr>
        <w:t xml:space="preserve">级）的办赛标准、竞赛规则及注册要求。</w:t>
      </w:r>
      <w:r/>
    </w:p>
    <w:p>
      <w:pPr>
        <w:numPr>
          <w:ilvl w:val="0"/>
          <w:numId w:val="19"/>
        </w:numPr>
        <w:ind w:firstLine="480"/>
        <w:rPr>
          <w:rFonts w:ascii="宋体" w:hAnsi="宋体" w:cs="宋体"/>
          <w:sz w:val="24"/>
          <w:szCs w:val="24"/>
          <w:highlight w:val="none"/>
        </w:rPr>
      </w:pPr>
      <w:r>
        <w:rPr>
          <w:rFonts w:ascii="宋体" w:hAnsi="宋体" w:cs="宋体"/>
          <w:sz w:val="24"/>
          <w:szCs w:val="24"/>
          <w:highlight w:val="none"/>
        </w:rPr>
        <w:t xml:space="preserve">供应商须具备大型国际体育赛事的策划、组织、执行能力。</w:t>
      </w:r>
      <w:r/>
    </w:p>
    <w:p>
      <w:pPr>
        <w:numPr>
          <w:ilvl w:val="0"/>
          <w:numId w:val="19"/>
        </w:numPr>
        <w:ind w:firstLine="480"/>
        <w:rPr>
          <w:rFonts w:ascii="宋体" w:hAnsi="宋体" w:cs="宋体"/>
          <w:sz w:val="24"/>
          <w:szCs w:val="24"/>
          <w:highlight w:val="none"/>
        </w:rPr>
      </w:pPr>
      <w:r>
        <w:rPr>
          <w:rFonts w:ascii="宋体" w:hAnsi="宋体" w:cs="宋体"/>
          <w:sz w:val="24"/>
          <w:szCs w:val="24"/>
          <w:highlight w:val="none"/>
        </w:rPr>
        <w:t xml:space="preserve">供应商须具备与UCI、中国自行车运动协会等国际国内体育组织的沟通协调能力。</w:t>
      </w:r>
      <w:r/>
    </w:p>
    <w:p>
      <w:pPr>
        <w:numPr>
          <w:ilvl w:val="0"/>
          <w:numId w:val="19"/>
        </w:numPr>
        <w:ind w:firstLine="480"/>
        <w:rPr>
          <w:rFonts w:ascii="宋体" w:hAnsi="宋体" w:cs="宋体"/>
          <w:sz w:val="24"/>
          <w:szCs w:val="24"/>
          <w:highlight w:val="none"/>
        </w:rPr>
      </w:pPr>
      <w:r>
        <w:rPr>
          <w:rFonts w:ascii="宋体" w:hAnsi="宋体" w:cs="宋体"/>
          <w:sz w:val="24"/>
          <w:szCs w:val="24"/>
          <w:highlight w:val="none"/>
        </w:rPr>
        <w:t xml:space="preserve">供应商须具备赛事宣传推广及媒体传播的专业能力。</w:t>
      </w:r>
      <w:r/>
    </w:p>
    <w:p>
      <w:pPr>
        <w:ind w:left="420"/>
        <w:rPr>
          <w:rFonts w:ascii="宋体" w:hAnsi="宋体" w:cs="宋体"/>
          <w:b/>
          <w:bCs/>
          <w:sz w:val="24"/>
          <w:szCs w:val="24"/>
          <w:highlight w:val="none"/>
        </w:rPr>
      </w:pPr>
      <w:r>
        <w:rPr>
          <w:rFonts w:ascii="宋体" w:hAnsi="宋体" w:cs="宋体"/>
          <w:b/>
          <w:bCs/>
          <w:sz w:val="24"/>
          <w:szCs w:val="24"/>
          <w:highlight w:val="none"/>
        </w:rPr>
        <w:t xml:space="preserve">（三）服务标准要求</w:t>
      </w:r>
      <w:r/>
    </w:p>
    <w:p>
      <w:pPr>
        <w:numPr>
          <w:ilvl w:val="0"/>
          <w:numId w:val="20"/>
        </w:numPr>
        <w:ind w:firstLine="480"/>
        <w:rPr>
          <w:rFonts w:ascii="宋体" w:hAnsi="宋体" w:cs="宋体"/>
          <w:sz w:val="24"/>
          <w:szCs w:val="24"/>
          <w:highlight w:val="none"/>
        </w:rPr>
      </w:pPr>
      <w:r>
        <w:rPr>
          <w:rFonts w:ascii="宋体" w:hAnsi="宋体" w:cs="宋体"/>
          <w:sz w:val="24"/>
          <w:szCs w:val="24"/>
          <w:highlight w:val="none"/>
        </w:rPr>
        <w:t xml:space="preserve">所有赛事服务须符合UCI职业系列赛办赛标准及中国自行车运动协会的相关规定</w:t>
      </w:r>
      <w:r>
        <w:rPr>
          <w:highlight w:val="none"/>
        </w:rPr>
        <w:fldChar w:fldCharType="begin"/>
      </w:r>
      <w:r>
        <w:rPr>
          <w:highlight w:val="none"/>
        </w:rPr>
        <w:instrText xml:space="preserve"> HYPERLINK "https://www.sac.gov.cn/xxgk/flfg/art/2015/art_66049e8295084b22bf15b687af3ccb31.html" \t "https://chat.deepseek.com/a/chat/s/_blank" </w:instrText>
      </w:r>
      <w:r>
        <w:rPr>
          <w:highlight w:val="none"/>
        </w:rPr>
        <w:fldChar w:fldCharType="separate"/>
      </w:r>
      <w:r>
        <w:rPr>
          <w:highlight w:val="none"/>
        </w:rPr>
        <w:fldChar w:fldCharType="end"/>
      </w:r>
      <w:r>
        <w:rPr>
          <w:rFonts w:ascii="宋体" w:hAnsi="宋体" w:cs="宋体"/>
          <w:sz w:val="24"/>
          <w:szCs w:val="24"/>
          <w:highlight w:val="none"/>
        </w:rPr>
        <w:t xml:space="preserve">。</w:t>
      </w:r>
      <w:r/>
    </w:p>
    <w:p>
      <w:pPr>
        <w:numPr>
          <w:ilvl w:val="0"/>
          <w:numId w:val="20"/>
        </w:numPr>
        <w:ind w:firstLine="480"/>
        <w:rPr>
          <w:rFonts w:ascii="宋体" w:hAnsi="宋体" w:cs="宋体"/>
          <w:sz w:val="24"/>
          <w:szCs w:val="24"/>
          <w:highlight w:val="none"/>
        </w:rPr>
      </w:pPr>
      <w:r>
        <w:rPr>
          <w:rFonts w:ascii="宋体" w:hAnsi="宋体" w:cs="宋体"/>
          <w:sz w:val="24"/>
          <w:szCs w:val="24"/>
          <w:highlight w:val="none"/>
        </w:rPr>
        <w:t xml:space="preserve">安全保障工作须符合公安部门的相关规范要求。</w:t>
      </w:r>
      <w:r/>
    </w:p>
    <w:p>
      <w:pPr>
        <w:numPr>
          <w:ilvl w:val="0"/>
          <w:numId w:val="20"/>
        </w:numPr>
        <w:ind w:firstLine="480"/>
        <w:rPr>
          <w:rFonts w:ascii="宋体" w:hAnsi="宋体" w:cs="宋体"/>
          <w:sz w:val="24"/>
          <w:szCs w:val="24"/>
          <w:highlight w:val="none"/>
        </w:rPr>
      </w:pPr>
      <w:r>
        <w:rPr>
          <w:rFonts w:ascii="宋体" w:hAnsi="宋体" w:cs="宋体"/>
          <w:sz w:val="24"/>
          <w:szCs w:val="24"/>
          <w:highlight w:val="none"/>
        </w:rPr>
        <w:t xml:space="preserve">医疗保障工作须符合卫生健康部门的相关规范要求。</w:t>
      </w:r>
      <w:r/>
    </w:p>
    <w:p>
      <w:pPr>
        <w:numPr>
          <w:ilvl w:val="0"/>
          <w:numId w:val="20"/>
        </w:numPr>
        <w:ind w:firstLine="480"/>
        <w:rPr>
          <w:rFonts w:ascii="宋体" w:hAnsi="宋体" w:cs="宋体"/>
          <w:sz w:val="24"/>
          <w:szCs w:val="24"/>
          <w:highlight w:val="none"/>
        </w:rPr>
      </w:pPr>
      <w:r>
        <w:rPr>
          <w:rFonts w:ascii="宋体" w:hAnsi="宋体" w:cs="宋体"/>
          <w:sz w:val="24"/>
          <w:szCs w:val="24"/>
          <w:highlight w:val="none"/>
        </w:rPr>
        <w:t xml:space="preserve">食品安全保障须符合市场监管部门的相关规范要求。</w:t>
      </w:r>
      <w:r/>
    </w:p>
    <w:p>
      <w:pPr>
        <w:numPr>
          <w:ilvl w:val="0"/>
          <w:numId w:val="20"/>
        </w:numPr>
        <w:ind w:firstLine="480"/>
        <w:rPr>
          <w:rFonts w:ascii="宋体" w:hAnsi="宋体" w:cs="宋体"/>
          <w:sz w:val="24"/>
          <w:szCs w:val="24"/>
          <w:highlight w:val="none"/>
        </w:rPr>
      </w:pPr>
      <w:r>
        <w:rPr>
          <w:rFonts w:ascii="宋体" w:hAnsi="宋体" w:cs="宋体"/>
          <w:sz w:val="24"/>
          <w:szCs w:val="24"/>
          <w:highlight w:val="none"/>
        </w:rPr>
        <w:t xml:space="preserve">赛事搭建及设备须符合安全生产及消防安全相关规范要求。</w:t>
      </w:r>
      <w:r/>
    </w:p>
    <w:p>
      <w:pPr>
        <w:ind w:left="420"/>
        <w:rPr>
          <w:rFonts w:ascii="宋体" w:hAnsi="宋体" w:cs="宋体"/>
          <w:b/>
          <w:bCs/>
          <w:sz w:val="24"/>
          <w:szCs w:val="24"/>
          <w:highlight w:val="none"/>
        </w:rPr>
      </w:pPr>
      <w:r>
        <w:rPr>
          <w:rFonts w:hint="eastAsia" w:ascii="宋体" w:hAnsi="宋体" w:cs="宋体"/>
          <w:b/>
          <w:bCs/>
          <w:sz w:val="24"/>
          <w:szCs w:val="24"/>
          <w:highlight w:val="none"/>
        </w:rPr>
        <w:t xml:space="preserve">★六、商务要求</w:t>
      </w:r>
      <w:r/>
    </w:p>
    <w:p>
      <w:pPr>
        <w:ind w:firstLine="480"/>
        <w:spacing w:line="264"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ascii="宋体" w:hAnsi="宋体" w:cs="宋体"/>
          <w:b/>
          <w:bCs/>
          <w:color w:val="000000"/>
          <w:sz w:val="24"/>
          <w:szCs w:val="24"/>
          <w:highlight w:val="none"/>
        </w:rPr>
        <w:t xml:space="preserve">报价要求</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w:t>
      </w:r>
      <w:r>
        <w:rPr>
          <w:rFonts w:hint="eastAsia" w:ascii="宋体" w:hAnsi="宋体" w:cs="宋体"/>
          <w:color w:val="0f1115"/>
          <w:sz w:val="24"/>
          <w:szCs w:val="24"/>
          <w:highlight w:val="none"/>
          <w:shd w:val="clear" w:color="auto" w:fill="ffffff"/>
        </w:rPr>
        <w:t xml:space="preserve">新闻宣传费、赛事搭建费、开幕式费用、劳务费、欢迎晚宴费用、酒店住宿费、餐饮费、安全保障费、医疗保障费、电力保障费、网络通讯费、车辆租赁费、志愿者费用、属地保障费用</w:t>
      </w:r>
      <w:r>
        <w:rPr>
          <w:rFonts w:hint="eastAsia" w:ascii="宋体" w:hAnsi="宋体" w:cs="宋体"/>
          <w:color w:val="000000"/>
          <w:sz w:val="24"/>
          <w:szCs w:val="24"/>
          <w:highlight w:val="none"/>
        </w:rPr>
        <w:t xml:space="preserve">等所有含税费用，以及供应商认为需要的其他费用等。</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color w:val="000000"/>
          <w:sz w:val="24"/>
          <w:szCs w:val="24"/>
          <w:highlight w:val="none"/>
        </w:rPr>
      </w:pPr>
      <w:r>
        <w:rPr>
          <w:rFonts w:hint="eastAsia"/>
          <w:color w:val="000000"/>
          <w:sz w:val="24"/>
          <w:szCs w:val="24"/>
          <w:highlight w:val="none"/>
        </w:rPr>
        <w:t xml:space="preserve">3</w:t>
      </w:r>
      <w:r>
        <w:rPr>
          <w:rFonts w:hint="eastAsia" w:ascii="宋体" w:hAnsi="宋体" w:cs="宋体"/>
          <w:color w:val="000000"/>
          <w:sz w:val="24"/>
          <w:szCs w:val="24"/>
          <w:highlight w:val="none"/>
        </w:rPr>
        <w:t xml:space="preserve">.</w:t>
      </w:r>
      <w:r>
        <w:rPr>
          <w:rFonts w:hint="eastAsia"/>
          <w:color w:val="000000"/>
          <w:sz w:val="24"/>
          <w:szCs w:val="24"/>
          <w:highlight w:val="none"/>
        </w:rPr>
        <w:t xml:space="preserve">付款条件</w:t>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合同签订后5个工作日内预付合同总价款的30%，待赛事结束经审计后10个工作日内按审定价支付尾款。</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rPr>
        <w:t xml:space="preserve">自合同签订之日起至赛事服务结束，根据采购人实际要求完成所有服务。</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（2）交付地</w:t>
      </w:r>
      <w:r>
        <w:rPr>
          <w:rFonts w:hint="eastAsia" w:ascii="宋体" w:hAnsi="宋体" w:cs="宋体"/>
          <w:color w:val="000000"/>
          <w:sz w:val="24"/>
          <w:szCs w:val="24"/>
          <w:highlight w:val="none"/>
        </w:rPr>
        <w:t xml:space="preserve">点：南京江宁区胜太路18号。</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5.履约保证金</w:t>
      </w:r>
      <w:r/>
    </w:p>
    <w:p>
      <w:pPr>
        <w:ind w:firstLine="480"/>
        <w:rPr>
          <w:rFonts w:ascii="宋体" w:hAnsi="宋体" w:cs="宋体"/>
          <w:bCs/>
          <w:color w:val="000000"/>
          <w:sz w:val="24"/>
          <w:szCs w:val="24"/>
        </w:rPr>
      </w:pPr>
      <w:r>
        <w:rPr>
          <w:rFonts w:ascii="宋体" w:hAnsi="宋体" w:cs="宋体"/>
          <w:bCs/>
          <w:color w:val="000000"/>
          <w:sz w:val="24"/>
          <w:szCs w:val="24"/>
        </w:rPr>
        <w:t xml:space="preserve">以第三章合同文本</w:t>
      </w:r>
      <w:r>
        <w:rPr>
          <w:rFonts w:hint="eastAsia" w:ascii="宋体" w:hAnsi="宋体" w:cs="宋体"/>
          <w:bCs/>
          <w:color w:val="000000"/>
          <w:sz w:val="24"/>
          <w:szCs w:val="24"/>
        </w:rPr>
        <w:t xml:space="preserve">内容</w:t>
      </w:r>
      <w:r>
        <w:rPr>
          <w:rFonts w:ascii="宋体" w:hAnsi="宋体" w:cs="宋体"/>
          <w:bCs/>
          <w:color w:val="000000"/>
          <w:sz w:val="24"/>
          <w:szCs w:val="24"/>
        </w:rPr>
        <w:t xml:space="preserve">为准。</w:t>
      </w:r>
      <w:r/>
    </w:p>
    <w:p>
      <w:pPr>
        <w:ind w:firstLine="480"/>
        <w:spacing w:line="264" w:lineRule="auto"/>
        <w:rPr>
          <w:rFonts w:ascii="宋体" w:hAnsi="宋体" w:cs="宋体"/>
          <w:bCs/>
          <w:color w:val="000000"/>
          <w:sz w:val="24"/>
          <w:szCs w:val="24"/>
        </w:rPr>
      </w:pPr>
      <w:r/>
      <w:bookmarkStart w:id="195" w:name="OLE_LINK1"/>
      <w:r>
        <w:rPr>
          <w:rFonts w:hint="eastAsia" w:ascii="宋体" w:hAnsi="宋体" w:cs="宋体"/>
          <w:bCs/>
          <w:color w:val="000000"/>
          <w:sz w:val="24"/>
          <w:szCs w:val="24"/>
        </w:rPr>
        <w:t xml:space="preserve">6.其他要求</w:t>
      </w:r>
      <w:bookmarkEnd w:id="195"/>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09"/>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Start w:id="215" w:name="_GoBack"/>
      <w:r/>
      <w:bookmarkEnd w:id="215"/>
      <w:r/>
      <w:r/>
    </w:p>
    <w:p>
      <w:r/>
      <w:r/>
    </w:p>
    <w:p>
      <w:r/>
      <w:r/>
    </w:p>
    <w:p>
      <w:r/>
      <w:r/>
    </w:p>
    <w:p>
      <w:r/>
      <w:r/>
    </w:p>
    <w:p>
      <w:r/>
      <w:r/>
    </w:p>
    <w:p>
      <w:pPr>
        <w:pStyle w:val="885"/>
        <w:rPr>
          <w:rFonts w:ascii="宋体" w:hAnsi="宋体" w:eastAsia="宋体" w:cs="Times New Roman"/>
          <w:sz w:val="24"/>
          <w:szCs w:val="24"/>
          <w:lang w:val="en-US"/>
        </w:rPr>
      </w:pPr>
      <w:r>
        <w:rPr>
          <w:rFonts w:ascii="宋体" w:hAnsi="宋体" w:eastAsia="宋体" w:cs="Times New Roman"/>
          <w:sz w:val="24"/>
          <w:szCs w:val="24"/>
          <w:lang w:val="en-US"/>
        </w:rPr>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二、评标标准</w:t>
      </w:r>
      <w:r/>
    </w:p>
    <w:tbl>
      <w:tblPr>
        <w:tblStyle w:val="78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489"/>
        <w:gridCol w:w="6020"/>
        <w:gridCol w:w="647"/>
        <w:gridCol w:w="900"/>
      </w:tblGrid>
      <w:tr>
        <w:trPr>
          <w:jc w:val="center"/>
          <w:trHeight w:val="592"/>
          <w:tblHeader/>
        </w:trPr>
        <w:tc>
          <w:tcPr>
            <w:tcW w:w="519" w:type="dxa"/>
            <w:textDirection w:val="lrTb"/>
            <w:noWrap w:val="false"/>
          </w:tcPr>
          <w:p>
            <w:pPr>
              <w:jc w:val="center"/>
              <w:spacing w:before="264"/>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序号</w:t>
            </w:r>
            <w:r/>
          </w:p>
        </w:tc>
        <w:tc>
          <w:tcPr>
            <w:tcW w:w="1489" w:type="dxa"/>
            <w:textDirection w:val="lrTb"/>
            <w:noWrap w:val="false"/>
          </w:tcPr>
          <w:p>
            <w:pPr>
              <w:jc w:val="center"/>
              <w:spacing w:before="264"/>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评审因素</w:t>
            </w:r>
            <w:r/>
          </w:p>
        </w:tc>
        <w:tc>
          <w:tcPr>
            <w:tcW w:w="6020" w:type="dxa"/>
            <w:textDirection w:val="lrTb"/>
            <w:noWrap w:val="false"/>
          </w:tcPr>
          <w:p>
            <w:pPr>
              <w:jc w:val="center"/>
              <w:spacing w:before="264"/>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评审细则</w:t>
            </w:r>
            <w:r/>
          </w:p>
        </w:tc>
        <w:tc>
          <w:tcPr>
            <w:tcW w:w="647" w:type="dxa"/>
            <w:textDirection w:val="lrTb"/>
            <w:noWrap w:val="false"/>
          </w:tcPr>
          <w:p>
            <w:pPr>
              <w:jc w:val="center"/>
              <w:spacing w:before="264"/>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分值</w:t>
            </w:r>
            <w:r/>
          </w:p>
        </w:tc>
        <w:tc>
          <w:tcPr>
            <w:tcW w:w="900" w:type="dxa"/>
            <w:textDirection w:val="lrTb"/>
            <w:noWrap w:val="false"/>
          </w:tcPr>
          <w:p>
            <w:pPr>
              <w:jc w:val="center"/>
              <w:spacing w:before="264"/>
              <w:rPr>
                <w:rFonts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类型</w:t>
            </w:r>
            <w:r/>
          </w:p>
        </w:tc>
      </w:tr>
      <w:tr>
        <w:trPr>
          <w:jc w:val="center"/>
          <w:trHeight w:val="460"/>
        </w:trPr>
        <w:tc>
          <w:tcPr>
            <w:gridSpan w:val="5"/>
            <w:tcW w:w="9575" w:type="dxa"/>
            <w:textDirection w:val="lrTb"/>
            <w:noWrap w:val="false"/>
          </w:tcPr>
          <w:p>
            <w:pPr>
              <w:ind w:left="114"/>
              <w:spacing w:before="122"/>
              <w:rPr>
                <w:rFonts w:ascii="宋体" w:hAnsi="宋体" w:cs="宋体"/>
                <w:color w:val="000000"/>
                <w:sz w:val="24"/>
                <w:szCs w:val="24"/>
                <w:highlight w:val="none"/>
              </w:rPr>
            </w:pPr>
            <w:r>
              <w:rPr>
                <w:rFonts w:hint="eastAsia" w:ascii="宋体" w:hAnsi="宋体" w:cs="宋体"/>
                <w:b/>
                <w:bCs/>
                <w:color w:val="000000"/>
                <w:spacing w:val="-3"/>
                <w:sz w:val="24"/>
                <w:szCs w:val="24"/>
                <w:highlight w:val="none"/>
              </w:rPr>
              <w:t xml:space="preserve">1.价</w:t>
            </w:r>
            <w:r>
              <w:rPr>
                <w:rFonts w:hint="eastAsia" w:ascii="宋体" w:hAnsi="宋体" w:cs="宋体"/>
                <w:b/>
                <w:bCs/>
                <w:color w:val="000000"/>
                <w:spacing w:val="-2"/>
                <w:sz w:val="24"/>
                <w:szCs w:val="24"/>
                <w:highlight w:val="none"/>
              </w:rPr>
              <w:t xml:space="preserve">格</w:t>
            </w:r>
            <w:r/>
          </w:p>
        </w:tc>
      </w:tr>
      <w:tr>
        <w:trPr>
          <w:jc w:val="center"/>
          <w:trHeight w:val="460"/>
        </w:trPr>
        <w:tc>
          <w:tcPr>
            <w:tcW w:w="519"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pacing w:val="-6"/>
                <w:sz w:val="24"/>
                <w:szCs w:val="24"/>
                <w:highlight w:val="none"/>
              </w:rPr>
              <w:t xml:space="preserve">1</w:t>
            </w:r>
            <w:r>
              <w:rPr>
                <w:rFonts w:hint="eastAsia" w:ascii="宋体" w:hAnsi="宋体" w:cs="宋体"/>
                <w:color w:val="000000"/>
                <w:spacing w:val="-5"/>
                <w:sz w:val="24"/>
                <w:szCs w:val="24"/>
                <w:highlight w:val="none"/>
              </w:rPr>
              <w:t xml:space="preserve">.1</w:t>
            </w:r>
            <w:r/>
          </w:p>
        </w:tc>
        <w:tc>
          <w:tcPr>
            <w:tcW w:w="1489"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pacing w:val="-2"/>
                <w:sz w:val="24"/>
                <w:szCs w:val="24"/>
                <w:highlight w:val="none"/>
              </w:rPr>
              <w:t xml:space="preserve">价格</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采用低价优先法计算，即满足招标文件要求且投标价格最低的投标报价为评标基准价，其价格分为满分。其他投标人的价格分统一按照下列公式计算：投标报价得分=(评标基准价/投标报价)×15（小数点保留两位）</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W w:w="900"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价格分</w:t>
            </w:r>
            <w:r/>
          </w:p>
        </w:tc>
      </w:tr>
      <w:tr>
        <w:trPr>
          <w:jc w:val="center"/>
          <w:trHeight w:val="460"/>
        </w:trPr>
        <w:tc>
          <w:tcPr>
            <w:gridSpan w:val="5"/>
            <w:tcW w:w="9575" w:type="dxa"/>
            <w:vAlign w:val="center"/>
            <w:textDirection w:val="lrTb"/>
            <w:noWrap w:val="false"/>
          </w:tcPr>
          <w:p>
            <w:pPr>
              <w:jc w:val="left"/>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2.履约能力</w:t>
            </w:r>
            <w:r/>
          </w:p>
        </w:tc>
      </w:tr>
      <w:tr>
        <w:trPr>
          <w:jc w:val="center"/>
          <w:trHeight w:val="460"/>
        </w:trPr>
        <w:tc>
          <w:tcPr>
            <w:tcW w:w="519"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2.1</w:t>
            </w:r>
            <w:r/>
          </w:p>
        </w:tc>
        <w:tc>
          <w:tcPr>
            <w:tcW w:w="1489" w:type="dxa"/>
            <w:vAlign w:val="center"/>
            <w:textDirection w:val="lrTb"/>
            <w:noWrap w:val="false"/>
          </w:tcPr>
          <w:p>
            <w:pPr>
              <w:jc w:val="center"/>
              <w:spacing w:before="68"/>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人员</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1.项目负责人</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项目负责人具有3年及以上体育赛事组织运营经验的，得4分；具有1年（含）至3年（不含）的，得2分；本项最多得4分。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2.项目团队人员</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供应商拟配备核心运营团队成员中，每</w:t>
            </w:r>
            <w:r>
              <w:rPr>
                <w:rFonts w:hint="eastAsia" w:ascii="宋体" w:hAnsi="宋体" w:cs="宋体"/>
                <w:sz w:val="24"/>
                <w:szCs w:val="24"/>
                <w:highlight w:val="none"/>
              </w:rPr>
              <w:t xml:space="preserve">提供1名具备</w:t>
            </w:r>
            <w:r>
              <w:rPr>
                <w:rFonts w:ascii="宋体" w:hAnsi="宋体" w:cs="宋体"/>
                <w:sz w:val="24"/>
                <w:szCs w:val="24"/>
                <w:highlight w:val="none"/>
              </w:rPr>
              <w:t xml:space="preserve">自行车赛事办赛经验的人员</w:t>
            </w:r>
            <w:r>
              <w:rPr>
                <w:rFonts w:hint="eastAsia" w:ascii="宋体" w:hAnsi="宋体" w:cs="宋体"/>
                <w:color w:val="000000"/>
                <w:sz w:val="24"/>
                <w:szCs w:val="24"/>
                <w:highlight w:val="none"/>
              </w:rPr>
              <w:t xml:space="preserve">得2分，最多得10分。</w:t>
            </w:r>
            <w:r/>
          </w:p>
          <w:p>
            <w:pPr>
              <w:rPr>
                <w:rFonts w:ascii="宋体" w:hAnsi="宋体" w:cs="宋体"/>
                <w:color w:val="000000"/>
                <w:sz w:val="24"/>
                <w:szCs w:val="24"/>
                <w:highlight w:val="none"/>
              </w:rPr>
            </w:pPr>
            <w:r>
              <w:rPr>
                <w:rFonts w:hint="eastAsia" w:ascii="宋体" w:hAnsi="宋体" w:cs="宋体"/>
                <w:b/>
                <w:bCs/>
                <w:sz w:val="24"/>
                <w:szCs w:val="24"/>
                <w:highlight w:val="none"/>
              </w:rPr>
              <w:t xml:space="preserve">注：以上须提供项目团队人员名单及投标人为其缴纳的开标前半年内任意一个月社保证明材料的复印件并加盖公章。人员不重复计分。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W w:w="900"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pacing w:val="-6"/>
                <w:sz w:val="24"/>
                <w:szCs w:val="24"/>
                <w:highlight w:val="none"/>
              </w:rPr>
              <w:t xml:space="preserve">客</w:t>
            </w:r>
            <w:r>
              <w:rPr>
                <w:rFonts w:hint="eastAsia" w:ascii="宋体" w:hAnsi="宋体" w:cs="宋体"/>
                <w:color w:val="000000"/>
                <w:spacing w:val="-4"/>
                <w:sz w:val="24"/>
                <w:szCs w:val="24"/>
                <w:highlight w:val="none"/>
              </w:rPr>
              <w:t xml:space="preserve">观分</w:t>
            </w:r>
            <w:r/>
          </w:p>
        </w:tc>
      </w:tr>
      <w:tr>
        <w:trPr>
          <w:jc w:val="center"/>
          <w:trHeight w:val="460"/>
        </w:trPr>
        <w:tc>
          <w:tcPr>
            <w:tcW w:w="519"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2.2</w:t>
            </w:r>
            <w:r/>
          </w:p>
        </w:tc>
        <w:tc>
          <w:tcPr>
            <w:tcW w:w="148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车辆要求</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（1）供应商拟为本项目配备人员交通工具（大巴车）的，每提供1辆得2分，本项最高得4分。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（2）供应商拟为本项目配备人员交通工具（商务车）的，每提供1辆得2分，本项最高得4分。</w:t>
            </w:r>
            <w:r/>
          </w:p>
          <w:p>
            <w:pPr>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注：单位自有车辆的须提供购买发票和车辆行驶证的复印件并加盖公章；单位租赁或合作的须提供租赁（或合作）协议和车辆行驶证的复印件并加盖公章。未提供不得分。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客</w:t>
            </w:r>
            <w:r>
              <w:rPr>
                <w:rFonts w:hint="eastAsia" w:ascii="宋体" w:hAnsi="宋体" w:cs="宋体"/>
                <w:color w:val="000000"/>
                <w:spacing w:val="-4"/>
                <w:sz w:val="24"/>
                <w:szCs w:val="24"/>
                <w:highlight w:val="none"/>
              </w:rPr>
              <w:t xml:space="preserve">观分</w:t>
            </w:r>
            <w:r/>
          </w:p>
        </w:tc>
      </w:tr>
      <w:tr>
        <w:trPr>
          <w:jc w:val="center"/>
          <w:trHeight w:val="460"/>
        </w:trPr>
        <w:tc>
          <w:tcPr>
            <w:gridSpan w:val="5"/>
            <w:tcW w:w="9575" w:type="dxa"/>
            <w:textDirection w:val="lrTb"/>
            <w:noWrap w:val="false"/>
          </w:tcPr>
          <w:p>
            <w:pPr>
              <w:jc w:val="left"/>
              <w:spacing w:before="68"/>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3.业绩</w:t>
            </w:r>
            <w:r/>
          </w:p>
        </w:tc>
      </w:tr>
      <w:tr>
        <w:trPr>
          <w:jc w:val="center"/>
          <w:trHeight w:val="558"/>
        </w:trPr>
        <w:tc>
          <w:tcPr>
            <w:tcW w:w="519" w:type="dxa"/>
            <w:vAlign w:val="center"/>
            <w:textDirection w:val="lrTb"/>
            <w:noWrap w:val="false"/>
          </w:tcPr>
          <w:p>
            <w:pPr>
              <w:jc w:val="center"/>
              <w:spacing w:before="68"/>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3.1</w:t>
            </w:r>
            <w:r/>
          </w:p>
        </w:tc>
        <w:tc>
          <w:tcPr>
            <w:tcW w:w="1489" w:type="dxa"/>
            <w:vAlign w:val="center"/>
            <w:textDirection w:val="lrTb"/>
            <w:noWrap w:val="false"/>
          </w:tcPr>
          <w:p>
            <w:pPr>
              <w:jc w:val="center"/>
              <w:spacing w:before="68"/>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业绩</w:t>
            </w:r>
            <w:r/>
          </w:p>
        </w:tc>
        <w:tc>
          <w:tcPr>
            <w:tcW w:w="6020" w:type="dxa"/>
            <w:vAlign w:val="center"/>
            <w:textDirection w:val="lrTb"/>
            <w:noWrap w:val="false"/>
          </w:tcPr>
          <w:p>
            <w:pPr>
              <w:pStyle w:val="1137"/>
              <w:rPr>
                <w:color w:val="000000"/>
                <w:sz w:val="24"/>
                <w:szCs w:val="24"/>
                <w:highlight w:val="none"/>
                <w:lang w:val="en-US" w:bidi="ar-SA"/>
              </w:rPr>
            </w:pPr>
            <w:r>
              <w:rPr>
                <w:rFonts w:hint="eastAsia"/>
                <w:color w:val="000000"/>
                <w:sz w:val="24"/>
                <w:szCs w:val="24"/>
                <w:highlight w:val="none"/>
                <w:lang w:val="en-US" w:bidi="ar-SA"/>
              </w:rPr>
              <w:t xml:space="preserve">投标供应商自2023年1月1日（含）以来，承办过类似赛事服务经验的，每提供1个符合要求的合同得3分，本项最高得9分。</w:t>
            </w:r>
            <w:r/>
          </w:p>
          <w:p>
            <w:pPr>
              <w:pStyle w:val="1137"/>
              <w:rPr>
                <w:sz w:val="24"/>
                <w:szCs w:val="24"/>
                <w:highlight w:val="none"/>
              </w:rPr>
            </w:pPr>
            <w:r>
              <w:rPr>
                <w:rFonts w:hint="eastAsia"/>
                <w:b/>
                <w:bCs/>
                <w:color w:val="000000"/>
                <w:sz w:val="24"/>
                <w:szCs w:val="24"/>
                <w:highlight w:val="none"/>
                <w:lang w:val="en-US" w:bidi="ar-SA"/>
              </w:rPr>
              <w:t xml:space="preserve">注：提供合同的复印件并加盖供应商公章，未提供或不符合要求的不得分。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W w:w="900"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pacing w:val="-6"/>
                <w:sz w:val="24"/>
                <w:szCs w:val="24"/>
                <w:highlight w:val="none"/>
              </w:rPr>
              <w:t xml:space="preserve">客</w:t>
            </w:r>
            <w:r>
              <w:rPr>
                <w:rFonts w:hint="eastAsia" w:ascii="宋体" w:hAnsi="宋体" w:cs="宋体"/>
                <w:color w:val="000000"/>
                <w:spacing w:val="-4"/>
                <w:sz w:val="24"/>
                <w:szCs w:val="24"/>
                <w:highlight w:val="none"/>
              </w:rPr>
              <w:t xml:space="preserve">观分</w:t>
            </w:r>
            <w:r/>
          </w:p>
        </w:tc>
      </w:tr>
      <w:tr>
        <w:trPr>
          <w:jc w:val="center"/>
          <w:trHeight w:val="472"/>
        </w:trPr>
        <w:tc>
          <w:tcPr>
            <w:gridSpan w:val="5"/>
            <w:tcW w:w="9575" w:type="dxa"/>
            <w:vAlign w:val="center"/>
            <w:textDirection w:val="lrTb"/>
            <w:noWrap w:val="false"/>
          </w:tcPr>
          <w:p>
            <w:pPr>
              <w:jc w:val="left"/>
              <w:spacing w:before="68"/>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3.服务</w:t>
            </w:r>
            <w:r/>
          </w:p>
        </w:tc>
      </w:tr>
      <w:tr>
        <w:trPr>
          <w:jc w:val="center"/>
          <w:trHeight w:val="393"/>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2.1</w:t>
            </w:r>
            <w:r/>
          </w:p>
        </w:tc>
        <w:tc>
          <w:tcPr>
            <w:tcW w:w="1489" w:type="dxa"/>
            <w:vAlign w:val="center"/>
            <w:textDirection w:val="lrTb"/>
            <w:noWrap w:val="false"/>
          </w:tcPr>
          <w:p>
            <w:pPr>
              <w:jc w:val="center"/>
              <w:rPr>
                <w:rFonts w:ascii="宋体" w:hAnsi="宋体" w:cs="宋体"/>
                <w:sz w:val="24"/>
                <w:szCs w:val="24"/>
                <w:highlight w:val="none"/>
              </w:rPr>
            </w:pPr>
            <w:r>
              <w:rPr>
                <w:rFonts w:hint="eastAsia" w:ascii="宋体" w:hAnsi="宋体" w:cs="宋体"/>
                <w:color w:val="000000"/>
                <w:sz w:val="24"/>
                <w:szCs w:val="24"/>
                <w:highlight w:val="none"/>
              </w:rPr>
              <w:t xml:space="preserve">赛事总体策划方案</w:t>
            </w:r>
            <w:r/>
          </w:p>
        </w:tc>
        <w:tc>
          <w:tcPr>
            <w:tcW w:w="6020"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评委根据投标人提供的赛事总体策划方案综合评分，包含但不限于：①赛事整体定位与目标设定；②竞赛组织流程设计和各阶段工作进度计划（含关键节点）；③风险预判与应对措施。以上每项内容逐条阐述。</w:t>
            </w:r>
            <w:r>
              <w:rPr>
                <w:rFonts w:ascii="宋体" w:hAnsi="宋体" w:cs="宋体"/>
                <w:color w:val="000000"/>
                <w:sz w:val="24"/>
                <w:szCs w:val="24"/>
                <w:highlight w:val="none"/>
              </w:rPr>
              <w:br/>
            </w: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rPr>
                <w:rFonts w:hint="eastAsia" w:ascii="宋体" w:hAnsi="宋体" w:eastAsia="宋体" w:cs="宋体"/>
                <w:sz w:val="22"/>
                <w:szCs w:val="22"/>
                <w:highlight w:val="none"/>
              </w:rPr>
              <w:t xml:space="preserve">。</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90"/>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2.2</w:t>
            </w:r>
            <w:r/>
          </w:p>
        </w:tc>
        <w:tc>
          <w:tcPr>
            <w:tcW w:w="1489" w:type="dxa"/>
            <w:vAlign w:val="center"/>
            <w:textDirection w:val="lrTb"/>
            <w:noWrap w:val="false"/>
          </w:tcPr>
          <w:p>
            <w:pPr>
              <w:jc w:val="center"/>
              <w:rPr>
                <w:rFonts w:ascii="宋体" w:hAnsi="宋体" w:cs="宋体"/>
                <w:sz w:val="24"/>
                <w:szCs w:val="24"/>
                <w:highlight w:val="none"/>
              </w:rPr>
            </w:pPr>
            <w:r>
              <w:rPr>
                <w:rFonts w:hint="eastAsia" w:ascii="宋体" w:hAnsi="宋体" w:cs="宋体"/>
                <w:color w:val="000000"/>
                <w:sz w:val="24"/>
                <w:szCs w:val="24"/>
                <w:highlight w:val="none"/>
              </w:rPr>
              <w:t xml:space="preserve">赛道规划与保障方案</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评委根据投标人提供的赛道规划与保障方案综合评分，包含但不限于：①赛道勘察与布置方案；②赛道修整与维护措施（含赛道路面建设维护）；③赛道沿线景观布置及安全防护措施方案。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133"/>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2.3</w:t>
            </w:r>
            <w:r/>
          </w:p>
        </w:tc>
        <w:tc>
          <w:tcPr>
            <w:tcW w:w="1489" w:type="dxa"/>
            <w:vAlign w:val="center"/>
            <w:textDirection w:val="lrTb"/>
            <w:noWrap w:val="false"/>
          </w:tcPr>
          <w:p>
            <w:pPr>
              <w:jc w:val="center"/>
              <w:rPr>
                <w:rFonts w:ascii="宋体" w:hAnsi="宋体" w:cs="宋体"/>
                <w:sz w:val="24"/>
                <w:szCs w:val="24"/>
                <w:highlight w:val="none"/>
              </w:rPr>
            </w:pPr>
            <w:r>
              <w:rPr>
                <w:rFonts w:hint="eastAsia" w:ascii="宋体" w:hAnsi="宋体" w:cs="宋体"/>
                <w:color w:val="000000"/>
                <w:sz w:val="24"/>
                <w:szCs w:val="24"/>
                <w:highlight w:val="none"/>
              </w:rPr>
              <w:t xml:space="preserve">开幕式及配套活动策划方案</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评委根据投标人提供的开幕式及配套活动策划方案综合评分，包含但不限于：①开幕式、舞台搭建及场地布置方案流程设计；②暖场表演及文艺展演方案；③启动仪式创意设计。以上每项内容逐条阐述。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133"/>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2.4</w:t>
            </w:r>
            <w:r/>
          </w:p>
        </w:tc>
        <w:tc>
          <w:tcPr>
            <w:tcW w:w="148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宣传推广方案</w:t>
            </w:r>
            <w:r/>
          </w:p>
        </w:tc>
        <w:tc>
          <w:tcPr>
            <w:tcW w:w="6020"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评委根据投标人提供的新闻宣传与媒体传播方案综合评分，包含但不限于：①宣传推广总体策略；②电视、网站媒体协调计划；③网络直播组织保障方案。以上每项内容逐条阐述。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626"/>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2.5</w:t>
            </w:r>
            <w:r/>
          </w:p>
        </w:tc>
        <w:tc>
          <w:tcPr>
            <w:tcW w:w="1489" w:type="dxa"/>
            <w:vAlign w:val="center"/>
            <w:textDirection w:val="lrTb"/>
            <w:noWrap w:val="false"/>
          </w:tcPr>
          <w:p>
            <w:pPr>
              <w:jc w:val="center"/>
              <w:rPr>
                <w:rFonts w:ascii="宋体" w:hAnsi="宋体" w:cs="宋体"/>
                <w:sz w:val="24"/>
                <w:szCs w:val="24"/>
                <w:highlight w:val="none"/>
              </w:rPr>
            </w:pPr>
            <w:r>
              <w:rPr>
                <w:rFonts w:ascii="宋体" w:hAnsi="宋体" w:cs="宋体"/>
                <w:color w:val="000000"/>
                <w:sz w:val="24"/>
                <w:szCs w:val="24"/>
                <w:highlight w:val="none"/>
              </w:rPr>
              <w:t xml:space="preserve">接待与后勤保障方案</w:t>
            </w:r>
            <w:r/>
          </w:p>
        </w:tc>
        <w:tc>
          <w:tcPr>
            <w:tcW w:w="602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t xml:space="preserve">评委根据投标人提供的接待与后勤保障方案综合评分，包含但不限于：①住宿保障方案（含酒店选定标准、房间数量、双语服务等）；②餐饮服务方案（含食品安全保障、过敏原标注等）；③接送服务方案（含机场/高铁站接送、自行车运输等）。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90"/>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2.6</w:t>
            </w:r>
            <w:r/>
          </w:p>
        </w:tc>
        <w:tc>
          <w:tcPr>
            <w:tcW w:w="1489" w:type="dxa"/>
            <w:vAlign w:val="center"/>
            <w:textDirection w:val="lrTb"/>
            <w:noWrap w:val="false"/>
          </w:tcPr>
          <w:p>
            <w:pPr>
              <w:jc w:val="center"/>
              <w:rPr>
                <w:rFonts w:ascii="宋体" w:hAnsi="宋体" w:cs="宋体"/>
                <w:sz w:val="24"/>
                <w:szCs w:val="24"/>
                <w:highlight w:val="none"/>
              </w:rPr>
            </w:pPr>
            <w:r>
              <w:rPr>
                <w:rFonts w:ascii="宋体" w:hAnsi="宋体" w:cs="宋体"/>
                <w:color w:val="000000"/>
                <w:sz w:val="24"/>
                <w:szCs w:val="24"/>
                <w:highlight w:val="none"/>
              </w:rPr>
              <w:t xml:space="preserve">安全保障方案</w:t>
            </w:r>
            <w:r/>
          </w:p>
        </w:tc>
        <w:tc>
          <w:tcPr>
            <w:tcW w:w="602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t xml:space="preserve">评委根据投标人提供的安全保障方案综合评分，包含但不限于：①安全保卫工作总体计划；②交通管制与车辆疏导方案；③赛道封闭与警力布置方案；以上每项内容逐条阐述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Segoe UI" w:hAnsi="Segoe UI" w:eastAsia="Segoe UI" w:cs="Segoe UI"/>
                <w:color w:val="0f1115"/>
                <w:sz w:val="22"/>
                <w:szCs w:val="22"/>
                <w:highlight w:val="none"/>
                <w:shd w:val="clear" w:color="auto" w:fill="ffffff"/>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90"/>
        </w:trPr>
        <w:tc>
          <w:tcPr>
            <w:tcW w:w="519" w:type="dxa"/>
            <w:vAlign w:val="center"/>
            <w:textDirection w:val="lrTb"/>
            <w:noWrap w:val="false"/>
          </w:tcPr>
          <w:p>
            <w:pPr>
              <w:jc w:val="center"/>
              <w:rPr>
                <w:rFonts w:ascii="宋体" w:hAnsi="宋体" w:cs="宋体"/>
                <w:color w:val="000000"/>
                <w:spacing w:val="-2"/>
                <w:sz w:val="24"/>
                <w:szCs w:val="24"/>
                <w:highlight w:val="none"/>
              </w:rPr>
            </w:pPr>
            <w:r>
              <w:rPr>
                <w:rFonts w:hint="eastAsia" w:ascii="宋体" w:hAnsi="宋体" w:cs="宋体"/>
                <w:sz w:val="24"/>
                <w:szCs w:val="24"/>
                <w:highlight w:val="none"/>
              </w:rPr>
              <w:t xml:space="preserve">2.7</w:t>
            </w:r>
            <w:r/>
          </w:p>
        </w:tc>
        <w:tc>
          <w:tcPr>
            <w:tcW w:w="1489" w:type="dxa"/>
            <w:vAlign w:val="center"/>
            <w:textDirection w:val="lrTb"/>
            <w:noWrap w:val="false"/>
          </w:tcPr>
          <w:p>
            <w:pPr>
              <w:jc w:val="center"/>
              <w:rPr>
                <w:rFonts w:ascii="宋体" w:hAnsi="宋体" w:cs="宋体"/>
                <w:sz w:val="24"/>
                <w:szCs w:val="24"/>
                <w:highlight w:val="none"/>
              </w:rPr>
            </w:pPr>
            <w:r>
              <w:rPr>
                <w:rFonts w:ascii="宋体" w:hAnsi="宋体" w:cs="宋体"/>
                <w:color w:val="000000"/>
                <w:sz w:val="24"/>
                <w:szCs w:val="24"/>
                <w:highlight w:val="none"/>
              </w:rPr>
              <w:t xml:space="preserve">医疗保障方案</w:t>
            </w:r>
            <w:r/>
          </w:p>
        </w:tc>
        <w:tc>
          <w:tcPr>
            <w:tcW w:w="602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t xml:space="preserve">评委根据投标人提供的医疗保障方案综合评分，包含但不限于：①医疗站点设置与医务人员配置方案；②急救设备与药品配备计划；③医疗救护绿色通道保障方案。以上每项内容逐条阐述。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Segoe UI" w:hAnsi="Segoe UI" w:eastAsia="Segoe UI" w:cs="Segoe UI"/>
                <w:color w:val="0f1115"/>
                <w:sz w:val="22"/>
                <w:szCs w:val="22"/>
                <w:highlight w:val="none"/>
                <w:shd w:val="clear" w:color="auto" w:fill="ffffff"/>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90"/>
        </w:trPr>
        <w:tc>
          <w:tcPr>
            <w:tcW w:w="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2.8</w:t>
            </w:r>
            <w:r/>
          </w:p>
        </w:tc>
        <w:tc>
          <w:tcPr>
            <w:tcW w:w="1489" w:type="dxa"/>
            <w:vAlign w:val="center"/>
            <w:textDirection w:val="lrTb"/>
            <w:noWrap w:val="false"/>
          </w:tcPr>
          <w:p>
            <w:pPr>
              <w:jc w:val="center"/>
              <w:rPr>
                <w:rFonts w:ascii="宋体" w:hAnsi="宋体" w:cs="宋体"/>
                <w:sz w:val="24"/>
                <w:szCs w:val="24"/>
                <w:highlight w:val="none"/>
              </w:rPr>
            </w:pPr>
            <w:r>
              <w:rPr>
                <w:rFonts w:ascii="宋体" w:hAnsi="宋体" w:cs="宋体"/>
                <w:color w:val="000000"/>
                <w:sz w:val="24"/>
                <w:szCs w:val="24"/>
                <w:highlight w:val="none"/>
              </w:rPr>
              <w:t xml:space="preserve">应急管理方案</w:t>
            </w:r>
            <w:r/>
          </w:p>
        </w:tc>
        <w:tc>
          <w:tcPr>
            <w:tcW w:w="602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t xml:space="preserve">评委根据投标人提供的应急管理方案综合评分，包含但不限于：①应急工作组织架构；②各领域突发事件应急预案；③应急响应流程与处置措施。以上每项内容逐条阐述。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90"/>
        </w:trPr>
        <w:tc>
          <w:tcPr>
            <w:tcW w:w="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2.9</w:t>
            </w:r>
            <w:r/>
          </w:p>
        </w:tc>
        <w:tc>
          <w:tcPr>
            <w:tcW w:w="148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t xml:space="preserve">场地与设施保障方案</w:t>
            </w:r>
            <w:r/>
          </w:p>
        </w:tc>
        <w:tc>
          <w:tcPr>
            <w:tcW w:w="602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t xml:space="preserve">评委根据投标人提供的场地与设施保障方案综合评分，包含但不限于：①竞赛与活动场地保障方案；②供电与网络通讯保障方案；③设备租赁与管护方案。以上每项内容逐条阐述。</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(1)上述每项内容完整、科学性、合理性、操作性强的，得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(2)上述每项内容基本完整、基本科学合理，有可操作性的，得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(3)上述每项内容不完整、不科学合理、不具可操作性或未提供的不得分。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分，未提供不得分</w:t>
            </w:r>
            <w:r/>
          </w:p>
        </w:tc>
        <w:tc>
          <w:tcPr>
            <w:tcW w:w="647" w:type="dxa"/>
            <w:vAlign w:val="center"/>
            <w:textDirection w:val="lrTb"/>
            <w:noWrap w:val="false"/>
          </w:tcPr>
          <w:p>
            <w:pPr>
              <w:jc w:val="center"/>
              <w:spacing w:before="68"/>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00" w:type="dxa"/>
            <w:vAlign w:val="center"/>
            <w:textDirection w:val="lrTb"/>
            <w:noWrap w:val="false"/>
          </w:tcPr>
          <w:p>
            <w:pPr>
              <w:jc w:val="center"/>
              <w:spacing w:before="68"/>
              <w:rPr>
                <w:rFonts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主观分</w:t>
            </w:r>
            <w:r/>
          </w:p>
        </w:tc>
      </w:tr>
      <w:tr>
        <w:trPr>
          <w:jc w:val="center"/>
          <w:trHeight w:val="464"/>
        </w:trPr>
        <w:tc>
          <w:tcPr>
            <w:gridSpan w:val="3"/>
            <w:tcW w:w="8028" w:type="dxa"/>
            <w:vAlign w:val="center"/>
            <w:textDirection w:val="lrTb"/>
            <w:noWrap w:val="false"/>
          </w:tcPr>
          <w:p>
            <w:pPr>
              <w:ind w:left="172"/>
              <w:jc w:val="center"/>
              <w:spacing w:before="123"/>
              <w:rPr>
                <w:rFonts w:ascii="宋体" w:hAnsi="宋体" w:cs="宋体"/>
                <w:color w:val="000000"/>
                <w:spacing w:val="-2"/>
                <w:sz w:val="24"/>
                <w:szCs w:val="24"/>
                <w:highlight w:val="none"/>
              </w:rPr>
            </w:pPr>
            <w:r>
              <w:rPr>
                <w:rFonts w:hint="eastAsia" w:ascii="宋体" w:hAnsi="宋体" w:cs="宋体"/>
                <w:color w:val="000000"/>
                <w:spacing w:val="-3"/>
                <w:sz w:val="24"/>
                <w:szCs w:val="24"/>
                <w:highlight w:val="none"/>
              </w:rPr>
              <w:t xml:space="preserve">合</w:t>
            </w:r>
            <w:r>
              <w:rPr>
                <w:rFonts w:hint="eastAsia" w:ascii="宋体" w:hAnsi="宋体" w:cs="宋体"/>
                <w:color w:val="000000"/>
                <w:spacing w:val="-2"/>
                <w:sz w:val="24"/>
                <w:szCs w:val="24"/>
                <w:highlight w:val="none"/>
              </w:rPr>
              <w:t xml:space="preserve">计</w:t>
            </w:r>
            <w:r/>
          </w:p>
        </w:tc>
        <w:tc>
          <w:tcPr>
            <w:gridSpan w:val="2"/>
            <w:tcW w:w="15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pacing w:val="-11"/>
                <w:sz w:val="24"/>
                <w:szCs w:val="24"/>
                <w:highlight w:val="none"/>
              </w:rPr>
              <w:t xml:space="preserve">100分</w:t>
            </w:r>
            <w:r/>
          </w:p>
        </w:tc>
      </w:tr>
    </w:tbl>
    <w:p>
      <w:pPr>
        <w:rPr>
          <w:highlight w:val="yellow"/>
        </w:rPr>
      </w:pPr>
      <w:r>
        <w:rPr>
          <w:highlight w:val="yellow"/>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1056"/>
        <w:jc w:val="center"/>
        <w:spacing w:before="120" w:after="120" w:line="0" w:lineRule="atLeast"/>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w:t>
      </w:r>
      <w:r/>
    </w:p>
    <w:p>
      <w:pPr>
        <w:jc w:val="center"/>
        <w:rPr>
          <w:rFonts w:ascii="宋体" w:hAnsi="宋体"/>
          <w:b/>
          <w:sz w:val="72"/>
        </w:rPr>
      </w:pPr>
      <w:r/>
      <w:bookmarkStart w:id="196" w:name="_Hlt26671244"/>
      <w:r/>
      <w:bookmarkEnd w:id="196"/>
      <w:r/>
      <w:bookmarkStart w:id="197" w:name="_Hlt26955039"/>
      <w:r/>
      <w:bookmarkEnd w:id="197"/>
      <w:r/>
      <w:bookmarkStart w:id="198" w:name="_Toc49090576"/>
      <w:r/>
      <w:bookmarkStart w:id="199" w:name="_Toc120614282"/>
      <w:r/>
      <w:bookmarkStart w:id="200"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1095"/>
        <w:rPr>
          <w:sz w:val="24"/>
        </w:rPr>
      </w:pPr>
      <w:r>
        <w:rPr>
          <w:sz w:val="24"/>
        </w:rPr>
      </w:r>
      <w:r/>
    </w:p>
    <w:p>
      <w:pPr>
        <w:pStyle w:val="1095"/>
        <w:rPr>
          <w:sz w:val="24"/>
        </w:rPr>
      </w:pPr>
      <w:r>
        <w:rPr>
          <w:sz w:val="24"/>
        </w:rPr>
      </w:r>
      <w:r/>
    </w:p>
    <w:p>
      <w:pPr>
        <w:pStyle w:val="1095"/>
        <w:rPr>
          <w:sz w:val="24"/>
        </w:rPr>
      </w:pPr>
      <w:r>
        <w:rPr>
          <w:sz w:val="24"/>
        </w:rPr>
      </w:r>
      <w:r/>
    </w:p>
    <w:p>
      <w:pPr>
        <w:pStyle w:val="1095"/>
        <w:rPr>
          <w:sz w:val="24"/>
        </w:rPr>
      </w:pPr>
      <w:r>
        <w:rPr>
          <w:sz w:val="24"/>
        </w:rPr>
      </w:r>
      <w:r/>
    </w:p>
    <w:p>
      <w:pPr>
        <w:pStyle w:val="1095"/>
        <w:rPr>
          <w:sz w:val="24"/>
        </w:rPr>
      </w:pPr>
      <w:r>
        <w:rPr>
          <w:sz w:val="24"/>
        </w:rPr>
      </w:r>
      <w:bookmarkEnd w:id="190"/>
      <w:r/>
      <w:bookmarkEnd w:id="191"/>
      <w:r/>
      <w:bookmarkEnd w:id="198"/>
      <w:r/>
      <w:bookmarkEnd w:id="199"/>
      <w:r/>
      <w:bookmarkEnd w:id="200"/>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szCs w:val="24"/>
        </w:rPr>
      </w:pPr>
      <w:r>
        <w:rPr>
          <w:rFonts w:hint="eastAsia" w:ascii="宋体" w:hAnsi="宋体"/>
          <w:sz w:val="24"/>
          <w:szCs w:val="24"/>
        </w:rPr>
        <w:t xml:space="preserve">江苏国兴建设项目管理有限公司：</w:t>
      </w:r>
      <w:r/>
    </w:p>
    <w:p>
      <w:pPr>
        <w:ind w:firstLine="492"/>
        <w:spacing w:line="460" w:lineRule="exact"/>
        <w:rPr>
          <w:rFonts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132"/>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sz w:val="24"/>
          <w:szCs w:val="24"/>
        </w:rPr>
      </w:pPr>
      <w:r>
        <w:rPr>
          <w:sz w:val="24"/>
          <w:szCs w:val="24"/>
        </w:rPr>
      </w:r>
      <w:r/>
    </w:p>
    <w:p>
      <w:pPr>
        <w:pStyle w:val="845"/>
      </w:pPr>
      <w:r/>
      <w:r/>
    </w:p>
    <w:p>
      <w:pPr>
        <w:rPr>
          <w:rFonts w:ascii="黑体" w:hAnsi="黑体" w:eastAsia="黑体"/>
          <w:bCs/>
          <w:i/>
          <w:sz w:val="32"/>
          <w:szCs w:val="32"/>
          <w:u w:val="single"/>
        </w:rPr>
      </w:pPr>
      <w:r>
        <w:rPr>
          <w:rFonts w:hint="eastAsia" w:ascii="黑体" w:hAnsi="黑体" w:eastAsia="黑体"/>
          <w:sz w:val="32"/>
          <w:szCs w:val="32"/>
          <w:highlight w:val="none"/>
        </w:rPr>
      </w:r>
      <w:r>
        <w:rPr>
          <w:rFonts w:ascii="SimSun" w:hAnsi="SimSun" w:eastAsia="SimSun" w:cs="SimSun"/>
          <w:color w:val="000000"/>
          <w:sz w:val="24"/>
        </w:rPr>
        <w:t xml:space="preserve">响应文件中可提供《中华人民共和国政府采购法》第二十二条规定的证明材料，也可单独提供供应商信用承诺函。</w:t>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rPr>
        <w:t xml:space="preserve">二、满足特定资格要求的证明文件</w:t>
      </w:r>
      <w:r/>
    </w:p>
    <w:p>
      <w:pPr>
        <w:pStyle w:val="1104"/>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94"/>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104"/>
        <w:ind w:firstLine="480"/>
        <w:spacing w:line="420" w:lineRule="exact"/>
        <w:rPr>
          <w:sz w:val="24"/>
          <w:szCs w:val="24"/>
        </w:rPr>
      </w:pPr>
      <w:r>
        <w:rPr>
          <w:sz w:val="24"/>
          <w:szCs w:val="24"/>
        </w:rPr>
      </w:r>
      <w:r/>
    </w:p>
    <w:p>
      <w:pPr>
        <w:pStyle w:val="1104"/>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104"/>
        <w:ind w:firstLine="480"/>
        <w:spacing w:line="480" w:lineRule="exact"/>
        <w:rPr>
          <w:sz w:val="24"/>
          <w:szCs w:val="24"/>
        </w:rPr>
      </w:pPr>
      <w:r>
        <w:rPr>
          <w:rFonts w:hint="eastAsia"/>
          <w:sz w:val="24"/>
          <w:szCs w:val="24"/>
        </w:rPr>
        <w:t xml:space="preserve">本授权书自______年____月____日起生效，特此声明。</w:t>
      </w:r>
      <w:r/>
    </w:p>
    <w:p>
      <w:pPr>
        <w:pStyle w:val="1104"/>
        <w:ind w:firstLine="480"/>
        <w:spacing w:line="480" w:lineRule="exact"/>
        <w:rPr>
          <w:sz w:val="24"/>
          <w:szCs w:val="24"/>
        </w:rPr>
      </w:pPr>
      <w:r>
        <w:rPr>
          <w:rFonts w:hint="eastAsia"/>
          <w:sz w:val="24"/>
          <w:szCs w:val="24"/>
        </w:rPr>
        <w:t xml:space="preserve">被授权人身份证号码：</w:t>
      </w:r>
      <w:r/>
    </w:p>
    <w:p>
      <w:pPr>
        <w:pStyle w:val="1104"/>
        <w:ind w:firstLine="480"/>
        <w:spacing w:line="480" w:lineRule="exact"/>
        <w:rPr>
          <w:sz w:val="24"/>
          <w:szCs w:val="24"/>
          <w:u w:val="single"/>
        </w:rPr>
      </w:pPr>
      <w:r>
        <w:rPr>
          <w:rFonts w:hint="eastAsia"/>
          <w:sz w:val="24"/>
          <w:szCs w:val="24"/>
        </w:rPr>
        <w:t xml:space="preserve">被授权人联系电话：（手机）</w:t>
      </w:r>
      <w:r/>
    </w:p>
    <w:p>
      <w:pPr>
        <w:pStyle w:val="110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104"/>
        <w:ind w:firstLine="480"/>
        <w:spacing w:line="480" w:lineRule="exact"/>
        <w:rPr>
          <w:sz w:val="24"/>
          <w:szCs w:val="24"/>
          <w:u w:val="single"/>
        </w:rPr>
      </w:pPr>
      <w:r>
        <w:rPr>
          <w:rFonts w:hint="eastAsia"/>
          <w:sz w:val="24"/>
          <w:szCs w:val="24"/>
        </w:rPr>
        <w:t xml:space="preserve">单位地址：</w:t>
      </w:r>
      <w:r/>
    </w:p>
    <w:p>
      <w:pPr>
        <w:pStyle w:val="1104"/>
        <w:ind w:firstLine="480"/>
        <w:spacing w:line="480" w:lineRule="exact"/>
        <w:rPr>
          <w:sz w:val="24"/>
          <w:szCs w:val="24"/>
        </w:rPr>
      </w:pPr>
      <w:r>
        <w:rPr>
          <w:rFonts w:hint="eastAsia"/>
          <w:sz w:val="24"/>
          <w:szCs w:val="24"/>
        </w:rPr>
        <w:t xml:space="preserve">日    期：</w:t>
      </w:r>
      <w:bookmarkStart w:id="201" w:name="_Hlt26955070"/>
      <w:r/>
      <w:bookmarkEnd w:id="201"/>
      <w:r/>
      <w:bookmarkStart w:id="202" w:name="_Hlt26671380"/>
      <w:r/>
      <w:bookmarkEnd w:id="202"/>
      <w:r/>
      <w:bookmarkStart w:id="203" w:name="_格式3__银行出具的资信证明"/>
      <w:r/>
      <w:bookmarkEnd w:id="203"/>
      <w:r/>
      <w:r/>
    </w:p>
    <w:p>
      <w:pPr>
        <w:pStyle w:val="836"/>
        <w:rPr>
          <w:i/>
          <w:sz w:val="24"/>
          <w:szCs w:val="24"/>
          <w:u w:val="single"/>
        </w:rPr>
      </w:pPr>
      <w:r>
        <w:rPr>
          <w:i/>
          <w:sz w:val="24"/>
          <w:szCs w:val="24"/>
          <w:u w:val="single"/>
        </w:rPr>
      </w:r>
      <w:r/>
    </w:p>
    <w:p>
      <w:pPr>
        <w:pStyle w:val="83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95"/>
        <w:rPr>
          <w:bCs/>
          <w:sz w:val="24"/>
        </w:rPr>
      </w:pPr>
      <w:r>
        <w:rPr>
          <w:bCs/>
          <w:sz w:val="24"/>
        </w:rPr>
      </w:r>
      <w:r/>
    </w:p>
    <w:p>
      <w:pPr>
        <w:pStyle w:val="1095"/>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106"/>
        <w:spacing w:before="0" w:after="0" w:line="420" w:lineRule="exact"/>
        <w:rPr>
          <w:rFonts w:ascii="宋体" w:hAnsi="宋体"/>
          <w:szCs w:val="21"/>
        </w:rPr>
      </w:pPr>
      <w:r>
        <w:rPr>
          <w:rFonts w:hint="eastAsia" w:ascii="宋体" w:hAnsi="宋体"/>
          <w:szCs w:val="21"/>
        </w:rPr>
        <w:t xml:space="preserve">致：江苏国兴建设项目管理有限公司</w:t>
      </w:r>
      <w:r/>
    </w:p>
    <w:p>
      <w:pPr>
        <w:pStyle w:val="1106"/>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10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0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0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0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0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0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06"/>
        <w:spacing w:before="0" w:after="0" w:line="420" w:lineRule="exact"/>
        <w:rPr>
          <w:rFonts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106"/>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1106"/>
        <w:spacing w:before="0" w:after="0" w:line="420" w:lineRule="exact"/>
        <w:rPr>
          <w:rFonts w:ascii="宋体" w:hAnsi="宋体"/>
          <w:szCs w:val="21"/>
        </w:rPr>
      </w:pPr>
      <w:r>
        <w:rPr>
          <w:rFonts w:hint="eastAsia" w:ascii="宋体" w:hAnsi="宋体"/>
          <w:szCs w:val="21"/>
        </w:rPr>
        <w:t xml:space="preserve">9.我方与本次投标有关信息</w:t>
      </w:r>
      <w:r/>
    </w:p>
    <w:p>
      <w:pPr>
        <w:pStyle w:val="1106"/>
        <w:spacing w:before="0" w:after="0" w:line="420" w:lineRule="exact"/>
        <w:rPr>
          <w:rFonts w:ascii="宋体" w:hAnsi="宋体"/>
          <w:szCs w:val="21"/>
        </w:rPr>
      </w:pPr>
      <w:r>
        <w:rPr>
          <w:rFonts w:hint="eastAsia" w:ascii="宋体" w:hAnsi="宋体"/>
          <w:szCs w:val="21"/>
        </w:rPr>
        <w:t xml:space="preserve">地  址：</w:t>
      </w:r>
      <w:r/>
    </w:p>
    <w:p>
      <w:pPr>
        <w:pStyle w:val="1106"/>
        <w:spacing w:before="0" w:after="0" w:line="420" w:lineRule="exact"/>
        <w:rPr>
          <w:rFonts w:ascii="宋体" w:hAnsi="宋体"/>
          <w:szCs w:val="21"/>
        </w:rPr>
      </w:pPr>
      <w:r>
        <w:rPr>
          <w:rFonts w:hint="eastAsia" w:ascii="宋体" w:hAnsi="宋体"/>
          <w:szCs w:val="21"/>
        </w:rPr>
        <w:t xml:space="preserve">邮  编：</w:t>
      </w:r>
      <w:r/>
    </w:p>
    <w:p>
      <w:pPr>
        <w:pStyle w:val="1106"/>
        <w:spacing w:before="0" w:after="0" w:line="420" w:lineRule="exact"/>
        <w:rPr>
          <w:rFonts w:ascii="宋体" w:hAnsi="宋体"/>
          <w:szCs w:val="21"/>
          <w:u w:val="single"/>
        </w:rPr>
      </w:pPr>
      <w:r>
        <w:rPr>
          <w:rFonts w:hint="eastAsia" w:ascii="宋体" w:hAnsi="宋体"/>
          <w:szCs w:val="21"/>
        </w:rPr>
        <w:t xml:space="preserve">电  话：</w:t>
      </w:r>
      <w:r/>
    </w:p>
    <w:p>
      <w:pPr>
        <w:pStyle w:val="1106"/>
        <w:spacing w:before="0" w:after="0" w:line="420" w:lineRule="exact"/>
        <w:rPr>
          <w:rFonts w:ascii="宋体" w:hAnsi="宋体"/>
          <w:szCs w:val="21"/>
          <w:u w:val="single"/>
        </w:rPr>
      </w:pPr>
      <w:r>
        <w:rPr>
          <w:rFonts w:hint="eastAsia" w:ascii="宋体" w:hAnsi="宋体"/>
          <w:szCs w:val="21"/>
        </w:rPr>
        <w:t xml:space="preserve">传  真：</w:t>
      </w:r>
      <w:r/>
    </w:p>
    <w:p>
      <w:pPr>
        <w:pStyle w:val="1106"/>
        <w:spacing w:before="0" w:after="0" w:line="420" w:lineRule="exact"/>
        <w:rPr>
          <w:rFonts w:ascii="宋体" w:hAnsi="宋体"/>
          <w:szCs w:val="21"/>
          <w:u w:val="single"/>
        </w:rPr>
      </w:pPr>
      <w:r>
        <w:rPr>
          <w:rFonts w:hint="eastAsia" w:ascii="宋体" w:hAnsi="宋体"/>
          <w:szCs w:val="21"/>
        </w:rPr>
        <w:t xml:space="preserve">开户行：</w:t>
      </w:r>
      <w:r/>
    </w:p>
    <w:p>
      <w:pPr>
        <w:pStyle w:val="1106"/>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106"/>
        <w:spacing w:before="0" w:after="0" w:line="420" w:lineRule="exact"/>
        <w:rPr>
          <w:rFonts w:ascii="宋体" w:hAnsi="宋体"/>
          <w:szCs w:val="21"/>
        </w:rPr>
      </w:pPr>
      <w:r>
        <w:rPr>
          <w:rFonts w:hint="eastAsia" w:ascii="宋体" w:hAnsi="宋体"/>
          <w:szCs w:val="21"/>
        </w:rPr>
        <w:t xml:space="preserve">日  期：</w:t>
      </w:r>
      <w:r/>
    </w:p>
    <w:p>
      <w:pPr>
        <w:pStyle w:val="1106"/>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783"/>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106"/>
              <w:ind w:firstLine="0"/>
              <w:spacing w:before="0" w:after="0" w:line="480" w:lineRule="auto"/>
              <w:rPr>
                <w:rFonts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日  期：</w:t>
      </w:r>
      <w:r/>
    </w:p>
    <w:p>
      <w:pPr>
        <w:pStyle w:val="88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45"/>
      </w:pPr>
      <w:r/>
      <w:r/>
    </w:p>
    <w:p>
      <w:r/>
      <w:r/>
    </w:p>
    <w:p>
      <w:pPr>
        <w:pStyle w:val="845"/>
      </w:pPr>
      <w:r/>
      <w:r/>
    </w:p>
    <w:p>
      <w:r/>
      <w:r/>
    </w:p>
    <w:p>
      <w:pPr>
        <w:pStyle w:val="845"/>
      </w:pPr>
      <w:r/>
      <w:r/>
    </w:p>
    <w:p>
      <w:r/>
      <w:r/>
    </w:p>
    <w:p>
      <w:pPr>
        <w:pStyle w:val="845"/>
      </w:pPr>
      <w:r/>
      <w:r/>
    </w:p>
    <w:p>
      <w:pPr>
        <w:pStyle w:val="88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8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85"/>
      </w:pPr>
      <w:r/>
      <w:r/>
    </w:p>
    <w:p>
      <w:pPr>
        <w:jc w:val="left"/>
        <w:spacing w:line="360" w:lineRule="auto"/>
        <w:rPr>
          <w:rFonts w:ascii="黑体" w:hAnsi="黑体" w:eastAsia="黑体"/>
          <w:sz w:val="32"/>
          <w:szCs w:val="32"/>
          <w:highlight w:val="yellow"/>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ind w:right="180" w:firstLine="480"/>
        <w:spacing w:line="360" w:lineRule="auto"/>
        <w:rPr>
          <w:rFonts w:ascii="宋体" w:hAnsi="宋体"/>
          <w:sz w:val="24"/>
          <w:szCs w:val="24"/>
        </w:rPr>
      </w:pPr>
      <w:r/>
      <w:bookmarkStart w:id="204"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04"/>
      <w:r/>
      <w:r/>
    </w:p>
    <w:tbl>
      <w:tblPr>
        <w:tblStyle w:val="783"/>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360" w:lineRule="auto"/>
        <w:rPr>
          <w:rFonts w:ascii="宋体" w:hAnsi="宋体"/>
          <w:sz w:val="24"/>
        </w:rPr>
      </w:pPr>
      <w:r>
        <w:rPr>
          <w:rFonts w:ascii="宋体" w:hAnsi="宋体"/>
          <w:sz w:val="24"/>
        </w:rPr>
      </w:r>
      <w:r/>
    </w:p>
    <w:p>
      <w:pPr>
        <w:pStyle w:val="872"/>
        <w:ind w:firstLine="480"/>
        <w:jc w:val="both"/>
        <w:spacing w:before="0" w:beforeAutospacing="0" w:after="0" w:afterAutospacing="0" w:line="360" w:lineRule="auto"/>
      </w:pPr>
      <w:r>
        <w:t xml:space="preserve">备注： </w:t>
      </w:r>
      <w:r/>
    </w:p>
    <w:p>
      <w:pPr>
        <w:pStyle w:val="872"/>
        <w:ind w:firstLine="480"/>
        <w:jc w:val="both"/>
        <w:spacing w:before="0" w:beforeAutospacing="0" w:after="0" w:afterAutospacing="0" w:line="360" w:lineRule="auto"/>
      </w:pPr>
      <w:r>
        <w:rPr>
          <w:rFonts w:hint="eastAsia"/>
        </w:rPr>
        <w:t xml:space="preserve">1.“投标总价”应包括为完成整个项目所产生的所有费用。</w:t>
      </w:r>
      <w:r/>
    </w:p>
    <w:p>
      <w:pPr>
        <w:pStyle w:val="872"/>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872"/>
        <w:ind w:firstLine="480"/>
        <w:jc w:val="both"/>
        <w:spacing w:before="0" w:beforeAutospacing="0" w:after="0" w:afterAutospacing="0" w:line="360" w:lineRule="auto"/>
        <w:rPr>
          <w:highlight w:val="yellow"/>
        </w:rPr>
      </w:pPr>
      <w:r>
        <w:rPr>
          <w:rFonts w:hint="eastAsia"/>
        </w:rPr>
        <w:t xml:space="preserve">3.行数不够，可自行添加。</w:t>
      </w:r>
      <w:r/>
    </w:p>
    <w:p>
      <w:pPr>
        <w:spacing w:line="480" w:lineRule="exact"/>
        <w:rPr>
          <w:rFonts w:ascii="黑体" w:hAnsi="黑体" w:eastAsia="黑体"/>
          <w:sz w:val="32"/>
          <w:szCs w:val="32"/>
        </w:rPr>
      </w:pPr>
      <w:r>
        <w:rPr>
          <w:rFonts w:hint="eastAsia" w:ascii="方正小标宋简体" w:hAnsi="方正小标宋简体" w:eastAsia="方正小标宋简体" w:cs="方正小标宋简体"/>
          <w:sz w:val="32"/>
          <w:szCs w:val="32"/>
          <w:highlight w:val="yellow"/>
        </w:rPr>
        <w:br w:type="page" w:clear="all"/>
      </w:r>
      <w:r>
        <w:rPr>
          <w:rFonts w:hint="eastAsia" w:ascii="黑体" w:hAnsi="黑体" w:eastAsia="黑体"/>
          <w:sz w:val="32"/>
          <w:szCs w:val="32"/>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845"/>
        <w:ind w:firstLine="480"/>
      </w:pPr>
      <w:r>
        <w:rPr>
          <w:rFonts w:hint="eastAsia"/>
          <w:sz w:val="24"/>
          <w:szCs w:val="24"/>
        </w:rPr>
        <w:t xml:space="preserve">项目编号：                                   采购包号：</w:t>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87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72"/>
        <w:ind w:firstLine="480"/>
        <w:jc w:val="both"/>
        <w:spacing w:before="0" w:beforeAutospacing="0" w:after="0" w:afterAutospacing="0" w:line="360" w:lineRule="auto"/>
      </w:pPr>
      <w:r>
        <w:t xml:space="preserve">备注： </w:t>
      </w:r>
      <w:r/>
    </w:p>
    <w:p>
      <w:pPr>
        <w:pStyle w:val="872"/>
        <w:ind w:firstLine="480"/>
        <w:jc w:val="both"/>
        <w:spacing w:before="0" w:beforeAutospacing="0" w:after="0" w:afterAutospacing="0" w:line="360" w:lineRule="auto"/>
      </w:pPr>
      <w:r>
        <w:rPr>
          <w:rFonts w:hint="eastAsia"/>
        </w:rPr>
        <w:t xml:space="preserve">1.供应商须对招标文件技术要求中的实质性要求（斜体下划线内容或打“★”内容）做出明确响应，否则视为无效投标。</w:t>
      </w:r>
      <w:r/>
    </w:p>
    <w:p>
      <w:pPr>
        <w:pStyle w:val="872"/>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872"/>
        <w:ind w:firstLine="480"/>
        <w:jc w:val="both"/>
        <w:spacing w:before="0" w:beforeAutospacing="0" w:after="0" w:afterAutospacing="0" w:line="360" w:lineRule="auto"/>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sz w:val="32"/>
          <w:szCs w:val="32"/>
        </w:rPr>
      </w:pPr>
      <w:r>
        <w:rPr>
          <w:rFonts w:ascii="黑体" w:hAnsi="黑体" w:eastAsia="黑体"/>
          <w:sz w:val="32"/>
          <w:szCs w:val="32"/>
        </w:rPr>
      </w:r>
      <w:r/>
    </w:p>
    <w:p>
      <w:pPr>
        <w:rPr>
          <w:rFonts w:ascii="黑体" w:hAnsi="黑体" w:eastAsia="黑体"/>
          <w:iCs/>
          <w:sz w:val="32"/>
          <w:szCs w:val="32"/>
        </w:rPr>
      </w:pPr>
      <w:r/>
      <w:bookmarkStart w:id="205" w:name="_Hlt26955054"/>
      <w:r/>
      <w:bookmarkEnd w:id="205"/>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845"/>
        <w:ind w:firstLine="480"/>
      </w:pPr>
      <w:r>
        <w:rPr>
          <w:rFonts w:hint="eastAsia"/>
          <w:sz w:val="24"/>
          <w:szCs w:val="24"/>
        </w:rPr>
        <w:t xml:space="preserve">项目编号：                                   采购包号：</w:t>
      </w:r>
      <w:r/>
    </w:p>
    <w:tbl>
      <w:tblPr>
        <w:tblStyle w:val="7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206" w:name="_Hlt26782999"/>
            <w:r/>
            <w:bookmarkEnd w:id="206"/>
            <w:r/>
            <w:bookmarkStart w:id="207" w:name="_Hlt26580838"/>
            <w:r/>
            <w:bookmarkEnd w:id="207"/>
            <w:r/>
            <w:bookmarkStart w:id="208" w:name="_Hlt26671372"/>
            <w:r/>
            <w:bookmarkEnd w:id="208"/>
            <w:r/>
            <w:bookmarkStart w:id="209" w:name="_Hlt26671343"/>
            <w:r/>
            <w:bookmarkEnd w:id="209"/>
            <w:r/>
            <w:bookmarkStart w:id="210" w:name="_Hlt26955064"/>
            <w:r/>
            <w:bookmarkEnd w:id="210"/>
            <w:r/>
            <w:bookmarkStart w:id="211" w:name="_Hlt26955056"/>
            <w:r/>
            <w:bookmarkEnd w:id="211"/>
            <w:r/>
            <w:bookmarkStart w:id="212" w:name="_Hlt26609391"/>
            <w:r/>
            <w:bookmarkEnd w:id="212"/>
            <w:r/>
            <w:bookmarkStart w:id="213" w:name="_Hlt24879081"/>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87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72"/>
        <w:ind w:firstLine="480"/>
        <w:jc w:val="both"/>
        <w:spacing w:before="0" w:beforeAutospacing="0" w:after="0" w:afterAutospacing="0" w:line="360" w:lineRule="auto"/>
      </w:pPr>
      <w:r>
        <w:rPr>
          <w:rFonts w:hint="eastAsia"/>
        </w:rPr>
        <w:t xml:space="preserve">备注： </w:t>
      </w:r>
      <w:r/>
    </w:p>
    <w:p>
      <w:pPr>
        <w:pStyle w:val="87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85"/>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sz w:val="24"/>
          <w:szCs w:val="24"/>
        </w:rPr>
        <w:t xml:space="preserve">日    期：</w:t>
      </w:r>
      <w:r/>
    </w:p>
    <w:p>
      <w:pPr>
        <w:ind w:firstLine="480"/>
        <w:jc w:val="left"/>
        <w:spacing w:line="360" w:lineRule="auto"/>
        <w:rPr>
          <w:rFonts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rPr>
        <w:t xml:space="preserve">4.</w:t>
      </w:r>
      <w:r>
        <w:rPr>
          <w:rFonts w:hint="eastAsia" w:ascii="宋体" w:hAnsi="宋体"/>
          <w:sz w:val="24"/>
          <w:szCs w:val="24"/>
        </w:rPr>
        <w:t xml:space="preserve">服务采购项目中，服务的承接商应当为中小企业</w:t>
      </w:r>
      <w:bookmarkStart w:id="214"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214"/>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85"/>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845"/>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8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45"/>
      </w:pPr>
      <w:r/>
      <w:r/>
    </w:p>
    <w:p>
      <w:pPr>
        <w:pStyle w:val="885"/>
      </w:pPr>
      <w:r/>
      <w:r/>
    </w:p>
    <w:p>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方正大黑简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90"/>
        <w:rFonts w:ascii="宋体" w:hAnsi="宋体"/>
      </w:rPr>
      <w:framePr w:wrap="around" w:vAnchor="text" w:hAnchor="margin" w:xAlign="center" w:y="1"/>
    </w:pPr>
    <w:r>
      <w:rPr>
        <w:rFonts w:ascii="宋体" w:hAnsi="宋体"/>
      </w:rPr>
      <w:fldChar w:fldCharType="begin"/>
    </w:r>
    <w:r>
      <w:rPr>
        <w:rStyle w:val="1090"/>
        <w:rFonts w:ascii="宋体" w:hAnsi="宋体"/>
      </w:rPr>
      <w:instrText xml:space="preserve">PAGE  </w:instrText>
    </w:r>
    <w:r>
      <w:rPr>
        <w:rFonts w:ascii="宋体" w:hAnsi="宋体"/>
      </w:rPr>
      <w:fldChar w:fldCharType="separate"/>
    </w:r>
    <w:r>
      <w:rPr>
        <w:rStyle w:val="1090"/>
        <w:rFonts w:ascii="宋体" w:hAnsi="宋体"/>
      </w:rPr>
      <w:t xml:space="preserve">23</w:t>
    </w:r>
    <w:r>
      <w:rPr>
        <w:rFonts w:ascii="宋体" w:hAnsi="宋体"/>
      </w:rPr>
      <w:fldChar w:fldCharType="end"/>
    </w:r>
    <w:r/>
  </w:p>
  <w:p>
    <w:pPr>
      <w:pStyle w:val="106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1"/>
      <w:isLgl w:val="false"/>
      <w:suff w:val="nothing"/>
      <w:lvlText w:val=""/>
      <w:lvlJc w:val="left"/>
      <w:pPr>
        <w:ind w:left="0" w:firstLine="0"/>
      </w:pPr>
      <w:rPr>
        <w:rFonts w:hint="eastAsia"/>
      </w:rPr>
    </w:lvl>
    <w:lvl w:ilvl="6">
      <w:start w:val="1"/>
      <w:numFmt w:val="decimal"/>
      <w:pStyle w:val="1033"/>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7"/>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5"/>
  </w:num>
  <w:num w:numId="7">
    <w:abstractNumId w:val="19"/>
  </w:num>
  <w:num w:numId="8">
    <w:abstractNumId w:val="13"/>
  </w:num>
  <w:num w:numId="9">
    <w:abstractNumId w:val="16"/>
  </w:num>
  <w:num w:numId="10">
    <w:abstractNumId w:val="10"/>
  </w:num>
  <w:num w:numId="11">
    <w:abstractNumId w:val="7"/>
  </w:num>
  <w:num w:numId="12">
    <w:abstractNumId w:val="11"/>
  </w:num>
  <w:num w:numId="13">
    <w:abstractNumId w:val="8"/>
  </w:num>
  <w:num w:numId="14">
    <w:abstractNumId w:val="4"/>
  </w:num>
  <w:num w:numId="15">
    <w:abstractNumId w:val="1"/>
  </w:num>
  <w:num w:numId="16">
    <w:abstractNumId w:val="18"/>
  </w:num>
  <w:num w:numId="17">
    <w:abstractNumId w:val="14"/>
  </w:num>
  <w:num w:numId="18">
    <w:abstractNumId w:val="0"/>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782"/>
    <w:link w:val="773"/>
    <w:uiPriority w:val="9"/>
    <w:rPr>
      <w:rFonts w:ascii="Arial" w:hAnsi="Arial" w:eastAsia="Arial" w:cs="Arial"/>
      <w:sz w:val="40"/>
      <w:szCs w:val="40"/>
    </w:rPr>
  </w:style>
  <w:style w:type="character" w:styleId="755">
    <w:name w:val="Heading 2 Char"/>
    <w:basedOn w:val="782"/>
    <w:link w:val="774"/>
    <w:uiPriority w:val="9"/>
    <w:rPr>
      <w:rFonts w:ascii="Arial" w:hAnsi="Arial" w:eastAsia="Arial" w:cs="Arial"/>
      <w:sz w:val="34"/>
    </w:rPr>
  </w:style>
  <w:style w:type="character" w:styleId="756">
    <w:name w:val="Heading 3 Char"/>
    <w:basedOn w:val="782"/>
    <w:link w:val="775"/>
    <w:uiPriority w:val="9"/>
    <w:rPr>
      <w:rFonts w:ascii="Arial" w:hAnsi="Arial" w:eastAsia="Arial" w:cs="Arial"/>
      <w:sz w:val="30"/>
      <w:szCs w:val="30"/>
    </w:rPr>
  </w:style>
  <w:style w:type="character" w:styleId="757">
    <w:name w:val="Heading 4 Char"/>
    <w:basedOn w:val="782"/>
    <w:link w:val="776"/>
    <w:uiPriority w:val="9"/>
    <w:rPr>
      <w:rFonts w:ascii="Arial" w:hAnsi="Arial" w:eastAsia="Arial" w:cs="Arial"/>
      <w:b/>
      <w:bCs/>
      <w:sz w:val="26"/>
      <w:szCs w:val="26"/>
    </w:rPr>
  </w:style>
  <w:style w:type="character" w:styleId="758">
    <w:name w:val="Heading 5 Char"/>
    <w:basedOn w:val="782"/>
    <w:link w:val="777"/>
    <w:uiPriority w:val="9"/>
    <w:rPr>
      <w:rFonts w:ascii="Arial" w:hAnsi="Arial" w:eastAsia="Arial" w:cs="Arial"/>
      <w:b/>
      <w:bCs/>
      <w:sz w:val="24"/>
      <w:szCs w:val="24"/>
    </w:rPr>
  </w:style>
  <w:style w:type="character" w:styleId="759">
    <w:name w:val="Heading 6 Char"/>
    <w:basedOn w:val="782"/>
    <w:link w:val="778"/>
    <w:uiPriority w:val="9"/>
    <w:rPr>
      <w:rFonts w:ascii="Arial" w:hAnsi="Arial" w:eastAsia="Arial" w:cs="Arial"/>
      <w:b/>
      <w:bCs/>
      <w:sz w:val="22"/>
      <w:szCs w:val="22"/>
    </w:rPr>
  </w:style>
  <w:style w:type="character" w:styleId="760">
    <w:name w:val="Heading 7 Char"/>
    <w:basedOn w:val="782"/>
    <w:link w:val="779"/>
    <w:uiPriority w:val="9"/>
    <w:rPr>
      <w:rFonts w:ascii="Arial" w:hAnsi="Arial" w:eastAsia="Arial" w:cs="Arial"/>
      <w:b/>
      <w:bCs/>
      <w:i/>
      <w:iCs/>
      <w:sz w:val="22"/>
      <w:szCs w:val="22"/>
    </w:rPr>
  </w:style>
  <w:style w:type="character" w:styleId="761">
    <w:name w:val="Heading 8 Char"/>
    <w:basedOn w:val="782"/>
    <w:link w:val="780"/>
    <w:uiPriority w:val="9"/>
    <w:rPr>
      <w:rFonts w:ascii="Arial" w:hAnsi="Arial" w:eastAsia="Arial" w:cs="Arial"/>
      <w:i/>
      <w:iCs/>
      <w:sz w:val="22"/>
      <w:szCs w:val="22"/>
    </w:rPr>
  </w:style>
  <w:style w:type="character" w:styleId="762">
    <w:name w:val="Heading 9 Char"/>
    <w:basedOn w:val="782"/>
    <w:link w:val="781"/>
    <w:uiPriority w:val="9"/>
    <w:rPr>
      <w:rFonts w:ascii="Arial" w:hAnsi="Arial" w:eastAsia="Arial" w:cs="Arial"/>
      <w:i/>
      <w:iCs/>
      <w:sz w:val="21"/>
      <w:szCs w:val="21"/>
    </w:rPr>
  </w:style>
  <w:style w:type="character" w:styleId="763">
    <w:name w:val="Title Char"/>
    <w:basedOn w:val="782"/>
    <w:link w:val="804"/>
    <w:uiPriority w:val="10"/>
    <w:rPr>
      <w:sz w:val="48"/>
      <w:szCs w:val="48"/>
    </w:rPr>
  </w:style>
  <w:style w:type="character" w:styleId="764">
    <w:name w:val="Subtitle Char"/>
    <w:basedOn w:val="782"/>
    <w:link w:val="797"/>
    <w:uiPriority w:val="11"/>
    <w:rPr>
      <w:sz w:val="24"/>
      <w:szCs w:val="24"/>
    </w:rPr>
  </w:style>
  <w:style w:type="character" w:styleId="765">
    <w:name w:val="Quote Char"/>
    <w:link w:val="825"/>
    <w:uiPriority w:val="29"/>
    <w:rPr>
      <w:i/>
    </w:rPr>
  </w:style>
  <w:style w:type="character" w:styleId="766">
    <w:name w:val="Intense Quote Char"/>
    <w:link w:val="827"/>
    <w:uiPriority w:val="30"/>
    <w:rPr>
      <w:i/>
    </w:rPr>
  </w:style>
  <w:style w:type="character" w:styleId="767">
    <w:name w:val="Header Char"/>
    <w:basedOn w:val="782"/>
    <w:link w:val="794"/>
    <w:uiPriority w:val="99"/>
  </w:style>
  <w:style w:type="character" w:styleId="768">
    <w:name w:val="Footer Char"/>
    <w:basedOn w:val="782"/>
    <w:link w:val="793"/>
    <w:uiPriority w:val="99"/>
  </w:style>
  <w:style w:type="character" w:styleId="769">
    <w:name w:val="Footnote Text Char"/>
    <w:link w:val="798"/>
    <w:uiPriority w:val="99"/>
    <w:rPr>
      <w:sz w:val="18"/>
    </w:rPr>
  </w:style>
  <w:style w:type="character" w:styleId="770">
    <w:name w:val="Endnote Text Char"/>
    <w:link w:val="792"/>
    <w:uiPriority w:val="99"/>
    <w:rPr>
      <w:sz w:val="20"/>
    </w:rPr>
  </w:style>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3">
    <w:name w:val="Heading 1"/>
    <w:basedOn w:val="772"/>
    <w:next w:val="772"/>
    <w:link w:val="81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3"/>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14"/>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6"/>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7"/>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9"/>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0"/>
    <w:uiPriority w:val="9"/>
    <w:unhideWhenUsed/>
    <w:qFormat/>
    <w:pPr>
      <w:keepLines/>
      <w:keepNext/>
      <w:spacing w:before="320" w:after="200"/>
      <w:outlineLvl w:val="8"/>
    </w:pPr>
    <w:rPr>
      <w:rFonts w:ascii="Arial" w:hAnsi="Arial" w:eastAsia="Arial" w:cs="Arial"/>
      <w:i/>
      <w:iCs/>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2"/>
    <w:uiPriority w:val="99"/>
    <w:semiHidden/>
    <w:unhideWhenUsed/>
    <w:qFormat/>
    <w:pPr>
      <w:jc w:val="left"/>
    </w:pPr>
  </w:style>
  <w:style w:type="paragraph" w:styleId="787">
    <w:name w:val="Body Text"/>
    <w:basedOn w:val="772"/>
    <w:uiPriority w:val="0"/>
    <w:qFormat/>
    <w:pPr>
      <w:jc w:val="center"/>
    </w:pPr>
    <w:rPr>
      <w:rFonts w:ascii="方正大黑简体" w:eastAsia="方正大黑简体"/>
      <w:position w:val="6"/>
      <w:sz w:val="30"/>
      <w:szCs w:val="20"/>
    </w:rPr>
  </w:style>
  <w:style w:type="paragraph" w:styleId="788">
    <w:name w:val="toc 5"/>
    <w:basedOn w:val="772"/>
    <w:next w:val="772"/>
    <w:uiPriority w:val="39"/>
    <w:unhideWhenUsed/>
    <w:qFormat/>
    <w:pPr>
      <w:ind w:left="1134"/>
      <w:spacing w:after="57"/>
    </w:pPr>
  </w:style>
  <w:style w:type="paragraph" w:styleId="789">
    <w:name w:val="toc 3"/>
    <w:basedOn w:val="772"/>
    <w:next w:val="772"/>
    <w:uiPriority w:val="39"/>
    <w:unhideWhenUsed/>
    <w:qFormat/>
    <w:pPr>
      <w:ind w:left="567"/>
      <w:spacing w:after="57"/>
    </w:pPr>
  </w:style>
  <w:style w:type="paragraph" w:styleId="790">
    <w:name w:val="Plain Text"/>
    <w:basedOn w:val="772"/>
    <w:uiPriority w:val="0"/>
    <w:qFormat/>
    <w:rPr>
      <w:rFonts w:ascii="宋体" w:hAnsi="Courier New"/>
    </w:rPr>
  </w:style>
  <w:style w:type="paragraph" w:styleId="791">
    <w:name w:val="toc 8"/>
    <w:basedOn w:val="772"/>
    <w:next w:val="772"/>
    <w:uiPriority w:val="39"/>
    <w:unhideWhenUsed/>
    <w:qFormat/>
    <w:pPr>
      <w:ind w:left="1984"/>
      <w:spacing w:after="57"/>
    </w:pPr>
  </w:style>
  <w:style w:type="paragraph" w:styleId="792">
    <w:name w:val="endnote text"/>
    <w:basedOn w:val="772"/>
    <w:link w:val="832"/>
    <w:uiPriority w:val="99"/>
    <w:semiHidden/>
    <w:unhideWhenUsed/>
    <w:qFormat/>
    <w:rPr>
      <w:sz w:val="20"/>
    </w:rPr>
  </w:style>
  <w:style w:type="paragraph" w:styleId="793">
    <w:name w:val="Footer"/>
    <w:basedOn w:val="772"/>
    <w:link w:val="830"/>
    <w:uiPriority w:val="99"/>
    <w:unhideWhenUsed/>
    <w:qFormat/>
    <w:pPr>
      <w:tabs>
        <w:tab w:val="center" w:pos="7143" w:leader="none"/>
        <w:tab w:val="right" w:pos="14287" w:leader="none"/>
      </w:tabs>
    </w:pPr>
  </w:style>
  <w:style w:type="paragraph" w:styleId="794">
    <w:name w:val="Header"/>
    <w:basedOn w:val="772"/>
    <w:link w:val="829"/>
    <w:uiPriority w:val="99"/>
    <w:unhideWhenUsed/>
    <w:qFormat/>
    <w:pPr>
      <w:tabs>
        <w:tab w:val="center" w:pos="7143" w:leader="none"/>
        <w:tab w:val="right" w:pos="14287" w:leader="none"/>
      </w:tabs>
    </w:pPr>
  </w:style>
  <w:style w:type="paragraph" w:styleId="795">
    <w:name w:val="toc 1"/>
    <w:basedOn w:val="772"/>
    <w:next w:val="772"/>
    <w:uiPriority w:val="39"/>
    <w:unhideWhenUsed/>
    <w:qFormat/>
    <w:pPr>
      <w:spacing w:after="57"/>
    </w:pPr>
  </w:style>
  <w:style w:type="paragraph" w:styleId="796">
    <w:name w:val="toc 4"/>
    <w:basedOn w:val="772"/>
    <w:next w:val="772"/>
    <w:uiPriority w:val="39"/>
    <w:unhideWhenUsed/>
    <w:qFormat/>
    <w:pPr>
      <w:ind w:left="850"/>
      <w:spacing w:after="57"/>
    </w:pPr>
  </w:style>
  <w:style w:type="paragraph" w:styleId="797">
    <w:name w:val="Subtitle"/>
    <w:basedOn w:val="772"/>
    <w:next w:val="772"/>
    <w:link w:val="824"/>
    <w:uiPriority w:val="11"/>
    <w:qFormat/>
    <w:pPr>
      <w:spacing w:before="200" w:after="200"/>
    </w:pPr>
    <w:rPr>
      <w:sz w:val="24"/>
      <w:szCs w:val="24"/>
    </w:rPr>
  </w:style>
  <w:style w:type="paragraph" w:styleId="798">
    <w:name w:val="footnote text"/>
    <w:basedOn w:val="772"/>
    <w:link w:val="831"/>
    <w:uiPriority w:val="99"/>
    <w:semiHidden/>
    <w:unhideWhenUsed/>
    <w:qFormat/>
    <w:pPr>
      <w:spacing w:after="40"/>
    </w:pPr>
    <w:rPr>
      <w:sz w:val="18"/>
    </w:rPr>
  </w:style>
  <w:style w:type="paragraph" w:styleId="799">
    <w:name w:val="toc 6"/>
    <w:basedOn w:val="772"/>
    <w:next w:val="772"/>
    <w:uiPriority w:val="39"/>
    <w:unhideWhenUsed/>
    <w:qFormat/>
    <w:pPr>
      <w:ind w:left="1417"/>
      <w:spacing w:after="57"/>
    </w:pPr>
  </w:style>
  <w:style w:type="paragraph" w:styleId="800">
    <w:name w:val="table of figures"/>
    <w:basedOn w:val="772"/>
    <w:next w:val="772"/>
    <w:uiPriority w:val="99"/>
    <w:unhideWhenUsed/>
    <w:qFormat/>
  </w:style>
  <w:style w:type="paragraph" w:styleId="801">
    <w:name w:val="toc 2"/>
    <w:basedOn w:val="772"/>
    <w:next w:val="772"/>
    <w:uiPriority w:val="39"/>
    <w:unhideWhenUsed/>
    <w:qFormat/>
    <w:pPr>
      <w:ind w:left="283"/>
      <w:spacing w:after="57"/>
    </w:pPr>
  </w:style>
  <w:style w:type="paragraph" w:styleId="802">
    <w:name w:val="toc 9"/>
    <w:basedOn w:val="772"/>
    <w:next w:val="772"/>
    <w:uiPriority w:val="39"/>
    <w:unhideWhenUsed/>
    <w:qFormat/>
    <w:pPr>
      <w:ind w:left="2268"/>
      <w:spacing w:after="57"/>
    </w:pPr>
  </w:style>
  <w:style w:type="paragraph" w:styleId="803">
    <w:name w:val="Normal (Web)"/>
    <w:basedOn w:val="772"/>
    <w:uiPriority w:val="99"/>
    <w:qFormat/>
    <w:pPr>
      <w:jc w:val="left"/>
      <w:spacing w:before="100" w:beforeAutospacing="1" w:after="100" w:afterAutospacing="1"/>
      <w:widowControl/>
    </w:pPr>
    <w:rPr>
      <w:rFonts w:ascii="宋体" w:hAnsi="宋体" w:cs="宋体"/>
      <w:sz w:val="24"/>
    </w:rPr>
  </w:style>
  <w:style w:type="paragraph" w:styleId="804">
    <w:name w:val="Title"/>
    <w:basedOn w:val="772"/>
    <w:next w:val="772"/>
    <w:link w:val="823"/>
    <w:uiPriority w:val="10"/>
    <w:qFormat/>
    <w:pPr>
      <w:contextualSpacing/>
      <w:spacing w:before="300" w:after="200"/>
    </w:pPr>
    <w:rPr>
      <w:sz w:val="48"/>
      <w:szCs w:val="48"/>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customStyle="1">
    <w:name w:val="正文首行缩进 2112"/>
    <w:basedOn w:val="810"/>
    <w:next w:val="772"/>
    <w:uiPriority w:val="0"/>
    <w:qFormat/>
    <w:pPr>
      <w:ind w:left="0" w:firstLine="420"/>
      <w:spacing w:after="0" w:line="360" w:lineRule="auto"/>
    </w:pPr>
    <w:rPr>
      <w:rFonts w:ascii="宋体" w:hAnsi="宋体" w:eastAsia="宋体" w:cs="Times New Roman"/>
      <w:szCs w:val="20"/>
    </w:rPr>
  </w:style>
  <w:style w:type="paragraph" w:styleId="810" w:customStyle="1">
    <w:name w:val="正文文本缩进111"/>
    <w:basedOn w:val="772"/>
    <w:next w:val="811"/>
    <w:uiPriority w:val="0"/>
    <w:unhideWhenUsed/>
    <w:qFormat/>
    <w:pPr>
      <w:ind w:left="420"/>
      <w:spacing w:after="120"/>
    </w:pPr>
  </w:style>
  <w:style w:type="paragraph" w:styleId="811" w:customStyle="1">
    <w:name w:val="寄信人地址12"/>
    <w:basedOn w:val="772"/>
    <w:uiPriority w:val="0"/>
    <w:qFormat/>
    <w:rPr>
      <w:rFonts w:ascii="Arial" w:hAnsi="Arial" w:eastAsia="宋体" w:cs="宋体"/>
    </w:rPr>
  </w:style>
  <w:style w:type="character" w:styleId="812" w:customStyle="1">
    <w:name w:val="标题 1 Char1"/>
    <w:link w:val="773"/>
    <w:uiPriority w:val="9"/>
    <w:qFormat/>
    <w:rPr>
      <w:rFonts w:ascii="Arial" w:hAnsi="Arial" w:eastAsia="Arial" w:cs="Arial"/>
      <w:sz w:val="40"/>
      <w:szCs w:val="40"/>
    </w:rPr>
  </w:style>
  <w:style w:type="character" w:styleId="813" w:customStyle="1">
    <w:name w:val="标题 2 Char1"/>
    <w:link w:val="774"/>
    <w:uiPriority w:val="9"/>
    <w:qFormat/>
    <w:rPr>
      <w:rFonts w:ascii="Arial" w:hAnsi="Arial" w:eastAsia="Arial" w:cs="Arial"/>
      <w:sz w:val="34"/>
    </w:rPr>
  </w:style>
  <w:style w:type="character" w:styleId="814" w:customStyle="1">
    <w:name w:val="标题 3 Char1"/>
    <w:link w:val="775"/>
    <w:uiPriority w:val="9"/>
    <w:qFormat/>
    <w:rPr>
      <w:rFonts w:ascii="Arial" w:hAnsi="Arial" w:eastAsia="Arial" w:cs="Arial"/>
      <w:sz w:val="30"/>
      <w:szCs w:val="30"/>
    </w:rPr>
  </w:style>
  <w:style w:type="character" w:styleId="815" w:customStyle="1">
    <w:name w:val="标题 4 Char1"/>
    <w:link w:val="776"/>
    <w:uiPriority w:val="9"/>
    <w:qFormat/>
    <w:rPr>
      <w:rFonts w:ascii="Arial" w:hAnsi="Arial" w:eastAsia="Arial" w:cs="Arial"/>
      <w:b/>
      <w:bCs/>
      <w:sz w:val="26"/>
      <w:szCs w:val="26"/>
    </w:rPr>
  </w:style>
  <w:style w:type="character" w:styleId="816" w:customStyle="1">
    <w:name w:val="标题 5 Char1"/>
    <w:link w:val="777"/>
    <w:uiPriority w:val="9"/>
    <w:qFormat/>
    <w:rPr>
      <w:rFonts w:ascii="Arial" w:hAnsi="Arial" w:eastAsia="Arial" w:cs="Arial"/>
      <w:b/>
      <w:bCs/>
      <w:sz w:val="24"/>
      <w:szCs w:val="24"/>
    </w:rPr>
  </w:style>
  <w:style w:type="character" w:styleId="817" w:customStyle="1">
    <w:name w:val="标题 6 Char1"/>
    <w:link w:val="778"/>
    <w:uiPriority w:val="9"/>
    <w:qFormat/>
    <w:rPr>
      <w:rFonts w:ascii="Arial" w:hAnsi="Arial" w:eastAsia="Arial" w:cs="Arial"/>
      <w:b/>
      <w:bCs/>
      <w:sz w:val="22"/>
      <w:szCs w:val="22"/>
    </w:rPr>
  </w:style>
  <w:style w:type="character" w:styleId="818" w:customStyle="1">
    <w:name w:val="标题 7 Char1"/>
    <w:link w:val="779"/>
    <w:uiPriority w:val="9"/>
    <w:qFormat/>
    <w:rPr>
      <w:rFonts w:ascii="Arial" w:hAnsi="Arial" w:eastAsia="Arial" w:cs="Arial"/>
      <w:b/>
      <w:bCs/>
      <w:i/>
      <w:iCs/>
      <w:sz w:val="22"/>
      <w:szCs w:val="22"/>
    </w:rPr>
  </w:style>
  <w:style w:type="character" w:styleId="819" w:customStyle="1">
    <w:name w:val="标题 8 Char1"/>
    <w:link w:val="780"/>
    <w:uiPriority w:val="9"/>
    <w:qFormat/>
    <w:rPr>
      <w:rFonts w:ascii="Arial" w:hAnsi="Arial" w:eastAsia="Arial" w:cs="Arial"/>
      <w:i/>
      <w:iCs/>
      <w:sz w:val="22"/>
      <w:szCs w:val="22"/>
    </w:rPr>
  </w:style>
  <w:style w:type="character" w:styleId="820" w:customStyle="1">
    <w:name w:val="标题 9 Char1"/>
    <w:link w:val="781"/>
    <w:uiPriority w:val="9"/>
    <w:qFormat/>
    <w:rPr>
      <w:rFonts w:ascii="Arial" w:hAnsi="Arial" w:eastAsia="Arial" w:cs="Arial"/>
      <w:i/>
      <w:iCs/>
      <w:sz w:val="21"/>
      <w:szCs w:val="21"/>
    </w:rPr>
  </w:style>
  <w:style w:type="paragraph" w:styleId="821">
    <w:name w:val="List Paragraph"/>
    <w:basedOn w:val="772"/>
    <w:uiPriority w:val="34"/>
    <w:qFormat/>
    <w:pPr>
      <w:contextualSpacing/>
      <w:ind w:left="720"/>
    </w:p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Char"/>
    <w:link w:val="804"/>
    <w:uiPriority w:val="10"/>
    <w:qFormat/>
    <w:rPr>
      <w:sz w:val="48"/>
      <w:szCs w:val="48"/>
    </w:rPr>
  </w:style>
  <w:style w:type="character" w:styleId="824" w:customStyle="1">
    <w:name w:val="副标题 Char"/>
    <w:link w:val="797"/>
    <w:uiPriority w:val="11"/>
    <w:qFormat/>
    <w:rPr>
      <w:sz w:val="24"/>
      <w:szCs w:val="24"/>
    </w:rPr>
  </w:style>
  <w:style w:type="paragraph" w:styleId="825">
    <w:name w:val="Quote"/>
    <w:basedOn w:val="772"/>
    <w:next w:val="772"/>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72"/>
    <w:next w:val="77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眉 Char1"/>
    <w:link w:val="794"/>
    <w:uiPriority w:val="99"/>
    <w:qFormat/>
  </w:style>
  <w:style w:type="character" w:styleId="830" w:customStyle="1">
    <w:name w:val="页脚 Char1"/>
    <w:link w:val="793"/>
    <w:uiPriority w:val="99"/>
    <w:qFormat/>
  </w:style>
  <w:style w:type="character" w:styleId="831" w:customStyle="1">
    <w:name w:val="脚注文本 Char"/>
    <w:link w:val="798"/>
    <w:uiPriority w:val="99"/>
    <w:qFormat/>
    <w:rPr>
      <w:sz w:val="18"/>
    </w:rPr>
  </w:style>
  <w:style w:type="character" w:styleId="832" w:customStyle="1">
    <w:name w:val="尾注文本 Char"/>
    <w:link w:val="792"/>
    <w:uiPriority w:val="99"/>
    <w:qFormat/>
    <w:rPr>
      <w:sz w:val="20"/>
    </w:rPr>
  </w:style>
  <w:style w:type="paragraph" w:styleId="833" w:customStyle="1">
    <w:name w:val="标题 111"/>
    <w:basedOn w:val="772"/>
    <w:next w:val="772"/>
    <w:link w:val="847"/>
    <w:uiPriority w:val="9"/>
    <w:qFormat/>
    <w:pPr>
      <w:keepLines/>
      <w:keepNext/>
      <w:spacing w:before="480" w:after="200"/>
      <w:outlineLvl w:val="0"/>
    </w:pPr>
    <w:rPr>
      <w:rFonts w:ascii="Arial" w:hAnsi="Arial" w:eastAsia="Arial" w:cs="Arial"/>
      <w:sz w:val="40"/>
      <w:szCs w:val="40"/>
    </w:rPr>
  </w:style>
  <w:style w:type="paragraph" w:styleId="834" w:customStyle="1">
    <w:name w:val="标题 211"/>
    <w:basedOn w:val="772"/>
    <w:next w:val="772"/>
    <w:link w:val="848"/>
    <w:uiPriority w:val="9"/>
    <w:qFormat/>
    <w:pPr>
      <w:keepLines/>
      <w:keepNext/>
      <w:spacing w:before="360" w:after="200"/>
      <w:outlineLvl w:val="1"/>
    </w:pPr>
    <w:rPr>
      <w:rFonts w:ascii="Arial" w:hAnsi="Arial" w:eastAsia="Arial" w:cs="Arial"/>
      <w:sz w:val="34"/>
    </w:rPr>
  </w:style>
  <w:style w:type="paragraph" w:styleId="835" w:customStyle="1">
    <w:name w:val="标题 312"/>
    <w:basedOn w:val="772"/>
    <w:next w:val="836"/>
    <w:link w:val="849"/>
    <w:uiPriority w:val="9"/>
    <w:qFormat/>
    <w:pPr>
      <w:keepLines/>
      <w:keepNext/>
      <w:spacing w:before="320" w:after="200"/>
      <w:outlineLvl w:val="2"/>
    </w:pPr>
    <w:rPr>
      <w:rFonts w:ascii="Arial" w:hAnsi="Arial" w:eastAsia="Arial" w:cs="Arial"/>
      <w:sz w:val="30"/>
      <w:szCs w:val="30"/>
    </w:rPr>
  </w:style>
  <w:style w:type="paragraph" w:styleId="836" w:customStyle="1">
    <w:name w:val="正文缩进12"/>
    <w:basedOn w:val="772"/>
    <w:uiPriority w:val="0"/>
    <w:qFormat/>
    <w:pPr>
      <w:ind w:firstLine="420"/>
    </w:pPr>
  </w:style>
  <w:style w:type="paragraph" w:styleId="837" w:customStyle="1">
    <w:name w:val="标题 411"/>
    <w:basedOn w:val="772"/>
    <w:next w:val="836"/>
    <w:link w:val="850"/>
    <w:uiPriority w:val="9"/>
    <w:qFormat/>
    <w:pPr>
      <w:keepLines/>
      <w:keepNext/>
      <w:spacing w:before="320" w:after="200"/>
      <w:outlineLvl w:val="3"/>
    </w:pPr>
    <w:rPr>
      <w:rFonts w:ascii="Arial" w:hAnsi="Arial" w:eastAsia="Arial" w:cs="Arial"/>
      <w:b/>
      <w:bCs/>
      <w:sz w:val="26"/>
      <w:szCs w:val="26"/>
    </w:rPr>
  </w:style>
  <w:style w:type="paragraph" w:styleId="838" w:customStyle="1">
    <w:name w:val="标题 511"/>
    <w:basedOn w:val="772"/>
    <w:next w:val="772"/>
    <w:link w:val="851"/>
    <w:uiPriority w:val="9"/>
    <w:qFormat/>
    <w:pPr>
      <w:keepLines/>
      <w:keepNext/>
      <w:spacing w:before="320" w:after="200"/>
      <w:outlineLvl w:val="4"/>
    </w:pPr>
    <w:rPr>
      <w:rFonts w:ascii="Arial" w:hAnsi="Arial" w:eastAsia="Arial" w:cs="Arial"/>
      <w:b/>
      <w:bCs/>
      <w:sz w:val="24"/>
      <w:szCs w:val="24"/>
    </w:rPr>
  </w:style>
  <w:style w:type="paragraph" w:styleId="839" w:customStyle="1">
    <w:name w:val="标题 611"/>
    <w:basedOn w:val="772"/>
    <w:next w:val="772"/>
    <w:link w:val="852"/>
    <w:uiPriority w:val="9"/>
    <w:qFormat/>
    <w:pPr>
      <w:keepLines/>
      <w:keepNext/>
      <w:spacing w:before="320" w:after="200"/>
      <w:outlineLvl w:val="5"/>
    </w:pPr>
    <w:rPr>
      <w:rFonts w:ascii="Arial" w:hAnsi="Arial" w:eastAsia="Arial" w:cs="Arial"/>
      <w:b/>
      <w:bCs/>
      <w:sz w:val="22"/>
      <w:szCs w:val="22"/>
    </w:rPr>
  </w:style>
  <w:style w:type="paragraph" w:styleId="840" w:customStyle="1">
    <w:name w:val="标题 711"/>
    <w:basedOn w:val="772"/>
    <w:next w:val="772"/>
    <w:link w:val="853"/>
    <w:uiPriority w:val="9"/>
    <w:qFormat/>
    <w:pPr>
      <w:keepLines/>
      <w:keepNext/>
      <w:spacing w:before="320" w:after="200"/>
      <w:outlineLvl w:val="6"/>
    </w:pPr>
    <w:rPr>
      <w:rFonts w:ascii="Arial" w:hAnsi="Arial" w:eastAsia="Arial" w:cs="Arial"/>
      <w:b/>
      <w:bCs/>
      <w:i/>
      <w:iCs/>
      <w:sz w:val="22"/>
      <w:szCs w:val="22"/>
    </w:rPr>
  </w:style>
  <w:style w:type="paragraph" w:styleId="841" w:customStyle="1">
    <w:name w:val="标题 811"/>
    <w:basedOn w:val="772"/>
    <w:next w:val="772"/>
    <w:link w:val="854"/>
    <w:uiPriority w:val="9"/>
    <w:qFormat/>
    <w:pPr>
      <w:keepLines/>
      <w:keepNext/>
      <w:spacing w:before="320" w:after="200"/>
      <w:outlineLvl w:val="7"/>
    </w:pPr>
    <w:rPr>
      <w:rFonts w:ascii="Arial" w:hAnsi="Arial" w:eastAsia="Arial" w:cs="Arial"/>
      <w:i/>
      <w:iCs/>
      <w:sz w:val="22"/>
      <w:szCs w:val="22"/>
    </w:rPr>
  </w:style>
  <w:style w:type="paragraph" w:styleId="842" w:customStyle="1">
    <w:name w:val="标题 911"/>
    <w:basedOn w:val="772"/>
    <w:next w:val="772"/>
    <w:link w:val="855"/>
    <w:uiPriority w:val="9"/>
    <w:qFormat/>
    <w:pPr>
      <w:keepLines/>
      <w:keepNext/>
      <w:spacing w:before="320" w:after="200"/>
      <w:outlineLvl w:val="8"/>
    </w:pPr>
    <w:rPr>
      <w:rFonts w:ascii="Arial" w:hAnsi="Arial" w:eastAsia="Arial" w:cs="Arial"/>
      <w:i/>
      <w:iCs/>
    </w:rPr>
  </w:style>
  <w:style w:type="character" w:styleId="843" w:customStyle="1">
    <w:name w:val="默认段落字体11"/>
    <w:uiPriority w:val="1"/>
    <w:unhideWhenUsed/>
    <w:qFormat/>
  </w:style>
  <w:style w:type="table" w:styleId="844" w:customStyle="1">
    <w:name w:val="普通表格12"/>
    <w:uiPriority w:val="99"/>
    <w:unhideWhenUsed/>
    <w:qFormat/>
    <w:tblPr>
      <w:tblCellMar>
        <w:left w:w="0" w:type="dxa"/>
        <w:top w:w="0" w:type="dxa"/>
        <w:right w:w="0" w:type="dxa"/>
        <w:bottom w:w="0" w:type="dxa"/>
      </w:tblCellMar>
    </w:tblPr>
  </w:style>
  <w:style w:type="paragraph" w:styleId="845" w:customStyle="1">
    <w:name w:val="正文文本首行缩进 2"/>
    <w:basedOn w:val="810"/>
    <w:next w:val="772"/>
    <w:uiPriority w:val="0"/>
    <w:qFormat/>
    <w:pPr>
      <w:ind w:left="0" w:firstLine="420"/>
      <w:spacing w:after="0" w:line="360" w:lineRule="auto"/>
    </w:pPr>
    <w:rPr>
      <w:rFonts w:ascii="宋体" w:hAnsi="宋体"/>
      <w:szCs w:val="20"/>
    </w:rPr>
  </w:style>
  <w:style w:type="paragraph" w:styleId="846" w:customStyle="1">
    <w:name w:val="寄信人地址11"/>
    <w:basedOn w:val="772"/>
    <w:uiPriority w:val="0"/>
    <w:qFormat/>
    <w:rPr>
      <w:rFonts w:ascii="Arial" w:hAnsi="Arial" w:cs="宋体"/>
    </w:rPr>
  </w:style>
  <w:style w:type="character" w:styleId="847" w:customStyle="1">
    <w:name w:val="标题 1 字符"/>
    <w:link w:val="833"/>
    <w:uiPriority w:val="9"/>
    <w:qFormat/>
    <w:rPr>
      <w:rFonts w:ascii="Arial" w:hAnsi="Arial" w:eastAsia="Arial" w:cs="Arial"/>
      <w:sz w:val="40"/>
      <w:szCs w:val="40"/>
    </w:rPr>
  </w:style>
  <w:style w:type="character" w:styleId="848" w:customStyle="1">
    <w:name w:val="标题 2 字符"/>
    <w:link w:val="834"/>
    <w:uiPriority w:val="9"/>
    <w:qFormat/>
    <w:rPr>
      <w:rFonts w:ascii="Arial" w:hAnsi="Arial" w:eastAsia="Arial" w:cs="Arial"/>
      <w:sz w:val="34"/>
    </w:rPr>
  </w:style>
  <w:style w:type="character" w:styleId="849" w:customStyle="1">
    <w:name w:val="标题 3 字符"/>
    <w:link w:val="835"/>
    <w:uiPriority w:val="9"/>
    <w:qFormat/>
    <w:rPr>
      <w:rFonts w:ascii="Arial" w:hAnsi="Arial" w:eastAsia="Arial" w:cs="Arial"/>
      <w:sz w:val="30"/>
      <w:szCs w:val="30"/>
    </w:rPr>
  </w:style>
  <w:style w:type="character" w:styleId="850" w:customStyle="1">
    <w:name w:val="标题 4 字符"/>
    <w:link w:val="837"/>
    <w:uiPriority w:val="9"/>
    <w:qFormat/>
    <w:rPr>
      <w:rFonts w:ascii="Arial" w:hAnsi="Arial" w:eastAsia="Arial" w:cs="Arial"/>
      <w:b/>
      <w:bCs/>
      <w:sz w:val="26"/>
      <w:szCs w:val="26"/>
    </w:rPr>
  </w:style>
  <w:style w:type="character" w:styleId="851" w:customStyle="1">
    <w:name w:val="标题 5 字符"/>
    <w:link w:val="838"/>
    <w:uiPriority w:val="9"/>
    <w:qFormat/>
    <w:rPr>
      <w:rFonts w:ascii="Arial" w:hAnsi="Arial" w:eastAsia="Arial" w:cs="Arial"/>
      <w:b/>
      <w:bCs/>
      <w:sz w:val="24"/>
      <w:szCs w:val="24"/>
    </w:rPr>
  </w:style>
  <w:style w:type="character" w:styleId="852" w:customStyle="1">
    <w:name w:val="标题 6 字符"/>
    <w:link w:val="839"/>
    <w:uiPriority w:val="9"/>
    <w:qFormat/>
    <w:rPr>
      <w:rFonts w:ascii="Arial" w:hAnsi="Arial" w:eastAsia="Arial" w:cs="Arial"/>
      <w:b/>
      <w:bCs/>
      <w:sz w:val="22"/>
      <w:szCs w:val="22"/>
    </w:rPr>
  </w:style>
  <w:style w:type="character" w:styleId="853" w:customStyle="1">
    <w:name w:val="标题 7 字符"/>
    <w:link w:val="840"/>
    <w:uiPriority w:val="9"/>
    <w:qFormat/>
    <w:rPr>
      <w:rFonts w:ascii="Arial" w:hAnsi="Arial" w:eastAsia="Arial" w:cs="Arial"/>
      <w:b/>
      <w:bCs/>
      <w:i/>
      <w:iCs/>
      <w:sz w:val="22"/>
      <w:szCs w:val="22"/>
    </w:rPr>
  </w:style>
  <w:style w:type="character" w:styleId="854" w:customStyle="1">
    <w:name w:val="标题 8 字符"/>
    <w:link w:val="841"/>
    <w:uiPriority w:val="9"/>
    <w:qFormat/>
    <w:rPr>
      <w:rFonts w:ascii="Arial" w:hAnsi="Arial" w:eastAsia="Arial" w:cs="Arial"/>
      <w:i/>
      <w:iCs/>
      <w:sz w:val="22"/>
      <w:szCs w:val="22"/>
    </w:rPr>
  </w:style>
  <w:style w:type="character" w:styleId="855" w:customStyle="1">
    <w:name w:val="标题 9 字符"/>
    <w:link w:val="842"/>
    <w:uiPriority w:val="9"/>
    <w:qFormat/>
    <w:rPr>
      <w:rFonts w:ascii="Arial" w:hAnsi="Arial" w:eastAsia="Arial" w:cs="Arial"/>
      <w:i/>
      <w:iCs/>
      <w:sz w:val="21"/>
      <w:szCs w:val="21"/>
    </w:rPr>
  </w:style>
  <w:style w:type="paragraph" w:styleId="856" w:customStyle="1">
    <w:name w:val="题注1"/>
    <w:basedOn w:val="772"/>
    <w:next w:val="772"/>
    <w:uiPriority w:val="35"/>
    <w:qFormat/>
    <w:pPr>
      <w:spacing w:line="276" w:lineRule="auto"/>
    </w:pPr>
    <w:rPr>
      <w:b/>
      <w:bCs/>
      <w:color w:val="4f81bd"/>
      <w:sz w:val="18"/>
      <w:szCs w:val="18"/>
    </w:rPr>
  </w:style>
  <w:style w:type="paragraph" w:styleId="857" w:customStyle="1">
    <w:name w:val="批注文字11"/>
    <w:basedOn w:val="772"/>
    <w:link w:val="858"/>
    <w:uiPriority w:val="99"/>
    <w:unhideWhenUsed/>
    <w:qFormat/>
    <w:pPr>
      <w:jc w:val="left"/>
    </w:pPr>
  </w:style>
  <w:style w:type="character" w:styleId="858" w:customStyle="1">
    <w:name w:val="批注文字 字符"/>
    <w:link w:val="857"/>
    <w:uiPriority w:val="99"/>
    <w:qFormat/>
    <w:rPr>
      <w:sz w:val="21"/>
      <w:szCs w:val="21"/>
    </w:rPr>
  </w:style>
  <w:style w:type="paragraph" w:styleId="859" w:customStyle="1">
    <w:name w:val="正文文本122"/>
    <w:basedOn w:val="772"/>
    <w:uiPriority w:val="1"/>
    <w:qFormat/>
    <w:pPr>
      <w:ind w:left="120"/>
    </w:pPr>
    <w:rPr>
      <w:rFonts w:ascii="宋体" w:hAnsi="宋体" w:cs="宋体"/>
      <w:lang w:val="zh-CN" w:bidi="zh-CN"/>
    </w:rPr>
  </w:style>
  <w:style w:type="paragraph" w:styleId="860" w:customStyle="1">
    <w:name w:val="纯文本11"/>
    <w:basedOn w:val="772"/>
    <w:uiPriority w:val="0"/>
    <w:qFormat/>
    <w:rPr>
      <w:rFonts w:ascii="宋体" w:hAnsi="Courier New" w:cs="Courier New"/>
    </w:rPr>
  </w:style>
  <w:style w:type="paragraph" w:styleId="861" w:customStyle="1">
    <w:name w:val="尾注文本1"/>
    <w:basedOn w:val="772"/>
    <w:link w:val="862"/>
    <w:uiPriority w:val="99"/>
    <w:unhideWhenUsed/>
    <w:qFormat/>
    <w:rPr>
      <w:sz w:val="20"/>
    </w:rPr>
  </w:style>
  <w:style w:type="character" w:styleId="862" w:customStyle="1">
    <w:name w:val="尾注文本 字符"/>
    <w:link w:val="861"/>
    <w:uiPriority w:val="99"/>
    <w:qFormat/>
    <w:rPr>
      <w:sz w:val="20"/>
    </w:rPr>
  </w:style>
  <w:style w:type="paragraph" w:styleId="863" w:customStyle="1">
    <w:name w:val="页脚11"/>
    <w:basedOn w:val="772"/>
    <w:link w:val="884"/>
    <w:uiPriority w:val="99"/>
    <w:unhideWhenUsed/>
    <w:qFormat/>
    <w:pPr>
      <w:tabs>
        <w:tab w:val="center" w:pos="7143" w:leader="none"/>
        <w:tab w:val="right" w:pos="14287" w:leader="none"/>
      </w:tabs>
    </w:pPr>
  </w:style>
  <w:style w:type="character" w:styleId="864" w:customStyle="1">
    <w:name w:val="页脚 字符"/>
    <w:link w:val="863"/>
    <w:uiPriority w:val="99"/>
    <w:qFormat/>
  </w:style>
  <w:style w:type="paragraph" w:styleId="865" w:customStyle="1">
    <w:name w:val="页眉11"/>
    <w:basedOn w:val="772"/>
    <w:link w:val="866"/>
    <w:uiPriority w:val="99"/>
    <w:unhideWhenUsed/>
    <w:qFormat/>
    <w:pPr>
      <w:tabs>
        <w:tab w:val="center" w:pos="7143" w:leader="none"/>
        <w:tab w:val="right" w:pos="14287" w:leader="none"/>
      </w:tabs>
    </w:pPr>
  </w:style>
  <w:style w:type="character" w:styleId="866" w:customStyle="1">
    <w:name w:val="页眉 字符"/>
    <w:link w:val="865"/>
    <w:uiPriority w:val="99"/>
    <w:qFormat/>
  </w:style>
  <w:style w:type="paragraph" w:styleId="867" w:customStyle="1">
    <w:name w:val="副标题1"/>
    <w:basedOn w:val="772"/>
    <w:next w:val="772"/>
    <w:link w:val="868"/>
    <w:uiPriority w:val="11"/>
    <w:qFormat/>
    <w:pPr>
      <w:spacing w:before="200" w:after="200"/>
    </w:pPr>
    <w:rPr>
      <w:sz w:val="24"/>
      <w:szCs w:val="24"/>
    </w:rPr>
  </w:style>
  <w:style w:type="character" w:styleId="868" w:customStyle="1">
    <w:name w:val="副标题 字符"/>
    <w:link w:val="867"/>
    <w:uiPriority w:val="11"/>
    <w:qFormat/>
    <w:rPr>
      <w:sz w:val="24"/>
      <w:szCs w:val="24"/>
    </w:rPr>
  </w:style>
  <w:style w:type="paragraph" w:styleId="869" w:customStyle="1">
    <w:name w:val="脚注文本1"/>
    <w:basedOn w:val="772"/>
    <w:link w:val="870"/>
    <w:uiPriority w:val="99"/>
    <w:unhideWhenUsed/>
    <w:qFormat/>
    <w:pPr>
      <w:spacing w:after="40"/>
    </w:pPr>
    <w:rPr>
      <w:sz w:val="18"/>
    </w:rPr>
  </w:style>
  <w:style w:type="character" w:styleId="870" w:customStyle="1">
    <w:name w:val="脚注文本 字符"/>
    <w:link w:val="869"/>
    <w:uiPriority w:val="99"/>
    <w:qFormat/>
    <w:rPr>
      <w:sz w:val="18"/>
    </w:rPr>
  </w:style>
  <w:style w:type="paragraph" w:styleId="871" w:customStyle="1">
    <w:name w:val="图表目录11"/>
    <w:basedOn w:val="772"/>
    <w:next w:val="772"/>
    <w:uiPriority w:val="99"/>
    <w:unhideWhenUsed/>
    <w:qFormat/>
  </w:style>
  <w:style w:type="paragraph" w:styleId="872" w:customStyle="1">
    <w:name w:val="普通(网站)11"/>
    <w:basedOn w:val="772"/>
    <w:uiPriority w:val="99"/>
    <w:qFormat/>
    <w:pPr>
      <w:jc w:val="left"/>
      <w:spacing w:before="100" w:beforeAutospacing="1" w:after="100" w:afterAutospacing="1"/>
      <w:widowControl/>
    </w:pPr>
    <w:rPr>
      <w:rFonts w:ascii="宋体" w:hAnsi="宋体" w:cs="宋体"/>
      <w:sz w:val="24"/>
      <w:szCs w:val="24"/>
    </w:rPr>
  </w:style>
  <w:style w:type="paragraph" w:styleId="873" w:customStyle="1">
    <w:name w:val="标题11"/>
    <w:basedOn w:val="772"/>
    <w:next w:val="772"/>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批注主题11"/>
    <w:basedOn w:val="857"/>
    <w:next w:val="857"/>
    <w:link w:val="876"/>
    <w:uiPriority w:val="99"/>
    <w:unhideWhenUsed/>
    <w:qFormat/>
    <w:rPr>
      <w:b/>
      <w:bCs/>
    </w:rPr>
  </w:style>
  <w:style w:type="character" w:styleId="876" w:customStyle="1">
    <w:name w:val="批注主题 字符"/>
    <w:link w:val="875"/>
    <w:uiPriority w:val="99"/>
    <w:semiHidden/>
    <w:qFormat/>
    <w:rPr>
      <w:b/>
      <w:bCs/>
      <w:sz w:val="21"/>
      <w:szCs w:val="21"/>
    </w:rPr>
  </w:style>
  <w:style w:type="table" w:styleId="877" w:customStyle="1">
    <w:name w:val="网格型12"/>
    <w:uiPriority w:val="59"/>
    <w:qFormat/>
    <w:tblPr>
      <w:tblCellMar>
        <w:left w:w="0" w:type="dxa"/>
        <w:top w:w="0" w:type="dxa"/>
        <w:right w:w="0" w:type="dxa"/>
        <w:bottom w:w="0" w:type="dxa"/>
      </w:tblCellMar>
    </w:tblPr>
  </w:style>
  <w:style w:type="character" w:styleId="878" w:customStyle="1">
    <w:name w:val="尾注引用1"/>
    <w:uiPriority w:val="99"/>
    <w:unhideWhenUsed/>
    <w:qFormat/>
    <w:rPr>
      <w:vertAlign w:val="superscript"/>
    </w:rPr>
  </w:style>
  <w:style w:type="character" w:styleId="879" w:customStyle="1">
    <w:name w:val="页码11"/>
    <w:uiPriority w:val="0"/>
    <w:qFormat/>
  </w:style>
  <w:style w:type="character" w:styleId="880" w:customStyle="1">
    <w:name w:val="访问过的超链接"/>
    <w:uiPriority w:val="0"/>
    <w:qFormat/>
    <w:rPr>
      <w:color w:val="800080"/>
      <w:u w:val="single"/>
    </w:rPr>
  </w:style>
  <w:style w:type="character" w:styleId="881" w:customStyle="1">
    <w:name w:val="超链接11"/>
    <w:uiPriority w:val="99"/>
    <w:unhideWhenUsed/>
    <w:qFormat/>
    <w:rPr>
      <w:color w:val="0000ff"/>
      <w:u w:val="single"/>
    </w:rPr>
  </w:style>
  <w:style w:type="character" w:styleId="882" w:customStyle="1">
    <w:name w:val="批注引用11"/>
    <w:uiPriority w:val="99"/>
    <w:unhideWhenUsed/>
    <w:qFormat/>
    <w:rPr>
      <w:sz w:val="21"/>
      <w:szCs w:val="21"/>
    </w:rPr>
  </w:style>
  <w:style w:type="character" w:styleId="883" w:customStyle="1">
    <w:name w:val="脚注引用1"/>
    <w:uiPriority w:val="99"/>
    <w:unhideWhenUsed/>
    <w:qFormat/>
    <w:rPr>
      <w:vertAlign w:val="superscript"/>
    </w:rPr>
  </w:style>
  <w:style w:type="character" w:styleId="884" w:customStyle="1">
    <w:name w:val="Caption Char"/>
    <w:link w:val="863"/>
    <w:uiPriority w:val="99"/>
    <w:qFormat/>
  </w:style>
  <w:style w:type="paragraph" w:styleId="885" w:customStyle="1">
    <w:name w:val="索引 41"/>
    <w:basedOn w:val="772"/>
    <w:next w:val="772"/>
    <w:uiPriority w:val="0"/>
    <w:semiHidden/>
    <w:qFormat/>
    <w:pPr>
      <w:ind w:left="1260"/>
    </w:pPr>
    <w:rPr>
      <w:rFonts w:ascii="Calibri" w:hAnsi="Calibri" w:eastAsia="Calibri" w:cs="宋体"/>
      <w:sz w:val="20"/>
      <w:lang w:val="zh-CN"/>
    </w:rPr>
  </w:style>
  <w:style w:type="paragraph" w:styleId="886" w:customStyle="1">
    <w:name w:val="正文文本121"/>
    <w:basedOn w:val="772"/>
    <w:uiPriority w:val="0"/>
    <w:qFormat/>
    <w:pPr>
      <w:ind w:left="120"/>
    </w:pPr>
    <w:rPr>
      <w:rFonts w:ascii="宋体" w:cs="宋体"/>
      <w:lang w:val="zh-CN" w:bidi="zh-CN"/>
    </w:rPr>
  </w:style>
  <w:style w:type="paragraph" w:styleId="887" w:customStyle="1">
    <w:name w:val="列表段落"/>
    <w:basedOn w:val="772"/>
    <w:uiPriority w:val="34"/>
    <w:qFormat/>
    <w:pPr>
      <w:contextualSpacing/>
      <w:ind w:left="720"/>
    </w:pPr>
  </w:style>
  <w:style w:type="paragraph" w:styleId="888" w:customStyle="1">
    <w:name w:val="无间隔1"/>
    <w:uiPriority w:val="1"/>
    <w:qFormat/>
    <w:rPr>
      <w:rFonts w:ascii="Times New Roman" w:hAnsi="Times New Roman" w:eastAsia="宋体" w:cs="Times New Roman"/>
      <w:lang w:val="en-US" w:eastAsia="zh-CN" w:bidi="ar-SA"/>
    </w:rPr>
  </w:style>
  <w:style w:type="paragraph" w:styleId="889" w:customStyle="1">
    <w:name w:val="引用1"/>
    <w:basedOn w:val="772"/>
    <w:next w:val="772"/>
    <w:link w:val="890"/>
    <w:uiPriority w:val="29"/>
    <w:qFormat/>
    <w:pPr>
      <w:ind w:left="720" w:right="720"/>
    </w:pPr>
    <w:rPr>
      <w:i/>
    </w:rPr>
  </w:style>
  <w:style w:type="character" w:styleId="890" w:customStyle="1">
    <w:name w:val="引用 字符"/>
    <w:link w:val="889"/>
    <w:uiPriority w:val="29"/>
    <w:qFormat/>
    <w:rPr>
      <w:i/>
    </w:rPr>
  </w:style>
  <w:style w:type="paragraph" w:styleId="891" w:customStyle="1">
    <w:name w:val="明显引用1"/>
    <w:basedOn w:val="772"/>
    <w:next w:val="772"/>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table" w:styleId="893" w:customStyle="1">
    <w:name w:val="Table Grid Light"/>
    <w:uiPriority w:val="59"/>
    <w:qFormat/>
    <w:tblPr>
      <w:tblCellMar>
        <w:left w:w="0" w:type="dxa"/>
        <w:top w:w="0" w:type="dxa"/>
        <w:right w:w="0" w:type="dxa"/>
        <w:bottom w:w="0" w:type="dxa"/>
      </w:tblCellMar>
    </w:tblPr>
  </w:style>
  <w:style w:type="table" w:styleId="894" w:customStyle="1">
    <w:name w:val="Plain Table 1"/>
    <w:uiPriority w:val="59"/>
    <w:qFormat/>
    <w:tblPr>
      <w:tblCellMar>
        <w:left w:w="0" w:type="dxa"/>
        <w:top w:w="0" w:type="dxa"/>
        <w:right w:w="0" w:type="dxa"/>
        <w:bottom w:w="0" w:type="dxa"/>
      </w:tblCellMar>
    </w:tblPr>
  </w:style>
  <w:style w:type="table" w:styleId="895" w:customStyle="1">
    <w:name w:val="Plain Table 2"/>
    <w:uiPriority w:val="59"/>
    <w:qFormat/>
    <w:tblPr>
      <w:tblCellMar>
        <w:left w:w="0" w:type="dxa"/>
        <w:top w:w="0" w:type="dxa"/>
        <w:right w:w="0" w:type="dxa"/>
        <w:bottom w:w="0" w:type="dxa"/>
      </w:tblCellMar>
    </w:tblPr>
  </w:style>
  <w:style w:type="table" w:styleId="896" w:customStyle="1">
    <w:name w:val="Plain Table 3"/>
    <w:uiPriority w:val="99"/>
    <w:qFormat/>
    <w:tblPr>
      <w:tblCellMar>
        <w:left w:w="0" w:type="dxa"/>
        <w:top w:w="0" w:type="dxa"/>
        <w:right w:w="0" w:type="dxa"/>
        <w:bottom w:w="0" w:type="dxa"/>
      </w:tblCellMar>
    </w:tblPr>
  </w:style>
  <w:style w:type="table" w:styleId="897" w:customStyle="1">
    <w:name w:val="Plain Table 4"/>
    <w:uiPriority w:val="99"/>
    <w:qFormat/>
    <w:tblPr>
      <w:tblCellMar>
        <w:left w:w="0" w:type="dxa"/>
        <w:top w:w="0" w:type="dxa"/>
        <w:right w:w="0" w:type="dxa"/>
        <w:bottom w:w="0" w:type="dxa"/>
      </w:tblCellMar>
    </w:tblPr>
  </w:style>
  <w:style w:type="table" w:styleId="898" w:customStyle="1">
    <w:name w:val="Plain Table 5"/>
    <w:uiPriority w:val="99"/>
    <w:qFormat/>
    <w:tblPr>
      <w:tblCellMar>
        <w:left w:w="0" w:type="dxa"/>
        <w:top w:w="0" w:type="dxa"/>
        <w:right w:w="0" w:type="dxa"/>
        <w:bottom w:w="0" w:type="dxa"/>
      </w:tblCellMar>
    </w:tblPr>
  </w:style>
  <w:style w:type="table" w:styleId="899" w:customStyle="1">
    <w:name w:val="Grid Table 1 Light"/>
    <w:uiPriority w:val="99"/>
    <w:qFormat/>
    <w:tblPr>
      <w:tblCellMar>
        <w:left w:w="0" w:type="dxa"/>
        <w:top w:w="0" w:type="dxa"/>
        <w:right w:w="0" w:type="dxa"/>
        <w:bottom w:w="0" w:type="dxa"/>
      </w:tblCellMar>
    </w:tblPr>
  </w:style>
  <w:style w:type="table" w:styleId="900" w:customStyle="1">
    <w:name w:val="Grid Table 1 Light - Accent 1"/>
    <w:uiPriority w:val="99"/>
    <w:qFormat/>
    <w:tblPr>
      <w:tblCellMar>
        <w:left w:w="0" w:type="dxa"/>
        <w:top w:w="0" w:type="dxa"/>
        <w:right w:w="0" w:type="dxa"/>
        <w:bottom w:w="0" w:type="dxa"/>
      </w:tblCellMar>
    </w:tblPr>
  </w:style>
  <w:style w:type="table" w:styleId="901" w:customStyle="1">
    <w:name w:val="Grid Table 1 Light - Accent 2"/>
    <w:uiPriority w:val="99"/>
    <w:qFormat/>
    <w:tblPr>
      <w:tblCellMar>
        <w:left w:w="0" w:type="dxa"/>
        <w:top w:w="0" w:type="dxa"/>
        <w:right w:w="0" w:type="dxa"/>
        <w:bottom w:w="0" w:type="dxa"/>
      </w:tblCellMar>
    </w:tblPr>
  </w:style>
  <w:style w:type="table" w:styleId="902" w:customStyle="1">
    <w:name w:val="Grid Table 1 Light - Accent 3"/>
    <w:uiPriority w:val="99"/>
    <w:qFormat/>
    <w:tblPr>
      <w:tblCellMar>
        <w:left w:w="0" w:type="dxa"/>
        <w:top w:w="0" w:type="dxa"/>
        <w:right w:w="0" w:type="dxa"/>
        <w:bottom w:w="0" w:type="dxa"/>
      </w:tblCellMar>
    </w:tblPr>
  </w:style>
  <w:style w:type="table" w:styleId="903" w:customStyle="1">
    <w:name w:val="Grid Table 1 Light - Accent 4"/>
    <w:uiPriority w:val="99"/>
    <w:qFormat/>
    <w:tblPr>
      <w:tblCellMar>
        <w:left w:w="0" w:type="dxa"/>
        <w:top w:w="0" w:type="dxa"/>
        <w:right w:w="0" w:type="dxa"/>
        <w:bottom w:w="0" w:type="dxa"/>
      </w:tblCellMar>
    </w:tblPr>
  </w:style>
  <w:style w:type="table" w:styleId="904" w:customStyle="1">
    <w:name w:val="Grid Table 1 Light - Accent 5"/>
    <w:uiPriority w:val="99"/>
    <w:qFormat/>
    <w:tblPr>
      <w:tblCellMar>
        <w:left w:w="0" w:type="dxa"/>
        <w:top w:w="0" w:type="dxa"/>
        <w:right w:w="0" w:type="dxa"/>
        <w:bottom w:w="0" w:type="dxa"/>
      </w:tblCellMar>
    </w:tblPr>
  </w:style>
  <w:style w:type="table" w:styleId="905" w:customStyle="1">
    <w:name w:val="Grid Table 1 Light - Accent 6"/>
    <w:uiPriority w:val="99"/>
    <w:qFormat/>
    <w:tblPr>
      <w:tblCellMar>
        <w:left w:w="0" w:type="dxa"/>
        <w:top w:w="0" w:type="dxa"/>
        <w:right w:w="0" w:type="dxa"/>
        <w:bottom w:w="0" w:type="dxa"/>
      </w:tblCellMar>
    </w:tblPr>
  </w:style>
  <w:style w:type="table" w:styleId="906" w:customStyle="1">
    <w:name w:val="Grid Table 2"/>
    <w:uiPriority w:val="99"/>
    <w:qFormat/>
    <w:tblPr>
      <w:tblCellMar>
        <w:left w:w="0" w:type="dxa"/>
        <w:top w:w="0" w:type="dxa"/>
        <w:right w:w="0" w:type="dxa"/>
        <w:bottom w:w="0" w:type="dxa"/>
      </w:tblCellMar>
    </w:tblPr>
  </w:style>
  <w:style w:type="table" w:styleId="907" w:customStyle="1">
    <w:name w:val="Grid Table 2 - Accent 1"/>
    <w:uiPriority w:val="99"/>
    <w:qFormat/>
    <w:tblPr>
      <w:tblCellMar>
        <w:left w:w="0" w:type="dxa"/>
        <w:top w:w="0" w:type="dxa"/>
        <w:right w:w="0" w:type="dxa"/>
        <w:bottom w:w="0" w:type="dxa"/>
      </w:tblCellMar>
    </w:tblPr>
  </w:style>
  <w:style w:type="table" w:styleId="908" w:customStyle="1">
    <w:name w:val="Grid Table 2 - Accent 2"/>
    <w:uiPriority w:val="99"/>
    <w:qFormat/>
    <w:tblPr>
      <w:tblCellMar>
        <w:left w:w="0" w:type="dxa"/>
        <w:top w:w="0" w:type="dxa"/>
        <w:right w:w="0" w:type="dxa"/>
        <w:bottom w:w="0" w:type="dxa"/>
      </w:tblCellMar>
    </w:tblPr>
  </w:style>
  <w:style w:type="table" w:styleId="909" w:customStyle="1">
    <w:name w:val="Grid Table 2 - Accent 3"/>
    <w:uiPriority w:val="99"/>
    <w:qFormat/>
    <w:tblPr>
      <w:tblCellMar>
        <w:left w:w="0" w:type="dxa"/>
        <w:top w:w="0" w:type="dxa"/>
        <w:right w:w="0" w:type="dxa"/>
        <w:bottom w:w="0" w:type="dxa"/>
      </w:tblCellMar>
    </w:tblPr>
  </w:style>
  <w:style w:type="table" w:styleId="910" w:customStyle="1">
    <w:name w:val="Grid Table 2 - Accent 4"/>
    <w:uiPriority w:val="99"/>
    <w:qFormat/>
    <w:tblPr>
      <w:tblCellMar>
        <w:left w:w="0" w:type="dxa"/>
        <w:top w:w="0" w:type="dxa"/>
        <w:right w:w="0" w:type="dxa"/>
        <w:bottom w:w="0" w:type="dxa"/>
      </w:tblCellMar>
    </w:tblPr>
  </w:style>
  <w:style w:type="table" w:styleId="911" w:customStyle="1">
    <w:name w:val="Grid Table 2 - Accent 5"/>
    <w:uiPriority w:val="99"/>
    <w:qFormat/>
    <w:tblPr>
      <w:tblCellMar>
        <w:left w:w="0" w:type="dxa"/>
        <w:top w:w="0" w:type="dxa"/>
        <w:right w:w="0" w:type="dxa"/>
        <w:bottom w:w="0" w:type="dxa"/>
      </w:tblCellMar>
    </w:tblPr>
  </w:style>
  <w:style w:type="table" w:styleId="912" w:customStyle="1">
    <w:name w:val="Grid Table 2 - Accent 6"/>
    <w:uiPriority w:val="99"/>
    <w:qFormat/>
    <w:tblPr>
      <w:tblCellMar>
        <w:left w:w="0" w:type="dxa"/>
        <w:top w:w="0" w:type="dxa"/>
        <w:right w:w="0" w:type="dxa"/>
        <w:bottom w:w="0" w:type="dxa"/>
      </w:tblCellMar>
    </w:tblPr>
  </w:style>
  <w:style w:type="table" w:styleId="913" w:customStyle="1">
    <w:name w:val="Grid Table 3"/>
    <w:uiPriority w:val="99"/>
    <w:qFormat/>
    <w:tblPr>
      <w:tblCellMar>
        <w:left w:w="0" w:type="dxa"/>
        <w:top w:w="0" w:type="dxa"/>
        <w:right w:w="0" w:type="dxa"/>
        <w:bottom w:w="0" w:type="dxa"/>
      </w:tblCellMar>
    </w:tblPr>
  </w:style>
  <w:style w:type="table" w:styleId="914" w:customStyle="1">
    <w:name w:val="Grid Table 3 - Accent 1"/>
    <w:uiPriority w:val="99"/>
    <w:qFormat/>
    <w:tblPr>
      <w:tblCellMar>
        <w:left w:w="0" w:type="dxa"/>
        <w:top w:w="0" w:type="dxa"/>
        <w:right w:w="0" w:type="dxa"/>
        <w:bottom w:w="0" w:type="dxa"/>
      </w:tblCellMar>
    </w:tblPr>
  </w:style>
  <w:style w:type="table" w:styleId="915" w:customStyle="1">
    <w:name w:val="Grid Table 3 - Accent 2"/>
    <w:uiPriority w:val="99"/>
    <w:qFormat/>
    <w:tblPr>
      <w:tblCellMar>
        <w:left w:w="0" w:type="dxa"/>
        <w:top w:w="0" w:type="dxa"/>
        <w:right w:w="0" w:type="dxa"/>
        <w:bottom w:w="0" w:type="dxa"/>
      </w:tblCellMar>
    </w:tblPr>
  </w:style>
  <w:style w:type="table" w:styleId="916" w:customStyle="1">
    <w:name w:val="Grid Table 3 - Accent 3"/>
    <w:uiPriority w:val="99"/>
    <w:qFormat/>
    <w:tblPr>
      <w:tblCellMar>
        <w:left w:w="0" w:type="dxa"/>
        <w:top w:w="0" w:type="dxa"/>
        <w:right w:w="0" w:type="dxa"/>
        <w:bottom w:w="0" w:type="dxa"/>
      </w:tblCellMar>
    </w:tblPr>
  </w:style>
  <w:style w:type="table" w:styleId="917" w:customStyle="1">
    <w:name w:val="Grid Table 3 - Accent 4"/>
    <w:uiPriority w:val="99"/>
    <w:qFormat/>
    <w:tblPr>
      <w:tblCellMar>
        <w:left w:w="0" w:type="dxa"/>
        <w:top w:w="0" w:type="dxa"/>
        <w:right w:w="0" w:type="dxa"/>
        <w:bottom w:w="0" w:type="dxa"/>
      </w:tblCellMar>
    </w:tblPr>
  </w:style>
  <w:style w:type="table" w:styleId="918" w:customStyle="1">
    <w:name w:val="Grid Table 3 - Accent 5"/>
    <w:uiPriority w:val="99"/>
    <w:qFormat/>
    <w:tblPr>
      <w:tblCellMar>
        <w:left w:w="0" w:type="dxa"/>
        <w:top w:w="0" w:type="dxa"/>
        <w:right w:w="0" w:type="dxa"/>
        <w:bottom w:w="0" w:type="dxa"/>
      </w:tblCellMar>
    </w:tblPr>
  </w:style>
  <w:style w:type="table" w:styleId="919" w:customStyle="1">
    <w:name w:val="Grid Table 3 - Accent 6"/>
    <w:uiPriority w:val="99"/>
    <w:qFormat/>
    <w:tblPr>
      <w:tblCellMar>
        <w:left w:w="0" w:type="dxa"/>
        <w:top w:w="0" w:type="dxa"/>
        <w:right w:w="0" w:type="dxa"/>
        <w:bottom w:w="0" w:type="dxa"/>
      </w:tblCellMar>
    </w:tblPr>
  </w:style>
  <w:style w:type="table" w:styleId="920" w:customStyle="1">
    <w:name w:val="Grid Table 4"/>
    <w:uiPriority w:val="59"/>
    <w:qFormat/>
    <w:tblPr>
      <w:tblCellMar>
        <w:left w:w="0" w:type="dxa"/>
        <w:top w:w="0" w:type="dxa"/>
        <w:right w:w="0" w:type="dxa"/>
        <w:bottom w:w="0" w:type="dxa"/>
      </w:tblCellMar>
    </w:tblPr>
  </w:style>
  <w:style w:type="table" w:styleId="921" w:customStyle="1">
    <w:name w:val="Grid Table 4 - Accent 1"/>
    <w:uiPriority w:val="59"/>
    <w:qFormat/>
    <w:tblPr>
      <w:tblCellMar>
        <w:left w:w="0" w:type="dxa"/>
        <w:top w:w="0" w:type="dxa"/>
        <w:right w:w="0" w:type="dxa"/>
        <w:bottom w:w="0" w:type="dxa"/>
      </w:tblCellMar>
    </w:tblPr>
  </w:style>
  <w:style w:type="table" w:styleId="922" w:customStyle="1">
    <w:name w:val="Grid Table 4 - Accent 2"/>
    <w:uiPriority w:val="59"/>
    <w:qFormat/>
    <w:tblPr>
      <w:tblCellMar>
        <w:left w:w="0" w:type="dxa"/>
        <w:top w:w="0" w:type="dxa"/>
        <w:right w:w="0" w:type="dxa"/>
        <w:bottom w:w="0" w:type="dxa"/>
      </w:tblCellMar>
    </w:tblPr>
  </w:style>
  <w:style w:type="table" w:styleId="923" w:customStyle="1">
    <w:name w:val="Grid Table 4 - Accent 3"/>
    <w:uiPriority w:val="59"/>
    <w:qFormat/>
    <w:tblPr>
      <w:tblCellMar>
        <w:left w:w="0" w:type="dxa"/>
        <w:top w:w="0" w:type="dxa"/>
        <w:right w:w="0" w:type="dxa"/>
        <w:bottom w:w="0" w:type="dxa"/>
      </w:tblCellMar>
    </w:tblPr>
  </w:style>
  <w:style w:type="table" w:styleId="924" w:customStyle="1">
    <w:name w:val="Grid Table 4 - Accent 4"/>
    <w:uiPriority w:val="59"/>
    <w:qFormat/>
    <w:tblPr>
      <w:tblCellMar>
        <w:left w:w="0" w:type="dxa"/>
        <w:top w:w="0" w:type="dxa"/>
        <w:right w:w="0" w:type="dxa"/>
        <w:bottom w:w="0" w:type="dxa"/>
      </w:tblCellMar>
    </w:tblPr>
  </w:style>
  <w:style w:type="table" w:styleId="925" w:customStyle="1">
    <w:name w:val="Grid Table 4 - Accent 5"/>
    <w:uiPriority w:val="59"/>
    <w:qFormat/>
    <w:tblPr>
      <w:tblCellMar>
        <w:left w:w="0" w:type="dxa"/>
        <w:top w:w="0" w:type="dxa"/>
        <w:right w:w="0" w:type="dxa"/>
        <w:bottom w:w="0" w:type="dxa"/>
      </w:tblCellMar>
    </w:tblPr>
  </w:style>
  <w:style w:type="table" w:styleId="926" w:customStyle="1">
    <w:name w:val="Grid Table 4 - Accent 6"/>
    <w:uiPriority w:val="59"/>
    <w:qFormat/>
    <w:tblPr>
      <w:tblCellMar>
        <w:left w:w="0" w:type="dxa"/>
        <w:top w:w="0" w:type="dxa"/>
        <w:right w:w="0" w:type="dxa"/>
        <w:bottom w:w="0" w:type="dxa"/>
      </w:tblCellMar>
    </w:tblPr>
  </w:style>
  <w:style w:type="table" w:styleId="927" w:customStyle="1">
    <w:name w:val="Grid Table 5 Dark"/>
    <w:uiPriority w:val="99"/>
    <w:qFormat/>
    <w:tblPr>
      <w:tblCellMar>
        <w:left w:w="0" w:type="dxa"/>
        <w:top w:w="0" w:type="dxa"/>
        <w:right w:w="0" w:type="dxa"/>
        <w:bottom w:w="0" w:type="dxa"/>
      </w:tblCellMar>
    </w:tblPr>
  </w:style>
  <w:style w:type="table" w:styleId="928" w:customStyle="1">
    <w:name w:val="Grid Table 5 Dark- Accent 1"/>
    <w:uiPriority w:val="99"/>
    <w:qFormat/>
    <w:tblPr>
      <w:tblCellMar>
        <w:left w:w="0" w:type="dxa"/>
        <w:top w:w="0" w:type="dxa"/>
        <w:right w:w="0" w:type="dxa"/>
        <w:bottom w:w="0" w:type="dxa"/>
      </w:tblCellMar>
    </w:tblPr>
  </w:style>
  <w:style w:type="table" w:styleId="929" w:customStyle="1">
    <w:name w:val="Grid Table 5 Dark - Accent 2"/>
    <w:uiPriority w:val="99"/>
    <w:qFormat/>
    <w:tblPr>
      <w:tblCellMar>
        <w:left w:w="0" w:type="dxa"/>
        <w:top w:w="0" w:type="dxa"/>
        <w:right w:w="0" w:type="dxa"/>
        <w:bottom w:w="0" w:type="dxa"/>
      </w:tblCellMar>
    </w:tblPr>
  </w:style>
  <w:style w:type="table" w:styleId="930" w:customStyle="1">
    <w:name w:val="Grid Table 5 Dark - Accent 3"/>
    <w:uiPriority w:val="99"/>
    <w:qFormat/>
    <w:tblPr>
      <w:tblCellMar>
        <w:left w:w="0" w:type="dxa"/>
        <w:top w:w="0" w:type="dxa"/>
        <w:right w:w="0" w:type="dxa"/>
        <w:bottom w:w="0" w:type="dxa"/>
      </w:tblCellMar>
    </w:tblPr>
  </w:style>
  <w:style w:type="table" w:styleId="931" w:customStyle="1">
    <w:name w:val="Grid Table 5 Dark- Accent 4"/>
    <w:uiPriority w:val="99"/>
    <w:qFormat/>
    <w:tblPr>
      <w:tblCellMar>
        <w:left w:w="0" w:type="dxa"/>
        <w:top w:w="0" w:type="dxa"/>
        <w:right w:w="0" w:type="dxa"/>
        <w:bottom w:w="0" w:type="dxa"/>
      </w:tblCellMar>
    </w:tblPr>
  </w:style>
  <w:style w:type="table" w:styleId="932" w:customStyle="1">
    <w:name w:val="Grid Table 5 Dark - Accent 5"/>
    <w:uiPriority w:val="99"/>
    <w:qFormat/>
    <w:tblPr>
      <w:tblCellMar>
        <w:left w:w="0" w:type="dxa"/>
        <w:top w:w="0" w:type="dxa"/>
        <w:right w:w="0" w:type="dxa"/>
        <w:bottom w:w="0" w:type="dxa"/>
      </w:tblCellMar>
    </w:tblPr>
  </w:style>
  <w:style w:type="table" w:styleId="933" w:customStyle="1">
    <w:name w:val="Grid Table 5 Dark - Accent 6"/>
    <w:uiPriority w:val="99"/>
    <w:qFormat/>
    <w:tblPr>
      <w:tblCellMar>
        <w:left w:w="0" w:type="dxa"/>
        <w:top w:w="0" w:type="dxa"/>
        <w:right w:w="0" w:type="dxa"/>
        <w:bottom w:w="0" w:type="dxa"/>
      </w:tblCellMar>
    </w:tblPr>
  </w:style>
  <w:style w:type="table" w:styleId="934" w:customStyle="1">
    <w:name w:val="Grid Table 6 Colorful"/>
    <w:uiPriority w:val="99"/>
    <w:qFormat/>
    <w:tblPr>
      <w:tblCellMar>
        <w:left w:w="0" w:type="dxa"/>
        <w:top w:w="0" w:type="dxa"/>
        <w:right w:w="0" w:type="dxa"/>
        <w:bottom w:w="0" w:type="dxa"/>
      </w:tblCellMar>
    </w:tblPr>
  </w:style>
  <w:style w:type="table" w:styleId="935" w:customStyle="1">
    <w:name w:val="Grid Table 6 Colorful - Accent 1"/>
    <w:uiPriority w:val="99"/>
    <w:qFormat/>
    <w:tblPr>
      <w:tblCellMar>
        <w:left w:w="0" w:type="dxa"/>
        <w:top w:w="0" w:type="dxa"/>
        <w:right w:w="0" w:type="dxa"/>
        <w:bottom w:w="0" w:type="dxa"/>
      </w:tblCellMar>
    </w:tblPr>
  </w:style>
  <w:style w:type="table" w:styleId="936" w:customStyle="1">
    <w:name w:val="Grid Table 6 Colorful - Accent 2"/>
    <w:uiPriority w:val="99"/>
    <w:qFormat/>
    <w:tblPr>
      <w:tblCellMar>
        <w:left w:w="0" w:type="dxa"/>
        <w:top w:w="0" w:type="dxa"/>
        <w:right w:w="0" w:type="dxa"/>
        <w:bottom w:w="0" w:type="dxa"/>
      </w:tblCellMar>
    </w:tblPr>
  </w:style>
  <w:style w:type="table" w:styleId="937" w:customStyle="1">
    <w:name w:val="Grid Table 6 Colorful - Accent 3"/>
    <w:uiPriority w:val="99"/>
    <w:qFormat/>
    <w:tblPr>
      <w:tblCellMar>
        <w:left w:w="0" w:type="dxa"/>
        <w:top w:w="0" w:type="dxa"/>
        <w:right w:w="0" w:type="dxa"/>
        <w:bottom w:w="0" w:type="dxa"/>
      </w:tblCellMar>
    </w:tblPr>
  </w:style>
  <w:style w:type="table" w:styleId="938" w:customStyle="1">
    <w:name w:val="Grid Table 6 Colorful - Accent 4"/>
    <w:uiPriority w:val="99"/>
    <w:qFormat/>
    <w:tblPr>
      <w:tblCellMar>
        <w:left w:w="0" w:type="dxa"/>
        <w:top w:w="0" w:type="dxa"/>
        <w:right w:w="0" w:type="dxa"/>
        <w:bottom w:w="0" w:type="dxa"/>
      </w:tblCellMar>
    </w:tblPr>
  </w:style>
  <w:style w:type="table" w:styleId="939" w:customStyle="1">
    <w:name w:val="Grid Table 6 Colorful - Accent 5"/>
    <w:uiPriority w:val="99"/>
    <w:qFormat/>
    <w:tblPr>
      <w:tblCellMar>
        <w:left w:w="0" w:type="dxa"/>
        <w:top w:w="0" w:type="dxa"/>
        <w:right w:w="0" w:type="dxa"/>
        <w:bottom w:w="0" w:type="dxa"/>
      </w:tblCellMar>
    </w:tblPr>
  </w:style>
  <w:style w:type="table" w:styleId="940" w:customStyle="1">
    <w:name w:val="Grid Table 6 Colorful - Accent 6"/>
    <w:uiPriority w:val="99"/>
    <w:qFormat/>
    <w:tblPr>
      <w:tblCellMar>
        <w:left w:w="0" w:type="dxa"/>
        <w:top w:w="0" w:type="dxa"/>
        <w:right w:w="0" w:type="dxa"/>
        <w:bottom w:w="0" w:type="dxa"/>
      </w:tblCellMar>
    </w:tblPr>
  </w:style>
  <w:style w:type="table" w:styleId="941" w:customStyle="1">
    <w:name w:val="Grid Table 7 Colorful"/>
    <w:uiPriority w:val="99"/>
    <w:qFormat/>
    <w:tblPr>
      <w:tblCellMar>
        <w:left w:w="0" w:type="dxa"/>
        <w:top w:w="0" w:type="dxa"/>
        <w:right w:w="0" w:type="dxa"/>
        <w:bottom w:w="0" w:type="dxa"/>
      </w:tblCellMar>
    </w:tblPr>
  </w:style>
  <w:style w:type="table" w:styleId="942" w:customStyle="1">
    <w:name w:val="Grid Table 7 Colorful - Accent 1"/>
    <w:uiPriority w:val="99"/>
    <w:qFormat/>
    <w:tblPr>
      <w:tblCellMar>
        <w:left w:w="0" w:type="dxa"/>
        <w:top w:w="0" w:type="dxa"/>
        <w:right w:w="0" w:type="dxa"/>
        <w:bottom w:w="0" w:type="dxa"/>
      </w:tblCellMar>
    </w:tblPr>
  </w:style>
  <w:style w:type="table" w:styleId="943" w:customStyle="1">
    <w:name w:val="Grid Table 7 Colorful - Accent 2"/>
    <w:uiPriority w:val="99"/>
    <w:qFormat/>
    <w:tblPr>
      <w:tblCellMar>
        <w:left w:w="0" w:type="dxa"/>
        <w:top w:w="0" w:type="dxa"/>
        <w:right w:w="0" w:type="dxa"/>
        <w:bottom w:w="0" w:type="dxa"/>
      </w:tblCellMar>
    </w:tblPr>
  </w:style>
  <w:style w:type="table" w:styleId="944" w:customStyle="1">
    <w:name w:val="Grid Table 7 Colorful - Accent 3"/>
    <w:uiPriority w:val="99"/>
    <w:qFormat/>
    <w:tblPr>
      <w:tblCellMar>
        <w:left w:w="0" w:type="dxa"/>
        <w:top w:w="0" w:type="dxa"/>
        <w:right w:w="0" w:type="dxa"/>
        <w:bottom w:w="0" w:type="dxa"/>
      </w:tblCellMar>
    </w:tblPr>
  </w:style>
  <w:style w:type="table" w:styleId="945" w:customStyle="1">
    <w:name w:val="Grid Table 7 Colorful - Accent 4"/>
    <w:uiPriority w:val="99"/>
    <w:qFormat/>
    <w:tblPr>
      <w:tblCellMar>
        <w:left w:w="0" w:type="dxa"/>
        <w:top w:w="0" w:type="dxa"/>
        <w:right w:w="0" w:type="dxa"/>
        <w:bottom w:w="0" w:type="dxa"/>
      </w:tblCellMar>
    </w:tblPr>
  </w:style>
  <w:style w:type="table" w:styleId="946" w:customStyle="1">
    <w:name w:val="Grid Table 7 Colorful - Accent 5"/>
    <w:uiPriority w:val="99"/>
    <w:qFormat/>
    <w:tblPr>
      <w:tblCellMar>
        <w:left w:w="0" w:type="dxa"/>
        <w:top w:w="0" w:type="dxa"/>
        <w:right w:w="0" w:type="dxa"/>
        <w:bottom w:w="0" w:type="dxa"/>
      </w:tblCellMar>
    </w:tblPr>
  </w:style>
  <w:style w:type="table" w:styleId="947" w:customStyle="1">
    <w:name w:val="Grid Table 7 Colorful - Accent 6"/>
    <w:uiPriority w:val="99"/>
    <w:qFormat/>
    <w:tblPr>
      <w:tblCellMar>
        <w:left w:w="0" w:type="dxa"/>
        <w:top w:w="0" w:type="dxa"/>
        <w:right w:w="0" w:type="dxa"/>
        <w:bottom w:w="0" w:type="dxa"/>
      </w:tblCellMar>
    </w:tblPr>
  </w:style>
  <w:style w:type="table" w:styleId="948" w:customStyle="1">
    <w:name w:val="List Table 1 Light"/>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List Table 2"/>
    <w:uiPriority w:val="99"/>
    <w:qFormat/>
    <w:tblPr>
      <w:tblCellMar>
        <w:left w:w="0" w:type="dxa"/>
        <w:top w:w="0" w:type="dxa"/>
        <w:right w:w="0" w:type="dxa"/>
        <w:bottom w:w="0" w:type="dxa"/>
      </w:tblCellMar>
    </w:tblPr>
  </w:style>
  <w:style w:type="table" w:styleId="956" w:customStyle="1">
    <w:name w:val="List Table 2 - Accent 1"/>
    <w:uiPriority w:val="99"/>
    <w:qFormat/>
    <w:tblPr>
      <w:tblCellMar>
        <w:left w:w="0" w:type="dxa"/>
        <w:top w:w="0" w:type="dxa"/>
        <w:right w:w="0" w:type="dxa"/>
        <w:bottom w:w="0" w:type="dxa"/>
      </w:tblCellMar>
    </w:tblPr>
  </w:style>
  <w:style w:type="table" w:styleId="957" w:customStyle="1">
    <w:name w:val="List Table 2 - Accent 2"/>
    <w:uiPriority w:val="99"/>
    <w:qFormat/>
    <w:tblPr>
      <w:tblCellMar>
        <w:left w:w="0" w:type="dxa"/>
        <w:top w:w="0" w:type="dxa"/>
        <w:right w:w="0" w:type="dxa"/>
        <w:bottom w:w="0" w:type="dxa"/>
      </w:tblCellMar>
    </w:tblPr>
  </w:style>
  <w:style w:type="table" w:styleId="958" w:customStyle="1">
    <w:name w:val="List Table 2 - Accent 3"/>
    <w:uiPriority w:val="99"/>
    <w:qFormat/>
    <w:tblPr>
      <w:tblCellMar>
        <w:left w:w="0" w:type="dxa"/>
        <w:top w:w="0" w:type="dxa"/>
        <w:right w:w="0" w:type="dxa"/>
        <w:bottom w:w="0" w:type="dxa"/>
      </w:tblCellMar>
    </w:tblPr>
  </w:style>
  <w:style w:type="table" w:styleId="959" w:customStyle="1">
    <w:name w:val="List Table 2 - Accent 4"/>
    <w:uiPriority w:val="99"/>
    <w:qFormat/>
    <w:tblPr>
      <w:tblCellMar>
        <w:left w:w="0" w:type="dxa"/>
        <w:top w:w="0" w:type="dxa"/>
        <w:right w:w="0" w:type="dxa"/>
        <w:bottom w:w="0" w:type="dxa"/>
      </w:tblCellMar>
    </w:tblPr>
  </w:style>
  <w:style w:type="table" w:styleId="960" w:customStyle="1">
    <w:name w:val="List Table 2 - Accent 5"/>
    <w:uiPriority w:val="99"/>
    <w:qFormat/>
    <w:tblPr>
      <w:tblCellMar>
        <w:left w:w="0" w:type="dxa"/>
        <w:top w:w="0" w:type="dxa"/>
        <w:right w:w="0" w:type="dxa"/>
        <w:bottom w:w="0" w:type="dxa"/>
      </w:tblCellMar>
    </w:tblPr>
  </w:style>
  <w:style w:type="table" w:styleId="961" w:customStyle="1">
    <w:name w:val="List Table 2 - Accent 6"/>
    <w:uiPriority w:val="99"/>
    <w:qFormat/>
    <w:tblPr>
      <w:tblCellMar>
        <w:left w:w="0" w:type="dxa"/>
        <w:top w:w="0" w:type="dxa"/>
        <w:right w:w="0" w:type="dxa"/>
        <w:bottom w:w="0" w:type="dxa"/>
      </w:tblCellMar>
    </w:tblPr>
  </w:style>
  <w:style w:type="table" w:styleId="962" w:customStyle="1">
    <w:name w:val="List Table 3"/>
    <w:uiPriority w:val="99"/>
    <w:qFormat/>
    <w:tblPr>
      <w:tblCellMar>
        <w:left w:w="0" w:type="dxa"/>
        <w:top w:w="0" w:type="dxa"/>
        <w:right w:w="0" w:type="dxa"/>
        <w:bottom w:w="0" w:type="dxa"/>
      </w:tblCellMar>
    </w:tblPr>
  </w:style>
  <w:style w:type="table" w:styleId="963" w:customStyle="1">
    <w:name w:val="List Table 3 - Accent 1"/>
    <w:uiPriority w:val="99"/>
    <w:qFormat/>
    <w:tblPr>
      <w:tblCellMar>
        <w:left w:w="0" w:type="dxa"/>
        <w:top w:w="0" w:type="dxa"/>
        <w:right w:w="0" w:type="dxa"/>
        <w:bottom w:w="0" w:type="dxa"/>
      </w:tblCellMar>
    </w:tblPr>
  </w:style>
  <w:style w:type="table" w:styleId="964" w:customStyle="1">
    <w:name w:val="List Table 3 - Accent 2"/>
    <w:uiPriority w:val="99"/>
    <w:qFormat/>
    <w:tblPr>
      <w:tblCellMar>
        <w:left w:w="0" w:type="dxa"/>
        <w:top w:w="0" w:type="dxa"/>
        <w:right w:w="0" w:type="dxa"/>
        <w:bottom w:w="0" w:type="dxa"/>
      </w:tblCellMar>
    </w:tblPr>
  </w:style>
  <w:style w:type="table" w:styleId="965" w:customStyle="1">
    <w:name w:val="List Table 3 - Accent 3"/>
    <w:uiPriority w:val="99"/>
    <w:qFormat/>
    <w:tblPr>
      <w:tblCellMar>
        <w:left w:w="0" w:type="dxa"/>
        <w:top w:w="0" w:type="dxa"/>
        <w:right w:w="0" w:type="dxa"/>
        <w:bottom w:w="0" w:type="dxa"/>
      </w:tblCellMar>
    </w:tblPr>
  </w:style>
  <w:style w:type="table" w:styleId="966" w:customStyle="1">
    <w:name w:val="List Table 3 - Accent 4"/>
    <w:uiPriority w:val="99"/>
    <w:qFormat/>
    <w:tblPr>
      <w:tblCellMar>
        <w:left w:w="0" w:type="dxa"/>
        <w:top w:w="0" w:type="dxa"/>
        <w:right w:w="0" w:type="dxa"/>
        <w:bottom w:w="0" w:type="dxa"/>
      </w:tblCellMar>
    </w:tblPr>
  </w:style>
  <w:style w:type="table" w:styleId="967" w:customStyle="1">
    <w:name w:val="List Table 3 - Accent 5"/>
    <w:uiPriority w:val="99"/>
    <w:qFormat/>
    <w:tblPr>
      <w:tblCellMar>
        <w:left w:w="0" w:type="dxa"/>
        <w:top w:w="0" w:type="dxa"/>
        <w:right w:w="0" w:type="dxa"/>
        <w:bottom w:w="0" w:type="dxa"/>
      </w:tblCellMar>
    </w:tblPr>
  </w:style>
  <w:style w:type="table" w:styleId="968" w:customStyle="1">
    <w:name w:val="List Table 3 - Accent 6"/>
    <w:uiPriority w:val="99"/>
    <w:qFormat/>
    <w:tblPr>
      <w:tblCellMar>
        <w:left w:w="0" w:type="dxa"/>
        <w:top w:w="0" w:type="dxa"/>
        <w:right w:w="0" w:type="dxa"/>
        <w:bottom w:w="0" w:type="dxa"/>
      </w:tblCellMar>
    </w:tblPr>
  </w:style>
  <w:style w:type="table" w:styleId="969" w:customStyle="1">
    <w:name w:val="List Table 4"/>
    <w:uiPriority w:val="99"/>
    <w:qFormat/>
    <w:tblPr>
      <w:tblCellMar>
        <w:left w:w="0" w:type="dxa"/>
        <w:top w:w="0" w:type="dxa"/>
        <w:right w:w="0" w:type="dxa"/>
        <w:bottom w:w="0" w:type="dxa"/>
      </w:tblCellMar>
    </w:tblPr>
  </w:style>
  <w:style w:type="table" w:styleId="970" w:customStyle="1">
    <w:name w:val="List Table 4 - Accent 1"/>
    <w:uiPriority w:val="99"/>
    <w:qFormat/>
    <w:tblPr>
      <w:tblCellMar>
        <w:left w:w="0" w:type="dxa"/>
        <w:top w:w="0" w:type="dxa"/>
        <w:right w:w="0" w:type="dxa"/>
        <w:bottom w:w="0" w:type="dxa"/>
      </w:tblCellMar>
    </w:tblPr>
  </w:style>
  <w:style w:type="table" w:styleId="971" w:customStyle="1">
    <w:name w:val="List Table 4 - Accent 2"/>
    <w:uiPriority w:val="99"/>
    <w:qFormat/>
    <w:tblPr>
      <w:tblCellMar>
        <w:left w:w="0" w:type="dxa"/>
        <w:top w:w="0" w:type="dxa"/>
        <w:right w:w="0" w:type="dxa"/>
        <w:bottom w:w="0" w:type="dxa"/>
      </w:tblCellMar>
    </w:tblPr>
  </w:style>
  <w:style w:type="table" w:styleId="972" w:customStyle="1">
    <w:name w:val="List Table 4 - Accent 3"/>
    <w:uiPriority w:val="99"/>
    <w:qFormat/>
    <w:tblPr>
      <w:tblCellMar>
        <w:left w:w="0" w:type="dxa"/>
        <w:top w:w="0" w:type="dxa"/>
        <w:right w:w="0" w:type="dxa"/>
        <w:bottom w:w="0" w:type="dxa"/>
      </w:tblCellMar>
    </w:tblPr>
  </w:style>
  <w:style w:type="table" w:styleId="973" w:customStyle="1">
    <w:name w:val="List Table 4 - Accent 4"/>
    <w:uiPriority w:val="99"/>
    <w:qFormat/>
    <w:tblPr>
      <w:tblCellMar>
        <w:left w:w="0" w:type="dxa"/>
        <w:top w:w="0" w:type="dxa"/>
        <w:right w:w="0" w:type="dxa"/>
        <w:bottom w:w="0" w:type="dxa"/>
      </w:tblCellMar>
    </w:tblPr>
  </w:style>
  <w:style w:type="table" w:styleId="974" w:customStyle="1">
    <w:name w:val="List Table 4 - Accent 5"/>
    <w:uiPriority w:val="99"/>
    <w:qFormat/>
    <w:tblPr>
      <w:tblCellMar>
        <w:left w:w="0" w:type="dxa"/>
        <w:top w:w="0" w:type="dxa"/>
        <w:right w:w="0" w:type="dxa"/>
        <w:bottom w:w="0" w:type="dxa"/>
      </w:tblCellMar>
    </w:tblPr>
  </w:style>
  <w:style w:type="table" w:styleId="975" w:customStyle="1">
    <w:name w:val="List Table 4 - Accent 6"/>
    <w:uiPriority w:val="99"/>
    <w:qFormat/>
    <w:tblPr>
      <w:tblCellMar>
        <w:left w:w="0" w:type="dxa"/>
        <w:top w:w="0" w:type="dxa"/>
        <w:right w:w="0" w:type="dxa"/>
        <w:bottom w:w="0" w:type="dxa"/>
      </w:tblCellMar>
    </w:tblPr>
  </w:style>
  <w:style w:type="table" w:styleId="976" w:customStyle="1">
    <w:name w:val="List Table 5 Dark"/>
    <w:uiPriority w:val="99"/>
    <w:qFormat/>
    <w:tblPr>
      <w:tblCellMar>
        <w:left w:w="0" w:type="dxa"/>
        <w:top w:w="0" w:type="dxa"/>
        <w:right w:w="0" w:type="dxa"/>
        <w:bottom w:w="0" w:type="dxa"/>
      </w:tblCellMar>
    </w:tblPr>
  </w:style>
  <w:style w:type="table" w:styleId="977" w:customStyle="1">
    <w:name w:val="List Table 5 Dark - Accent 1"/>
    <w:uiPriority w:val="99"/>
    <w:qFormat/>
    <w:tblPr>
      <w:tblCellMar>
        <w:left w:w="0" w:type="dxa"/>
        <w:top w:w="0" w:type="dxa"/>
        <w:right w:w="0" w:type="dxa"/>
        <w:bottom w:w="0" w:type="dxa"/>
      </w:tblCellMar>
    </w:tblPr>
  </w:style>
  <w:style w:type="table" w:styleId="978" w:customStyle="1">
    <w:name w:val="List Table 5 Dark - Accent 2"/>
    <w:uiPriority w:val="99"/>
    <w:qFormat/>
    <w:tblPr>
      <w:tblCellMar>
        <w:left w:w="0" w:type="dxa"/>
        <w:top w:w="0" w:type="dxa"/>
        <w:right w:w="0" w:type="dxa"/>
        <w:bottom w:w="0" w:type="dxa"/>
      </w:tblCellMar>
    </w:tblPr>
  </w:style>
  <w:style w:type="table" w:styleId="979" w:customStyle="1">
    <w:name w:val="List Table 5 Dark - Accent 3"/>
    <w:uiPriority w:val="99"/>
    <w:qFormat/>
    <w:tblPr>
      <w:tblCellMar>
        <w:left w:w="0" w:type="dxa"/>
        <w:top w:w="0" w:type="dxa"/>
        <w:right w:w="0" w:type="dxa"/>
        <w:bottom w:w="0" w:type="dxa"/>
      </w:tblCellMar>
    </w:tblPr>
  </w:style>
  <w:style w:type="table" w:styleId="980" w:customStyle="1">
    <w:name w:val="List Table 5 Dark - Accent 4"/>
    <w:uiPriority w:val="99"/>
    <w:qFormat/>
    <w:tblPr>
      <w:tblCellMar>
        <w:left w:w="0" w:type="dxa"/>
        <w:top w:w="0" w:type="dxa"/>
        <w:right w:w="0" w:type="dxa"/>
        <w:bottom w:w="0" w:type="dxa"/>
      </w:tblCellMar>
    </w:tblPr>
  </w:style>
  <w:style w:type="table" w:styleId="981" w:customStyle="1">
    <w:name w:val="List Table 5 Dark - Accent 5"/>
    <w:uiPriority w:val="99"/>
    <w:qFormat/>
    <w:tblPr>
      <w:tblCellMar>
        <w:left w:w="0" w:type="dxa"/>
        <w:top w:w="0" w:type="dxa"/>
        <w:right w:w="0" w:type="dxa"/>
        <w:bottom w:w="0" w:type="dxa"/>
      </w:tblCellMar>
    </w:tblPr>
  </w:style>
  <w:style w:type="table" w:styleId="982" w:customStyle="1">
    <w:name w:val="List Table 5 Dark - Accent 6"/>
    <w:uiPriority w:val="99"/>
    <w:qFormat/>
    <w:tblPr>
      <w:tblCellMar>
        <w:left w:w="0" w:type="dxa"/>
        <w:top w:w="0" w:type="dxa"/>
        <w:right w:w="0" w:type="dxa"/>
        <w:bottom w:w="0" w:type="dxa"/>
      </w:tblCellMar>
    </w:tblPr>
  </w:style>
  <w:style w:type="table" w:styleId="983" w:customStyle="1">
    <w:name w:val="List Table 6 Colorful"/>
    <w:uiPriority w:val="99"/>
    <w:qFormat/>
    <w:tblPr>
      <w:tblCellMar>
        <w:left w:w="0" w:type="dxa"/>
        <w:top w:w="0" w:type="dxa"/>
        <w:right w:w="0" w:type="dxa"/>
        <w:bottom w:w="0" w:type="dxa"/>
      </w:tblCellMar>
    </w:tblPr>
  </w:style>
  <w:style w:type="table" w:styleId="984" w:customStyle="1">
    <w:name w:val="List Table 6 Colorful - Accent 1"/>
    <w:uiPriority w:val="99"/>
    <w:qFormat/>
    <w:tblPr>
      <w:tblCellMar>
        <w:left w:w="0" w:type="dxa"/>
        <w:top w:w="0" w:type="dxa"/>
        <w:right w:w="0" w:type="dxa"/>
        <w:bottom w:w="0" w:type="dxa"/>
      </w:tblCellMar>
    </w:tblPr>
  </w:style>
  <w:style w:type="table" w:styleId="985" w:customStyle="1">
    <w:name w:val="List Table 6 Colorful - Accent 2"/>
    <w:uiPriority w:val="99"/>
    <w:qFormat/>
    <w:tblPr>
      <w:tblCellMar>
        <w:left w:w="0" w:type="dxa"/>
        <w:top w:w="0" w:type="dxa"/>
        <w:right w:w="0" w:type="dxa"/>
        <w:bottom w:w="0" w:type="dxa"/>
      </w:tblCellMar>
    </w:tblPr>
  </w:style>
  <w:style w:type="table" w:styleId="986" w:customStyle="1">
    <w:name w:val="List Table 6 Colorful - Accent 3"/>
    <w:uiPriority w:val="99"/>
    <w:qFormat/>
    <w:tblPr>
      <w:tblCellMar>
        <w:left w:w="0" w:type="dxa"/>
        <w:top w:w="0" w:type="dxa"/>
        <w:right w:w="0" w:type="dxa"/>
        <w:bottom w:w="0" w:type="dxa"/>
      </w:tblCellMar>
    </w:tblPr>
  </w:style>
  <w:style w:type="table" w:styleId="987" w:customStyle="1">
    <w:name w:val="List Table 6 Colorful - Accent 4"/>
    <w:uiPriority w:val="99"/>
    <w:qFormat/>
    <w:tblPr>
      <w:tblCellMar>
        <w:left w:w="0" w:type="dxa"/>
        <w:top w:w="0" w:type="dxa"/>
        <w:right w:w="0" w:type="dxa"/>
        <w:bottom w:w="0" w:type="dxa"/>
      </w:tblCellMar>
    </w:tblPr>
  </w:style>
  <w:style w:type="table" w:styleId="988" w:customStyle="1">
    <w:name w:val="List Table 6 Colorful - Accent 5"/>
    <w:uiPriority w:val="99"/>
    <w:qFormat/>
    <w:tblPr>
      <w:tblCellMar>
        <w:left w:w="0" w:type="dxa"/>
        <w:top w:w="0" w:type="dxa"/>
        <w:right w:w="0" w:type="dxa"/>
        <w:bottom w:w="0" w:type="dxa"/>
      </w:tblCellMar>
    </w:tblPr>
  </w:style>
  <w:style w:type="table" w:styleId="989" w:customStyle="1">
    <w:name w:val="List Table 6 Colorful - Accent 6"/>
    <w:uiPriority w:val="99"/>
    <w:qFormat/>
    <w:tblPr>
      <w:tblCellMar>
        <w:left w:w="0" w:type="dxa"/>
        <w:top w:w="0" w:type="dxa"/>
        <w:right w:w="0" w:type="dxa"/>
        <w:bottom w:w="0" w:type="dxa"/>
      </w:tblCellMar>
    </w:tblPr>
  </w:style>
  <w:style w:type="table" w:styleId="990" w:customStyle="1">
    <w:name w:val="List Table 7 Colorful"/>
    <w:uiPriority w:val="99"/>
    <w:qFormat/>
    <w:tblPr>
      <w:tblCellMar>
        <w:left w:w="0" w:type="dxa"/>
        <w:top w:w="0" w:type="dxa"/>
        <w:right w:w="0" w:type="dxa"/>
        <w:bottom w:w="0" w:type="dxa"/>
      </w:tblCellMar>
    </w:tblPr>
  </w:style>
  <w:style w:type="table" w:styleId="991" w:customStyle="1">
    <w:name w:val="List Table 7 Colorful - Accent 1"/>
    <w:uiPriority w:val="99"/>
    <w:qFormat/>
    <w:tblPr>
      <w:tblCellMar>
        <w:left w:w="0" w:type="dxa"/>
        <w:top w:w="0" w:type="dxa"/>
        <w:right w:w="0" w:type="dxa"/>
        <w:bottom w:w="0" w:type="dxa"/>
      </w:tblCellMar>
    </w:tblPr>
  </w:style>
  <w:style w:type="table" w:styleId="992" w:customStyle="1">
    <w:name w:val="List Table 7 Colorful - Accent 2"/>
    <w:uiPriority w:val="99"/>
    <w:qFormat/>
    <w:tblPr>
      <w:tblCellMar>
        <w:left w:w="0" w:type="dxa"/>
        <w:top w:w="0" w:type="dxa"/>
        <w:right w:w="0" w:type="dxa"/>
        <w:bottom w:w="0" w:type="dxa"/>
      </w:tblCellMar>
    </w:tblPr>
  </w:style>
  <w:style w:type="table" w:styleId="993" w:customStyle="1">
    <w:name w:val="List Table 7 Colorful - Accent 3"/>
    <w:uiPriority w:val="99"/>
    <w:qFormat/>
    <w:tblPr>
      <w:tblCellMar>
        <w:left w:w="0" w:type="dxa"/>
        <w:top w:w="0" w:type="dxa"/>
        <w:right w:w="0" w:type="dxa"/>
        <w:bottom w:w="0" w:type="dxa"/>
      </w:tblCellMar>
    </w:tblPr>
  </w:style>
  <w:style w:type="table" w:styleId="994" w:customStyle="1">
    <w:name w:val="List Table 7 Colorful - Accent 4"/>
    <w:uiPriority w:val="99"/>
    <w:qFormat/>
    <w:tblPr>
      <w:tblCellMar>
        <w:left w:w="0" w:type="dxa"/>
        <w:top w:w="0" w:type="dxa"/>
        <w:right w:w="0" w:type="dxa"/>
        <w:bottom w:w="0" w:type="dxa"/>
      </w:tblCellMar>
    </w:tblPr>
  </w:style>
  <w:style w:type="table" w:styleId="995" w:customStyle="1">
    <w:name w:val="List Table 7 Colorful - Accent 5"/>
    <w:uiPriority w:val="99"/>
    <w:qFormat/>
    <w:tblPr>
      <w:tblCellMar>
        <w:left w:w="0" w:type="dxa"/>
        <w:top w:w="0" w:type="dxa"/>
        <w:right w:w="0" w:type="dxa"/>
        <w:bottom w:w="0" w:type="dxa"/>
      </w:tblCellMar>
    </w:tblPr>
  </w:style>
  <w:style w:type="table" w:styleId="996" w:customStyle="1">
    <w:name w:val="List Table 7 Colorful - Accent 6"/>
    <w:uiPriority w:val="99"/>
    <w:qFormat/>
    <w:tblPr>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CellMar>
        <w:left w:w="0" w:type="dxa"/>
        <w:top w:w="0" w:type="dxa"/>
        <w:right w:w="0" w:type="dxa"/>
        <w:bottom w:w="0" w:type="dxa"/>
      </w:tblCellMar>
    </w:tblPr>
  </w:style>
  <w:style w:type="table" w:styleId="1005" w:customStyle="1">
    <w:name w:val="Bordered &amp; Lined - Accent 1"/>
    <w:uiPriority w:val="99"/>
    <w:qFormat/>
    <w:rPr>
      <w:color w:val="404040"/>
    </w:rPr>
    <w:tblPr>
      <w:tblCellMar>
        <w:left w:w="0" w:type="dxa"/>
        <w:top w:w="0" w:type="dxa"/>
        <w:right w:w="0" w:type="dxa"/>
        <w:bottom w:w="0" w:type="dxa"/>
      </w:tblCellMar>
    </w:tblPr>
  </w:style>
  <w:style w:type="table" w:styleId="1006" w:customStyle="1">
    <w:name w:val="Bordered &amp; Lined - Accent 2"/>
    <w:uiPriority w:val="99"/>
    <w:qFormat/>
    <w:rPr>
      <w:color w:val="404040"/>
    </w:rPr>
    <w:tblPr>
      <w:tblCellMar>
        <w:left w:w="0" w:type="dxa"/>
        <w:top w:w="0" w:type="dxa"/>
        <w:right w:w="0" w:type="dxa"/>
        <w:bottom w:w="0" w:type="dxa"/>
      </w:tblCellMar>
    </w:tblPr>
  </w:style>
  <w:style w:type="table" w:styleId="1007" w:customStyle="1">
    <w:name w:val="Bordered &amp; Lined - Accent 3"/>
    <w:uiPriority w:val="99"/>
    <w:qFormat/>
    <w:rPr>
      <w:color w:val="404040"/>
    </w:rPr>
    <w:tblPr>
      <w:tblCellMar>
        <w:left w:w="0" w:type="dxa"/>
        <w:top w:w="0" w:type="dxa"/>
        <w:right w:w="0" w:type="dxa"/>
        <w:bottom w:w="0" w:type="dxa"/>
      </w:tblCellMar>
    </w:tblPr>
  </w:style>
  <w:style w:type="table" w:styleId="1008" w:customStyle="1">
    <w:name w:val="Bordered &amp; Lined - Accent 4"/>
    <w:uiPriority w:val="99"/>
    <w:qFormat/>
    <w:rPr>
      <w:color w:val="404040"/>
    </w:rPr>
    <w:tblPr>
      <w:tblCellMar>
        <w:left w:w="0" w:type="dxa"/>
        <w:top w:w="0" w:type="dxa"/>
        <w:right w:w="0" w:type="dxa"/>
        <w:bottom w:w="0" w:type="dxa"/>
      </w:tblCellMar>
    </w:tblPr>
  </w:style>
  <w:style w:type="table" w:styleId="1009" w:customStyle="1">
    <w:name w:val="Bordered &amp; Lined - Accent 5"/>
    <w:uiPriority w:val="99"/>
    <w:qFormat/>
    <w:rPr>
      <w:color w:val="404040"/>
    </w:rPr>
    <w:tblPr>
      <w:tblCellMar>
        <w:left w:w="0" w:type="dxa"/>
        <w:top w:w="0" w:type="dxa"/>
        <w:right w:w="0" w:type="dxa"/>
        <w:bottom w:w="0" w:type="dxa"/>
      </w:tblCellMar>
    </w:tblPr>
  </w:style>
  <w:style w:type="table" w:styleId="1010" w:customStyle="1">
    <w:name w:val="Bordered &amp; Lined - Accent 6"/>
    <w:uiPriority w:val="99"/>
    <w:qFormat/>
    <w:rPr>
      <w:color w:val="404040"/>
    </w:rPr>
    <w:tblPr>
      <w:tblCellMar>
        <w:left w:w="0" w:type="dxa"/>
        <w:top w:w="0" w:type="dxa"/>
        <w:right w:w="0" w:type="dxa"/>
        <w:bottom w:w="0" w:type="dxa"/>
      </w:tblCellMar>
    </w:tblPr>
  </w:style>
  <w:style w:type="table" w:styleId="1011" w:customStyle="1">
    <w:name w:val="Bordered"/>
    <w:uiPriority w:val="99"/>
    <w:qFormat/>
    <w:tblPr>
      <w:tblCellMar>
        <w:left w:w="0" w:type="dxa"/>
        <w:top w:w="0" w:type="dxa"/>
        <w:right w:w="0" w:type="dxa"/>
        <w:bottom w:w="0" w:type="dxa"/>
      </w:tblCellMar>
    </w:tblPr>
  </w:style>
  <w:style w:type="table" w:styleId="1012" w:customStyle="1">
    <w:name w:val="Bordered - Accent 1"/>
    <w:uiPriority w:val="99"/>
    <w:qFormat/>
    <w:tblPr>
      <w:tblCellMar>
        <w:left w:w="0" w:type="dxa"/>
        <w:top w:w="0" w:type="dxa"/>
        <w:right w:w="0" w:type="dxa"/>
        <w:bottom w:w="0" w:type="dxa"/>
      </w:tblCellMar>
    </w:tblPr>
  </w:style>
  <w:style w:type="table" w:styleId="1013" w:customStyle="1">
    <w:name w:val="Bordered - Accent 2"/>
    <w:uiPriority w:val="99"/>
    <w:qFormat/>
    <w:tblPr>
      <w:tblCellMar>
        <w:left w:w="0" w:type="dxa"/>
        <w:top w:w="0" w:type="dxa"/>
        <w:right w:w="0" w:type="dxa"/>
        <w:bottom w:w="0" w:type="dxa"/>
      </w:tblCellMar>
    </w:tblPr>
  </w:style>
  <w:style w:type="table" w:styleId="1014" w:customStyle="1">
    <w:name w:val="Bordered - Accent 3"/>
    <w:uiPriority w:val="99"/>
    <w:qFormat/>
    <w:tblPr>
      <w:tblCellMar>
        <w:left w:w="0" w:type="dxa"/>
        <w:top w:w="0" w:type="dxa"/>
        <w:right w:w="0" w:type="dxa"/>
        <w:bottom w:w="0" w:type="dxa"/>
      </w:tblCellMar>
    </w:tblPr>
  </w:style>
  <w:style w:type="table" w:styleId="1015" w:customStyle="1">
    <w:name w:val="Bordered - Accent 4"/>
    <w:uiPriority w:val="99"/>
    <w:qFormat/>
    <w:tblPr>
      <w:tblCellMar>
        <w:left w:w="0" w:type="dxa"/>
        <w:top w:w="0" w:type="dxa"/>
        <w:right w:w="0" w:type="dxa"/>
        <w:bottom w:w="0" w:type="dxa"/>
      </w:tblCellMar>
    </w:tblPr>
  </w:style>
  <w:style w:type="table" w:styleId="1016" w:customStyle="1">
    <w:name w:val="Bordered - Accent 5"/>
    <w:uiPriority w:val="99"/>
    <w:qFormat/>
    <w:tblPr>
      <w:tblCellMar>
        <w:left w:w="0" w:type="dxa"/>
        <w:top w:w="0" w:type="dxa"/>
        <w:right w:w="0" w:type="dxa"/>
        <w:bottom w:w="0" w:type="dxa"/>
      </w:tblCellMar>
    </w:tblPr>
  </w:style>
  <w:style w:type="table" w:styleId="1017" w:customStyle="1">
    <w:name w:val="Bordered - Accent 6"/>
    <w:uiPriority w:val="99"/>
    <w:qFormat/>
    <w:tblPr>
      <w:tblCellMar>
        <w:left w:w="0" w:type="dxa"/>
        <w:top w:w="0" w:type="dxa"/>
        <w:right w:w="0" w:type="dxa"/>
        <w:bottom w:w="0" w:type="dxa"/>
      </w:tblCellMar>
    </w:tblPr>
  </w:style>
  <w:style w:type="paragraph" w:styleId="1018" w:customStyle="1">
    <w:name w:val="TOC 标题1"/>
    <w:uiPriority w:val="39"/>
    <w:unhideWhenUsed/>
    <w:qFormat/>
    <w:rPr>
      <w:rFonts w:ascii="Times New Roman" w:hAnsi="Times New Roman" w:eastAsia="宋体" w:cs="Times New Roman"/>
      <w:lang w:val="en-US" w:eastAsia="zh-CN" w:bidi="ar-SA"/>
    </w:rPr>
  </w:style>
  <w:style w:type="paragraph" w:styleId="1019" w:customStyle="1">
    <w:name w:val="标题 11"/>
    <w:basedOn w:val="772"/>
    <w:next w:val="772"/>
    <w:link w:val="1020"/>
    <w:uiPriority w:val="0"/>
    <w:qFormat/>
    <w:pPr>
      <w:jc w:val="center"/>
      <w:keepNext/>
      <w:outlineLvl w:val="0"/>
    </w:pPr>
    <w:rPr>
      <w:rFonts w:ascii="楷体_GB2312" w:eastAsia="楷体_GB2312"/>
      <w:sz w:val="28"/>
      <w:szCs w:val="28"/>
    </w:rPr>
  </w:style>
  <w:style w:type="character" w:styleId="1020" w:customStyle="1">
    <w:name w:val="标题 1 Char"/>
    <w:link w:val="1019"/>
    <w:uiPriority w:val="0"/>
    <w:qFormat/>
    <w:rPr>
      <w:rFonts w:ascii="楷体_GB2312" w:hAnsi="Times New Roman" w:eastAsia="楷体_GB2312" w:cs="Times New Roman"/>
      <w:sz w:val="28"/>
      <w:szCs w:val="28"/>
    </w:rPr>
  </w:style>
  <w:style w:type="paragraph" w:styleId="1021" w:customStyle="1">
    <w:name w:val="标题 21"/>
    <w:basedOn w:val="772"/>
    <w:next w:val="1022"/>
    <w:link w:val="10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2" w:customStyle="1">
    <w:name w:val="正文缩进11"/>
    <w:basedOn w:val="772"/>
    <w:link w:val="1024"/>
    <w:uiPriority w:val="0"/>
    <w:qFormat/>
    <w:pPr>
      <w:ind w:firstLine="420"/>
    </w:pPr>
  </w:style>
  <w:style w:type="character" w:styleId="1023" w:customStyle="1">
    <w:name w:val="标题 2 Char"/>
    <w:link w:val="1021"/>
    <w:uiPriority w:val="0"/>
    <w:qFormat/>
    <w:rPr>
      <w:rFonts w:ascii="Arial" w:hAnsi="Arial" w:eastAsia="幼圆" w:cs="Arial"/>
      <w:b/>
      <w:bCs/>
      <w:sz w:val="44"/>
      <w:szCs w:val="44"/>
    </w:rPr>
  </w:style>
  <w:style w:type="character" w:styleId="1024" w:customStyle="1">
    <w:name w:val="正文缩进 Char"/>
    <w:link w:val="1022"/>
    <w:uiPriority w:val="0"/>
    <w:qFormat/>
    <w:rPr>
      <w:rFonts w:ascii="Times New Roman" w:hAnsi="Times New Roman" w:eastAsia="宋体" w:cs="Times New Roman"/>
      <w:szCs w:val="21"/>
    </w:rPr>
  </w:style>
  <w:style w:type="paragraph" w:styleId="1025" w:customStyle="1">
    <w:name w:val="标题 311"/>
    <w:basedOn w:val="772"/>
    <w:next w:val="1022"/>
    <w:link w:val="1026"/>
    <w:uiPriority w:val="0"/>
    <w:qFormat/>
    <w:pPr>
      <w:keepLines/>
      <w:keepNext/>
      <w:spacing w:before="260" w:after="260" w:line="416" w:lineRule="auto"/>
      <w:outlineLvl w:val="2"/>
    </w:pPr>
    <w:rPr>
      <w:b/>
      <w:bCs/>
      <w:sz w:val="32"/>
      <w:szCs w:val="32"/>
    </w:rPr>
  </w:style>
  <w:style w:type="character" w:styleId="1026" w:customStyle="1">
    <w:name w:val="标题 3 Char"/>
    <w:link w:val="1025"/>
    <w:uiPriority w:val="0"/>
    <w:qFormat/>
    <w:rPr>
      <w:rFonts w:ascii="Times New Roman" w:hAnsi="Times New Roman" w:eastAsia="宋体" w:cs="Times New Roman"/>
      <w:b/>
      <w:bCs/>
      <w:sz w:val="32"/>
      <w:szCs w:val="32"/>
    </w:rPr>
  </w:style>
  <w:style w:type="paragraph" w:styleId="1027" w:customStyle="1">
    <w:name w:val="标题 41"/>
    <w:basedOn w:val="772"/>
    <w:next w:val="1022"/>
    <w:link w:val="1028"/>
    <w:uiPriority w:val="0"/>
    <w:qFormat/>
    <w:pPr>
      <w:keepLines/>
      <w:keepNext/>
      <w:spacing w:before="280" w:after="290" w:line="376" w:lineRule="auto"/>
      <w:outlineLvl w:val="3"/>
    </w:pPr>
    <w:rPr>
      <w:rFonts w:ascii="Arial" w:hAnsi="Arial" w:eastAsia="黑体" w:cs="Arial"/>
      <w:b/>
      <w:bCs/>
      <w:sz w:val="28"/>
      <w:szCs w:val="28"/>
    </w:rPr>
  </w:style>
  <w:style w:type="character" w:styleId="1028" w:customStyle="1">
    <w:name w:val="标题 4 Char"/>
    <w:link w:val="1027"/>
    <w:uiPriority w:val="0"/>
    <w:qFormat/>
    <w:rPr>
      <w:rFonts w:ascii="Arial" w:hAnsi="Arial" w:eastAsia="黑体" w:cs="Arial"/>
      <w:b/>
      <w:bCs/>
      <w:sz w:val="28"/>
      <w:szCs w:val="28"/>
    </w:rPr>
  </w:style>
  <w:style w:type="paragraph" w:styleId="1029" w:customStyle="1">
    <w:name w:val="标题 51"/>
    <w:basedOn w:val="772"/>
    <w:next w:val="1022"/>
    <w:link w:val="1030"/>
    <w:uiPriority w:val="0"/>
    <w:qFormat/>
    <w:pPr>
      <w:keepNext/>
      <w:outlineLvl w:val="4"/>
    </w:pPr>
    <w:rPr>
      <w:rFonts w:ascii="宋体"/>
      <w:color w:val="000000"/>
      <w:sz w:val="28"/>
      <w:szCs w:val="28"/>
    </w:rPr>
  </w:style>
  <w:style w:type="character" w:styleId="1030" w:customStyle="1">
    <w:name w:val="标题 5 Char"/>
    <w:link w:val="1029"/>
    <w:uiPriority w:val="0"/>
    <w:qFormat/>
    <w:rPr>
      <w:rFonts w:ascii="宋体" w:hAnsi="Times New Roman" w:eastAsia="宋体" w:cs="Times New Roman"/>
      <w:color w:val="000000"/>
      <w:sz w:val="28"/>
      <w:szCs w:val="28"/>
    </w:rPr>
  </w:style>
  <w:style w:type="paragraph" w:styleId="1031" w:customStyle="1">
    <w:name w:val="标题 61"/>
    <w:basedOn w:val="772"/>
    <w:next w:val="772"/>
    <w:link w:val="10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2" w:customStyle="1">
    <w:name w:val="标题 6 Char"/>
    <w:link w:val="1031"/>
    <w:uiPriority w:val="0"/>
    <w:qFormat/>
    <w:rPr>
      <w:rFonts w:ascii="Arial" w:hAnsi="Arial" w:eastAsia="黑体" w:cs="Times New Roman"/>
      <w:b/>
      <w:bCs/>
      <w:sz w:val="24"/>
      <w:szCs w:val="24"/>
    </w:rPr>
  </w:style>
  <w:style w:type="paragraph" w:styleId="1033" w:customStyle="1">
    <w:name w:val="标题 71"/>
    <w:basedOn w:val="772"/>
    <w:next w:val="772"/>
    <w:link w:val="1034"/>
    <w:uiPriority w:val="0"/>
    <w:qFormat/>
    <w:pPr>
      <w:numPr>
        <w:ilvl w:val="6"/>
        <w:numId w:val="1"/>
      </w:numPr>
      <w:keepLines/>
      <w:keepNext/>
      <w:spacing w:before="240" w:after="64" w:line="320" w:lineRule="auto"/>
      <w:outlineLvl w:val="6"/>
    </w:pPr>
    <w:rPr>
      <w:b/>
      <w:bCs/>
      <w:sz w:val="24"/>
      <w:szCs w:val="24"/>
    </w:rPr>
  </w:style>
  <w:style w:type="character" w:styleId="1034" w:customStyle="1">
    <w:name w:val="标题 7 Char"/>
    <w:link w:val="1033"/>
    <w:uiPriority w:val="0"/>
    <w:qFormat/>
    <w:rPr>
      <w:rFonts w:ascii="Times New Roman" w:hAnsi="Times New Roman" w:eastAsia="宋体" w:cs="Times New Roman"/>
      <w:b/>
      <w:bCs/>
      <w:sz w:val="24"/>
      <w:szCs w:val="24"/>
    </w:rPr>
  </w:style>
  <w:style w:type="paragraph" w:styleId="1035" w:customStyle="1">
    <w:name w:val="标题 81"/>
    <w:basedOn w:val="772"/>
    <w:next w:val="772"/>
    <w:link w:val="103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36" w:customStyle="1">
    <w:name w:val="标题 8 Char"/>
    <w:link w:val="1035"/>
    <w:uiPriority w:val="0"/>
    <w:qFormat/>
    <w:rPr>
      <w:rFonts w:ascii="Arial" w:hAnsi="Arial" w:eastAsia="黑体" w:cs="Times New Roman"/>
      <w:sz w:val="24"/>
      <w:szCs w:val="24"/>
    </w:rPr>
  </w:style>
  <w:style w:type="paragraph" w:styleId="1037" w:customStyle="1">
    <w:name w:val="标题 91"/>
    <w:basedOn w:val="772"/>
    <w:next w:val="772"/>
    <w:link w:val="1038"/>
    <w:uiPriority w:val="0"/>
    <w:qFormat/>
    <w:pPr>
      <w:numPr>
        <w:ilvl w:val="8"/>
        <w:numId w:val="1"/>
      </w:numPr>
      <w:keepLines/>
      <w:keepNext/>
      <w:spacing w:before="240" w:after="64" w:line="320" w:lineRule="auto"/>
      <w:outlineLvl w:val="8"/>
    </w:pPr>
    <w:rPr>
      <w:rFonts w:ascii="Arial" w:hAnsi="Arial" w:eastAsia="黑体"/>
    </w:rPr>
  </w:style>
  <w:style w:type="character" w:styleId="1038" w:customStyle="1">
    <w:name w:val="标题 9 Char"/>
    <w:link w:val="1037"/>
    <w:uiPriority w:val="0"/>
    <w:qFormat/>
    <w:rPr>
      <w:rFonts w:ascii="Arial" w:hAnsi="Arial" w:eastAsia="黑体" w:cs="Times New Roman"/>
      <w:szCs w:val="21"/>
    </w:rPr>
  </w:style>
  <w:style w:type="character" w:styleId="1039" w:customStyle="1">
    <w:name w:val="默认段落字体1"/>
    <w:uiPriority w:val="1"/>
    <w:unhideWhenUsed/>
    <w:qFormat/>
  </w:style>
  <w:style w:type="table" w:styleId="1040" w:customStyle="1">
    <w:name w:val="普通表格11"/>
    <w:uiPriority w:val="99"/>
    <w:unhideWhenUsed/>
    <w:qFormat/>
    <w:tblPr>
      <w:tblCellMar>
        <w:left w:w="0" w:type="dxa"/>
        <w:top w:w="0" w:type="dxa"/>
        <w:right w:w="0" w:type="dxa"/>
        <w:bottom w:w="0" w:type="dxa"/>
      </w:tblCellMar>
    </w:tblPr>
  </w:style>
  <w:style w:type="paragraph" w:styleId="1041" w:customStyle="1">
    <w:name w:val="列表 31"/>
    <w:basedOn w:val="772"/>
    <w:uiPriority w:val="0"/>
    <w:qFormat/>
    <w:pPr>
      <w:ind w:left="100" w:hanging="200"/>
    </w:pPr>
  </w:style>
  <w:style w:type="paragraph" w:styleId="1042" w:customStyle="1">
    <w:name w:val="目录 71"/>
    <w:basedOn w:val="772"/>
    <w:next w:val="772"/>
    <w:uiPriority w:val="0"/>
    <w:semiHidden/>
    <w:qFormat/>
    <w:pPr>
      <w:ind w:left="1260"/>
      <w:jc w:val="left"/>
    </w:pPr>
  </w:style>
  <w:style w:type="paragraph" w:styleId="1043" w:customStyle="1">
    <w:name w:val="文档结构图1"/>
    <w:basedOn w:val="772"/>
    <w:link w:val="1044"/>
    <w:uiPriority w:val="0"/>
    <w:semiHidden/>
    <w:qFormat/>
    <w:pPr>
      <w:shd w:val="clear" w:color="auto" w:fill="000080"/>
    </w:pPr>
  </w:style>
  <w:style w:type="character" w:styleId="1044" w:customStyle="1">
    <w:name w:val="文档结构图 Char"/>
    <w:link w:val="1043"/>
    <w:uiPriority w:val="0"/>
    <w:semiHidden/>
    <w:qFormat/>
    <w:rPr>
      <w:rFonts w:ascii="Times New Roman" w:hAnsi="Times New Roman" w:eastAsia="宋体" w:cs="Times New Roman"/>
      <w:szCs w:val="21"/>
      <w:shd w:val="clear" w:color="auto" w:fill="000080"/>
    </w:rPr>
  </w:style>
  <w:style w:type="paragraph" w:styleId="1045" w:customStyle="1">
    <w:name w:val="批注文字1"/>
    <w:basedOn w:val="772"/>
    <w:link w:val="1046"/>
    <w:uiPriority w:val="0"/>
    <w:semiHidden/>
    <w:qFormat/>
    <w:pPr>
      <w:jc w:val="left"/>
    </w:pPr>
  </w:style>
  <w:style w:type="character" w:styleId="1046" w:customStyle="1">
    <w:name w:val="批注文字 Char"/>
    <w:link w:val="1045"/>
    <w:uiPriority w:val="0"/>
    <w:semiHidden/>
    <w:qFormat/>
    <w:rPr>
      <w:rFonts w:ascii="Times New Roman" w:hAnsi="Times New Roman" w:eastAsia="宋体" w:cs="Times New Roman"/>
      <w:szCs w:val="21"/>
    </w:rPr>
  </w:style>
  <w:style w:type="paragraph" w:styleId="1047" w:customStyle="1">
    <w:name w:val="正文文本 31"/>
    <w:basedOn w:val="772"/>
    <w:link w:val="1048"/>
    <w:uiPriority w:val="0"/>
    <w:qFormat/>
    <w:rPr>
      <w:rFonts w:ascii="仿宋_GB2312" w:hAnsi="Arial" w:eastAsia="仿宋_GB2312"/>
      <w:sz w:val="32"/>
      <w:szCs w:val="32"/>
    </w:rPr>
  </w:style>
  <w:style w:type="character" w:styleId="1048" w:customStyle="1">
    <w:name w:val="正文文本 3 Char"/>
    <w:link w:val="1047"/>
    <w:uiPriority w:val="0"/>
    <w:qFormat/>
    <w:rPr>
      <w:rFonts w:ascii="仿宋_GB2312" w:hAnsi="Arial" w:eastAsia="仿宋_GB2312" w:cs="Times New Roman"/>
      <w:sz w:val="32"/>
      <w:szCs w:val="32"/>
    </w:rPr>
  </w:style>
  <w:style w:type="paragraph" w:styleId="1049" w:customStyle="1">
    <w:name w:val="正文文本11"/>
    <w:basedOn w:val="772"/>
    <w:link w:val="1050"/>
    <w:uiPriority w:val="0"/>
    <w:qFormat/>
    <w:rPr>
      <w:rFonts w:ascii="楷体_GB2312" w:hAnsi="Arial" w:eastAsia="楷体_GB2312"/>
      <w:sz w:val="28"/>
      <w:szCs w:val="28"/>
    </w:rPr>
  </w:style>
  <w:style w:type="character" w:styleId="1050" w:customStyle="1">
    <w:name w:val="正文文本 Char"/>
    <w:link w:val="1049"/>
    <w:uiPriority w:val="0"/>
    <w:qFormat/>
    <w:rPr>
      <w:rFonts w:ascii="楷体_GB2312" w:hAnsi="Arial" w:eastAsia="楷体_GB2312" w:cs="Times New Roman"/>
      <w:sz w:val="28"/>
      <w:szCs w:val="28"/>
    </w:rPr>
  </w:style>
  <w:style w:type="paragraph" w:styleId="1051" w:customStyle="1">
    <w:name w:val="正文文本缩进1"/>
    <w:basedOn w:val="772"/>
    <w:link w:val="1052"/>
    <w:uiPriority w:val="0"/>
    <w:qFormat/>
    <w:pPr>
      <w:ind w:firstLine="645"/>
    </w:pPr>
    <w:rPr>
      <w:rFonts w:ascii="楷体_GB2312" w:eastAsia="楷体_GB2312"/>
      <w:sz w:val="32"/>
      <w:szCs w:val="32"/>
    </w:rPr>
  </w:style>
  <w:style w:type="character" w:styleId="1052" w:customStyle="1">
    <w:name w:val="正文文本缩进 Char"/>
    <w:link w:val="1051"/>
    <w:uiPriority w:val="0"/>
    <w:qFormat/>
    <w:rPr>
      <w:rFonts w:ascii="楷体_GB2312" w:hAnsi="Times New Roman" w:eastAsia="楷体_GB2312" w:cs="Times New Roman"/>
      <w:sz w:val="32"/>
      <w:szCs w:val="32"/>
    </w:rPr>
  </w:style>
  <w:style w:type="paragraph" w:styleId="1053" w:customStyle="1">
    <w:name w:val="列表 21"/>
    <w:basedOn w:val="772"/>
    <w:uiPriority w:val="0"/>
    <w:qFormat/>
    <w:pPr>
      <w:ind w:left="100" w:hanging="200"/>
    </w:pPr>
  </w:style>
  <w:style w:type="paragraph" w:styleId="1054" w:customStyle="1">
    <w:name w:val="目录 51"/>
    <w:basedOn w:val="772"/>
    <w:next w:val="772"/>
    <w:uiPriority w:val="0"/>
    <w:semiHidden/>
    <w:qFormat/>
    <w:pPr>
      <w:ind w:left="840"/>
      <w:jc w:val="left"/>
    </w:pPr>
  </w:style>
  <w:style w:type="paragraph" w:styleId="1055" w:customStyle="1">
    <w:name w:val="目录 31"/>
    <w:basedOn w:val="772"/>
    <w:next w:val="772"/>
    <w:uiPriority w:val="0"/>
    <w:semiHidden/>
    <w:qFormat/>
    <w:pPr>
      <w:ind w:left="420"/>
      <w:jc w:val="left"/>
    </w:pPr>
    <w:rPr>
      <w:i/>
      <w:iCs/>
      <w:szCs w:val="24"/>
    </w:rPr>
  </w:style>
  <w:style w:type="paragraph" w:styleId="1056" w:customStyle="1">
    <w:name w:val="纯文本1"/>
    <w:basedOn w:val="772"/>
    <w:link w:val="1057"/>
    <w:uiPriority w:val="0"/>
    <w:qFormat/>
    <w:rPr>
      <w:rFonts w:ascii="宋体" w:hAnsi="Courier New" w:cs="Courier New"/>
    </w:rPr>
  </w:style>
  <w:style w:type="character" w:styleId="1057" w:customStyle="1">
    <w:name w:val="纯文本 Char"/>
    <w:link w:val="1056"/>
    <w:uiPriority w:val="0"/>
    <w:qFormat/>
    <w:rPr>
      <w:rFonts w:ascii="宋体" w:hAnsi="Courier New" w:eastAsia="宋体" w:cs="Courier New"/>
      <w:szCs w:val="21"/>
    </w:rPr>
  </w:style>
  <w:style w:type="paragraph" w:styleId="1058" w:customStyle="1">
    <w:name w:val="目录 81"/>
    <w:basedOn w:val="772"/>
    <w:next w:val="772"/>
    <w:uiPriority w:val="0"/>
    <w:semiHidden/>
    <w:qFormat/>
    <w:pPr>
      <w:ind w:left="1470"/>
      <w:jc w:val="left"/>
    </w:pPr>
  </w:style>
  <w:style w:type="paragraph" w:styleId="1059" w:customStyle="1">
    <w:name w:val="日期1"/>
    <w:basedOn w:val="772"/>
    <w:next w:val="772"/>
    <w:link w:val="1060"/>
    <w:uiPriority w:val="0"/>
    <w:qFormat/>
    <w:rPr>
      <w:sz w:val="24"/>
      <w:szCs w:val="24"/>
    </w:rPr>
  </w:style>
  <w:style w:type="character" w:styleId="1060" w:customStyle="1">
    <w:name w:val="日期 Char"/>
    <w:link w:val="1059"/>
    <w:uiPriority w:val="0"/>
    <w:qFormat/>
    <w:rPr>
      <w:rFonts w:ascii="Times New Roman" w:hAnsi="Times New Roman" w:eastAsia="宋体" w:cs="Times New Roman"/>
      <w:sz w:val="24"/>
      <w:szCs w:val="24"/>
    </w:rPr>
  </w:style>
  <w:style w:type="paragraph" w:styleId="1061" w:customStyle="1">
    <w:name w:val="正文文本缩进 21"/>
    <w:basedOn w:val="772"/>
    <w:link w:val="1062"/>
    <w:uiPriority w:val="0"/>
    <w:qFormat/>
    <w:pPr>
      <w:ind w:left="630" w:firstLine="645"/>
    </w:pPr>
    <w:rPr>
      <w:rFonts w:ascii="Arial" w:hAnsi="Arial" w:eastAsia="仿宋_GB2312" w:cs="Arial"/>
      <w:sz w:val="32"/>
      <w:szCs w:val="32"/>
    </w:rPr>
  </w:style>
  <w:style w:type="character" w:styleId="1062" w:customStyle="1">
    <w:name w:val="正文文本缩进 2 Char"/>
    <w:link w:val="1061"/>
    <w:uiPriority w:val="0"/>
    <w:qFormat/>
    <w:rPr>
      <w:rFonts w:ascii="Arial" w:hAnsi="Arial" w:eastAsia="仿宋_GB2312" w:cs="Arial"/>
      <w:sz w:val="32"/>
      <w:szCs w:val="32"/>
    </w:rPr>
  </w:style>
  <w:style w:type="paragraph" w:styleId="1063" w:customStyle="1">
    <w:name w:val="批注框文本1"/>
    <w:basedOn w:val="772"/>
    <w:link w:val="1064"/>
    <w:uiPriority w:val="0"/>
    <w:semiHidden/>
    <w:qFormat/>
    <w:rPr>
      <w:sz w:val="18"/>
      <w:szCs w:val="18"/>
    </w:rPr>
  </w:style>
  <w:style w:type="character" w:styleId="1064" w:customStyle="1">
    <w:name w:val="批注框文本 Char"/>
    <w:link w:val="1063"/>
    <w:uiPriority w:val="0"/>
    <w:semiHidden/>
    <w:qFormat/>
    <w:rPr>
      <w:rFonts w:ascii="Times New Roman" w:hAnsi="Times New Roman" w:eastAsia="宋体" w:cs="Times New Roman"/>
      <w:sz w:val="18"/>
      <w:szCs w:val="18"/>
    </w:rPr>
  </w:style>
  <w:style w:type="paragraph" w:styleId="1065" w:customStyle="1">
    <w:name w:val="页脚1"/>
    <w:basedOn w:val="772"/>
    <w:link w:val="1066"/>
    <w:uiPriority w:val="0"/>
    <w:qFormat/>
    <w:pPr>
      <w:jc w:val="left"/>
      <w:tabs>
        <w:tab w:val="center" w:pos="4153" w:leader="none"/>
        <w:tab w:val="right" w:pos="8306" w:leader="none"/>
      </w:tabs>
    </w:pPr>
    <w:rPr>
      <w:sz w:val="18"/>
      <w:szCs w:val="18"/>
    </w:rPr>
  </w:style>
  <w:style w:type="character" w:styleId="1066" w:customStyle="1">
    <w:name w:val="页脚 Char"/>
    <w:link w:val="1065"/>
    <w:uiPriority w:val="0"/>
    <w:qFormat/>
    <w:rPr>
      <w:rFonts w:ascii="Times New Roman" w:hAnsi="Times New Roman" w:eastAsia="宋体" w:cs="Times New Roman"/>
      <w:sz w:val="18"/>
      <w:szCs w:val="18"/>
    </w:rPr>
  </w:style>
  <w:style w:type="paragraph" w:styleId="1067" w:customStyle="1">
    <w:name w:val="页眉1"/>
    <w:basedOn w:val="772"/>
    <w:link w:val="1068"/>
    <w:uiPriority w:val="0"/>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0"/>
    <w:qFormat/>
    <w:rPr>
      <w:rFonts w:ascii="Times New Roman" w:hAnsi="Times New Roman" w:eastAsia="宋体" w:cs="Times New Roman"/>
      <w:sz w:val="18"/>
      <w:szCs w:val="18"/>
    </w:rPr>
  </w:style>
  <w:style w:type="paragraph" w:styleId="1069"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70" w:customStyle="1">
    <w:name w:val="目录 41"/>
    <w:basedOn w:val="772"/>
    <w:next w:val="772"/>
    <w:uiPriority w:val="0"/>
    <w:semiHidden/>
    <w:qFormat/>
    <w:pPr>
      <w:ind w:left="630"/>
      <w:jc w:val="left"/>
    </w:pPr>
  </w:style>
  <w:style w:type="paragraph" w:styleId="1071" w:customStyle="1">
    <w:name w:val="列表1"/>
    <w:basedOn w:val="772"/>
    <w:uiPriority w:val="0"/>
    <w:qFormat/>
    <w:pPr>
      <w:ind w:left="200" w:hanging="200"/>
    </w:pPr>
  </w:style>
  <w:style w:type="paragraph" w:styleId="1072" w:customStyle="1">
    <w:name w:val="目录 61"/>
    <w:basedOn w:val="772"/>
    <w:next w:val="772"/>
    <w:uiPriority w:val="0"/>
    <w:semiHidden/>
    <w:qFormat/>
    <w:pPr>
      <w:ind w:left="1050"/>
      <w:jc w:val="left"/>
    </w:pPr>
  </w:style>
  <w:style w:type="paragraph" w:styleId="1073" w:customStyle="1">
    <w:name w:val="正文文本缩进 31"/>
    <w:basedOn w:val="772"/>
    <w:link w:val="1074"/>
    <w:uiPriority w:val="0"/>
    <w:qFormat/>
    <w:pPr>
      <w:ind w:left="645" w:firstLine="645"/>
    </w:pPr>
    <w:rPr>
      <w:rFonts w:ascii="Arial" w:hAnsi="Arial" w:eastAsia="仿宋_GB2312" w:cs="Arial"/>
      <w:color w:val="ffff00"/>
      <w:sz w:val="32"/>
      <w:szCs w:val="32"/>
    </w:rPr>
  </w:style>
  <w:style w:type="character" w:styleId="1074" w:customStyle="1">
    <w:name w:val="正文文本缩进 3 Char"/>
    <w:link w:val="1073"/>
    <w:uiPriority w:val="0"/>
    <w:qFormat/>
    <w:rPr>
      <w:rFonts w:ascii="Arial" w:hAnsi="Arial" w:eastAsia="仿宋_GB2312" w:cs="Arial"/>
      <w:color w:val="ffff00"/>
      <w:sz w:val="32"/>
      <w:szCs w:val="32"/>
    </w:rPr>
  </w:style>
  <w:style w:type="paragraph" w:styleId="1075" w:customStyle="1">
    <w:name w:val="图表目录1"/>
    <w:basedOn w:val="772"/>
    <w:next w:val="772"/>
    <w:uiPriority w:val="0"/>
    <w:semiHidden/>
    <w:qFormat/>
    <w:pPr>
      <w:ind w:left="840" w:hanging="420"/>
    </w:pPr>
  </w:style>
  <w:style w:type="paragraph" w:styleId="1076" w:customStyle="1">
    <w:name w:val="目录 21"/>
    <w:basedOn w:val="772"/>
    <w:next w:val="772"/>
    <w:uiPriority w:val="0"/>
    <w:semiHidden/>
    <w:qFormat/>
    <w:pPr>
      <w:ind w:left="210"/>
      <w:jc w:val="left"/>
    </w:pPr>
    <w:rPr>
      <w:smallCaps/>
      <w:szCs w:val="24"/>
    </w:rPr>
  </w:style>
  <w:style w:type="paragraph" w:styleId="1077" w:customStyle="1">
    <w:name w:val="目录 91"/>
    <w:basedOn w:val="772"/>
    <w:next w:val="772"/>
    <w:uiPriority w:val="0"/>
    <w:semiHidden/>
    <w:qFormat/>
    <w:pPr>
      <w:ind w:left="1680"/>
      <w:jc w:val="left"/>
    </w:pPr>
  </w:style>
  <w:style w:type="paragraph" w:styleId="1078" w:customStyle="1">
    <w:name w:val="正文文本 21"/>
    <w:basedOn w:val="772"/>
    <w:link w:val="1079"/>
    <w:uiPriority w:val="0"/>
    <w:qFormat/>
    <w:pPr>
      <w:jc w:val="center"/>
      <w:widowControl/>
    </w:pPr>
    <w:rPr>
      <w:rFonts w:ascii="楷体_GB2312" w:eastAsia="楷体_GB2312"/>
      <w:sz w:val="28"/>
      <w:szCs w:val="28"/>
    </w:rPr>
  </w:style>
  <w:style w:type="character" w:styleId="1079" w:customStyle="1">
    <w:name w:val="正文文本 2 Char"/>
    <w:link w:val="1078"/>
    <w:uiPriority w:val="0"/>
    <w:qFormat/>
    <w:rPr>
      <w:rFonts w:ascii="楷体_GB2312" w:hAnsi="Times New Roman" w:eastAsia="楷体_GB2312" w:cs="Times New Roman"/>
      <w:sz w:val="28"/>
      <w:szCs w:val="28"/>
    </w:rPr>
  </w:style>
  <w:style w:type="paragraph" w:styleId="1080"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81" w:customStyle="1">
    <w:name w:val="索引 11"/>
    <w:basedOn w:val="772"/>
    <w:next w:val="772"/>
    <w:uiPriority w:val="0"/>
    <w:semiHidden/>
    <w:qFormat/>
    <w:pPr>
      <w:spacing w:line="240" w:lineRule="atLeast"/>
    </w:pPr>
    <w:rPr>
      <w:b/>
      <w:bCs/>
    </w:rPr>
  </w:style>
  <w:style w:type="paragraph" w:styleId="1082" w:customStyle="1">
    <w:name w:val="批注主题1"/>
    <w:basedOn w:val="1045"/>
    <w:next w:val="1045"/>
    <w:link w:val="1083"/>
    <w:uiPriority w:val="0"/>
    <w:semiHidden/>
    <w:qFormat/>
    <w:rPr>
      <w:b/>
      <w:bCs/>
    </w:rPr>
  </w:style>
  <w:style w:type="character" w:styleId="1083" w:customStyle="1">
    <w:name w:val="批注主题 Char"/>
    <w:link w:val="1082"/>
    <w:uiPriority w:val="0"/>
    <w:semiHidden/>
    <w:qFormat/>
    <w:rPr>
      <w:rFonts w:ascii="Times New Roman" w:hAnsi="Times New Roman" w:eastAsia="宋体" w:cs="Times New Roman"/>
      <w:b/>
      <w:bCs/>
      <w:szCs w:val="21"/>
    </w:rPr>
  </w:style>
  <w:style w:type="paragraph" w:styleId="1084" w:customStyle="1">
    <w:name w:val="正文首行缩进1"/>
    <w:basedOn w:val="772"/>
    <w:link w:val="1085"/>
    <w:uiPriority w:val="0"/>
    <w:qFormat/>
    <w:pPr>
      <w:ind w:firstLine="200"/>
      <w:spacing w:line="360" w:lineRule="auto"/>
    </w:pPr>
    <w:rPr>
      <w:rFonts w:ascii="仿宋_GB2312" w:eastAsia="仿宋_GB2312"/>
      <w:sz w:val="30"/>
      <w:szCs w:val="30"/>
    </w:rPr>
  </w:style>
  <w:style w:type="character" w:styleId="1085" w:customStyle="1">
    <w:name w:val="正文首行缩进 Char"/>
    <w:link w:val="1084"/>
    <w:uiPriority w:val="0"/>
    <w:qFormat/>
    <w:rPr>
      <w:rFonts w:ascii="仿宋_GB2312" w:hAnsi="Times New Roman" w:eastAsia="仿宋_GB2312" w:cs="Times New Roman"/>
      <w:sz w:val="30"/>
      <w:szCs w:val="30"/>
    </w:rPr>
  </w:style>
  <w:style w:type="paragraph" w:styleId="1086" w:customStyle="1">
    <w:name w:val="正文首行缩进 21"/>
    <w:basedOn w:val="1051"/>
    <w:link w:val="1087"/>
    <w:uiPriority w:val="0"/>
    <w:qFormat/>
    <w:pPr>
      <w:ind w:firstLine="420"/>
      <w:spacing w:line="360" w:lineRule="auto"/>
    </w:pPr>
    <w:rPr>
      <w:rFonts w:ascii="宋体" w:hAnsi="宋体" w:eastAsia="宋体"/>
      <w:sz w:val="21"/>
      <w:szCs w:val="20"/>
    </w:rPr>
  </w:style>
  <w:style w:type="character" w:styleId="1087" w:customStyle="1">
    <w:name w:val="正文首行缩进 2 Char"/>
    <w:link w:val="1086"/>
    <w:uiPriority w:val="0"/>
    <w:qFormat/>
    <w:rPr>
      <w:rFonts w:ascii="宋体" w:hAnsi="宋体" w:eastAsia="宋体" w:cs="Times New Roman"/>
      <w:sz w:val="32"/>
      <w:szCs w:val="20"/>
    </w:rPr>
  </w:style>
  <w:style w:type="table" w:styleId="1088" w:customStyle="1">
    <w:name w:val="网格型11"/>
    <w:basedOn w:val="1040"/>
    <w:uiPriority w:val="0"/>
    <w:qFormat/>
    <w:pPr>
      <w:jc w:val="both"/>
      <w:widowControl w:val="off"/>
    </w:pPr>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
    <w:uiPriority w:val="0"/>
    <w:qFormat/>
  </w:style>
  <w:style w:type="character" w:styleId="1091" w:customStyle="1">
    <w:name w:val="已访问的超链接1"/>
    <w:uiPriority w:val="0"/>
    <w:qFormat/>
    <w:rPr>
      <w:color w:val="800080"/>
      <w:u w:val="single"/>
    </w:rPr>
  </w:style>
  <w:style w:type="character" w:styleId="1092" w:customStyle="1">
    <w:name w:val="超链接1"/>
    <w:uiPriority w:val="0"/>
    <w:qFormat/>
    <w:rPr>
      <w:color w:val="0000ff"/>
      <w:u w:val="single"/>
    </w:rPr>
  </w:style>
  <w:style w:type="character" w:styleId="1093" w:customStyle="1">
    <w:name w:val="批注引用1"/>
    <w:uiPriority w:val="0"/>
    <w:semiHidden/>
    <w:qFormat/>
    <w:rPr>
      <w:sz w:val="21"/>
      <w:szCs w:val="21"/>
    </w:rPr>
  </w:style>
  <w:style w:type="paragraph" w:styleId="1094" w:customStyle="1">
    <w:name w:val="正文文本1"/>
    <w:basedOn w:val="772"/>
    <w:next w:val="772"/>
    <w:uiPriority w:val="0"/>
    <w:semiHidden/>
    <w:qFormat/>
    <w:rPr>
      <w:rFonts w:ascii="Arial" w:hAnsi="Arial" w:eastAsia="Arial" w:cs="Arial"/>
      <w:lang w:eastAsia="en-US"/>
    </w:rPr>
  </w:style>
  <w:style w:type="paragraph" w:styleId="1095" w:customStyle="1">
    <w:name w:val="正文文本12"/>
    <w:basedOn w:val="772"/>
    <w:uiPriority w:val="1"/>
    <w:qFormat/>
    <w:pPr>
      <w:ind w:left="120"/>
    </w:pPr>
    <w:rPr>
      <w:rFonts w:ascii="宋体" w:hAnsi="宋体" w:cs="宋体"/>
      <w:lang w:val="zh-CN" w:bidi="zh-CN"/>
    </w:rPr>
  </w:style>
  <w:style w:type="character" w:styleId="1096" w:customStyle="1">
    <w:name w:val="font5 Char"/>
    <w:uiPriority w:val="0"/>
    <w:qFormat/>
    <w:rPr>
      <w:rFonts w:ascii="宋体" w:hAnsi="宋体" w:eastAsia="宋体"/>
      <w:sz w:val="28"/>
      <w:szCs w:val="28"/>
      <w:lang w:val="en-US" w:eastAsia="zh-CN" w:bidi="ar-SA"/>
    </w:rPr>
  </w:style>
  <w:style w:type="character" w:styleId="1097" w:customStyle="1">
    <w:name w:val="二级目录 Char"/>
    <w:link w:val="1098"/>
    <w:uiPriority w:val="0"/>
    <w:qFormat/>
    <w:rPr>
      <w:b/>
      <w:sz w:val="30"/>
      <w:szCs w:val="28"/>
    </w:rPr>
  </w:style>
  <w:style w:type="paragraph" w:styleId="1098" w:customStyle="1">
    <w:name w:val="二级目录"/>
    <w:next w:val="772"/>
    <w:link w:val="109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99" w:customStyle="1">
    <w:name w:val="列出段落 Char"/>
    <w:link w:val="1100"/>
    <w:uiPriority w:val="0"/>
    <w:qFormat/>
    <w:rPr>
      <w:rFonts w:ascii="Calibri" w:hAnsi="Calibri"/>
      <w:sz w:val="24"/>
      <w:szCs w:val="24"/>
      <w:lang w:eastAsia="en-US" w:bidi="en-US"/>
    </w:rPr>
  </w:style>
  <w:style w:type="paragraph" w:styleId="1100" w:customStyle="1">
    <w:name w:val="列出段落1"/>
    <w:basedOn w:val="772"/>
    <w:link w:val="1099"/>
    <w:uiPriority w:val="0"/>
    <w:qFormat/>
    <w:pPr>
      <w:contextualSpacing/>
      <w:ind w:left="720"/>
      <w:jc w:val="left"/>
      <w:widowControl/>
    </w:pPr>
    <w:rPr>
      <w:rFonts w:ascii="Calibri" w:hAnsi="Calibri"/>
      <w:sz w:val="24"/>
      <w:szCs w:val="24"/>
      <w:lang w:eastAsia="en-US" w:bidi="en-US"/>
    </w:rPr>
  </w:style>
  <w:style w:type="paragraph" w:styleId="1101" w:customStyle="1">
    <w:name w:val="Body Text(ch)"/>
    <w:basedOn w:val="772"/>
    <w:next w:val="1049"/>
    <w:uiPriority w:val="0"/>
    <w:qFormat/>
    <w:pPr>
      <w:spacing w:after="120"/>
    </w:pPr>
    <w:rPr>
      <w:rFonts w:ascii="宋体" w:hAnsi="Arial"/>
      <w:bCs/>
      <w:iCs/>
      <w:szCs w:val="24"/>
    </w:rPr>
  </w:style>
  <w:style w:type="paragraph" w:styleId="1102"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4" w:customStyle="1">
    <w:name w:val="Char"/>
    <w:basedOn w:val="772"/>
    <w:uiPriority w:val="0"/>
    <w:qFormat/>
    <w:pPr>
      <w:ind w:firstLine="200"/>
      <w:tabs>
        <w:tab w:val="left" w:pos="360" w:leader="none"/>
      </w:tabs>
    </w:pPr>
    <w:rPr>
      <w:sz w:val="28"/>
      <w:szCs w:val="30"/>
    </w:rPr>
  </w:style>
  <w:style w:type="paragraph" w:styleId="1105" w:customStyle="1">
    <w:name w:val="Char1"/>
    <w:basedOn w:val="1043"/>
    <w:uiPriority w:val="0"/>
    <w:qFormat/>
    <w:rPr>
      <w:rFonts w:ascii="Tahoma" w:hAnsi="Tahoma"/>
      <w:sz w:val="24"/>
      <w:szCs w:val="24"/>
    </w:rPr>
  </w:style>
  <w:style w:type="paragraph" w:styleId="1106"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107" w:customStyle="1">
    <w:name w:val="table_lines"/>
    <w:basedOn w:val="772"/>
    <w:uiPriority w:val="0"/>
    <w:qFormat/>
    <w:pPr>
      <w:jc w:val="left"/>
      <w:widowControl/>
    </w:pPr>
    <w:rPr>
      <w:sz w:val="20"/>
      <w:szCs w:val="20"/>
      <w:lang w:val="de-DE" w:eastAsia="de-DE"/>
    </w:rPr>
  </w:style>
  <w:style w:type="paragraph" w:styleId="110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09"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110" w:customStyle="1">
    <w:name w:val="Char Char Char Char"/>
    <w:basedOn w:val="1043"/>
    <w:uiPriority w:val="0"/>
    <w:qFormat/>
    <w:pPr>
      <w:spacing w:line="360" w:lineRule="auto"/>
    </w:pPr>
    <w:rPr>
      <w:rFonts w:ascii="Tahoma" w:hAnsi="Tahoma"/>
      <w:sz w:val="24"/>
      <w:szCs w:val="24"/>
    </w:rPr>
  </w:style>
  <w:style w:type="paragraph" w:styleId="1111" w:customStyle="1">
    <w:name w:val="列出段落2"/>
    <w:basedOn w:val="772"/>
    <w:uiPriority w:val="0"/>
    <w:qFormat/>
    <w:pPr>
      <w:contextualSpacing/>
      <w:ind w:left="720"/>
      <w:jc w:val="left"/>
      <w:widowControl/>
    </w:pPr>
    <w:rPr>
      <w:rFonts w:ascii="Calibri" w:hAnsi="Calibri"/>
      <w:sz w:val="24"/>
      <w:szCs w:val="24"/>
      <w:lang w:eastAsia="en-US" w:bidi="en-US"/>
    </w:rPr>
  </w:style>
  <w:style w:type="paragraph" w:styleId="1112" w:customStyle="1">
    <w:name w:val="4"/>
    <w:basedOn w:val="772"/>
    <w:next w:val="1073"/>
    <w:uiPriority w:val="0"/>
    <w:qFormat/>
    <w:pPr>
      <w:ind w:firstLine="420"/>
      <w:spacing w:line="360" w:lineRule="auto"/>
    </w:pPr>
    <w:rPr>
      <w:color w:val="ff0000"/>
      <w:sz w:val="24"/>
      <w:szCs w:val="24"/>
    </w:rPr>
  </w:style>
  <w:style w:type="paragraph" w:styleId="1113"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114" w:customStyle="1">
    <w:name w:val="Char Char Char Char Char Char Char Char Char Char"/>
    <w:basedOn w:val="772"/>
    <w:uiPriority w:val="0"/>
    <w:qFormat/>
    <w:pPr>
      <w:spacing w:line="360" w:lineRule="auto"/>
    </w:pPr>
    <w:rPr>
      <w:sz w:val="24"/>
      <w:szCs w:val="20"/>
    </w:rPr>
  </w:style>
  <w:style w:type="paragraph" w:styleId="1115" w:customStyle="1">
    <w:name w:val="样式1"/>
    <w:basedOn w:val="772"/>
    <w:uiPriority w:val="0"/>
    <w:qFormat/>
    <w:pPr>
      <w:numPr>
        <w:ilvl w:val="0"/>
        <w:numId w:val="3"/>
      </w:numPr>
    </w:pPr>
    <w:rPr>
      <w:rFonts w:ascii="宋体" w:hAnsi="宋体"/>
    </w:rPr>
  </w:style>
  <w:style w:type="paragraph" w:styleId="1116"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117"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8"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9"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120"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1"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2"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123"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4"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125"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126" w:customStyle="1">
    <w:name w:val="Char Char Char Char1"/>
    <w:basedOn w:val="1043"/>
    <w:uiPriority w:val="0"/>
    <w:qFormat/>
    <w:pPr>
      <w:spacing w:line="360" w:lineRule="auto"/>
    </w:pPr>
    <w:rPr>
      <w:rFonts w:ascii="Tahoma" w:hAnsi="Tahoma"/>
      <w:sz w:val="24"/>
      <w:szCs w:val="24"/>
    </w:rPr>
  </w:style>
  <w:style w:type="paragraph" w:styleId="1127" w:customStyle="1">
    <w:name w:val="table_1stline"/>
    <w:basedOn w:val="772"/>
    <w:uiPriority w:val="0"/>
    <w:qFormat/>
    <w:pPr>
      <w:jc w:val="left"/>
      <w:spacing w:before="120"/>
      <w:widowControl/>
    </w:pPr>
    <w:rPr>
      <w:bCs/>
      <w:sz w:val="20"/>
      <w:szCs w:val="20"/>
      <w:lang w:val="de-DE" w:eastAsia="de-DE"/>
    </w:rPr>
  </w:style>
  <w:style w:type="paragraph" w:styleId="1128"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129"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修订1"/>
    <w:uiPriority w:val="99"/>
    <w:semiHidden/>
    <w:qFormat/>
    <w:rPr>
      <w:rFonts w:ascii="Times New Roman" w:hAnsi="Times New Roman" w:eastAsia="宋体" w:cs="Times New Roman"/>
      <w:sz w:val="21"/>
      <w:szCs w:val="21"/>
      <w:lang w:val="en-US" w:eastAsia="zh-CN" w:bidi="ar-SA"/>
    </w:rPr>
  </w:style>
  <w:style w:type="paragraph" w:styleId="1131"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paragraph" w:styleId="1132" w:customStyle="1">
    <w:name w:val="正文文本 211"/>
    <w:basedOn w:val="772"/>
    <w:uiPriority w:val="99"/>
    <w:qFormat/>
    <w:pPr>
      <w:jc w:val="center"/>
    </w:pPr>
    <w:rPr>
      <w:b/>
      <w:bCs/>
      <w:sz w:val="20"/>
      <w:szCs w:val="20"/>
    </w:rPr>
  </w:style>
  <w:style w:type="table" w:styleId="1133" w:customStyle="1">
    <w:name w:val="Table Normal_0"/>
    <w:uiPriority w:val="0"/>
    <w:qFormat/>
    <w:tblPr>
      <w:tblCellMar>
        <w:left w:w="0" w:type="dxa"/>
        <w:top w:w="0" w:type="dxa"/>
        <w:right w:w="0" w:type="dxa"/>
        <w:bottom w:w="0" w:type="dxa"/>
      </w:tblCellMar>
    </w:tblPr>
  </w:style>
  <w:style w:type="character" w:styleId="1134" w:customStyle="1">
    <w:name w:val="font71"/>
    <w:uiPriority w:val="0"/>
    <w:qFormat/>
    <w:rPr>
      <w:rFonts w:hint="eastAsia" w:ascii="仿宋" w:hAnsi="仿宋" w:eastAsia="仿宋" w:cs="仿宋"/>
      <w:color w:val="000000"/>
      <w:sz w:val="24"/>
      <w:szCs w:val="24"/>
      <w:u w:val="single"/>
    </w:rPr>
  </w:style>
  <w:style w:type="character" w:styleId="1135" w:customStyle="1">
    <w:name w:val="font41"/>
    <w:uiPriority w:val="0"/>
    <w:qFormat/>
    <w:rPr>
      <w:rFonts w:hint="eastAsia" w:ascii="仿宋" w:hAnsi="仿宋" w:eastAsia="仿宋" w:cs="仿宋"/>
      <w:color w:val="000000"/>
      <w:sz w:val="24"/>
      <w:szCs w:val="24"/>
      <w:u w:val="none"/>
    </w:rPr>
  </w:style>
  <w:style w:type="character" w:styleId="1136" w:customStyle="1">
    <w:name w:val="font81"/>
    <w:uiPriority w:val="0"/>
    <w:qFormat/>
    <w:rPr>
      <w:rFonts w:hint="eastAsia" w:ascii="宋体" w:hAnsi="宋体" w:eastAsia="宋体" w:cs="宋体"/>
      <w:color w:val="000000"/>
      <w:sz w:val="24"/>
      <w:szCs w:val="24"/>
      <w:u w:val="single"/>
    </w:rPr>
  </w:style>
  <w:style w:type="paragraph" w:styleId="1137" w:customStyle="1">
    <w:name w:val="Table Paragraph"/>
    <w:basedOn w:val="772"/>
    <w:uiPriority w:val="1"/>
    <w:qFormat/>
    <w:pPr>
      <w:jc w:val="left"/>
    </w:pPr>
    <w:rPr>
      <w:rFonts w:ascii="宋体" w:hAnsi="宋体" w:cs="宋体"/>
      <w:sz w:val="22"/>
      <w:szCs w:val="22"/>
      <w:lang w:val="zh-CN" w:bidi="zh-CN"/>
    </w:rPr>
  </w:style>
  <w:style w:type="table" w:styleId="1138" w:customStyle="1">
    <w:name w:val="网格型1"/>
    <w:basedOn w:val="1139"/>
    <w:uiPriority w:val="0"/>
    <w:qFormat/>
    <w:pPr>
      <w:jc w:val="both"/>
      <w:widowControl w:val="off"/>
    </w:pPr>
    <w:tblPr>
      <w:tblCellMar>
        <w:left w:w="0" w:type="dxa"/>
        <w:top w:w="0" w:type="dxa"/>
        <w:right w:w="0" w:type="dxa"/>
        <w:bottom w:w="0" w:type="dxa"/>
      </w:tblCellMar>
    </w:tblPr>
  </w:style>
  <w:style w:type="table" w:styleId="1139" w:customStyle="1">
    <w:name w:val="普通表格1"/>
    <w:uiPriority w:val="0"/>
    <w:semiHidden/>
    <w:qFormat/>
    <w:tblPr>
      <w:tblCellMar>
        <w:left w:w="0" w:type="dxa"/>
        <w:top w:w="0" w:type="dxa"/>
        <w:right w:w="0" w:type="dxa"/>
        <w:bottom w:w="0" w:type="dxa"/>
      </w:tblCellMar>
    </w:tblPr>
  </w:style>
  <w:style w:type="paragraph" w:styleId="1140" w:customStyle="1">
    <w:name w:val="首行缩进"/>
    <w:basedOn w:val="772"/>
    <w:uiPriority w:val="0"/>
    <w:qFormat/>
    <w:pPr>
      <w:ind w:firstLine="480"/>
    </w:pPr>
    <w:rPr>
      <w:lang w:val="zh-CN"/>
    </w:rPr>
  </w:style>
  <w:style w:type="paragraph" w:styleId="1141" w:customStyle="1">
    <w:name w:val="标题 31"/>
    <w:basedOn w:val="772"/>
    <w:next w:val="1142"/>
    <w:uiPriority w:val="0"/>
    <w:unhideWhenUsed/>
    <w:qFormat/>
    <w:pPr>
      <w:keepLines/>
      <w:keepNext/>
      <w:spacing w:before="260" w:after="260" w:line="360" w:lineRule="auto"/>
      <w:outlineLvl w:val="2"/>
    </w:pPr>
    <w:rPr>
      <w:rFonts w:ascii="黑体" w:hAnsi="黑体" w:eastAsia="黑体" w:cs="黑体"/>
      <w:sz w:val="30"/>
      <w:szCs w:val="30"/>
    </w:rPr>
  </w:style>
  <w:style w:type="paragraph" w:styleId="1142" w:customStyle="1">
    <w:name w:val="正文缩进1"/>
    <w:basedOn w:val="772"/>
    <w:uiPriority w:val="0"/>
    <w:qFormat/>
    <w:pPr>
      <w:ind w:firstLine="420"/>
      <w:spacing w:line="360" w:lineRule="auto"/>
    </w:pPr>
    <w:rPr>
      <w:sz w:val="24"/>
    </w:rPr>
  </w:style>
  <w:style w:type="table" w:styleId="1143" w:customStyle="1">
    <w:name w:val="Table Normal"/>
    <w:uiPriority w:val="0"/>
    <w:qFormat/>
    <w:tblPr>
      <w:tblCellMar>
        <w:left w:w="0" w:type="dxa"/>
        <w:top w:w="0" w:type="dxa"/>
        <w:right w:w="0" w:type="dxa"/>
        <w:bottom w:w="0" w:type="dxa"/>
      </w:tblCellMar>
    </w:tblPr>
  </w:style>
  <w:style w:type="character" w:styleId="1144" w:customStyle="1">
    <w:name w:val="15"/>
    <w:uiPriority w:val="0"/>
    <w:qFormat/>
    <w:rPr>
      <w:rFonts w:ascii="Times New Roman" w:hAnsi="Times New Roman" w:cs="Times New Roman"/>
    </w:rPr>
  </w:style>
  <w:style w:type="paragraph" w:styleId="1145" w:customStyle="1">
    <w:name w:val="正文首行缩进 211"/>
    <w:basedOn w:val="1146"/>
    <w:next w:val="772"/>
    <w:uiPriority w:val="0"/>
    <w:qFormat/>
    <w:pPr>
      <w:ind w:left="0" w:firstLine="420"/>
      <w:spacing w:after="0" w:line="360" w:lineRule="auto"/>
    </w:pPr>
    <w:rPr>
      <w:rFonts w:ascii="宋体" w:hAnsi="宋体"/>
      <w:szCs w:val="20"/>
    </w:rPr>
  </w:style>
  <w:style w:type="paragraph" w:styleId="1146" w:customStyle="1">
    <w:name w:val="正文文本缩进11"/>
    <w:basedOn w:val="772"/>
    <w:next w:val="1147"/>
    <w:uiPriority w:val="0"/>
    <w:unhideWhenUsed/>
    <w:qFormat/>
    <w:pPr>
      <w:ind w:left="420"/>
      <w:spacing w:after="120"/>
    </w:pPr>
  </w:style>
  <w:style w:type="paragraph" w:styleId="1147" w:customStyle="1">
    <w:name w:val="寄信人地址1"/>
    <w:basedOn w:val="772"/>
    <w:uiPriority w:val="0"/>
    <w:qFormat/>
    <w:rPr>
      <w:rFonts w:ascii="Arial" w:hAnsi="Arial" w:cs="宋体"/>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王丽</cp:lastModifiedBy>
  <cp:revision>4</cp:revision>
  <dcterms:created xsi:type="dcterms:W3CDTF">2026-07-31T01:34:00Z</dcterms:created>
  <dcterms:modified xsi:type="dcterms:W3CDTF">2026-07-31T07:22:11Z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eyJoZGlkIjoiNWY5Mjc2YmYzODc4M2UzMTdkNTc4MTYyOTIyN2MzNGYiLCJ1c2VySWQiOiIyMTgwNzA2MjYifQ==</vt:lpwstr>
  </property>
  <property fmtid="{D5CDD505-2E9C-101B-9397-08002B2CF9AE}" pid="3" name="KSOProductBuildVer">
    <vt:lpwstr>2052-12.1.0.28043</vt:lpwstr>
  </property>
  <property fmtid="{D5CDD505-2E9C-101B-9397-08002B2CF9AE}" pid="4" name="ICV">
    <vt:lpwstr>557125C66746419AA05671F62409E3B8_13</vt:lpwstr>
  </property>
</Properties>
</file>