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新魏" w:hAnsi="Times New Roman" w:eastAsia="华文新魏" w:cs="Times New Roman"/>
          <w:b/>
          <w:sz w:val="84"/>
          <w:szCs w:val="84"/>
        </w:rPr>
      </w:pPr>
    </w:p>
    <w:p>
      <w:pPr>
        <w:jc w:val="center"/>
        <w:rPr>
          <w:rFonts w:hint="eastAsia" w:ascii="华文新魏" w:hAnsi="Times New Roman" w:eastAsia="华文新魏" w:cs="Times New Roman"/>
          <w:b/>
          <w:sz w:val="84"/>
          <w:szCs w:val="84"/>
        </w:rPr>
      </w:pP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南通市海门区政府采购</w:t>
      </w:r>
    </w:p>
    <w:p>
      <w:pPr>
        <w:jc w:val="center"/>
        <w:rPr>
          <w:rFonts w:hint="eastAsia" w:ascii="华文新魏" w:hAnsi="Times New Roman" w:eastAsia="华文新魏" w:cs="Times New Roman"/>
          <w:b/>
          <w:sz w:val="100"/>
          <w:szCs w:val="100"/>
        </w:rPr>
      </w:pPr>
      <w:r>
        <w:rPr>
          <w:rFonts w:hint="eastAsia" w:ascii="华文新魏" w:hAnsi="Times New Roman" w:eastAsia="华文新魏" w:cs="Times New Roman"/>
          <w:b/>
          <w:sz w:val="84"/>
          <w:szCs w:val="84"/>
        </w:rPr>
        <w:t>招标文件</w:t>
      </w:r>
    </w:p>
    <w:p>
      <w:pPr>
        <w:spacing w:line="360" w:lineRule="exact"/>
        <w:jc w:val="center"/>
        <w:rPr>
          <w:rFonts w:hint="eastAsia" w:ascii="宋体" w:hAnsi="宋体" w:eastAsia="宋体" w:cs="Times New Roman"/>
          <w:b/>
          <w:sz w:val="30"/>
          <w:szCs w:val="20"/>
        </w:rPr>
      </w:pPr>
    </w:p>
    <w:p>
      <w:pPr>
        <w:spacing w:line="360" w:lineRule="exact"/>
        <w:jc w:val="center"/>
        <w:rPr>
          <w:rFonts w:hint="eastAsia" w:ascii="宋体" w:hAnsi="宋体" w:eastAsia="宋体" w:cs="Times New Roman"/>
          <w:b/>
          <w:sz w:val="30"/>
          <w:szCs w:val="20"/>
        </w:rPr>
      </w:pPr>
    </w:p>
    <w:p>
      <w:pPr>
        <w:spacing w:line="360" w:lineRule="exact"/>
        <w:jc w:val="center"/>
        <w:rPr>
          <w:rFonts w:hint="eastAsia" w:ascii="宋体" w:hAnsi="宋体" w:eastAsia="宋体" w:cs="Times New Roman"/>
          <w:b/>
          <w:sz w:val="30"/>
          <w:szCs w:val="20"/>
        </w:rPr>
      </w:pPr>
    </w:p>
    <w:p>
      <w:pPr>
        <w:spacing w:line="360" w:lineRule="exact"/>
        <w:jc w:val="center"/>
        <w:rPr>
          <w:rFonts w:hint="eastAsia" w:ascii="宋体" w:hAnsi="宋体" w:eastAsia="宋体" w:cs="Times New Roman"/>
          <w:b/>
          <w:sz w:val="30"/>
          <w:szCs w:val="20"/>
        </w:rPr>
      </w:pPr>
    </w:p>
    <w:p>
      <w:pPr>
        <w:spacing w:line="360" w:lineRule="exact"/>
        <w:jc w:val="center"/>
        <w:rPr>
          <w:rFonts w:hint="default" w:ascii="宋体" w:hAnsi="宋体" w:eastAsia="宋体" w:cs="Times New Roman"/>
          <w:b/>
          <w:sz w:val="30"/>
          <w:szCs w:val="20"/>
        </w:rPr>
      </w:pPr>
    </w:p>
    <w:p>
      <w:pPr>
        <w:widowControl w:val="0"/>
        <w:spacing w:after="120"/>
        <w:jc w:val="both"/>
        <w:rPr>
          <w:rFonts w:hint="default" w:ascii="Times New Roman" w:hAnsi="Times New Roman" w:eastAsia="宋体" w:cs="Times New Roman"/>
          <w:sz w:val="21"/>
          <w:lang w:val="en-US" w:eastAsia="zh-CN" w:bidi="ar-SA"/>
        </w:rPr>
      </w:pPr>
    </w:p>
    <w:p>
      <w:pPr>
        <w:rPr>
          <w:rFonts w:hint="eastAsia" w:ascii="Times New Roman" w:hAnsi="Times New Roman" w:eastAsia="宋体" w:cs="Times New Roman"/>
          <w:szCs w:val="20"/>
        </w:rPr>
      </w:pPr>
    </w:p>
    <w:p>
      <w:pPr>
        <w:spacing w:line="360" w:lineRule="exact"/>
        <w:jc w:val="center"/>
        <w:rPr>
          <w:rFonts w:hint="eastAsia" w:ascii="宋体" w:hAnsi="宋体" w:eastAsia="宋体" w:cs="Times New Roman"/>
          <w:b/>
          <w:sz w:val="30"/>
          <w:szCs w:val="20"/>
        </w:rPr>
      </w:pPr>
    </w:p>
    <w:p>
      <w:pPr>
        <w:spacing w:line="360" w:lineRule="exact"/>
        <w:jc w:val="center"/>
        <w:rPr>
          <w:rFonts w:hint="eastAsia" w:ascii="宋体" w:hAnsi="宋体" w:eastAsia="宋体" w:cs="Times New Roman"/>
          <w:b/>
          <w:sz w:val="30"/>
          <w:szCs w:val="20"/>
        </w:rPr>
      </w:pPr>
    </w:p>
    <w:p>
      <w:pPr>
        <w:spacing w:line="360" w:lineRule="auto"/>
        <w:ind w:left="1919" w:hanging="1600"/>
        <w:jc w:val="left"/>
        <w:rPr>
          <w:rFonts w:hint="default" w:ascii="宋体" w:hAnsi="宋体" w:eastAsia="宋体" w:cs="Times New Roman"/>
          <w:sz w:val="32"/>
          <w:szCs w:val="32"/>
          <w:u w:val="single"/>
          <w:lang w:val="en-US"/>
        </w:rPr>
      </w:pPr>
      <w:r>
        <w:rPr>
          <w:rFonts w:hint="eastAsia" w:ascii="宋体" w:hAnsi="宋体" w:eastAsia="宋体" w:cs="Times New Roman"/>
          <w:sz w:val="32"/>
          <w:szCs w:val="32"/>
        </w:rPr>
        <w:t>项目名称</w:t>
      </w:r>
      <w:r>
        <w:rPr>
          <w:rFonts w:hint="eastAsia" w:ascii="宋体" w:hAnsi="宋体" w:eastAsia="宋体" w:cs="Times New Roman"/>
          <w:b/>
          <w:sz w:val="32"/>
          <w:szCs w:val="32"/>
        </w:rPr>
        <w:t>：</w:t>
      </w:r>
      <w:bookmarkStart w:id="0" w:name="OLE_LINK3"/>
      <w:r>
        <w:rPr>
          <w:rFonts w:hint="eastAsia" w:ascii="宋体" w:hAnsi="宋体" w:eastAsia="宋体" w:cs="Times New Roman"/>
          <w:bCs/>
          <w:sz w:val="32"/>
          <w:szCs w:val="32"/>
          <w:u w:val="single"/>
          <w:lang w:eastAsia="zh-CN"/>
        </w:rPr>
        <w:t>南通市海门区正余镇人民政府采购中国工农红军南通海门红军小学校园红色环境提升项目</w:t>
      </w:r>
      <w:bookmarkEnd w:id="0"/>
      <w:r>
        <w:rPr>
          <w:rFonts w:hint="eastAsia" w:ascii="宋体" w:hAnsi="宋体" w:eastAsia="宋体" w:cs="Times New Roman"/>
          <w:bCs/>
          <w:sz w:val="32"/>
          <w:szCs w:val="32"/>
          <w:u w:val="single"/>
          <w:lang w:val="en-US" w:eastAsia="zh-CN"/>
        </w:rPr>
        <w:t xml:space="preserve"> </w:t>
      </w:r>
    </w:p>
    <w:p>
      <w:pPr>
        <w:shd w:val="clear" w:color="auto" w:fill="FFFFFF"/>
        <w:spacing w:line="360" w:lineRule="auto"/>
        <w:ind w:firstLine="320"/>
        <w:rPr>
          <w:rFonts w:hint="default" w:ascii="宋体" w:hAnsi="宋体" w:eastAsia="宋体" w:cs="Times New Roman"/>
          <w:sz w:val="32"/>
          <w:szCs w:val="32"/>
          <w:u w:val="single"/>
          <w:lang w:val="en-US"/>
        </w:rPr>
      </w:pPr>
      <w:r>
        <w:rPr>
          <w:rFonts w:hint="eastAsia" w:ascii="宋体" w:hAnsi="宋体" w:eastAsia="宋体" w:cs="Times New Roman"/>
          <w:sz w:val="32"/>
          <w:szCs w:val="32"/>
        </w:rPr>
        <w:t>项目编号：</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JSZC-320614-NTWL-G2026-0012</w:t>
      </w:r>
      <w:r>
        <w:rPr>
          <w:rFonts w:hint="eastAsia" w:ascii="宋体" w:hAnsi="宋体" w:eastAsia="宋体" w:cs="Times New Roman"/>
          <w:sz w:val="32"/>
          <w:szCs w:val="32"/>
          <w:u w:val="single"/>
          <w:lang w:val="en-US" w:eastAsia="zh-CN"/>
        </w:rPr>
        <w:t xml:space="preserve">     </w:t>
      </w:r>
    </w:p>
    <w:p>
      <w:pPr>
        <w:spacing w:line="360" w:lineRule="auto"/>
        <w:ind w:firstLine="320"/>
        <w:jc w:val="left"/>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bCs/>
          <w:sz w:val="32"/>
          <w:szCs w:val="32"/>
          <w:u w:val="single"/>
          <w:lang w:eastAsia="zh-CN"/>
        </w:rPr>
        <w:t>南通市海门区正余镇人民政府</w:t>
      </w:r>
      <w:r>
        <w:rPr>
          <w:rFonts w:hint="eastAsia" w:ascii="宋体" w:hAnsi="宋体" w:eastAsia="宋体" w:cs="Times New Roman"/>
          <w:sz w:val="32"/>
          <w:szCs w:val="32"/>
          <w:u w:val="single"/>
        </w:rPr>
        <w:t>　</w:t>
      </w:r>
      <w:r>
        <w:rPr>
          <w:rFonts w:hint="eastAsia" w:ascii="宋体" w:hAnsi="宋体" w:eastAsia="宋体" w:cs="Times New Roman"/>
          <w:sz w:val="32"/>
          <w:szCs w:val="32"/>
          <w:u w:val="single"/>
          <w:lang w:val="en-US" w:eastAsia="zh-CN"/>
        </w:rPr>
        <w:t xml:space="preserve">  </w:t>
      </w:r>
    </w:p>
    <w:p>
      <w:pPr>
        <w:spacing w:line="360" w:lineRule="auto"/>
        <w:ind w:firstLine="320"/>
        <w:jc w:val="left"/>
        <w:rPr>
          <w:rFonts w:hint="eastAsia" w:ascii="宋体" w:hAnsi="宋体" w:eastAsia="宋体" w:cs="Times New Roman"/>
          <w:sz w:val="32"/>
          <w:szCs w:val="32"/>
          <w:u w:val="single"/>
        </w:rPr>
      </w:pPr>
      <w:r>
        <w:rPr>
          <w:rFonts w:hint="eastAsia" w:ascii="宋体" w:hAnsi="宋体" w:eastAsia="宋体" w:cs="Times New Roman"/>
          <w:sz w:val="32"/>
          <w:szCs w:val="32"/>
        </w:rPr>
        <w:t>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lang w:eastAsia="zh-CN"/>
        </w:rPr>
        <w:t>南通万隆工程管理有限公司</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rPr>
        <w:t xml:space="preserve">         </w:t>
      </w:r>
    </w:p>
    <w:p>
      <w:pPr>
        <w:spacing w:line="360" w:lineRule="exact"/>
        <w:jc w:val="center"/>
        <w:rPr>
          <w:rFonts w:hint="eastAsia" w:ascii="宋体" w:hAnsi="宋体" w:eastAsia="宋体" w:cs="Times New Roman"/>
          <w:sz w:val="30"/>
          <w:szCs w:val="20"/>
        </w:rPr>
      </w:pPr>
    </w:p>
    <w:p>
      <w:pPr>
        <w:spacing w:line="360" w:lineRule="exact"/>
        <w:jc w:val="center"/>
        <w:rPr>
          <w:rFonts w:hint="eastAsia" w:ascii="宋体" w:hAnsi="宋体" w:eastAsia="宋体" w:cs="Times New Roman"/>
          <w:sz w:val="30"/>
          <w:szCs w:val="20"/>
        </w:rPr>
      </w:pPr>
      <w:r>
        <w:rPr>
          <w:rFonts w:hint="eastAsia" w:ascii="宋体" w:hAnsi="宋体" w:eastAsia="宋体" w:cs="Times New Roman"/>
          <w:sz w:val="30"/>
          <w:szCs w:val="20"/>
        </w:rPr>
        <w:t xml:space="preserve"> </w:t>
      </w:r>
    </w:p>
    <w:p>
      <w:pPr>
        <w:spacing w:line="360" w:lineRule="exact"/>
        <w:jc w:val="center"/>
        <w:rPr>
          <w:rFonts w:hint="eastAsia" w:ascii="宋体" w:hAnsi="宋体" w:eastAsia="宋体" w:cs="Times New Roman"/>
          <w:sz w:val="30"/>
          <w:szCs w:val="20"/>
        </w:rPr>
      </w:pPr>
    </w:p>
    <w:p>
      <w:pPr>
        <w:spacing w:line="360" w:lineRule="exact"/>
        <w:jc w:val="center"/>
        <w:rPr>
          <w:rFonts w:hint="eastAsia" w:ascii="宋体" w:hAnsi="宋体" w:eastAsia="宋体" w:cs="Times New Roman"/>
          <w:sz w:val="30"/>
          <w:szCs w:val="20"/>
        </w:rPr>
      </w:pPr>
    </w:p>
    <w:p>
      <w:pPr>
        <w:widowControl w:val="0"/>
        <w:ind w:left="0" w:firstLine="0"/>
        <w:jc w:val="both"/>
        <w:rPr>
          <w:rFonts w:hint="eastAsia" w:ascii="宋体" w:hAnsi="宋体" w:eastAsia="宋体" w:cs="Times New Roman"/>
          <w:sz w:val="30"/>
          <w:lang w:val="en-US" w:eastAsia="zh-CN" w:bidi="ar-SA"/>
        </w:rPr>
      </w:pPr>
    </w:p>
    <w:p>
      <w:pPr>
        <w:spacing w:line="360" w:lineRule="auto"/>
        <w:ind w:right="2696"/>
        <w:jc w:val="center"/>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七 </w:t>
      </w:r>
      <w:r>
        <w:rPr>
          <w:rFonts w:hint="eastAsia" w:ascii="宋体" w:hAnsi="宋体" w:eastAsia="宋体" w:cs="Times New Roman"/>
          <w:b/>
          <w:bCs/>
          <w:sz w:val="32"/>
          <w:szCs w:val="20"/>
        </w:rPr>
        <w:t>月</w:t>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1" w:name="OLE_LINK1"/>
    </w:p>
    <w:p>
      <w:pPr>
        <w:ind w:left="3697" w:hanging="3855"/>
        <w:jc w:val="center"/>
        <w:rPr>
          <w:rFonts w:hint="eastAsia" w:ascii="宋体" w:hAnsi="宋体" w:eastAsia="宋体" w:cs="宋体"/>
          <w:b/>
          <w:bCs/>
          <w:sz w:val="36"/>
          <w:szCs w:val="36"/>
        </w:rPr>
      </w:pPr>
      <w:r>
        <w:rPr>
          <w:rFonts w:hint="eastAsia" w:ascii="宋体" w:hAnsi="宋体" w:eastAsia="宋体" w:cs="Times New Roman"/>
          <w:b/>
          <w:sz w:val="24"/>
          <w:szCs w:val="28"/>
        </w:rPr>
        <w:t>江苏政府采购网：http://www.ccgp-jiangsu.gov.cn/</w:t>
      </w:r>
    </w:p>
    <w:p>
      <w:pPr>
        <w:numPr>
          <w:ilvl w:val="0"/>
          <w:numId w:val="1"/>
        </w:numPr>
        <w:spacing w:line="360" w:lineRule="auto"/>
        <w:jc w:val="center"/>
        <w:rPr>
          <w:rFonts w:hint="eastAsia" w:ascii="宋体" w:hAnsi="宋体" w:eastAsia="宋体" w:cs="宋体"/>
          <w:b/>
          <w:bCs/>
          <w:sz w:val="36"/>
          <w:szCs w:val="36"/>
        </w:rPr>
      </w:pPr>
      <w:bookmarkStart w:id="2" w:name="_Toc5578647"/>
      <w:bookmarkStart w:id="3" w:name="_Toc20564588"/>
      <w:bookmarkStart w:id="4" w:name="_Toc20564500"/>
      <w:bookmarkStart w:id="5" w:name="_Toc20144954"/>
      <w:bookmarkStart w:id="6" w:name="_Toc5575584"/>
      <w:bookmarkStart w:id="7" w:name="_Toc20571334"/>
      <w:bookmarkStart w:id="8" w:name="OLE_LINK2"/>
      <w:r>
        <w:rPr>
          <w:rFonts w:hint="eastAsia" w:ascii="宋体" w:hAnsi="宋体" w:eastAsia="宋体" w:cs="宋体"/>
          <w:b/>
          <w:bCs/>
          <w:sz w:val="36"/>
          <w:szCs w:val="36"/>
          <w:lang w:val="en-US" w:eastAsia="zh-CN"/>
        </w:rPr>
        <w:t xml:space="preserve"> </w:t>
      </w:r>
      <w:bookmarkEnd w:id="2"/>
      <w:bookmarkEnd w:id="3"/>
      <w:bookmarkEnd w:id="4"/>
      <w:bookmarkEnd w:id="5"/>
      <w:bookmarkEnd w:id="6"/>
      <w:bookmarkEnd w:id="7"/>
      <w:r>
        <w:rPr>
          <w:rFonts w:hint="eastAsia" w:ascii="宋体" w:hAnsi="宋体" w:eastAsia="宋体" w:cs="宋体"/>
          <w:b/>
          <w:bCs/>
          <w:sz w:val="36"/>
          <w:szCs w:val="36"/>
          <w:lang w:val="en-US" w:eastAsia="zh-CN"/>
        </w:rPr>
        <w:t xml:space="preserve"> 公开招标公告</w:t>
      </w:r>
    </w:p>
    <w:p>
      <w:pPr>
        <w:pBdr>
          <w:top w:val="single" w:color="000000" w:sz="4" w:space="1"/>
          <w:left w:val="single" w:color="000000" w:sz="4" w:space="4"/>
          <w:bottom w:val="single" w:color="000000" w:sz="4" w:space="1"/>
          <w:right w:val="single" w:color="000000" w:sz="4" w:space="4"/>
        </w:pBdr>
        <w:spacing w:line="360" w:lineRule="auto"/>
        <w:ind w:firstLine="560"/>
        <w:rPr>
          <w:rFonts w:hint="eastAsia" w:ascii="宋体" w:hAnsi="宋体" w:eastAsia="宋体" w:cs="宋体"/>
          <w:sz w:val="28"/>
          <w:szCs w:val="28"/>
        </w:rPr>
      </w:pPr>
      <w:r>
        <w:rPr>
          <w:rFonts w:hint="eastAsia" w:ascii="宋体" w:hAnsi="宋体" w:eastAsia="宋体" w:cs="宋体"/>
          <w:sz w:val="28"/>
          <w:szCs w:val="28"/>
        </w:rPr>
        <w:t>项目概况</w:t>
      </w:r>
    </w:p>
    <w:p>
      <w:pPr>
        <w:pBdr>
          <w:top w:val="single" w:color="000000" w:sz="4" w:space="1"/>
          <w:left w:val="single" w:color="000000" w:sz="4" w:space="4"/>
          <w:bottom w:val="single" w:color="000000" w:sz="4" w:space="1"/>
          <w:right w:val="single" w:color="000000" w:sz="4" w:space="4"/>
        </w:pBdr>
        <w:spacing w:line="360" w:lineRule="auto"/>
        <w:ind w:firstLine="561"/>
        <w:rPr>
          <w:rFonts w:hint="eastAsia" w:ascii="Times New Roman" w:hAnsi="Times New Roman" w:eastAsia="宋体" w:cs="Times New Roman"/>
          <w:szCs w:val="20"/>
        </w:rP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南通市海门区正余镇人民政府采购中国工农红军南通海门红军小学校园红色环境提升项目</w:t>
      </w:r>
      <w:r>
        <w:rPr>
          <w:rFonts w:hint="eastAsia" w:ascii="宋体" w:hAnsi="宋体" w:eastAsia="宋体" w:cs="宋体"/>
          <w:sz w:val="28"/>
          <w:szCs w:val="28"/>
        </w:rPr>
        <w:t>的潜在供应商应</w:t>
      </w:r>
      <w:r>
        <w:rPr>
          <w:rFonts w:hint="eastAsia" w:ascii="宋体" w:hAnsi="宋体" w:eastAsia="宋体" w:cs="宋体"/>
          <w:sz w:val="28"/>
          <w:szCs w:val="28"/>
          <w:u w:val="single"/>
        </w:rPr>
        <w:t>直接从江苏政府采购网“采购公告”县级栏自行下载</w:t>
      </w:r>
      <w:r>
        <w:rPr>
          <w:rFonts w:hint="eastAsia" w:ascii="宋体" w:hAnsi="宋体" w:eastAsia="宋体" w:cs="宋体"/>
          <w:sz w:val="28"/>
          <w:szCs w:val="28"/>
        </w:rPr>
        <w:t>招标文件，并</w:t>
      </w:r>
      <w:r>
        <w:rPr>
          <w:rFonts w:hint="eastAsia" w:ascii="宋体" w:hAnsi="宋体" w:eastAsia="宋体" w:cs="宋体"/>
          <w:sz w:val="28"/>
          <w:szCs w:val="28"/>
          <w:highlight w:val="none"/>
        </w:rPr>
        <w:t>于</w:t>
      </w:r>
      <w:r>
        <w:rPr>
          <w:rFonts w:hint="eastAsia" w:ascii="宋体" w:hAnsi="宋体" w:eastAsia="宋体" w:cs="宋体"/>
          <w:sz w:val="28"/>
          <w:szCs w:val="28"/>
          <w:highlight w:val="none"/>
          <w:u w:val="single"/>
          <w:lang w:val="en-US" w:eastAsia="zh-CN"/>
        </w:rPr>
        <w:t>2026</w:t>
      </w:r>
      <w:r>
        <w:rPr>
          <w:rFonts w:hint="eastAsia" w:ascii="宋体" w:hAnsi="宋体" w:eastAsia="宋体" w:cs="宋体"/>
          <w:sz w:val="28"/>
          <w:szCs w:val="28"/>
          <w:highlight w:val="none"/>
          <w:u w:val="single"/>
        </w:rPr>
        <w:t>年</w:t>
      </w:r>
      <w:r>
        <w:rPr>
          <w:rFonts w:hint="eastAsia" w:ascii="宋体" w:hAnsi="宋体" w:eastAsia="宋体" w:cs="宋体"/>
          <w:sz w:val="28"/>
          <w:szCs w:val="28"/>
          <w:highlight w:val="none"/>
          <w:u w:val="single"/>
          <w:lang w:val="en-US" w:eastAsia="zh-CN"/>
        </w:rPr>
        <w:t>8月14日</w:t>
      </w:r>
      <w:r>
        <w:rPr>
          <w:rFonts w:hint="eastAsia" w:ascii="宋体" w:hAnsi="宋体" w:eastAsia="宋体" w:cs="宋体"/>
          <w:bCs/>
          <w:sz w:val="28"/>
          <w:szCs w:val="28"/>
          <w:highlight w:val="none"/>
          <w:u w:val="single"/>
          <w:lang w:val="en-US" w:eastAsia="zh-CN"/>
        </w:rPr>
        <w:t>09</w:t>
      </w:r>
      <w:r>
        <w:rPr>
          <w:rFonts w:hint="eastAsia" w:ascii="宋体" w:hAnsi="宋体" w:eastAsia="宋体" w:cs="宋体"/>
          <w:bCs/>
          <w:sz w:val="28"/>
          <w:szCs w:val="28"/>
          <w:highlight w:val="none"/>
          <w:u w:val="single"/>
        </w:rPr>
        <w:t>点</w:t>
      </w:r>
      <w:r>
        <w:rPr>
          <w:rFonts w:hint="eastAsia" w:ascii="宋体" w:hAnsi="宋体" w:eastAsia="宋体" w:cs="宋体"/>
          <w:bCs/>
          <w:sz w:val="28"/>
          <w:szCs w:val="28"/>
          <w:highlight w:val="none"/>
          <w:u w:val="single"/>
          <w:lang w:val="en-US" w:eastAsia="zh-CN"/>
        </w:rPr>
        <w:t>00</w:t>
      </w:r>
      <w:r>
        <w:rPr>
          <w:rFonts w:hint="eastAsia" w:ascii="宋体" w:hAnsi="宋体" w:eastAsia="宋体" w:cs="宋体"/>
          <w:bCs/>
          <w:sz w:val="28"/>
          <w:szCs w:val="28"/>
          <w:highlight w:val="none"/>
          <w:u w:val="single"/>
        </w:rPr>
        <w:t>分</w:t>
      </w:r>
      <w:r>
        <w:rPr>
          <w:rFonts w:hint="eastAsia" w:ascii="宋体" w:hAnsi="宋体" w:eastAsia="宋体" w:cs="宋体"/>
          <w:bCs/>
          <w:sz w:val="28"/>
          <w:szCs w:val="28"/>
          <w:highlight w:val="none"/>
        </w:rPr>
        <w:t>（</w:t>
      </w:r>
      <w:r>
        <w:rPr>
          <w:rFonts w:hint="eastAsia" w:ascii="宋体" w:hAnsi="宋体" w:eastAsia="宋体" w:cs="宋体"/>
          <w:bCs/>
          <w:sz w:val="28"/>
          <w:szCs w:val="28"/>
        </w:rPr>
        <w:t>北京时间）前提交响应文件</w:t>
      </w:r>
      <w:r>
        <w:rPr>
          <w:rFonts w:hint="eastAsia" w:ascii="宋体" w:hAnsi="宋体" w:eastAsia="宋体" w:cs="宋体"/>
          <w:sz w:val="28"/>
          <w:szCs w:val="28"/>
        </w:rPr>
        <w:t>。</w:t>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一、项目基本情况</w:t>
      </w:r>
    </w:p>
    <w:p>
      <w:pPr>
        <w:spacing w:line="360" w:lineRule="auto"/>
        <w:ind w:firstLine="560"/>
        <w:rPr>
          <w:rFonts w:hint="eastAsia" w:ascii="宋体" w:hAnsi="宋体" w:eastAsia="宋体" w:cs="宋体"/>
          <w:sz w:val="28"/>
          <w:szCs w:val="28"/>
          <w:lang w:val="en-US" w:eastAsia="zh-CN"/>
        </w:rPr>
      </w:pPr>
      <w:r>
        <w:rPr>
          <w:rFonts w:hint="eastAsia" w:ascii="宋体" w:hAnsi="宋体" w:eastAsia="宋体" w:cs="宋体"/>
          <w:sz w:val="28"/>
          <w:szCs w:val="28"/>
        </w:rPr>
        <w:t>1、项目编号：JSZC-320614-NTWL-G2026-0012</w:t>
      </w:r>
    </w:p>
    <w:p>
      <w:pPr>
        <w:spacing w:line="360" w:lineRule="auto"/>
        <w:ind w:firstLine="560"/>
        <w:rPr>
          <w:rFonts w:hint="default" w:ascii="宋体" w:hAnsi="宋体" w:eastAsia="宋体" w:cs="宋体"/>
          <w:sz w:val="28"/>
          <w:szCs w:val="28"/>
          <w:lang w:val="en-US" w:eastAsia="zh-CN"/>
        </w:rPr>
      </w:pPr>
      <w:r>
        <w:rPr>
          <w:rFonts w:hint="eastAsia" w:ascii="宋体" w:hAnsi="宋体" w:eastAsia="宋体" w:cs="宋体"/>
          <w:sz w:val="28"/>
          <w:szCs w:val="28"/>
        </w:rPr>
        <w:t>2、项目名称：</w:t>
      </w:r>
      <w:r>
        <w:rPr>
          <w:rFonts w:hint="eastAsia" w:ascii="宋体" w:hAnsi="宋体" w:eastAsia="宋体" w:cs="宋体"/>
          <w:sz w:val="28"/>
          <w:szCs w:val="28"/>
          <w:lang w:eastAsia="zh-CN"/>
        </w:rPr>
        <w:t>南通市海门区正余镇人民政府采购中国工农红军南通海门红军小学校园红色环境提升项目</w:t>
      </w:r>
    </w:p>
    <w:p>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3、项目采购方式：公开招标</w:t>
      </w:r>
    </w:p>
    <w:p>
      <w:pPr>
        <w:spacing w:line="360" w:lineRule="auto"/>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4、项目采购类型：</w:t>
      </w:r>
      <w:r>
        <w:rPr>
          <w:rFonts w:hint="eastAsia" w:ascii="宋体" w:hAnsi="宋体" w:eastAsia="宋体" w:cs="宋体"/>
          <w:sz w:val="28"/>
          <w:szCs w:val="28"/>
          <w:highlight w:val="none"/>
          <w:lang w:val="en-US" w:eastAsia="zh-CN"/>
        </w:rPr>
        <w:t>服务</w:t>
      </w:r>
    </w:p>
    <w:p>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5、项目所属行业：租赁和商务服务业</w:t>
      </w:r>
    </w:p>
    <w:p>
      <w:pPr>
        <w:widowControl w:val="0"/>
        <w:spacing w:line="360" w:lineRule="auto"/>
        <w:ind w:left="0" w:firstLine="560"/>
        <w:jc w:val="both"/>
        <w:rPr>
          <w:rFonts w:hint="eastAsia" w:ascii="宋体" w:hAnsi="宋体" w:eastAsia="宋体" w:cs="宋体"/>
          <w:sz w:val="28"/>
          <w:szCs w:val="20"/>
          <w:highlight w:val="yellow"/>
          <w:lang w:val="en-US" w:eastAsia="zh-CN" w:bidi="ar-SA"/>
        </w:rPr>
      </w:pPr>
      <w:r>
        <w:rPr>
          <w:rFonts w:hint="eastAsia" w:ascii="宋体" w:hAnsi="宋体" w:eastAsia="宋体" w:cs="宋体"/>
          <w:sz w:val="28"/>
          <w:szCs w:val="28"/>
          <w:lang w:val="en-US" w:eastAsia="zh-CN" w:bidi="ar-SA"/>
        </w:rPr>
        <w:t>6、项目预算</w:t>
      </w:r>
      <w:r>
        <w:rPr>
          <w:rFonts w:hint="eastAsia" w:ascii="宋体" w:hAnsi="宋体" w:eastAsia="宋体" w:cs="宋体"/>
          <w:sz w:val="28"/>
          <w:szCs w:val="28"/>
          <w:highlight w:val="none"/>
          <w:lang w:val="en-US" w:eastAsia="zh-CN" w:bidi="ar-SA"/>
        </w:rPr>
        <w:t>：167.226149万元</w:t>
      </w:r>
    </w:p>
    <w:p>
      <w:pPr>
        <w:widowControl/>
        <w:spacing w:line="360" w:lineRule="auto"/>
        <w:ind w:firstLine="560"/>
        <w:jc w:val="left"/>
        <w:rPr>
          <w:rFonts w:hint="eastAsia" w:ascii="宋体" w:hAnsi="宋体" w:eastAsia="宋体" w:cs="宋体"/>
          <w:sz w:val="28"/>
          <w:szCs w:val="28"/>
        </w:rPr>
      </w:pPr>
      <w:r>
        <w:rPr>
          <w:rFonts w:hint="eastAsia" w:ascii="宋体" w:hAnsi="宋体" w:eastAsia="宋体" w:cs="宋体"/>
          <w:sz w:val="28"/>
          <w:szCs w:val="28"/>
        </w:rPr>
        <w:t>7、最高限价：</w:t>
      </w:r>
      <w:r>
        <w:rPr>
          <w:rFonts w:hint="eastAsia" w:ascii="宋体" w:hAnsi="宋体" w:eastAsia="宋体" w:cs="宋体"/>
          <w:sz w:val="28"/>
          <w:szCs w:val="28"/>
          <w:highlight w:val="none"/>
          <w:lang w:val="en-US" w:eastAsia="zh-CN" w:bidi="ar-SA"/>
        </w:rPr>
        <w:t>167.226149</w:t>
      </w:r>
      <w:r>
        <w:rPr>
          <w:rFonts w:hint="eastAsia" w:ascii="宋体" w:hAnsi="宋体" w:eastAsia="宋体" w:cs="宋体"/>
          <w:sz w:val="28"/>
          <w:szCs w:val="28"/>
          <w:highlight w:val="none"/>
          <w:lang w:val="en-US" w:eastAsia="zh-CN"/>
        </w:rPr>
        <w:t>万元</w:t>
      </w:r>
      <w:r>
        <w:rPr>
          <w:rFonts w:hint="eastAsia" w:ascii="宋体" w:hAnsi="宋体" w:eastAsia="宋体" w:cs="宋体"/>
          <w:sz w:val="28"/>
          <w:szCs w:val="28"/>
          <w:highlight w:val="none"/>
        </w:rPr>
        <w:t>，</w:t>
      </w:r>
      <w:r>
        <w:rPr>
          <w:rFonts w:hint="eastAsia" w:ascii="宋体" w:hAnsi="宋体" w:eastAsia="宋体" w:cs="宋体"/>
          <w:sz w:val="28"/>
          <w:szCs w:val="28"/>
        </w:rPr>
        <w:t>投标报价超过最高限价的为无效投标。</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8、采购需求：详见</w:t>
      </w:r>
      <w:r>
        <w:rPr>
          <w:rFonts w:hint="eastAsia" w:ascii="宋体" w:hAnsi="宋体" w:eastAsia="宋体" w:cs="宋体"/>
          <w:sz w:val="28"/>
          <w:szCs w:val="28"/>
          <w:lang w:val="en-US" w:eastAsia="zh-CN"/>
        </w:rPr>
        <w:t>招标</w:t>
      </w:r>
      <w:r>
        <w:rPr>
          <w:rFonts w:hint="eastAsia" w:ascii="宋体" w:hAnsi="宋体" w:eastAsia="宋体" w:cs="宋体"/>
          <w:sz w:val="28"/>
          <w:szCs w:val="28"/>
        </w:rPr>
        <w:t>文件，请仔细研究。</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9、本项目（是/否）接受联合体 ：</w:t>
      </w:r>
      <w:r>
        <w:rPr>
          <w:rFonts w:hint="eastAsia" w:ascii="宋体" w:hAnsi="宋体" w:eastAsia="宋体" w:cs="宋体"/>
          <w:sz w:val="28"/>
          <w:szCs w:val="28"/>
          <w:u w:val="single"/>
        </w:rPr>
        <w:t>否</w:t>
      </w:r>
      <w:r>
        <w:rPr>
          <w:rFonts w:hint="eastAsia" w:ascii="宋体" w:hAnsi="宋体" w:eastAsia="宋体" w:cs="宋体"/>
          <w:sz w:val="28"/>
          <w:szCs w:val="28"/>
        </w:rPr>
        <w:t>。</w:t>
      </w:r>
      <w:bookmarkStart w:id="9" w:name="_Toc28359090"/>
      <w:bookmarkStart w:id="10" w:name="_Toc28359013"/>
      <w:bookmarkStart w:id="11" w:name="_Toc35393630"/>
      <w:bookmarkStart w:id="12" w:name="_Toc35393799"/>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二、申请人的资格要求：</w:t>
      </w:r>
      <w:bookmarkEnd w:id="9"/>
      <w:bookmarkEnd w:id="10"/>
      <w:bookmarkEnd w:id="11"/>
      <w:bookmarkEnd w:id="12"/>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1、符合《中华人民共和国政府采购法》第二十二条对供应商的资格要求；</w:t>
      </w:r>
    </w:p>
    <w:p>
      <w:pPr>
        <w:keepNext w:val="0"/>
        <w:keepLines w:val="0"/>
        <w:pageBreakBefore w:val="0"/>
        <w:spacing w:line="360" w:lineRule="auto"/>
        <w:ind w:firstLine="560"/>
        <w:rPr>
          <w:rFonts w:hint="eastAsia" w:ascii="宋体" w:hAnsi="宋体" w:eastAsia="宋体" w:cs="宋体"/>
          <w:sz w:val="28"/>
          <w:szCs w:val="28"/>
          <w:u w:val="single"/>
        </w:rPr>
      </w:pPr>
      <w:bookmarkStart w:id="13" w:name="_Toc28359014"/>
      <w:bookmarkStart w:id="14" w:name="_Toc28359091"/>
      <w:r>
        <w:rPr>
          <w:rFonts w:hint="eastAsia" w:ascii="宋体" w:hAnsi="宋体" w:eastAsia="宋体" w:cs="宋体"/>
          <w:sz w:val="28"/>
          <w:szCs w:val="28"/>
        </w:rPr>
        <w:t>2、落实政府采购政策需满足的资格要求：</w:t>
      </w:r>
      <w:r>
        <w:rPr>
          <w:rFonts w:hint="eastAsia" w:ascii="宋体" w:hAnsi="宋体" w:eastAsia="宋体" w:cs="宋体"/>
          <w:sz w:val="28"/>
          <w:szCs w:val="28"/>
          <w:u w:val="single"/>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p>
    <w:p>
      <w:pPr>
        <w:keepNext w:val="0"/>
        <w:keepLines w:val="0"/>
        <w:pageBreakBefore w:val="0"/>
        <w:spacing w:line="360" w:lineRule="auto"/>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r>
        <w:rPr>
          <w:rFonts w:hint="eastAsia" w:ascii="宋体" w:hAnsi="宋体" w:eastAsia="宋体" w:cs="宋体"/>
          <w:color w:val="000000"/>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w:t>
      </w:r>
    </w:p>
    <w:p>
      <w:pPr>
        <w:widowControl/>
        <w:spacing w:line="360" w:lineRule="auto"/>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、本项目的特定资格要求：</w:t>
      </w:r>
      <w:bookmarkStart w:id="15" w:name="_Toc35393800"/>
      <w:bookmarkStart w:id="16" w:name="_Toc35393631"/>
      <w:r>
        <w:rPr>
          <w:rFonts w:hint="eastAsia" w:ascii="宋体" w:hAnsi="宋体" w:eastAsia="宋体" w:cs="宋体"/>
          <w:sz w:val="28"/>
          <w:szCs w:val="28"/>
          <w:lang w:val="en-US" w:eastAsia="zh-CN"/>
        </w:rPr>
        <w:t>无。</w:t>
      </w:r>
    </w:p>
    <w:p>
      <w:pPr>
        <w:widowControl/>
        <w:spacing w:line="360" w:lineRule="auto"/>
        <w:jc w:val="left"/>
        <w:rPr>
          <w:rFonts w:hint="eastAsia" w:ascii="宋体" w:hAnsi="宋体" w:eastAsia="宋体" w:cs="宋体"/>
          <w:b/>
          <w:bCs w:val="0"/>
          <w:sz w:val="28"/>
          <w:szCs w:val="28"/>
        </w:rPr>
      </w:pPr>
      <w:r>
        <w:rPr>
          <w:rFonts w:hint="eastAsia" w:ascii="宋体" w:hAnsi="宋体" w:eastAsia="宋体" w:cs="宋体"/>
          <w:b/>
          <w:bCs w:val="0"/>
          <w:sz w:val="28"/>
          <w:szCs w:val="28"/>
        </w:rPr>
        <w:t>三、获取采购文件</w:t>
      </w:r>
      <w:bookmarkEnd w:id="13"/>
      <w:bookmarkEnd w:id="14"/>
      <w:bookmarkEnd w:id="15"/>
      <w:bookmarkEnd w:id="16"/>
    </w:p>
    <w:p>
      <w:pPr>
        <w:keepNext w:val="0"/>
        <w:keepLines w:val="0"/>
        <w:pageBreakBefore w:val="0"/>
        <w:spacing w:line="360" w:lineRule="auto"/>
        <w:ind w:firstLine="480"/>
        <w:rPr>
          <w:rFonts w:hint="eastAsia" w:ascii="宋体" w:hAnsi="宋体" w:eastAsia="宋体" w:cs="宋体"/>
          <w:color w:val="auto"/>
          <w:sz w:val="28"/>
          <w:szCs w:val="28"/>
          <w:highlight w:val="yellow"/>
        </w:rPr>
      </w:pPr>
      <w:bookmarkStart w:id="17" w:name="_Toc35393632"/>
      <w:bookmarkStart w:id="18" w:name="_Toc28359092"/>
      <w:bookmarkStart w:id="19" w:name="_Toc35393801"/>
      <w:bookmarkStart w:id="20" w:name="_Toc28359015"/>
      <w:r>
        <w:rPr>
          <w:rFonts w:hint="eastAsia" w:ascii="宋体" w:hAnsi="宋体" w:eastAsia="宋体" w:cs="宋体"/>
          <w:color w:val="000000"/>
          <w:sz w:val="28"/>
          <w:szCs w:val="28"/>
        </w:rPr>
        <w:t>1.时间：</w:t>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lang w:val="en-US" w:eastAsia="zh-CN"/>
        </w:rPr>
        <w:t>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25日</w:t>
      </w:r>
      <w:r>
        <w:rPr>
          <w:rFonts w:hint="eastAsia" w:ascii="宋体" w:hAnsi="宋体" w:eastAsia="宋体" w:cs="宋体"/>
          <w:color w:val="auto"/>
          <w:sz w:val="28"/>
          <w:szCs w:val="28"/>
          <w:highlight w:val="none"/>
        </w:rPr>
        <w:t>至20</w:t>
      </w:r>
      <w:r>
        <w:rPr>
          <w:rFonts w:hint="eastAsia" w:ascii="宋体" w:hAnsi="宋体" w:eastAsia="宋体" w:cs="宋体"/>
          <w:color w:val="auto"/>
          <w:sz w:val="28"/>
          <w:szCs w:val="28"/>
          <w:highlight w:val="none"/>
          <w:lang w:val="en-US" w:eastAsia="zh-CN"/>
        </w:rPr>
        <w:t>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31日23</w:t>
      </w:r>
      <w:r>
        <w:rPr>
          <w:rFonts w:hint="eastAsia" w:ascii="宋体" w:hAnsi="宋体" w:eastAsia="宋体" w:cs="宋体"/>
          <w:color w:val="auto"/>
          <w:sz w:val="28"/>
          <w:szCs w:val="28"/>
          <w:highlight w:val="none"/>
        </w:rPr>
        <w:t>点</w:t>
      </w:r>
      <w:r>
        <w:rPr>
          <w:rFonts w:hint="eastAsia" w:ascii="宋体" w:hAnsi="宋体" w:eastAsia="宋体" w:cs="宋体"/>
          <w:color w:val="auto"/>
          <w:sz w:val="28"/>
          <w:szCs w:val="28"/>
          <w:highlight w:val="none"/>
          <w:lang w:val="en-US" w:eastAsia="zh-CN"/>
        </w:rPr>
        <w:t>59</w:t>
      </w:r>
      <w:r>
        <w:rPr>
          <w:rFonts w:hint="eastAsia" w:ascii="宋体" w:hAnsi="宋体" w:eastAsia="宋体" w:cs="宋体"/>
          <w:color w:val="auto"/>
          <w:sz w:val="28"/>
          <w:szCs w:val="28"/>
          <w:highlight w:val="none"/>
        </w:rPr>
        <w:t>分（北京时间）</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2.地点：网上注册登记成功后系统内免费下载</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3.获取方式：本项目采用网上注册登记方式。</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3.1潜在供应商访问电子招标响应交易平台的网络地址和方法：</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—资料下载中</w:t>
      </w:r>
      <w:r>
        <w:rPr>
          <w:rFonts w:hint="eastAsia" w:ascii="宋体" w:hAnsi="宋体" w:eastAsia="宋体" w:cs="宋体"/>
          <w:color w:val="000000"/>
          <w:sz w:val="28"/>
          <w:szCs w:val="28"/>
        </w:rPr>
        <w:t>《江苏省政府采购管理交易系统（苏采云）供应商操作手册》。</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3.2潜在供应商访问“苏采云”系统的网络地址和方法：“苏采云”系统的网址：http://jszfcg.jsczt.cn/。</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3.3“CA数字证书”的获取：</w:t>
      </w:r>
    </w:p>
    <w:p>
      <w:pPr>
        <w:keepNext w:val="0"/>
        <w:keepLines w:val="0"/>
        <w:pageBreakBefore w:val="0"/>
        <w:spacing w:line="360" w:lineRule="auto"/>
        <w:ind w:firstLine="480"/>
        <w:rPr>
          <w:rFonts w:hint="eastAsia" w:ascii="宋体" w:hAnsi="宋体" w:eastAsia="宋体" w:cs="宋体"/>
          <w:b/>
          <w:bCs/>
          <w:color w:val="000000"/>
          <w:sz w:val="28"/>
          <w:szCs w:val="28"/>
        </w:rPr>
      </w:pPr>
      <w:r>
        <w:rPr>
          <w:rFonts w:hint="eastAsia" w:ascii="宋体" w:hAnsi="宋体" w:eastAsia="宋体" w:cs="宋体"/>
          <w:color w:val="000000"/>
          <w:sz w:val="28"/>
          <w:szCs w:val="28"/>
        </w:rPr>
        <w:t>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—资料下载中</w:t>
      </w:r>
      <w:r>
        <w:rPr>
          <w:rFonts w:hint="eastAsia" w:ascii="宋体" w:hAnsi="宋体" w:eastAsia="宋体" w:cs="宋体"/>
          <w:color w:val="000000"/>
          <w:sz w:val="28"/>
          <w:szCs w:val="28"/>
        </w:rPr>
        <w:t>《江苏省政府采购数字证书（供应商）CA及电子签章办理指南》。</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3.4采购文件（后缀名为“.kedt”）、供应商操作手册及政府采购客户端工具可通过“苏采云”系统--已报名项目--报名详情页面内相应链接进行下载。</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3.5招标代理机构（采购代理机构）将数据电文形式的采购文件加载至“苏采云”系统，供潜在供应商下载或者查阅。</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3.6请潜在投标单位提前安装相应的控件（详见《江苏省政府采购管理交易系统（苏采云）供应商操作手册》）并使用谷歌浏览器登录“苏采云”系统参与不见面开评标。</w:t>
      </w:r>
    </w:p>
    <w:p>
      <w:pPr>
        <w:keepNext w:val="0"/>
        <w:keepLines w:val="0"/>
        <w:pageBreakBefore w:val="0"/>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rPr>
        <w:t>注：如潜在供应商未按上述要求操作，将自行承担所产生的风险。</w:t>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四、</w:t>
      </w:r>
      <w:bookmarkEnd w:id="17"/>
      <w:bookmarkEnd w:id="18"/>
      <w:bookmarkEnd w:id="19"/>
      <w:bookmarkEnd w:id="20"/>
      <w:r>
        <w:rPr>
          <w:rFonts w:hint="eastAsia" w:ascii="宋体" w:hAnsi="宋体" w:eastAsia="宋体" w:cs="宋体"/>
          <w:b/>
          <w:color w:val="000000"/>
          <w:sz w:val="28"/>
          <w:szCs w:val="28"/>
        </w:rPr>
        <w:t>提交响应文件截止时间、</w:t>
      </w:r>
      <w:r>
        <w:rPr>
          <w:rFonts w:hint="eastAsia" w:ascii="宋体" w:hAnsi="宋体" w:eastAsia="宋体" w:cs="宋体"/>
          <w:b/>
          <w:color w:val="000000"/>
          <w:sz w:val="28"/>
          <w:szCs w:val="28"/>
          <w:lang w:val="en-US" w:eastAsia="zh-CN"/>
        </w:rPr>
        <w:t>开标</w:t>
      </w:r>
      <w:r>
        <w:rPr>
          <w:rFonts w:hint="eastAsia" w:ascii="宋体" w:hAnsi="宋体" w:eastAsia="宋体" w:cs="宋体"/>
          <w:b/>
          <w:color w:val="000000"/>
          <w:sz w:val="28"/>
          <w:szCs w:val="28"/>
        </w:rPr>
        <w:t>时间和地点</w:t>
      </w:r>
    </w:p>
    <w:p>
      <w:pPr>
        <w:keepNext w:val="0"/>
        <w:keepLines w:val="0"/>
        <w:pageBreakBefore w:val="0"/>
        <w:spacing w:line="360" w:lineRule="auto"/>
        <w:ind w:firstLine="480"/>
        <w:rPr>
          <w:rFonts w:hint="eastAsia" w:ascii="宋体" w:hAnsi="宋体" w:eastAsia="宋体" w:cs="宋体"/>
          <w:color w:val="000000"/>
          <w:sz w:val="28"/>
          <w:szCs w:val="28"/>
        </w:rPr>
      </w:pPr>
      <w:bookmarkStart w:id="21" w:name="_Toc28359094"/>
      <w:bookmarkStart w:id="22" w:name="_Toc28359017"/>
      <w:bookmarkStart w:id="23" w:name="_Toc35393634"/>
      <w:bookmarkStart w:id="24" w:name="_Toc35393803"/>
      <w:r>
        <w:rPr>
          <w:rFonts w:hint="eastAsia" w:ascii="宋体" w:hAnsi="宋体" w:eastAsia="宋体" w:cs="宋体"/>
          <w:color w:val="000000"/>
          <w:sz w:val="28"/>
          <w:szCs w:val="28"/>
        </w:rPr>
        <w:t>1.</w:t>
      </w:r>
      <w:r>
        <w:rPr>
          <w:rFonts w:hint="eastAsia" w:ascii="宋体" w:hAnsi="宋体" w:eastAsia="宋体" w:cs="宋体"/>
          <w:color w:val="000000"/>
          <w:sz w:val="28"/>
          <w:szCs w:val="28"/>
          <w:highlight w:val="none"/>
        </w:rPr>
        <w:t>202</w:t>
      </w:r>
      <w:r>
        <w:rPr>
          <w:rFonts w:hint="eastAsia" w:ascii="宋体" w:hAnsi="宋体" w:eastAsia="宋体" w:cs="宋体"/>
          <w:color w:val="000000"/>
          <w:sz w:val="28"/>
          <w:szCs w:val="28"/>
          <w:highlight w:val="none"/>
          <w:lang w:val="en-US" w:eastAsia="zh-CN"/>
        </w:rPr>
        <w:t>6</w:t>
      </w:r>
      <w:r>
        <w:rPr>
          <w:rFonts w:hint="eastAsia" w:ascii="宋体" w:hAnsi="宋体" w:eastAsia="宋体" w:cs="宋体"/>
          <w:color w:val="000000"/>
          <w:sz w:val="28"/>
          <w:szCs w:val="28"/>
          <w:highlight w:val="none"/>
        </w:rPr>
        <w:t>年</w:t>
      </w:r>
      <w:r>
        <w:rPr>
          <w:rFonts w:hint="eastAsia" w:ascii="宋体" w:hAnsi="宋体" w:eastAsia="宋体" w:cs="宋体"/>
          <w:color w:val="000000"/>
          <w:sz w:val="28"/>
          <w:szCs w:val="28"/>
          <w:highlight w:val="none"/>
          <w:lang w:val="en-US" w:eastAsia="zh-CN"/>
        </w:rPr>
        <w:t>8月14日0</w:t>
      </w:r>
      <w:r>
        <w:rPr>
          <w:rFonts w:hint="eastAsia" w:ascii="宋体" w:hAnsi="宋体" w:eastAsia="宋体" w:cs="宋体"/>
          <w:color w:val="000000"/>
          <w:sz w:val="28"/>
          <w:szCs w:val="28"/>
          <w:highlight w:val="none"/>
        </w:rPr>
        <w:t>9点00分</w:t>
      </w:r>
      <w:r>
        <w:rPr>
          <w:rFonts w:hint="eastAsia" w:ascii="宋体" w:hAnsi="宋体" w:eastAsia="宋体" w:cs="宋体"/>
          <w:color w:val="000000"/>
          <w:sz w:val="28"/>
          <w:szCs w:val="28"/>
        </w:rPr>
        <w:t>（北京时间）。逾时，交易系统将拒绝接受上传响应文件电子文档。</w:t>
      </w:r>
    </w:p>
    <w:p>
      <w:pPr>
        <w:keepNext w:val="0"/>
        <w:keepLines w:val="0"/>
        <w:pageBreakBefore w:val="0"/>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2.线上开标地点：“苏采云”系统（网址：http://jszfcg.jsczt.cn/）“开标大厅”。</w:t>
      </w:r>
    </w:p>
    <w:p>
      <w:pPr>
        <w:keepNext w:val="0"/>
        <w:keepLines w:val="0"/>
        <w:pageBreakBefore w:val="0"/>
        <w:spacing w:line="360" w:lineRule="auto"/>
        <w:ind w:firstLine="480"/>
        <w:rPr>
          <w:rFonts w:hint="eastAsia" w:ascii="宋体" w:hAnsi="宋体" w:eastAsia="宋体" w:cs="宋体"/>
          <w:i/>
          <w:color w:val="000000"/>
          <w:sz w:val="28"/>
          <w:szCs w:val="28"/>
        </w:rPr>
      </w:pPr>
      <w:r>
        <w:rPr>
          <w:rFonts w:hint="eastAsia" w:ascii="宋体" w:hAnsi="宋体" w:eastAsia="宋体" w:cs="宋体"/>
          <w:color w:val="000000"/>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投标供应商解密限定在开标后30分钟之内完成</w:t>
      </w:r>
      <w:r>
        <w:rPr>
          <w:rFonts w:hint="eastAsia" w:ascii="宋体" w:hAnsi="宋体" w:eastAsia="宋体" w:cs="宋体"/>
          <w:color w:val="000000"/>
          <w:sz w:val="28"/>
          <w:szCs w:val="28"/>
        </w:rPr>
        <w:t>。</w:t>
      </w:r>
      <w:r>
        <w:rPr>
          <w:rFonts w:hint="eastAsia" w:ascii="宋体" w:hAnsi="宋体" w:eastAsia="宋体" w:cs="宋体"/>
          <w:color w:val="000000"/>
          <w:sz w:val="28"/>
          <w:szCs w:val="28"/>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因采购人原因或网上招投标平台发生故障，导致无法按时完成响应文件解密或开、评标工作无法进行的，可根据实际情况相应延迟解密时间或调整开、评标时间。</w:t>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五</w:t>
      </w:r>
      <w:r>
        <w:rPr>
          <w:rFonts w:hint="eastAsia" w:ascii="宋体" w:hAnsi="宋体" w:eastAsia="宋体" w:cs="宋体"/>
          <w:b/>
          <w:sz w:val="28"/>
          <w:szCs w:val="28"/>
        </w:rPr>
        <w:t>、公告期限</w:t>
      </w:r>
      <w:bookmarkEnd w:id="21"/>
      <w:bookmarkEnd w:id="22"/>
      <w:bookmarkEnd w:id="23"/>
      <w:bookmarkEnd w:id="24"/>
    </w:p>
    <w:p>
      <w:pPr>
        <w:widowControl/>
        <w:spacing w:line="360" w:lineRule="auto"/>
        <w:ind w:firstLine="560"/>
        <w:jc w:val="left"/>
        <w:rPr>
          <w:rFonts w:hint="eastAsia" w:ascii="宋体" w:hAnsi="宋体" w:eastAsia="宋体" w:cs="宋体"/>
          <w:sz w:val="28"/>
          <w:szCs w:val="28"/>
        </w:rPr>
      </w:pPr>
      <w:bookmarkStart w:id="25" w:name="_Toc35393804"/>
      <w:bookmarkStart w:id="26" w:name="_Toc35393635"/>
      <w:r>
        <w:rPr>
          <w:rFonts w:hint="eastAsia" w:ascii="宋体" w:hAnsi="宋体" w:eastAsia="宋体" w:cs="宋体"/>
          <w:sz w:val="28"/>
          <w:szCs w:val="28"/>
        </w:rPr>
        <w:t>自本公告发布之日起</w:t>
      </w:r>
      <w:r>
        <w:rPr>
          <w:rFonts w:hint="eastAsia" w:ascii="宋体" w:hAnsi="宋体" w:eastAsia="宋体" w:cs="宋体"/>
          <w:sz w:val="28"/>
          <w:szCs w:val="28"/>
          <w:lang w:val="en-US" w:eastAsia="zh-CN"/>
        </w:rPr>
        <w:t>5</w:t>
      </w:r>
      <w:r>
        <w:rPr>
          <w:rFonts w:hint="eastAsia" w:ascii="宋体" w:hAnsi="宋体" w:eastAsia="宋体" w:cs="宋体"/>
          <w:sz w:val="28"/>
          <w:szCs w:val="28"/>
        </w:rPr>
        <w:t>个工作日。</w:t>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、其他补充事宜</w:t>
      </w:r>
      <w:bookmarkEnd w:id="25"/>
      <w:bookmarkEnd w:id="26"/>
    </w:p>
    <w:p>
      <w:pPr>
        <w:spacing w:line="360" w:lineRule="auto"/>
        <w:ind w:firstLine="560"/>
        <w:rPr>
          <w:rFonts w:hint="eastAsia" w:ascii="宋体" w:hAnsi="宋体" w:eastAsia="宋体" w:cs="宋体"/>
          <w:sz w:val="28"/>
          <w:szCs w:val="28"/>
        </w:rPr>
      </w:pPr>
      <w:bookmarkStart w:id="27" w:name="_Toc35393805"/>
      <w:bookmarkStart w:id="28" w:name="_Toc35393636"/>
      <w:bookmarkStart w:id="29" w:name="_Toc28359095"/>
      <w:bookmarkStart w:id="30" w:name="_Toc28359018"/>
      <w:r>
        <w:rPr>
          <w:rFonts w:hint="eastAsia" w:ascii="宋体" w:hAnsi="宋体" w:eastAsia="宋体" w:cs="宋体"/>
          <w:sz w:val="28"/>
          <w:szCs w:val="28"/>
        </w:rPr>
        <w:t>1、投标保证金：免收</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2、项目开标模式：不见面远程开标模式，投标人在各自地点通过苏采云系统参加投标活动。</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3、请各投标人充分考虑项目周期，谨慎参与交易，中标后不得以任何理由放弃中标资格或不按规定履约。</w:t>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七</w:t>
      </w:r>
      <w:r>
        <w:rPr>
          <w:rFonts w:hint="eastAsia" w:ascii="宋体" w:hAnsi="宋体" w:eastAsia="宋体" w:cs="宋体"/>
          <w:b/>
          <w:bCs w:val="0"/>
          <w:sz w:val="28"/>
          <w:szCs w:val="28"/>
        </w:rPr>
        <w:t>、凡对本次采购提出询问，请按以下方式联系。</w:t>
      </w:r>
      <w:bookmarkEnd w:id="1"/>
      <w:bookmarkEnd w:id="8"/>
      <w:bookmarkEnd w:id="27"/>
      <w:bookmarkEnd w:id="28"/>
      <w:bookmarkEnd w:id="29"/>
      <w:bookmarkEnd w:id="30"/>
      <w:bookmarkStart w:id="31" w:name="_Toc28359096"/>
      <w:bookmarkEnd w:id="31"/>
      <w:bookmarkStart w:id="32" w:name="_Toc35393637"/>
      <w:bookmarkEnd w:id="32"/>
      <w:bookmarkStart w:id="33" w:name="_Toc28359019"/>
      <w:bookmarkEnd w:id="33"/>
      <w:bookmarkStart w:id="34" w:name="_Toc35393806"/>
      <w:bookmarkEnd w:id="34"/>
    </w:p>
    <w:p>
      <w:pPr>
        <w:spacing w:line="360" w:lineRule="auto"/>
        <w:ind w:firstLine="840"/>
        <w:rPr>
          <w:rFonts w:hint="eastAsia" w:ascii="宋体" w:hAnsi="宋体" w:eastAsia="宋体" w:cs="宋体"/>
          <w:bCs/>
          <w:sz w:val="28"/>
          <w:szCs w:val="28"/>
        </w:rPr>
      </w:pPr>
      <w:r>
        <w:rPr>
          <w:rFonts w:hint="eastAsia" w:ascii="宋体" w:hAnsi="宋体" w:eastAsia="宋体" w:cs="宋体"/>
          <w:bCs/>
          <w:sz w:val="28"/>
          <w:szCs w:val="28"/>
        </w:rPr>
        <w:t>1.采购人信息</w:t>
      </w:r>
    </w:p>
    <w:p>
      <w:pPr>
        <w:spacing w:line="360" w:lineRule="auto"/>
        <w:ind w:left="1129" w:hanging="350"/>
        <w:jc w:val="left"/>
        <w:rPr>
          <w:rFonts w:hint="eastAsia" w:ascii="宋体" w:hAnsi="宋体" w:eastAsia="宋体" w:cs="宋体"/>
          <w:sz w:val="28"/>
          <w:szCs w:val="28"/>
          <w:u w:val="single"/>
        </w:rPr>
      </w:pPr>
      <w:r>
        <w:rPr>
          <w:rFonts w:hint="eastAsia" w:ascii="宋体" w:hAnsi="宋体" w:eastAsia="宋体" w:cs="宋体"/>
          <w:sz w:val="28"/>
          <w:szCs w:val="28"/>
        </w:rPr>
        <w:t>名    称：</w:t>
      </w:r>
      <w:r>
        <w:rPr>
          <w:rFonts w:hint="eastAsia" w:ascii="宋体" w:hAnsi="宋体" w:eastAsia="宋体" w:cs="宋体"/>
          <w:sz w:val="28"/>
          <w:szCs w:val="28"/>
          <w:u w:val="single"/>
        </w:rPr>
        <w:t>　</w:t>
      </w:r>
      <w:r>
        <w:rPr>
          <w:rFonts w:hint="eastAsia" w:ascii="宋体" w:hAnsi="宋体" w:eastAsia="宋体" w:cs="宋体"/>
          <w:sz w:val="28"/>
          <w:szCs w:val="28"/>
          <w:u w:val="single"/>
          <w:lang w:val="en-US" w:eastAsia="zh-CN"/>
        </w:rPr>
        <w:t xml:space="preserve">南通市海门区正余镇人民政府    </w:t>
      </w:r>
      <w:r>
        <w:rPr>
          <w:rFonts w:hint="eastAsia" w:ascii="宋体" w:hAnsi="宋体" w:eastAsia="宋体" w:cs="宋体"/>
          <w:sz w:val="28"/>
          <w:szCs w:val="28"/>
          <w:u w:val="single"/>
        </w:rPr>
        <w:t xml:space="preserve"> </w:t>
      </w:r>
    </w:p>
    <w:p>
      <w:pPr>
        <w:spacing w:line="360" w:lineRule="auto"/>
        <w:ind w:left="1129" w:hanging="350"/>
        <w:jc w:val="left"/>
        <w:rPr>
          <w:rFonts w:hint="eastAsia" w:ascii="宋体" w:hAnsi="宋体" w:eastAsia="宋体" w:cs="宋体"/>
          <w:sz w:val="28"/>
          <w:szCs w:val="28"/>
          <w:u w:val="single"/>
          <w:lang w:val="en-US" w:eastAsia="zh-CN"/>
        </w:rPr>
      </w:pPr>
      <w:r>
        <w:rPr>
          <w:rFonts w:hint="eastAsia" w:ascii="宋体" w:hAnsi="宋体" w:eastAsia="宋体" w:cs="宋体"/>
          <w:sz w:val="28"/>
          <w:szCs w:val="28"/>
        </w:rPr>
        <w:t>地    址：</w:t>
      </w:r>
      <w:r>
        <w:rPr>
          <w:rFonts w:hint="eastAsia" w:ascii="宋体" w:hAnsi="宋体" w:eastAsia="宋体" w:cs="宋体"/>
          <w:sz w:val="28"/>
          <w:szCs w:val="28"/>
          <w:u w:val="single"/>
        </w:rPr>
        <w:t>　</w:t>
      </w:r>
      <w:r>
        <w:rPr>
          <w:rFonts w:hint="eastAsia" w:ascii="宋体" w:hAnsi="宋体" w:eastAsia="宋体" w:cs="宋体"/>
          <w:sz w:val="28"/>
          <w:szCs w:val="28"/>
          <w:u w:val="single"/>
          <w:lang w:val="en-US" w:eastAsia="zh-CN"/>
        </w:rPr>
        <w:t xml:space="preserve">南通市海门区正余镇人民路66号  </w:t>
      </w:r>
    </w:p>
    <w:p>
      <w:pPr>
        <w:widowControl/>
        <w:shd w:val="solid" w:color="FFFFFF" w:fill="auto"/>
        <w:spacing w:line="360" w:lineRule="auto"/>
        <w:ind w:firstLine="840"/>
        <w:jc w:val="left"/>
        <w:rPr>
          <w:rFonts w:hint="eastAsia" w:ascii="宋体" w:hAnsi="宋体" w:eastAsia="宋体" w:cs="宋体"/>
          <w:sz w:val="28"/>
          <w:szCs w:val="28"/>
          <w:u w:val="single"/>
        </w:rPr>
      </w:pPr>
      <w:r>
        <w:rPr>
          <w:rFonts w:hint="eastAsia" w:ascii="宋体" w:hAnsi="宋体" w:eastAsia="宋体" w:cs="宋体"/>
          <w:sz w:val="28"/>
          <w:szCs w:val="28"/>
        </w:rPr>
        <w:t>联系方式：</w:t>
      </w:r>
      <w:r>
        <w:rPr>
          <w:rFonts w:hint="eastAsia" w:ascii="宋体" w:hAnsi="宋体" w:eastAsia="宋体" w:cs="宋体"/>
          <w:sz w:val="28"/>
          <w:szCs w:val="28"/>
          <w:u w:val="single"/>
        </w:rPr>
        <w:t>　</w:t>
      </w:r>
      <w:bookmarkStart w:id="35" w:name="_Toc28359097"/>
      <w:bookmarkStart w:id="36" w:name="_Toc28359020"/>
      <w:bookmarkStart w:id="37" w:name="_Toc35393638"/>
      <w:bookmarkStart w:id="38" w:name="_Toc35393807"/>
      <w:r>
        <w:rPr>
          <w:rFonts w:hint="eastAsia" w:ascii="宋体" w:hAnsi="宋体" w:eastAsia="宋体" w:cs="宋体"/>
          <w:sz w:val="28"/>
          <w:szCs w:val="28"/>
          <w:u w:val="single"/>
          <w:lang w:val="en-US" w:eastAsia="zh-CN"/>
        </w:rPr>
        <w:t xml:space="preserve">侯女士     18252510924 </w:t>
      </w:r>
      <w:r>
        <w:rPr>
          <w:rFonts w:hint="eastAsia" w:ascii="宋体" w:hAnsi="宋体" w:eastAsia="宋体" w:cs="宋体"/>
          <w:sz w:val="28"/>
          <w:szCs w:val="28"/>
          <w:u w:val="single"/>
        </w:rPr>
        <w:t xml:space="preserve"> </w:t>
      </w:r>
    </w:p>
    <w:p>
      <w:pPr>
        <w:widowControl/>
        <w:shd w:val="solid" w:color="FFFFFF" w:fill="auto"/>
        <w:spacing w:line="360" w:lineRule="auto"/>
        <w:ind w:firstLine="840"/>
        <w:jc w:val="left"/>
        <w:rPr>
          <w:rFonts w:hint="eastAsia" w:ascii="宋体" w:hAnsi="宋体" w:eastAsia="宋体" w:cs="宋体"/>
          <w:bCs/>
          <w:sz w:val="28"/>
          <w:szCs w:val="28"/>
        </w:rPr>
      </w:pPr>
      <w:r>
        <w:rPr>
          <w:rFonts w:hint="eastAsia" w:ascii="宋体" w:hAnsi="宋体" w:eastAsia="宋体" w:cs="宋体"/>
          <w:bCs/>
          <w:sz w:val="28"/>
          <w:szCs w:val="28"/>
          <w:lang w:val="en-US" w:eastAsia="zh-CN"/>
        </w:rPr>
        <w:t>2.</w:t>
      </w:r>
      <w:r>
        <w:rPr>
          <w:rFonts w:hint="eastAsia" w:ascii="宋体" w:hAnsi="宋体" w:eastAsia="宋体" w:cs="宋体"/>
          <w:bCs/>
          <w:sz w:val="28"/>
          <w:szCs w:val="28"/>
        </w:rPr>
        <w:t>采购代理机构信息</w:t>
      </w:r>
      <w:bookmarkEnd w:id="35"/>
      <w:bookmarkEnd w:id="36"/>
      <w:bookmarkEnd w:id="37"/>
      <w:bookmarkEnd w:id="38"/>
      <w:r>
        <w:rPr>
          <w:rFonts w:hint="eastAsia" w:ascii="宋体" w:hAnsi="宋体" w:eastAsia="宋体" w:cs="宋体"/>
          <w:bCs/>
          <w:sz w:val="28"/>
          <w:szCs w:val="28"/>
        </w:rPr>
        <w:t xml:space="preserve"> </w:t>
      </w:r>
    </w:p>
    <w:p>
      <w:pPr>
        <w:spacing w:line="360" w:lineRule="auto"/>
        <w:ind w:firstLine="840"/>
        <w:rPr>
          <w:rFonts w:hint="eastAsia" w:ascii="宋体" w:hAnsi="宋体" w:eastAsia="宋体" w:cs="宋体"/>
          <w:sz w:val="28"/>
          <w:szCs w:val="28"/>
        </w:rPr>
      </w:pPr>
      <w:r>
        <w:rPr>
          <w:rFonts w:hint="eastAsia" w:ascii="宋体" w:hAnsi="宋体" w:eastAsia="宋体" w:cs="宋体"/>
          <w:sz w:val="28"/>
          <w:szCs w:val="28"/>
        </w:rPr>
        <w:t>名    称：</w:t>
      </w:r>
      <w:r>
        <w:rPr>
          <w:rFonts w:hint="eastAsia" w:ascii="宋体" w:hAnsi="宋体" w:eastAsia="宋体" w:cs="宋体"/>
          <w:sz w:val="28"/>
          <w:szCs w:val="28"/>
          <w:u w:val="single"/>
        </w:rPr>
        <w:t>　</w:t>
      </w:r>
      <w:r>
        <w:rPr>
          <w:rFonts w:hint="eastAsia" w:ascii="宋体" w:hAnsi="宋体" w:eastAsia="宋体" w:cs="宋体"/>
          <w:sz w:val="28"/>
          <w:szCs w:val="28"/>
          <w:u w:val="single"/>
          <w:lang w:eastAsia="zh-CN"/>
        </w:rPr>
        <w:t>南通万隆工程管理有限公司</w:t>
      </w:r>
      <w:r>
        <w:rPr>
          <w:rFonts w:hint="eastAsia" w:ascii="宋体" w:hAnsi="宋体" w:eastAsia="宋体" w:cs="宋体"/>
          <w:sz w:val="28"/>
          <w:szCs w:val="28"/>
          <w:u w:val="single"/>
        </w:rPr>
        <w:t>　</w:t>
      </w:r>
    </w:p>
    <w:p>
      <w:pPr>
        <w:spacing w:line="360" w:lineRule="auto"/>
        <w:ind w:firstLine="840"/>
        <w:rPr>
          <w:rFonts w:hint="eastAsia"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南通市海门区</w:t>
      </w:r>
      <w:r>
        <w:rPr>
          <w:rFonts w:hint="eastAsia" w:ascii="宋体" w:hAnsi="宋体" w:eastAsia="宋体" w:cs="宋体"/>
          <w:sz w:val="28"/>
          <w:szCs w:val="28"/>
          <w:u w:val="single"/>
          <w:lang w:val="en-US" w:eastAsia="zh-CN"/>
        </w:rPr>
        <w:t>大生创业园507幢401室</w:t>
      </w:r>
    </w:p>
    <w:p>
      <w:pPr>
        <w:spacing w:line="500" w:lineRule="exact"/>
        <w:ind w:firstLine="840"/>
        <w:jc w:val="both"/>
        <w:rPr>
          <w:rFonts w:hint="eastAsia" w:ascii="宋体" w:hAnsi="宋体" w:eastAsia="宋体" w:cs="宋体"/>
          <w:b/>
          <w:bCs/>
          <w:color w:val="000000"/>
          <w:sz w:val="36"/>
          <w:szCs w:val="36"/>
          <w:lang w:val="zh-CN"/>
        </w:rPr>
      </w:pPr>
      <w:r>
        <w:rPr>
          <w:rFonts w:hint="eastAsia" w:ascii="宋体" w:hAnsi="宋体" w:eastAsia="宋体" w:cs="宋体"/>
          <w:sz w:val="28"/>
          <w:szCs w:val="28"/>
        </w:rPr>
        <w:t>联系方式：</w:t>
      </w:r>
      <w:r>
        <w:rPr>
          <w:rFonts w:hint="eastAsia" w:ascii="宋体" w:hAnsi="宋体" w:eastAsia="宋体" w:cs="宋体"/>
          <w:sz w:val="28"/>
          <w:szCs w:val="28"/>
          <w:u w:val="single"/>
        </w:rPr>
        <w:t>　</w:t>
      </w:r>
      <w:r>
        <w:rPr>
          <w:rFonts w:hint="eastAsia" w:ascii="宋体" w:hAnsi="宋体" w:eastAsia="宋体" w:cs="宋体"/>
          <w:sz w:val="28"/>
          <w:szCs w:val="28"/>
          <w:u w:val="single"/>
          <w:lang w:val="en-US" w:eastAsia="zh-CN"/>
        </w:rPr>
        <w:t>刘</w:t>
      </w:r>
      <w:r>
        <w:rPr>
          <w:rFonts w:hint="eastAsia" w:ascii="宋体" w:hAnsi="宋体" w:eastAsia="宋体" w:cs="宋体"/>
          <w:sz w:val="28"/>
          <w:szCs w:val="28"/>
          <w:u w:val="single"/>
        </w:rPr>
        <w:t>女士　　</w:t>
      </w:r>
      <w:r>
        <w:rPr>
          <w:rFonts w:hint="eastAsia" w:ascii="宋体" w:hAnsi="宋体" w:eastAsia="宋体" w:cs="宋体"/>
          <w:sz w:val="28"/>
          <w:szCs w:val="28"/>
          <w:u w:val="single"/>
          <w:lang w:val="en-US" w:eastAsia="zh-CN"/>
        </w:rPr>
        <w:t>15152890847</w:t>
      </w:r>
      <w:r>
        <w:rPr>
          <w:rFonts w:hint="eastAsia"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
    <w:p>
      <w:pPr>
        <w:spacing w:line="500" w:lineRule="exact"/>
        <w:jc w:val="center"/>
        <w:rPr>
          <w:rFonts w:hint="eastAsia" w:ascii="宋体" w:hAnsi="宋体" w:eastAsia="宋体" w:cs="宋体"/>
          <w:b/>
          <w:bCs/>
          <w:color w:val="000000"/>
          <w:sz w:val="36"/>
          <w:szCs w:val="36"/>
          <w:lang w:val="zh-CN"/>
        </w:rPr>
      </w:pPr>
    </w:p>
    <w:p>
      <w:pPr>
        <w:spacing w:line="500" w:lineRule="exact"/>
        <w:jc w:val="center"/>
        <w:rPr>
          <w:rFonts w:hint="eastAsia" w:ascii="宋体" w:hAnsi="宋体" w:eastAsia="宋体" w:cs="宋体"/>
          <w:b/>
          <w:bCs/>
          <w:color w:val="000000"/>
          <w:sz w:val="36"/>
          <w:szCs w:val="36"/>
          <w:lang w:val="zh-CN"/>
        </w:rPr>
      </w:pPr>
    </w:p>
    <w:p>
      <w:pPr>
        <w:spacing w:line="500" w:lineRule="exact"/>
        <w:jc w:val="center"/>
        <w:rPr>
          <w:rFonts w:hint="eastAsia" w:ascii="宋体" w:hAnsi="宋体" w:eastAsia="宋体" w:cs="宋体"/>
          <w:b/>
          <w:bCs/>
          <w:color w:val="000000"/>
          <w:sz w:val="36"/>
          <w:szCs w:val="36"/>
          <w:lang w:val="zh-CN"/>
        </w:rPr>
      </w:pPr>
    </w:p>
    <w:p>
      <w:pPr>
        <w:spacing w:line="500" w:lineRule="exact"/>
        <w:jc w:val="center"/>
        <w:rPr>
          <w:rFonts w:hint="eastAsia" w:ascii="宋体" w:hAnsi="宋体" w:eastAsia="宋体" w:cs="宋体"/>
          <w:b/>
          <w:bCs/>
          <w:color w:val="000000"/>
          <w:sz w:val="36"/>
          <w:szCs w:val="36"/>
          <w:lang w:val="zh-CN"/>
        </w:rPr>
      </w:pPr>
    </w:p>
    <w:p>
      <w:pPr>
        <w:spacing w:line="500" w:lineRule="exact"/>
        <w:jc w:val="both"/>
        <w:rPr>
          <w:rFonts w:hint="eastAsia" w:ascii="宋体" w:hAnsi="宋体" w:eastAsia="宋体" w:cs="宋体"/>
          <w:b/>
          <w:bCs/>
          <w:color w:val="000000"/>
          <w:sz w:val="36"/>
          <w:szCs w:val="36"/>
          <w:lang w:val="zh-CN"/>
        </w:rPr>
      </w:pPr>
    </w:p>
    <w:p>
      <w:pPr>
        <w:spacing w:line="500" w:lineRule="exact"/>
        <w:jc w:val="both"/>
        <w:rPr>
          <w:rFonts w:hint="eastAsia" w:ascii="宋体" w:hAnsi="宋体" w:eastAsia="宋体" w:cs="宋体"/>
          <w:b/>
          <w:bCs/>
          <w:color w:val="000000"/>
          <w:sz w:val="36"/>
          <w:szCs w:val="36"/>
          <w:lang w:val="zh-CN"/>
        </w:rPr>
      </w:pPr>
    </w:p>
    <w:p>
      <w:pPr>
        <w:spacing w:line="500" w:lineRule="exact"/>
        <w:jc w:val="both"/>
        <w:rPr>
          <w:rFonts w:hint="eastAsia" w:ascii="宋体" w:hAnsi="宋体" w:eastAsia="宋体" w:cs="宋体"/>
          <w:b/>
          <w:bCs/>
          <w:color w:val="000000"/>
          <w:sz w:val="36"/>
          <w:szCs w:val="36"/>
          <w:lang w:val="zh-CN"/>
        </w:rPr>
      </w:pPr>
    </w:p>
    <w:p>
      <w:pPr>
        <w:spacing w:line="500" w:lineRule="exact"/>
        <w:jc w:val="both"/>
        <w:rPr>
          <w:rFonts w:hint="eastAsia" w:ascii="宋体" w:hAnsi="宋体" w:eastAsia="宋体" w:cs="宋体"/>
          <w:b/>
          <w:bCs/>
          <w:color w:val="000000"/>
          <w:sz w:val="36"/>
          <w:szCs w:val="36"/>
          <w:lang w:val="zh-CN"/>
        </w:rPr>
      </w:pP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p>
    <w:p>
      <w:pPr>
        <w:spacing w:line="500" w:lineRule="exact"/>
        <w:jc w:val="center"/>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投标人</w:t>
      </w:r>
      <w:r>
        <w:rPr>
          <w:rFonts w:hint="eastAsia" w:ascii="宋体" w:hAnsi="宋体" w:eastAsia="宋体" w:cs="宋体"/>
          <w:b/>
          <w:bCs/>
          <w:sz w:val="36"/>
          <w:szCs w:val="36"/>
          <w:lang w:val="zh-CN"/>
        </w:rPr>
        <w:t>须知</w:t>
      </w:r>
    </w:p>
    <w:p>
      <w:pPr>
        <w:spacing w:line="360" w:lineRule="auto"/>
        <w:contextualSpacing/>
        <w:rPr>
          <w:rFonts w:hint="default" w:ascii="仿宋" w:hAnsi="仿宋" w:eastAsia="仿宋" w:cs="Times New Roman"/>
          <w:b/>
          <w:bCs/>
          <w:sz w:val="28"/>
          <w:szCs w:val="28"/>
        </w:rPr>
      </w:pPr>
    </w:p>
    <w:p>
      <w:pPr>
        <w:spacing w:line="360" w:lineRule="auto"/>
        <w:ind w:firstLine="562"/>
        <w:outlineLvl w:val="0"/>
        <w:rPr>
          <w:rFonts w:hint="eastAsia" w:ascii="宋体" w:hAnsi="宋体" w:eastAsia="宋体" w:cs="宋体"/>
          <w:b/>
          <w:sz w:val="28"/>
          <w:szCs w:val="28"/>
        </w:rPr>
      </w:pPr>
      <w:r>
        <w:rPr>
          <w:rFonts w:hint="eastAsia" w:ascii="宋体" w:hAnsi="宋体" w:eastAsia="宋体" w:cs="宋体"/>
          <w:b/>
          <w:sz w:val="28"/>
          <w:szCs w:val="28"/>
        </w:rPr>
        <w:t>（一）总则</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1.采购方式</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1.1 本次招标采取公开招标方式，本招标文件仅适用于招标公告中所述项目。</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2.合格的投标人</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2.1满足招标公告中投标人的资格要求的规定。</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2.2 满足本文件实质性条款的规定。</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3.适用法律</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3.1 本次招标及由此产生的合同受中华人民共和国有关的法律法规制约和保护。</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4.投标费用</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4.1 投标人应自行承担所有与参加投标有关的费用，无论投标过程中的做法和结果如何，采购代理在任何情况下均无义务和责任承担这些费用。</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4.2 本次招标采购代理和采购人不收取标书工本费。</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5.招标文件的约束力</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5.1 投标人一旦参加本项目采购活动，即被认为接受了本招标文件的规定和约束。</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6.招标文件的解释</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6.1招标文件需求部分（投标人资格要求、项目需求、商务技术评分标准）由采购人解释，其它部分由采购代理解释。</w:t>
      </w:r>
    </w:p>
    <w:p>
      <w:pPr>
        <w:spacing w:line="360" w:lineRule="auto"/>
        <w:ind w:firstLine="562"/>
        <w:outlineLvl w:val="0"/>
        <w:rPr>
          <w:rFonts w:hint="eastAsia" w:ascii="宋体" w:hAnsi="宋体" w:eastAsia="宋体" w:cs="宋体"/>
          <w:b/>
          <w:sz w:val="28"/>
          <w:szCs w:val="28"/>
        </w:rPr>
      </w:pPr>
      <w:r>
        <w:rPr>
          <w:rFonts w:hint="eastAsia" w:ascii="宋体" w:hAnsi="宋体" w:eastAsia="宋体" w:cs="宋体"/>
          <w:b/>
          <w:sz w:val="28"/>
          <w:szCs w:val="28"/>
        </w:rPr>
        <w:t>（二）招标文件</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1.招标文件构成</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1.1 招标文件由以下部分组成：</w:t>
      </w:r>
    </w:p>
    <w:p>
      <w:pPr>
        <w:spacing w:line="360" w:lineRule="auto"/>
        <w:ind w:firstLine="420"/>
        <w:rPr>
          <w:rFonts w:hint="default" w:ascii="宋体" w:hAnsi="宋体" w:eastAsia="宋体" w:cs="宋体"/>
          <w:sz w:val="28"/>
          <w:szCs w:val="28"/>
        </w:rPr>
      </w:pPr>
      <w:r>
        <w:rPr>
          <w:rFonts w:hint="eastAsia" w:ascii="宋体" w:hAnsi="宋体" w:eastAsia="宋体" w:cs="宋体"/>
          <w:sz w:val="28"/>
          <w:szCs w:val="28"/>
        </w:rPr>
        <w:t>（1）招标</w:t>
      </w:r>
      <w:r>
        <w:rPr>
          <w:rFonts w:hint="eastAsia" w:ascii="宋体" w:hAnsi="宋体" w:eastAsia="宋体" w:cs="宋体"/>
          <w:bCs/>
          <w:sz w:val="28"/>
          <w:szCs w:val="28"/>
        </w:rPr>
        <w:t>公告</w:t>
      </w:r>
    </w:p>
    <w:p>
      <w:pPr>
        <w:spacing w:line="360" w:lineRule="auto"/>
        <w:ind w:firstLine="420"/>
        <w:rPr>
          <w:rFonts w:hint="eastAsia" w:ascii="宋体" w:hAnsi="宋体" w:eastAsia="宋体" w:cs="宋体"/>
          <w:sz w:val="28"/>
          <w:szCs w:val="28"/>
        </w:rPr>
      </w:pPr>
      <w:r>
        <w:rPr>
          <w:rFonts w:hint="eastAsia" w:ascii="宋体" w:hAnsi="宋体" w:eastAsia="宋体" w:cs="宋体"/>
          <w:sz w:val="28"/>
          <w:szCs w:val="28"/>
        </w:rPr>
        <w:t>（2）投标人须知</w:t>
      </w:r>
    </w:p>
    <w:p>
      <w:pPr>
        <w:spacing w:line="360" w:lineRule="auto"/>
        <w:ind w:firstLine="420"/>
        <w:rPr>
          <w:rFonts w:hint="eastAsia" w:ascii="宋体" w:hAnsi="宋体" w:eastAsia="宋体" w:cs="宋体"/>
          <w:sz w:val="28"/>
          <w:szCs w:val="28"/>
        </w:rPr>
      </w:pPr>
      <w:r>
        <w:rPr>
          <w:rFonts w:hint="eastAsia" w:ascii="宋体" w:hAnsi="宋体" w:eastAsia="宋体" w:cs="宋体"/>
          <w:sz w:val="28"/>
          <w:szCs w:val="28"/>
        </w:rPr>
        <w:t>（3）项目需求</w:t>
      </w:r>
    </w:p>
    <w:p>
      <w:pPr>
        <w:spacing w:line="360" w:lineRule="auto"/>
        <w:ind w:firstLine="420"/>
        <w:rPr>
          <w:rFonts w:hint="eastAsia" w:ascii="宋体" w:hAnsi="宋体" w:eastAsia="宋体" w:cs="宋体"/>
          <w:sz w:val="28"/>
          <w:szCs w:val="28"/>
        </w:rPr>
      </w:pPr>
      <w:r>
        <w:rPr>
          <w:rFonts w:hint="eastAsia" w:ascii="宋体" w:hAnsi="宋体" w:eastAsia="宋体" w:cs="宋体"/>
          <w:sz w:val="28"/>
          <w:szCs w:val="28"/>
        </w:rPr>
        <w:t>（4）评审方法和评审标准</w:t>
      </w:r>
    </w:p>
    <w:p>
      <w:pPr>
        <w:spacing w:line="360" w:lineRule="auto"/>
        <w:ind w:firstLine="420"/>
        <w:rPr>
          <w:rFonts w:hint="eastAsia" w:ascii="宋体" w:hAnsi="宋体" w:eastAsia="宋体" w:cs="宋体"/>
          <w:sz w:val="28"/>
          <w:szCs w:val="28"/>
        </w:rPr>
      </w:pPr>
      <w:r>
        <w:rPr>
          <w:rFonts w:hint="eastAsia" w:ascii="宋体" w:hAnsi="宋体" w:eastAsia="宋体" w:cs="宋体"/>
          <w:sz w:val="28"/>
          <w:szCs w:val="28"/>
        </w:rPr>
        <w:t>（5）投标文件组成</w:t>
      </w:r>
    </w:p>
    <w:p>
      <w:pPr>
        <w:spacing w:line="360" w:lineRule="auto"/>
        <w:ind w:firstLine="420"/>
        <w:rPr>
          <w:rFonts w:hint="eastAsia" w:ascii="宋体" w:hAnsi="宋体" w:eastAsia="宋体" w:cs="宋体"/>
          <w:sz w:val="28"/>
          <w:szCs w:val="28"/>
        </w:rPr>
      </w:pPr>
      <w:r>
        <w:rPr>
          <w:rFonts w:hint="eastAsia" w:ascii="宋体" w:hAnsi="宋体" w:eastAsia="宋体" w:cs="宋体"/>
          <w:sz w:val="28"/>
          <w:szCs w:val="28"/>
        </w:rPr>
        <w:t>（6）附件</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请仔细检查招标文件是否齐全，如有缺漏请立即与采购人或采购代理联系解决。</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2.招标文件的澄清</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2.1 任何要求对招标文件进行澄清的投标人，应在投标截止期十日前按招标公告中的通讯地址，以书面形式通知通知采购人或政府采购代理机构。采购人有权对发出的招标文件进行必要的澄清或修改。</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2.2采购人视情组织答疑会</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3.招标文件的修改</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3.1 在投标文件提交截止时间前，采购代理可以对招标文件进行修改。</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3.2 采购代理有权按照法定的要求推迟投标文件提交截止日期和投标日期。</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3.3 招标文件的修改将在江苏政府采购网公布，补充文件将作为招标文件的组成部分，并对投标人具有约束力。</w:t>
      </w:r>
    </w:p>
    <w:p>
      <w:pPr>
        <w:spacing w:line="360" w:lineRule="auto"/>
        <w:ind w:firstLine="560"/>
        <w:outlineLvl w:val="0"/>
        <w:rPr>
          <w:rFonts w:hint="eastAsia" w:ascii="宋体" w:hAnsi="宋体" w:eastAsia="宋体" w:cs="宋体"/>
          <w:b/>
          <w:bCs/>
          <w:sz w:val="28"/>
          <w:szCs w:val="28"/>
        </w:rPr>
      </w:pPr>
      <w:r>
        <w:rPr>
          <w:rFonts w:hint="eastAsia" w:ascii="宋体" w:hAnsi="宋体" w:eastAsia="宋体" w:cs="宋体"/>
          <w:sz w:val="28"/>
          <w:szCs w:val="28"/>
        </w:rPr>
        <w:t>4.</w:t>
      </w:r>
      <w:r>
        <w:rPr>
          <w:rFonts w:hint="eastAsia" w:ascii="宋体" w:hAnsi="宋体" w:eastAsia="宋体" w:cs="宋体"/>
          <w:b/>
          <w:bCs/>
          <w:sz w:val="28"/>
          <w:szCs w:val="28"/>
        </w:rPr>
        <w:t>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5.投标人对采购人提供的采购文件所做出的推论、解释和结论，采购人概不负责。投标人由于对采购文件的任何推论和误解以及采购人对有关问题的口头解释所造成的后果，均由各潜在投标人自负。</w:t>
      </w:r>
    </w:p>
    <w:p>
      <w:pPr>
        <w:spacing w:line="360" w:lineRule="auto"/>
        <w:ind w:firstLine="562"/>
        <w:outlineLvl w:val="0"/>
        <w:rPr>
          <w:rFonts w:hint="eastAsia" w:ascii="宋体" w:hAnsi="宋体" w:eastAsia="宋体" w:cs="宋体"/>
          <w:b/>
          <w:sz w:val="28"/>
          <w:szCs w:val="28"/>
        </w:rPr>
      </w:pPr>
      <w:r>
        <w:rPr>
          <w:rFonts w:hint="eastAsia" w:ascii="宋体" w:hAnsi="宋体" w:eastAsia="宋体" w:cs="宋体"/>
          <w:b/>
          <w:sz w:val="28"/>
          <w:szCs w:val="28"/>
        </w:rPr>
        <w:t>（三）投标文件的编制</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1.投标文件的语言及度量衡单位</w:t>
      </w:r>
    </w:p>
    <w:p>
      <w:pPr>
        <w:spacing w:line="360" w:lineRule="auto"/>
        <w:ind w:firstLine="560"/>
        <w:rPr>
          <w:rFonts w:hint="default" w:ascii="宋体" w:hAnsi="宋体" w:eastAsia="宋体" w:cs="Times New Roman"/>
          <w:sz w:val="28"/>
          <w:szCs w:val="28"/>
        </w:rPr>
      </w:pPr>
      <w:r>
        <w:rPr>
          <w:rFonts w:hint="eastAsia" w:ascii="宋体" w:hAnsi="宋体" w:eastAsia="宋体" w:cs="宋体"/>
          <w:sz w:val="28"/>
          <w:szCs w:val="28"/>
        </w:rPr>
        <w:t>1.1</w:t>
      </w:r>
      <w:r>
        <w:rPr>
          <w:rFonts w:hint="default" w:ascii="宋体" w:hAnsi="宋体" w:eastAsia="宋体" w:cs="Times New Roman"/>
          <w:sz w:val="28"/>
          <w:szCs w:val="28"/>
        </w:rPr>
        <w:t>投标人提交的投标文件以及投标人与</w:t>
      </w:r>
      <w:r>
        <w:rPr>
          <w:rFonts w:hint="eastAsia" w:ascii="宋体" w:hAnsi="宋体" w:eastAsia="宋体" w:cs="Times New Roman"/>
          <w:sz w:val="28"/>
          <w:szCs w:val="28"/>
        </w:rPr>
        <w:t>采购人或采购代理机构</w:t>
      </w:r>
      <w:r>
        <w:rPr>
          <w:rFonts w:hint="default" w:ascii="宋体" w:hAnsi="宋体" w:eastAsia="宋体" w:cs="Times New Roman"/>
          <w:sz w:val="28"/>
          <w:szCs w:val="28"/>
        </w:rPr>
        <w:t>就有关投标的所有来往通知、函件和文件均应使用</w:t>
      </w:r>
      <w:r>
        <w:rPr>
          <w:rFonts w:hint="default" w:ascii="宋体" w:hAnsi="宋体" w:eastAsia="宋体" w:cs="Times New Roman"/>
          <w:bCs/>
          <w:sz w:val="28"/>
          <w:szCs w:val="28"/>
        </w:rPr>
        <w:t>简体中文</w:t>
      </w:r>
      <w:r>
        <w:rPr>
          <w:rFonts w:hint="default" w:ascii="宋体" w:hAnsi="宋体" w:eastAsia="宋体" w:cs="Times New Roman"/>
          <w:sz w:val="28"/>
          <w:szCs w:val="28"/>
        </w:rPr>
        <w:t>。</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1.2 除技术性能另有规定外，投标文件所使用的度量衡单位，均须采用国家法定计量单位。</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2.投标文件构成</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2.1 投标人编写的投标文件应包括资格审查证明材料文件、商务技术标文件、价格标文件。投标人按“第七部分 投标文件组成”要求编写投标文件。</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3.投标有效期</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3.1投标有效期为采购中心规定的开标之日后</w:t>
      </w:r>
      <w:r>
        <w:rPr>
          <w:rFonts w:hint="eastAsia" w:ascii="宋体" w:hAnsi="宋体" w:eastAsia="宋体" w:cs="宋体"/>
          <w:b/>
          <w:bCs/>
          <w:sz w:val="28"/>
          <w:szCs w:val="28"/>
          <w:u w:val="single"/>
        </w:rPr>
        <w:t>六十（60）天</w:t>
      </w:r>
      <w:r>
        <w:rPr>
          <w:rFonts w:hint="eastAsia" w:ascii="宋体" w:hAnsi="宋体" w:eastAsia="宋体" w:cs="宋体"/>
          <w:sz w:val="28"/>
          <w:szCs w:val="28"/>
        </w:rPr>
        <w:t>。投标有效期比规定短的将被视为未实质性响应招标文件而予以拒绝。</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4. 投标有效期的延长</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5.电子投标文件其他要求</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5.1电子招标投标交易平台（即“苏采云”系统）相关要求是本采购文件的组成部分。</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5.2投标人应对CA证书妥善保管，如被他人盗用投标，因此带来的结果均由投标人自行承担。</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5.3投标人应当对采购文件提出的实质性要求和条件作出实质性响应，并在电子投标系统逐条应答。</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5.5招标文件对证明文件无明确形式要求的，证明文件可以以文字资料、图纸和数据等形式提交。</w:t>
      </w:r>
    </w:p>
    <w:p>
      <w:pPr>
        <w:spacing w:line="360" w:lineRule="auto"/>
        <w:ind w:firstLine="560"/>
        <w:outlineLvl w:val="0"/>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b/>
          <w:bCs/>
          <w:sz w:val="28"/>
          <w:szCs w:val="28"/>
        </w:rPr>
        <w:t>投标人应当在采购文件要求提交投标文件的截止时间前，将投标文件提交至“苏采云”系统，逾期提交的投标文件，“苏采云”系统将自动拒收。各投标人应在规定时间内凭CA证书进行网上解密。</w:t>
      </w:r>
    </w:p>
    <w:p>
      <w:pPr>
        <w:spacing w:line="360" w:lineRule="auto"/>
        <w:ind w:firstLine="562"/>
        <w:outlineLvl w:val="0"/>
        <w:rPr>
          <w:rFonts w:hint="eastAsia" w:ascii="宋体" w:hAnsi="宋体" w:eastAsia="宋体" w:cs="宋体"/>
          <w:b/>
          <w:sz w:val="28"/>
          <w:szCs w:val="28"/>
        </w:rPr>
      </w:pPr>
      <w:r>
        <w:rPr>
          <w:rFonts w:hint="eastAsia" w:ascii="宋体" w:hAnsi="宋体" w:eastAsia="宋体" w:cs="宋体"/>
          <w:b/>
          <w:sz w:val="28"/>
          <w:szCs w:val="28"/>
        </w:rPr>
        <w:t>（四）投标文件的提交</w:t>
      </w:r>
    </w:p>
    <w:p>
      <w:pPr>
        <w:keepNext/>
        <w:spacing w:line="360" w:lineRule="auto"/>
        <w:ind w:firstLine="560"/>
        <w:outlineLvl w:val="3"/>
        <w:rPr>
          <w:rFonts w:hint="eastAsia" w:ascii="宋体" w:hAnsi="宋体" w:eastAsia="宋体" w:cs="宋体"/>
          <w:b/>
          <w:bCs/>
          <w:sz w:val="28"/>
          <w:szCs w:val="28"/>
        </w:rPr>
      </w:pPr>
      <w:r>
        <w:rPr>
          <w:rFonts w:hint="eastAsia" w:ascii="宋体" w:hAnsi="宋体" w:eastAsia="宋体" w:cs="宋体"/>
          <w:sz w:val="28"/>
          <w:szCs w:val="28"/>
        </w:rPr>
        <w:t>1.投标文件的提交</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1.1线上提交与接收地点：投标人应当通过“苏采云”系统提交数据电文形式的投标文件（即电子投标），“苏采云”系统自动接收。</w:t>
      </w:r>
    </w:p>
    <w:p>
      <w:pPr>
        <w:spacing w:line="360" w:lineRule="auto"/>
        <w:ind w:firstLine="562"/>
        <w:rPr>
          <w:rFonts w:hint="eastAsia" w:ascii="宋体" w:hAnsi="宋体" w:eastAsia="宋体" w:cs="宋体"/>
          <w:b/>
          <w:bCs/>
          <w:sz w:val="28"/>
          <w:szCs w:val="28"/>
        </w:rPr>
      </w:pPr>
      <w:r>
        <w:rPr>
          <w:rFonts w:hint="eastAsia" w:ascii="宋体" w:hAnsi="宋体" w:eastAsia="宋体" w:cs="宋体"/>
          <w:b/>
          <w:bCs/>
          <w:sz w:val="28"/>
          <w:szCs w:val="28"/>
        </w:rPr>
        <w:t>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2.投标文件截止日期</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2.1 投标人上传电子投标文件的时间不得迟于招标公告中规定的投标文件提交截止时间。</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投标人应充分考虑到网络环境、网络带宽等风险因素，如因投标人自身原因造成的电子投标文件上传不成功由投标人自行承担全部责任。</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采购代理</w:t>
      </w:r>
      <w:r>
        <w:rPr>
          <w:rFonts w:hint="eastAsia" w:ascii="宋体" w:hAnsi="宋体" w:eastAsia="宋体" w:cs="宋体"/>
          <w:bCs/>
          <w:sz w:val="28"/>
          <w:szCs w:val="28"/>
        </w:rPr>
        <w:t>可以按照规定，通过修改投标文件延长投标文件提交截止日期，在此情况下，投标人的所有权利和义务以及投标人受制的截止日期均应以延长后新的截止日期为准。</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3.投标文件的密封（加密）要求：</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3.1投标人应当按照采购文件和“苏采云”系统的要求编制并加密投标文件。本项目投标人须通过“苏采云”系统提供的政府采购客户端工具（使用“CA数字证书”）对其数据电文形式的投标文件加密。</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3.2投标人须通过“苏采云”系统提供的政府采购客户端工具（使用“CA数字证书”）加盖电子签章。</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说明：投标人应在用CA数字证书以及自备的能够登录“苏采云”系统的电脑，在达到开标时间后，使用CA数字证书解密各自投标文件。</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3.3投标人未按规定加密的投标文件，“苏采云”系统应当拒收并提示。</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4.投标文件的拒收</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采购代理</w:t>
      </w:r>
      <w:r>
        <w:rPr>
          <w:rFonts w:hint="eastAsia" w:ascii="宋体" w:hAnsi="宋体" w:eastAsia="宋体" w:cs="宋体"/>
          <w:bCs/>
          <w:sz w:val="28"/>
          <w:szCs w:val="28"/>
        </w:rPr>
        <w:t>拒绝接收在其规定的投标文件提交截止时间后上传的任何投标文件。</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5.投标文件的撤回和修改</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5.1 投标文件的撤回</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5.1.1 电子投标文件的撤回</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投标人可在投标文件提交截止时间前，撤回其电子投标文件，具体操作方法见CA办理指南及“苏采云”操作手册。</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5.1.2 投标人撤回电子投标文件，则认为其不再参与</w:t>
      </w:r>
      <w:r>
        <w:rPr>
          <w:rFonts w:hint="default" w:ascii="宋体" w:hAnsi="宋体" w:eastAsia="宋体" w:cs="Times New Roman"/>
          <w:sz w:val="28"/>
          <w:szCs w:val="28"/>
        </w:rPr>
        <w:t>本项目投标活动</w:t>
      </w:r>
      <w:r>
        <w:rPr>
          <w:rFonts w:hint="eastAsia" w:ascii="宋体" w:hAnsi="宋体" w:eastAsia="宋体" w:cs="宋体"/>
          <w:bCs/>
          <w:sz w:val="28"/>
          <w:szCs w:val="28"/>
        </w:rPr>
        <w:t>。</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5.2 投标文件的修改</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投标人可在投标文件提交截止时间前，对其电子投标文件进行修改。</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5.3 在投标文件提交截止时间之后，投标人不得对其电子投标文件作任何修改。</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在投标截止时间至招标文件中规定的投标有效期满之间的这段时间内，投标人不得撤回其投标。</w:t>
      </w:r>
    </w:p>
    <w:p>
      <w:pPr>
        <w:spacing w:line="360" w:lineRule="auto"/>
        <w:ind w:firstLine="562"/>
        <w:outlineLvl w:val="0"/>
        <w:rPr>
          <w:rFonts w:hint="eastAsia" w:ascii="宋体" w:hAnsi="宋体" w:eastAsia="宋体" w:cs="宋体"/>
          <w:b/>
          <w:sz w:val="28"/>
          <w:szCs w:val="28"/>
        </w:rPr>
      </w:pPr>
      <w:r>
        <w:rPr>
          <w:rFonts w:hint="eastAsia" w:ascii="宋体" w:hAnsi="宋体" w:eastAsia="宋体" w:cs="宋体"/>
          <w:b/>
          <w:sz w:val="28"/>
          <w:szCs w:val="28"/>
        </w:rPr>
        <w:t>（五）开标与评标</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1.开标</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1.1</w:t>
      </w:r>
      <w:r>
        <w:rPr>
          <w:rFonts w:hint="eastAsia" w:ascii="宋体" w:hAnsi="宋体" w:eastAsia="宋体" w:cs="宋体"/>
          <w:sz w:val="28"/>
          <w:szCs w:val="28"/>
        </w:rPr>
        <w:t>采购代理</w:t>
      </w:r>
      <w:r>
        <w:rPr>
          <w:rFonts w:hint="eastAsia" w:ascii="宋体" w:hAnsi="宋体" w:eastAsia="宋体" w:cs="宋体"/>
          <w:bCs/>
          <w:sz w:val="28"/>
          <w:szCs w:val="28"/>
        </w:rPr>
        <w:t>将在招标公告中规定的时间和地点组织公开开标。</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投标投标人在开标室按规定时间自行实施远程解密，投标投标人解密限定在开标后30分钟之内完成</w:t>
      </w:r>
      <w:r>
        <w:rPr>
          <w:rFonts w:hint="eastAsia" w:ascii="宋体" w:hAnsi="宋体" w:eastAsia="宋体" w:cs="宋体"/>
          <w:b/>
          <w:bCs/>
          <w:sz w:val="28"/>
          <w:szCs w:val="28"/>
        </w:rPr>
        <w:t>。</w:t>
      </w:r>
      <w:r>
        <w:rPr>
          <w:rFonts w:hint="eastAsia" w:ascii="宋体" w:hAnsi="宋体" w:eastAsia="宋体" w:cs="宋体"/>
          <w:sz w:val="28"/>
          <w:szCs w:val="28"/>
        </w:rPr>
        <w:t>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开标仪</w:t>
      </w:r>
      <w:r>
        <w:rPr>
          <w:rFonts w:hint="default" w:ascii="宋体" w:hAnsi="宋体" w:eastAsia="宋体" w:cs="Times New Roman"/>
          <w:sz w:val="28"/>
          <w:szCs w:val="28"/>
        </w:rPr>
        <w:t>式由</w:t>
      </w:r>
      <w:r>
        <w:rPr>
          <w:rFonts w:hint="eastAsia" w:ascii="宋体" w:hAnsi="宋体" w:eastAsia="宋体" w:cs="Times New Roman"/>
          <w:sz w:val="28"/>
          <w:szCs w:val="28"/>
        </w:rPr>
        <w:t>采购代理机构</w:t>
      </w:r>
      <w:r>
        <w:rPr>
          <w:rFonts w:hint="default" w:ascii="宋体" w:hAnsi="宋体" w:eastAsia="宋体" w:cs="Times New Roman"/>
          <w:sz w:val="28"/>
          <w:szCs w:val="28"/>
        </w:rPr>
        <w:t>组织，在不见面交易系统中进行开标，并公布各投标人的《开标一览表》。</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2.评标委员会</w:t>
      </w:r>
    </w:p>
    <w:p>
      <w:pPr>
        <w:spacing w:line="360" w:lineRule="auto"/>
        <w:ind w:firstLine="560"/>
        <w:rPr>
          <w:rFonts w:hint="default" w:ascii="宋体" w:hAnsi="宋体" w:eastAsia="宋体" w:cs="Times New Roman"/>
          <w:sz w:val="28"/>
          <w:szCs w:val="28"/>
        </w:rPr>
      </w:pPr>
      <w:r>
        <w:rPr>
          <w:rFonts w:hint="eastAsia" w:ascii="宋体" w:hAnsi="宋体" w:eastAsia="宋体" w:cs="宋体"/>
          <w:sz w:val="28"/>
          <w:szCs w:val="28"/>
        </w:rPr>
        <w:t>2.1</w:t>
      </w:r>
      <w:r>
        <w:rPr>
          <w:rFonts w:hint="default" w:ascii="宋体" w:hAnsi="宋体" w:eastAsia="宋体" w:cs="Times New Roman"/>
          <w:sz w:val="28"/>
          <w:szCs w:val="28"/>
        </w:rPr>
        <w:t>开标后，</w:t>
      </w:r>
      <w:r>
        <w:rPr>
          <w:rFonts w:hint="eastAsia" w:ascii="宋体" w:hAnsi="宋体" w:eastAsia="宋体" w:cs="Times New Roman"/>
          <w:sz w:val="28"/>
          <w:szCs w:val="28"/>
        </w:rPr>
        <w:t>采购人或采购代理机构</w:t>
      </w:r>
      <w:r>
        <w:rPr>
          <w:rFonts w:hint="default" w:ascii="宋体" w:hAnsi="宋体" w:eastAsia="宋体" w:cs="Times New Roman"/>
          <w:sz w:val="28"/>
          <w:szCs w:val="28"/>
        </w:rPr>
        <w:t>将立即组织评标委员会（以下简称评委会）进行评标。</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2.2评委会由采购人代表和有关技术、经济等方面的专家组成，且人员构成符合政府采购有关规定。</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2.3评委会独立工作，负责评审所有投标文件并确定中标侯选人。</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 评审过程的保密与公正</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3.1</w:t>
      </w:r>
      <w:r>
        <w:rPr>
          <w:rFonts w:hint="default" w:ascii="宋体" w:hAnsi="宋体" w:eastAsia="宋体" w:cs="Times New Roman"/>
          <w:bCs/>
          <w:sz w:val="28"/>
          <w:szCs w:val="28"/>
        </w:rPr>
        <w:t>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采购代理机构</w:t>
      </w:r>
      <w:r>
        <w:rPr>
          <w:rFonts w:hint="default" w:ascii="宋体" w:hAnsi="宋体" w:eastAsia="宋体" w:cs="Times New Roman"/>
          <w:bCs/>
          <w:sz w:val="28"/>
          <w:szCs w:val="28"/>
        </w:rPr>
        <w:t>均不得向投标人或与评标无关的其他人员透露。</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3.2在评审过程中，投标人不得以任何行为影响评审过程，否则其投标文件将被作为无效投标文件。</w:t>
      </w:r>
    </w:p>
    <w:p>
      <w:pPr>
        <w:spacing w:line="360" w:lineRule="auto"/>
        <w:ind w:firstLine="560"/>
        <w:rPr>
          <w:rFonts w:hint="default" w:ascii="宋体" w:hAnsi="宋体" w:eastAsia="宋体" w:cs="Times New Roman"/>
          <w:sz w:val="28"/>
          <w:szCs w:val="28"/>
        </w:rPr>
      </w:pPr>
      <w:r>
        <w:rPr>
          <w:rFonts w:hint="eastAsia" w:ascii="宋体" w:hAnsi="宋体" w:eastAsia="宋体" w:cs="宋体"/>
          <w:sz w:val="28"/>
          <w:szCs w:val="28"/>
        </w:rPr>
        <w:t>3.3</w:t>
      </w:r>
      <w:r>
        <w:rPr>
          <w:rFonts w:hint="default" w:ascii="宋体" w:hAnsi="宋体" w:eastAsia="宋体" w:cs="Times New Roman"/>
          <w:sz w:val="28"/>
          <w:szCs w:val="28"/>
        </w:rPr>
        <w:t>在评标期间，</w:t>
      </w:r>
      <w:r>
        <w:rPr>
          <w:rFonts w:hint="eastAsia" w:ascii="宋体" w:hAnsi="宋体" w:eastAsia="宋体" w:cs="Times New Roman"/>
          <w:sz w:val="28"/>
          <w:szCs w:val="28"/>
        </w:rPr>
        <w:t>采购代理机构</w:t>
      </w:r>
      <w:r>
        <w:rPr>
          <w:rFonts w:hint="default" w:ascii="宋体" w:hAnsi="宋体" w:eastAsia="宋体" w:cs="Times New Roman"/>
          <w:sz w:val="28"/>
          <w:szCs w:val="28"/>
        </w:rPr>
        <w:t>将设专门人员与投标人联系。</w:t>
      </w:r>
    </w:p>
    <w:p>
      <w:pPr>
        <w:spacing w:line="360" w:lineRule="auto"/>
        <w:ind w:firstLine="560"/>
        <w:rPr>
          <w:rFonts w:hint="default" w:ascii="宋体" w:hAnsi="宋体" w:eastAsia="宋体" w:cs="Times New Roman"/>
          <w:sz w:val="28"/>
          <w:szCs w:val="28"/>
        </w:rPr>
      </w:pPr>
      <w:r>
        <w:rPr>
          <w:rFonts w:hint="eastAsia" w:ascii="宋体" w:hAnsi="宋体" w:eastAsia="宋体" w:cs="宋体"/>
          <w:sz w:val="28"/>
          <w:szCs w:val="28"/>
        </w:rPr>
        <w:t>3.4</w:t>
      </w:r>
      <w:r>
        <w:rPr>
          <w:rFonts w:hint="eastAsia" w:ascii="宋体" w:hAnsi="宋体" w:eastAsia="宋体" w:cs="Times New Roman"/>
          <w:sz w:val="28"/>
          <w:szCs w:val="28"/>
        </w:rPr>
        <w:t>采购人或采购代理机构</w:t>
      </w:r>
      <w:r>
        <w:rPr>
          <w:rFonts w:hint="default" w:ascii="宋体" w:hAnsi="宋体" w:eastAsia="宋体" w:cs="Times New Roman"/>
          <w:sz w:val="28"/>
          <w:szCs w:val="28"/>
        </w:rPr>
        <w:t>和评标委员会不向未中标的投标人解释未中标原因，也不公布评标过程中的相关细节。</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3.5</w:t>
      </w:r>
      <w:r>
        <w:rPr>
          <w:rFonts w:hint="default" w:ascii="宋体" w:hAnsi="宋体" w:eastAsia="宋体" w:cs="Times New Roman"/>
          <w:sz w:val="28"/>
          <w:szCs w:val="28"/>
        </w:rPr>
        <w:t>采用综合评分法的项目，公布评标结果时一并公布所有投标人的评审得分及排序情况。</w:t>
      </w:r>
    </w:p>
    <w:p>
      <w:pPr>
        <w:tabs>
          <w:tab w:val="left" w:pos="900"/>
        </w:tabs>
        <w:spacing w:line="360" w:lineRule="auto"/>
        <w:ind w:firstLine="557"/>
        <w:rPr>
          <w:rFonts w:hint="eastAsia" w:ascii="宋体" w:hAnsi="宋体" w:eastAsia="宋体" w:cs="宋体"/>
          <w:sz w:val="28"/>
          <w:szCs w:val="28"/>
        </w:rPr>
      </w:pPr>
      <w:r>
        <w:rPr>
          <w:rFonts w:hint="eastAsia" w:ascii="宋体" w:hAnsi="宋体" w:eastAsia="宋体" w:cs="宋体"/>
          <w:sz w:val="28"/>
          <w:szCs w:val="28"/>
        </w:rPr>
        <w:t>4、投标文件的澄清</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4.1评标期间，评委会对投标文件中含义不明确、同类问题表述不一致或者有明显文字和计算错误的内容 ，有权要求投标人作出必要的澄清、说明或者补正。</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4.2接到评委会澄清要求的投标人应派人按评委规定的时间内做出澄清，澄清的内容作为投标文件的补充部分，但实质性的内容不得做任何更改。</w:t>
      </w:r>
    </w:p>
    <w:p>
      <w:pPr>
        <w:spacing w:line="360" w:lineRule="auto"/>
        <w:ind w:firstLine="560"/>
        <w:rPr>
          <w:rFonts w:hint="eastAsia" w:ascii="宋体" w:hAnsi="宋体" w:eastAsia="宋体" w:cs="宋体"/>
          <w:bCs/>
          <w:sz w:val="28"/>
          <w:szCs w:val="28"/>
        </w:rPr>
      </w:pPr>
      <w:r>
        <w:rPr>
          <w:rFonts w:hint="eastAsia" w:ascii="宋体" w:hAnsi="宋体" w:eastAsia="宋体" w:cs="宋体"/>
          <w:sz w:val="28"/>
          <w:szCs w:val="28"/>
        </w:rPr>
        <w:t>4.3 接到评委会澄清、说明和补正要求的投标人如未按规定做出澄清、说明和补正，其风险由投标人自行承担。</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5.对投标文件的初审</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5.1投标文件初审分为资格性审查和符合性审查。</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5.1.1资格性检查：依据法律法规和招标文件的规定，由采购人对投标文件中的资格审查证明材料进行审查，资格审查的结论，采购人以书面形式向评委会进行反馈。</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接受联合体的项目，两个以上的自然人、法人或者其他组织组成一个联合体，以一个投标人的身份共同参加政府采购活动的,联合体成员中任何一方存在不良信用记录的，视同联合体存在不良应用记录。</w:t>
      </w:r>
    </w:p>
    <w:p>
      <w:pPr>
        <w:spacing w:line="360" w:lineRule="auto"/>
        <w:ind w:firstLine="560"/>
        <w:rPr>
          <w:rFonts w:hint="default" w:ascii="宋体" w:hAnsi="宋体" w:eastAsia="宋体" w:cs="Times New Roman"/>
          <w:bCs/>
          <w:sz w:val="28"/>
          <w:szCs w:val="28"/>
        </w:rPr>
      </w:pPr>
      <w:r>
        <w:rPr>
          <w:rFonts w:hint="eastAsia" w:ascii="宋体" w:hAnsi="宋体" w:eastAsia="宋体" w:cs="宋体"/>
          <w:bCs/>
          <w:sz w:val="28"/>
          <w:szCs w:val="28"/>
        </w:rPr>
        <w:t>5.1.2</w:t>
      </w:r>
      <w:r>
        <w:rPr>
          <w:rFonts w:hint="default" w:ascii="宋体" w:hAnsi="宋体" w:eastAsia="宋体" w:cs="Times New Roman"/>
          <w:bCs/>
          <w:sz w:val="28"/>
          <w:szCs w:val="28"/>
        </w:rPr>
        <w:t>符合性审查：依据招标文件的规定，由评委会从投标文件的有效性、完整性和对招标文件的响应程度进行审查，以确定是否对招标文件的实质性要求作出响应。</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5.1.3未通过资格审查或符合性审查的投标人，采购代理告知未通过资格审查或符合性审查的原因，评审结束后，采购代理将不再告知未通过资格审查或符合性审查的原因。</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评委决定投标文件的响应性只根据投标文件本身的内容，而不寻求外部的证据。</w:t>
      </w:r>
    </w:p>
    <w:p>
      <w:pPr>
        <w:spacing w:line="360" w:lineRule="auto"/>
        <w:ind w:firstLine="560"/>
        <w:rPr>
          <w:rFonts w:hint="default" w:ascii="宋体" w:hAnsi="宋体" w:eastAsia="宋体" w:cs="Times New Roman"/>
          <w:bCs/>
          <w:sz w:val="28"/>
          <w:szCs w:val="28"/>
        </w:rPr>
      </w:pPr>
      <w:r>
        <w:rPr>
          <w:rFonts w:hint="eastAsia" w:ascii="宋体" w:hAnsi="宋体" w:eastAsia="宋体" w:cs="宋体"/>
          <w:bCs/>
          <w:sz w:val="28"/>
          <w:szCs w:val="28"/>
        </w:rPr>
        <w:t>5.3</w:t>
      </w:r>
      <w:r>
        <w:rPr>
          <w:rFonts w:hint="default" w:ascii="宋体" w:hAnsi="宋体" w:eastAsia="宋体" w:cs="Times New Roman"/>
          <w:bCs/>
          <w:sz w:val="28"/>
          <w:szCs w:val="28"/>
        </w:rPr>
        <w:t>如果投标文件实质上没有响应招标文件的要求，评委会将予以拒绝，投标人不得通过修改或撤销不合要求的偏离或保留而使其投标成为实质性响应的投标。</w:t>
      </w:r>
    </w:p>
    <w:p>
      <w:pPr>
        <w:spacing w:line="360" w:lineRule="auto"/>
        <w:ind w:firstLine="560"/>
        <w:rPr>
          <w:rFonts w:hint="default" w:ascii="宋体" w:hAnsi="宋体" w:eastAsia="宋体" w:cs="Times New Roman"/>
          <w:bCs/>
          <w:sz w:val="28"/>
          <w:szCs w:val="28"/>
        </w:rPr>
      </w:pPr>
      <w:r>
        <w:rPr>
          <w:rFonts w:hint="eastAsia" w:ascii="宋体" w:hAnsi="宋体" w:eastAsia="宋体" w:cs="宋体"/>
          <w:bCs/>
          <w:sz w:val="28"/>
          <w:szCs w:val="28"/>
        </w:rPr>
        <w:t>5.4</w:t>
      </w:r>
      <w:r>
        <w:rPr>
          <w:rFonts w:hint="default" w:ascii="宋体" w:hAnsi="宋体" w:eastAsia="宋体" w:cs="Times New Roman"/>
          <w:bCs/>
          <w:sz w:val="28"/>
          <w:szCs w:val="28"/>
        </w:rPr>
        <w:t>评委会将对确定为实质性响应的投标进行进一步审核，看其是否有计算上或累加上的算术错误，修正错误的原则如下：</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（1）投标文件中开标一览表内容与投标文件中相应内容不一致的，以开标一览表为准。</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（2）大写金额和小写金额不一致的，以大写金额为准。</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（3）单价金额小数点或者百分比有明显错位的，以开标一览表的总价为准，并修改单价。</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（4）总价金额与按单价汇总金额不一致的，以单价金额计算结果为准。</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同时出现两种以上错误的，按照前款规定的顺序修正。</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5.5评委会将按上述修正错误的方法调整投标文件中的报价，现场告知投标人，调整后的价格应对投标人具有约束力。如果投标人不接受修正后的价格，则其投标将被拒绝。</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5.6评委会将允许修正投标文件中不构成重大偏离的、微小的、非正规的、不一致的或不规则的地方，但这些修改不能影响任何投标人相应的名次排列。</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spacing w:line="360" w:lineRule="auto"/>
        <w:ind w:firstLine="420"/>
        <w:rPr>
          <w:rFonts w:hint="default" w:ascii="宋体" w:hAnsi="宋体" w:eastAsia="宋体" w:cs="Times New Roman"/>
          <w:sz w:val="28"/>
          <w:szCs w:val="28"/>
        </w:rPr>
      </w:pPr>
      <w:r>
        <w:rPr>
          <w:rFonts w:hint="default" w:ascii="宋体" w:hAnsi="宋体" w:eastAsia="宋体" w:cs="Times New Roman"/>
          <w:sz w:val="28"/>
          <w:szCs w:val="28"/>
        </w:rPr>
        <w:t>非单一产品采购项目，招标文件中将载明其中的核心产品。多家投标人提供的核心产品品牌相同的，按前两款规定处理。</w:t>
      </w:r>
    </w:p>
    <w:p>
      <w:pPr>
        <w:spacing w:line="360" w:lineRule="auto"/>
        <w:ind w:firstLine="420"/>
        <w:rPr>
          <w:rFonts w:hint="default" w:ascii="宋体" w:hAnsi="宋体" w:eastAsia="宋体" w:cs="Times New Roman"/>
          <w:sz w:val="28"/>
          <w:szCs w:val="28"/>
        </w:rPr>
      </w:pPr>
      <w:r>
        <w:rPr>
          <w:rFonts w:hint="eastAsia" w:ascii="宋体" w:hAnsi="宋体" w:eastAsia="宋体" w:cs="宋体"/>
          <w:bCs/>
          <w:sz w:val="28"/>
          <w:szCs w:val="28"/>
        </w:rPr>
        <w:t>5.8</w:t>
      </w:r>
      <w:r>
        <w:rPr>
          <w:rFonts w:hint="default" w:ascii="宋体" w:hAnsi="宋体" w:eastAsia="宋体" w:cs="Times New Roman"/>
          <w:sz w:val="28"/>
          <w:szCs w:val="28"/>
        </w:rPr>
        <w:t>投标人在开、评标全过程中应保持通讯畅通，并安排专人与</w:t>
      </w:r>
      <w:r>
        <w:rPr>
          <w:rFonts w:hint="eastAsia" w:ascii="宋体" w:hAnsi="宋体" w:eastAsia="宋体" w:cs="Times New Roman"/>
          <w:sz w:val="28"/>
          <w:szCs w:val="28"/>
        </w:rPr>
        <w:t>采购人或采购代理机构</w:t>
      </w:r>
      <w:r>
        <w:rPr>
          <w:rFonts w:hint="default" w:ascii="宋体" w:hAnsi="宋体" w:eastAsia="宋体" w:cs="Times New Roman"/>
          <w:sz w:val="28"/>
          <w:szCs w:val="28"/>
        </w:rPr>
        <w:t>及评标委员会联系。</w:t>
      </w:r>
    </w:p>
    <w:p>
      <w:pPr>
        <w:tabs>
          <w:tab w:val="left" w:pos="6555"/>
          <w:tab w:val="right" w:pos="8306"/>
        </w:tabs>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w:t>
      </w:r>
      <w:r>
        <w:rPr>
          <w:rFonts w:hint="default" w:ascii="宋体" w:hAnsi="宋体" w:eastAsia="宋体" w:cs="Times New Roman"/>
          <w:sz w:val="28"/>
          <w:szCs w:val="28"/>
        </w:rPr>
        <w:t>无效投标条款和废标条款</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6.1无效投标条款</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6.1.1 投标人在规定的时间内未成功解密电子投标文件的。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6.1.2 投标人未按照招标文件要求上传电子投标文件的。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6.1.3同一投标人提交两个（含两个）以上不同的投标报价的。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6.1.4投标人不具备招标文件中规定资格要求的。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6.1.5投标人的报价超过了采购预算或最高限价的。</w:t>
      </w:r>
    </w:p>
    <w:p>
      <w:pPr>
        <w:spacing w:line="360" w:lineRule="auto"/>
        <w:ind w:firstLine="560"/>
        <w:rPr>
          <w:rFonts w:hint="default" w:ascii="宋体" w:hAnsi="宋体" w:eastAsia="宋体" w:cs="Times New Roman"/>
          <w:bCs/>
          <w:i/>
          <w:sz w:val="28"/>
          <w:szCs w:val="28"/>
          <w:u w:val="single"/>
        </w:rPr>
      </w:pPr>
      <w:r>
        <w:rPr>
          <w:rFonts w:hint="default" w:ascii="宋体" w:hAnsi="宋体" w:eastAsia="宋体" w:cs="Times New Roman"/>
          <w:bCs/>
          <w:sz w:val="28"/>
          <w:szCs w:val="28"/>
        </w:rPr>
        <w:t>6.1.6未通过符合性检查的。</w:t>
      </w:r>
    </w:p>
    <w:p>
      <w:pPr>
        <w:spacing w:line="360" w:lineRule="auto"/>
        <w:ind w:firstLine="420"/>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6.1.9 投标文件含有采购人不能接受的附加条件的。</w:t>
      </w:r>
    </w:p>
    <w:p>
      <w:pPr>
        <w:spacing w:line="360" w:lineRule="auto"/>
        <w:ind w:firstLine="560"/>
        <w:rPr>
          <w:rFonts w:hint="eastAsia" w:ascii="宋体" w:hAnsi="宋体" w:eastAsia="宋体" w:cs="Times New Roman"/>
          <w:bCs/>
          <w:sz w:val="28"/>
          <w:szCs w:val="28"/>
        </w:rPr>
      </w:pPr>
      <w:r>
        <w:rPr>
          <w:rFonts w:hint="default" w:ascii="宋体" w:hAnsi="宋体" w:eastAsia="宋体" w:cs="Times New Roman"/>
          <w:bCs/>
          <w:sz w:val="28"/>
          <w:szCs w:val="28"/>
        </w:rPr>
        <w:t>6.1.10</w:t>
      </w:r>
      <w:r>
        <w:rPr>
          <w:rFonts w:hint="eastAsia" w:ascii="宋体" w:hAnsi="宋体" w:eastAsia="宋体" w:cs="Times New Roman"/>
          <w:bCs/>
          <w:sz w:val="28"/>
          <w:szCs w:val="28"/>
        </w:rPr>
        <w:t>异常低价投标审查</w:t>
      </w:r>
    </w:p>
    <w:p>
      <w:pPr>
        <w:spacing w:line="360" w:lineRule="auto"/>
        <w:ind w:firstLine="560"/>
        <w:rPr>
          <w:rFonts w:hint="eastAsia" w:ascii="宋体" w:hAnsi="宋体" w:eastAsia="宋体" w:cs="Times New Roman"/>
          <w:bCs/>
          <w:sz w:val="28"/>
          <w:szCs w:val="28"/>
        </w:rPr>
      </w:pPr>
      <w:r>
        <w:rPr>
          <w:rFonts w:hint="eastAsia" w:ascii="宋体" w:hAnsi="宋体" w:eastAsia="宋体" w:cs="Times New Roman"/>
          <w:bCs/>
          <w:sz w:val="28"/>
          <w:szCs w:val="28"/>
          <w:lang w:val="en-US" w:eastAsia="zh-CN"/>
        </w:rPr>
        <w:t>6.1.10.1</w:t>
      </w:r>
      <w:r>
        <w:rPr>
          <w:rFonts w:hint="eastAsia" w:ascii="宋体" w:hAnsi="宋体" w:eastAsia="宋体" w:cs="Times New Roman"/>
          <w:bCs/>
          <w:sz w:val="28"/>
          <w:szCs w:val="28"/>
        </w:rPr>
        <w:t>评标过程中出现下列情形之一的，评标委员会应当启动异常低价投标审查程序：</w:t>
      </w:r>
    </w:p>
    <w:p>
      <w:pPr>
        <w:spacing w:line="360" w:lineRule="auto"/>
        <w:ind w:firstLine="560"/>
        <w:rPr>
          <w:rFonts w:hint="eastAsia" w:ascii="宋体" w:hAnsi="宋体" w:eastAsia="宋体" w:cs="Times New Roman"/>
          <w:bCs/>
          <w:sz w:val="28"/>
          <w:szCs w:val="28"/>
          <w:lang w:val="en-US" w:eastAsia="zh-CN"/>
        </w:rPr>
      </w:pPr>
      <w:r>
        <w:rPr>
          <w:rFonts w:hint="eastAsia" w:ascii="宋体" w:hAnsi="宋体" w:eastAsia="宋体" w:cs="Times New Roman"/>
          <w:bCs/>
          <w:sz w:val="28"/>
          <w:szCs w:val="28"/>
          <w:lang w:val="en-US" w:eastAsia="zh-CN"/>
        </w:rPr>
        <w:t>1.投标（响应）报价低于全部通过符合性审查供应商投标（响应）报价平均值50%的，即投标（响应）报价&lt;全部通过符合性审查供应商投标（响应）报价平均值×50%；</w:t>
      </w:r>
    </w:p>
    <w:p>
      <w:pPr>
        <w:spacing w:line="360" w:lineRule="auto"/>
        <w:ind w:firstLine="560"/>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2.投标（响应）报价低于通过符合性审查的次低报价供应商投标（响应）报价50%的，即投标（响应）报价&lt;通过符合性审查的次低报价供应商投标（响应）报价×50%；</w:t>
      </w:r>
    </w:p>
    <w:p>
      <w:pPr>
        <w:spacing w:line="360" w:lineRule="auto"/>
        <w:ind w:firstLine="560"/>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3.投标（响应）报价低于采购项目最高限价45%的，即投标（响应）报价&lt;采购项目最高限价×45%；</w:t>
      </w:r>
    </w:p>
    <w:p>
      <w:pPr>
        <w:spacing w:line="360" w:lineRule="auto"/>
        <w:ind w:firstLine="560"/>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4.评审委员会基于专业判断，认为供应商报价过低，有可能影响产品质量或者不能诚信履约的其他情形。</w:t>
      </w:r>
    </w:p>
    <w:p>
      <w:pPr>
        <w:spacing w:line="360" w:lineRule="auto"/>
        <w:ind w:firstLine="560"/>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采购人可以结合具体项目实际情况，提高上述第1项至第3项中启动异常低价投标（响应）审查的数值标准，但是最高不得超过65%。</w:t>
      </w:r>
    </w:p>
    <w:p>
      <w:pPr>
        <w:spacing w:line="360" w:lineRule="auto"/>
        <w:ind w:firstLine="560"/>
        <w:rPr>
          <w:rFonts w:hint="default" w:ascii="宋体" w:hAnsi="宋体" w:eastAsia="宋体" w:cs="宋体"/>
          <w:bCs/>
          <w:sz w:val="28"/>
          <w:szCs w:val="28"/>
        </w:rPr>
      </w:pPr>
      <w:r>
        <w:rPr>
          <w:rFonts w:hint="eastAsia" w:ascii="宋体" w:hAnsi="宋体" w:eastAsia="宋体" w:cs="宋体"/>
          <w:bCs/>
          <w:sz w:val="28"/>
          <w:szCs w:val="28"/>
          <w:lang w:val="en-US" w:eastAsia="zh-CN"/>
        </w:rPr>
        <w:t>相关法律法规对供应商报价有规定的，从其规定。</w:t>
      </w:r>
    </w:p>
    <w:p>
      <w:pPr>
        <w:spacing w:line="360" w:lineRule="auto"/>
        <w:ind w:firstLine="560"/>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6.1.10.2</w:t>
      </w:r>
      <w:r>
        <w:rPr>
          <w:rFonts w:hint="eastAsia" w:ascii="宋体" w:hAnsi="宋体" w:eastAsia="宋体" w:cs="宋体"/>
          <w:bCs/>
          <w:sz w:val="28"/>
          <w:szCs w:val="28"/>
        </w:rPr>
        <w:t xml:space="preserve"> </w:t>
      </w:r>
      <w:r>
        <w:rPr>
          <w:rFonts w:hint="eastAsia" w:ascii="宋体" w:hAnsi="宋体" w:eastAsia="宋体" w:cs="宋体"/>
          <w:bCs/>
          <w:sz w:val="28"/>
          <w:szCs w:val="28"/>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360" w:lineRule="auto"/>
        <w:ind w:firstLine="560"/>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360" w:lineRule="auto"/>
        <w:ind w:firstLine="560"/>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spacing w:line="360" w:lineRule="auto"/>
        <w:ind w:firstLine="560"/>
        <w:rPr>
          <w:rFonts w:ascii="Times New Roman" w:hAnsi="Times New Roman" w:eastAsia="宋体" w:cs="Times New Roman"/>
          <w:highlight w:val="yellow"/>
        </w:rPr>
      </w:pPr>
      <w:r>
        <w:rPr>
          <w:rFonts w:hint="eastAsia" w:ascii="宋体" w:hAnsi="宋体" w:eastAsia="宋体" w:cs="宋体"/>
          <w:bCs/>
          <w:sz w:val="28"/>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6.1.12投标文件未按照采购文件要求加盖电子签章。</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6.1.13不同的投标人投标文件制作机器码、文件创建标识码一致的。</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6.1.14投标人的商务技术部分得分相差异常悬殊，评标委员会一致认为得分畸低者有可能影响产品质量或者不能诚信履约的。</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6.1.15其他法律、法规及本招标文件规定的属无效响应的情形。</w:t>
      </w:r>
    </w:p>
    <w:p>
      <w:pPr>
        <w:spacing w:line="360" w:lineRule="auto"/>
        <w:ind w:firstLine="560"/>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废标条款：</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6.2.1符合专业条件的供应商或者对招标文件作实质响应的供应商不足三家的。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6.2.2出现影响采购公正的违法、违规行为的。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6.2.3因重大变故，采购任务取消的。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6.2.4评标委员会认定招标文件存在歧义、重大缺陷导致评审工作无法进行。</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6.2.5 因系统故障原因造成开标不成功的。</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6.3 投标截止时间结束后参加投标的供应商不足三家的处理：</w:t>
      </w:r>
    </w:p>
    <w:p>
      <w:pPr>
        <w:spacing w:line="360" w:lineRule="auto"/>
        <w:ind w:firstLine="562"/>
        <w:rPr>
          <w:rFonts w:hint="default" w:ascii="宋体" w:hAnsi="宋体" w:eastAsia="宋体" w:cs="Times New Roman"/>
          <w:bCs/>
          <w:sz w:val="28"/>
          <w:szCs w:val="28"/>
        </w:rPr>
      </w:pPr>
      <w:r>
        <w:rPr>
          <w:rFonts w:hint="default" w:ascii="宋体" w:hAnsi="宋体" w:eastAsia="宋体" w:cs="Times New Roman"/>
          <w:bCs/>
          <w:sz w:val="28"/>
          <w:szCs w:val="28"/>
        </w:rPr>
        <w:t>6.3.1如出现投标截止时间结束后参加投标的供应商或者在评标期间对招标文件做出实质响应的供应商不足三家情况，按政府采购相关规定执行。</w:t>
      </w:r>
    </w:p>
    <w:p>
      <w:pPr>
        <w:spacing w:line="360" w:lineRule="auto"/>
        <w:ind w:firstLine="562"/>
        <w:rPr>
          <w:rFonts w:hint="eastAsia" w:ascii="宋体" w:hAnsi="宋体" w:eastAsia="宋体" w:cs="宋体"/>
          <w:b/>
          <w:bCs/>
          <w:sz w:val="28"/>
          <w:szCs w:val="28"/>
        </w:rPr>
      </w:pPr>
      <w:r>
        <w:rPr>
          <w:rFonts w:hint="eastAsia" w:ascii="宋体" w:hAnsi="宋体" w:eastAsia="宋体" w:cs="宋体"/>
          <w:b/>
          <w:bCs/>
          <w:sz w:val="28"/>
          <w:szCs w:val="28"/>
        </w:rPr>
        <w:t>7.投标文件线上格式要求</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7.1投标人应当通过“苏采云”系统提交数据电文形式的投标文件（即电子投标）。</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7.2 通过“苏采云”系统提交政府采购客户端工具导出加密的投标文件（后缀名为zip）。</w:t>
      </w:r>
      <w:r>
        <w:rPr>
          <w:rFonts w:hint="eastAsia" w:ascii="宋体" w:hAnsi="宋体" w:eastAsia="宋体" w:cs="宋体"/>
          <w:b/>
          <w:sz w:val="28"/>
          <w:szCs w:val="28"/>
        </w:rPr>
        <w:t>投标文件不得超过150M！</w:t>
      </w:r>
    </w:p>
    <w:p>
      <w:pPr>
        <w:spacing w:line="360" w:lineRule="auto"/>
        <w:ind w:firstLine="560"/>
        <w:rPr>
          <w:rFonts w:hint="eastAsia" w:ascii="宋体" w:hAnsi="宋体" w:eastAsia="宋体" w:cs="宋体"/>
          <w:b/>
          <w:sz w:val="28"/>
          <w:szCs w:val="28"/>
        </w:rPr>
      </w:pPr>
      <w:r>
        <w:rPr>
          <w:rFonts w:hint="eastAsia" w:ascii="宋体" w:hAnsi="宋体" w:eastAsia="宋体" w:cs="宋体"/>
          <w:bCs/>
          <w:sz w:val="28"/>
          <w:szCs w:val="28"/>
        </w:rPr>
        <w:t>7.3 本项目采用线上投标，即投标人投标文件从政府采购客户端工具制作通过“苏采云”系统提交，</w:t>
      </w:r>
      <w:r>
        <w:rPr>
          <w:rFonts w:hint="eastAsia" w:ascii="宋体" w:hAnsi="宋体" w:eastAsia="宋体" w:cs="宋体"/>
          <w:b/>
          <w:sz w:val="28"/>
          <w:szCs w:val="28"/>
        </w:rPr>
        <w:t>未提供线上投标文件的，投标无效。</w:t>
      </w:r>
    </w:p>
    <w:p>
      <w:pPr>
        <w:spacing w:line="360" w:lineRule="auto"/>
        <w:ind w:firstLine="562"/>
        <w:rPr>
          <w:rFonts w:hint="eastAsia" w:ascii="宋体" w:hAnsi="宋体" w:eastAsia="宋体" w:cs="宋体"/>
          <w:b/>
          <w:bCs/>
          <w:sz w:val="28"/>
          <w:szCs w:val="28"/>
          <w:lang w:eastAsia="zh-CN"/>
        </w:rPr>
      </w:pPr>
      <w:r>
        <w:rPr>
          <w:rFonts w:hint="eastAsia" w:ascii="宋体" w:hAnsi="宋体" w:eastAsia="宋体" w:cs="宋体"/>
          <w:b/>
          <w:bCs/>
          <w:sz w:val="28"/>
          <w:szCs w:val="28"/>
        </w:rPr>
        <w:t>（六）</w:t>
      </w:r>
      <w:r>
        <w:rPr>
          <w:rFonts w:hint="eastAsia" w:ascii="宋体" w:hAnsi="宋体" w:eastAsia="宋体" w:cs="宋体"/>
          <w:b/>
          <w:bCs/>
          <w:sz w:val="28"/>
          <w:szCs w:val="28"/>
          <w:lang w:val="en-US" w:eastAsia="zh-CN"/>
        </w:rPr>
        <w:t>中标</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p>
    <w:p>
      <w:pPr>
        <w:spacing w:line="360" w:lineRule="auto"/>
        <w:ind w:firstLine="560"/>
        <w:rPr>
          <w:rFonts w:hint="default" w:ascii="宋体" w:hAnsi="宋体" w:eastAsia="宋体" w:cs="Times New Roman"/>
          <w:bCs/>
          <w:sz w:val="28"/>
          <w:szCs w:val="28"/>
        </w:rPr>
      </w:pPr>
      <w:r>
        <w:rPr>
          <w:rFonts w:hint="default" w:ascii="宋体" w:hAnsi="宋体" w:eastAsia="宋体" w:cs="Times New Roman"/>
          <w:bCs/>
          <w:sz w:val="28"/>
          <w:szCs w:val="28"/>
        </w:rPr>
        <w:t>1.2采购人应根据</w:t>
      </w:r>
      <w:r>
        <w:rPr>
          <w:rFonts w:hint="eastAsia" w:ascii="宋体" w:hAnsi="宋体" w:eastAsia="宋体" w:cs="Times New Roman"/>
          <w:bCs/>
          <w:sz w:val="28"/>
          <w:szCs w:val="28"/>
        </w:rPr>
        <w:t>评标委员会</w:t>
      </w:r>
      <w:r>
        <w:rPr>
          <w:rFonts w:hint="default" w:ascii="宋体" w:hAnsi="宋体" w:eastAsia="宋体" w:cs="Times New Roman"/>
          <w:bCs/>
          <w:sz w:val="28"/>
          <w:szCs w:val="28"/>
        </w:rPr>
        <w:t>推荐的</w:t>
      </w:r>
      <w:r>
        <w:rPr>
          <w:rFonts w:hint="eastAsia" w:ascii="宋体" w:hAnsi="宋体" w:eastAsia="宋体" w:cs="Times New Roman"/>
          <w:bCs/>
          <w:sz w:val="28"/>
          <w:szCs w:val="28"/>
        </w:rPr>
        <w:t>中标</w:t>
      </w:r>
      <w:r>
        <w:rPr>
          <w:rFonts w:hint="default" w:ascii="宋体" w:hAnsi="宋体" w:eastAsia="宋体" w:cs="Times New Roman"/>
          <w:bCs/>
          <w:sz w:val="28"/>
          <w:szCs w:val="28"/>
        </w:rPr>
        <w:t>候选供应商确定</w:t>
      </w:r>
      <w:r>
        <w:rPr>
          <w:rFonts w:hint="eastAsia" w:ascii="宋体" w:hAnsi="宋体" w:eastAsia="宋体" w:cs="Times New Roman"/>
          <w:bCs/>
          <w:sz w:val="28"/>
          <w:szCs w:val="28"/>
          <w:lang w:val="en-US" w:eastAsia="zh-CN"/>
        </w:rPr>
        <w:t>中标</w:t>
      </w:r>
      <w:r>
        <w:rPr>
          <w:rFonts w:hint="default" w:ascii="宋体" w:hAnsi="宋体" w:eastAsia="宋体" w:cs="Times New Roman"/>
          <w:bCs/>
          <w:sz w:val="28"/>
          <w:szCs w:val="28"/>
        </w:rPr>
        <w:t>供应商。</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采购人或采购代理机构</w:t>
      </w:r>
      <w:r>
        <w:rPr>
          <w:rFonts w:hint="default" w:ascii="宋体" w:hAnsi="宋体" w:eastAsia="宋体" w:cs="Times New Roman"/>
          <w:sz w:val="28"/>
          <w:szCs w:val="28"/>
        </w:rPr>
        <w:t>将在“</w:t>
      </w:r>
      <w:r>
        <w:rPr>
          <w:rFonts w:hint="eastAsia" w:ascii="宋体" w:hAnsi="宋体" w:eastAsia="宋体" w:cs="Times New Roman"/>
          <w:sz w:val="28"/>
          <w:szCs w:val="28"/>
        </w:rPr>
        <w:t>江苏政府采购网</w:t>
      </w:r>
      <w:r>
        <w:rPr>
          <w:rFonts w:hint="default" w:ascii="宋体" w:hAnsi="宋体" w:eastAsia="宋体" w:cs="Times New Roman"/>
          <w:sz w:val="28"/>
          <w:szCs w:val="28"/>
        </w:rPr>
        <w:t>”发布中标公告，公告期限为1个工作日。</w:t>
      </w:r>
    </w:p>
    <w:p>
      <w:pPr>
        <w:spacing w:line="360" w:lineRule="auto"/>
        <w:ind w:firstLine="560"/>
        <w:rPr>
          <w:rFonts w:hint="eastAsia" w:ascii="宋体" w:hAnsi="宋体" w:eastAsia="宋体" w:cs="宋体"/>
          <w:b/>
          <w:bCs/>
          <w:sz w:val="28"/>
          <w:szCs w:val="28"/>
        </w:rPr>
      </w:pPr>
      <w:r>
        <w:rPr>
          <w:rFonts w:hint="eastAsia" w:ascii="宋体" w:hAnsi="宋体" w:eastAsia="宋体" w:cs="宋体"/>
          <w:b/>
          <w:bCs/>
          <w:sz w:val="28"/>
          <w:szCs w:val="28"/>
        </w:rPr>
        <w:t>1.4  若有充分证据证明，</w:t>
      </w:r>
      <w:r>
        <w:rPr>
          <w:rFonts w:hint="eastAsia" w:ascii="宋体" w:hAnsi="宋体" w:eastAsia="宋体" w:cs="宋体"/>
          <w:b/>
          <w:bCs/>
          <w:sz w:val="28"/>
          <w:szCs w:val="28"/>
          <w:lang w:val="en-US" w:eastAsia="zh-CN"/>
        </w:rPr>
        <w:t>中标</w:t>
      </w:r>
      <w:r>
        <w:rPr>
          <w:rFonts w:hint="eastAsia" w:ascii="宋体" w:hAnsi="宋体" w:eastAsia="宋体" w:cs="宋体"/>
          <w:b/>
          <w:bCs/>
          <w:sz w:val="28"/>
          <w:szCs w:val="28"/>
        </w:rPr>
        <w:t>投标人出现下列情况之一的，一经查实，将被取消</w:t>
      </w:r>
      <w:r>
        <w:rPr>
          <w:rFonts w:hint="eastAsia" w:ascii="宋体" w:hAnsi="宋体" w:eastAsia="宋体" w:cs="宋体"/>
          <w:b/>
          <w:bCs/>
          <w:sz w:val="28"/>
          <w:szCs w:val="28"/>
          <w:lang w:val="en-US" w:eastAsia="zh-CN"/>
        </w:rPr>
        <w:t>中标</w:t>
      </w:r>
      <w:r>
        <w:rPr>
          <w:rFonts w:hint="eastAsia" w:ascii="宋体" w:hAnsi="宋体" w:eastAsia="宋体" w:cs="宋体"/>
          <w:b/>
          <w:bCs/>
          <w:sz w:val="28"/>
          <w:szCs w:val="28"/>
        </w:rPr>
        <w:t>资格：</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1.4.1提供虚假材料谋取中标的。</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1.4.2</w:t>
      </w:r>
      <w:r>
        <w:rPr>
          <w:rFonts w:hint="eastAsia" w:ascii="宋体" w:hAnsi="宋体" w:eastAsia="宋体" w:cs="Times New Roman"/>
          <w:sz w:val="28"/>
          <w:szCs w:val="28"/>
        </w:rPr>
        <w:t>向采购人或采购代理机构行贿或者评审专家提供其他不正当利益的</w:t>
      </w:r>
      <w:r>
        <w:rPr>
          <w:rFonts w:hint="default" w:ascii="宋体" w:hAnsi="宋体" w:eastAsia="宋体" w:cs="Times New Roman"/>
          <w:sz w:val="28"/>
          <w:szCs w:val="28"/>
        </w:rPr>
        <w:t>。</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1.4.3恶意竞争，投标总报价明显低于其自身合理成本且又无法提供证明的。</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1.4.4属于本文件规定的无效条件，但在评标过程中又未被评委会发现的。</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1.4.5与采购人或者其他供应商恶意串通的。</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1.4.6采取不正当手段诋毁、排挤其他供应商的。</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1.5有下列情形之一的，视为投标人串通投标，投标无效：</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1.5.1不同投标人的投标文件由同一单位或者个人编制；</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1.5.2不同投标人委托同一单位或者个人办理投标事宜；</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1.5.3不同投标人的投标文件载明的项目管理成员或者联系人员为同一人；</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1.5.4不同投标人的投标文件异常一致或者投标报价呈规律性差异；</w:t>
      </w:r>
    </w:p>
    <w:p>
      <w:pPr>
        <w:spacing w:line="360" w:lineRule="auto"/>
        <w:ind w:firstLine="560"/>
        <w:rPr>
          <w:rFonts w:hint="default" w:ascii="宋体" w:hAnsi="宋体" w:eastAsia="宋体" w:cs="Times New Roman"/>
          <w:sz w:val="28"/>
          <w:szCs w:val="28"/>
        </w:rPr>
      </w:pPr>
      <w:r>
        <w:rPr>
          <w:rFonts w:hint="default" w:ascii="宋体" w:hAnsi="宋体" w:eastAsia="宋体" w:cs="Times New Roman"/>
          <w:sz w:val="28"/>
          <w:szCs w:val="28"/>
        </w:rPr>
        <w:t>1.5.5不同投标人的投标文件相互混装；</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2.质疑处理</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2.1 提出质疑的投标人应当是参与所质疑项目采购活动的投标人。潜在投标人依法获取其可质疑的招标文件的，可以对招标文件提出质疑。</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采购代理</w:t>
      </w:r>
      <w:r>
        <w:rPr>
          <w:rFonts w:hint="eastAsia" w:ascii="宋体" w:hAnsi="宋体" w:eastAsia="宋体" w:cs="宋体"/>
          <w:sz w:val="28"/>
          <w:szCs w:val="28"/>
        </w:rPr>
        <w:t>或采购人提出质疑。上述应知其权益受到损害之日，是指：</w:t>
      </w:r>
    </w:p>
    <w:p>
      <w:pPr>
        <w:spacing w:line="360" w:lineRule="auto"/>
        <w:ind w:firstLine="560"/>
        <w:jc w:val="left"/>
        <w:rPr>
          <w:rFonts w:hint="eastAsia" w:ascii="宋体" w:hAnsi="宋体" w:eastAsia="宋体" w:cs="宋体"/>
          <w:sz w:val="28"/>
          <w:szCs w:val="28"/>
        </w:rPr>
      </w:pPr>
      <w:r>
        <w:rPr>
          <w:rFonts w:hint="eastAsia" w:ascii="宋体" w:hAnsi="宋体" w:eastAsia="宋体" w:cs="宋体"/>
          <w:sz w:val="28"/>
          <w:szCs w:val="28"/>
        </w:rPr>
        <w:t>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2.2.3对</w:t>
      </w:r>
      <w:r>
        <w:rPr>
          <w:rFonts w:hint="eastAsia" w:ascii="宋体" w:hAnsi="宋体" w:eastAsia="宋体" w:cs="宋体"/>
          <w:sz w:val="28"/>
          <w:szCs w:val="28"/>
          <w:lang w:val="en-US" w:eastAsia="zh-CN"/>
        </w:rPr>
        <w:t>中标</w:t>
      </w:r>
      <w:r>
        <w:rPr>
          <w:rFonts w:hint="eastAsia" w:ascii="宋体" w:hAnsi="宋体" w:eastAsia="宋体" w:cs="宋体"/>
          <w:sz w:val="28"/>
          <w:szCs w:val="28"/>
        </w:rPr>
        <w:t>结果提出质疑的，为</w:t>
      </w:r>
      <w:r>
        <w:rPr>
          <w:rFonts w:hint="eastAsia" w:ascii="宋体" w:hAnsi="宋体" w:eastAsia="宋体" w:cs="宋体"/>
          <w:sz w:val="28"/>
          <w:szCs w:val="28"/>
          <w:lang w:val="en-US" w:eastAsia="zh-CN"/>
        </w:rPr>
        <w:t>中标</w:t>
      </w:r>
      <w:r>
        <w:rPr>
          <w:rFonts w:hint="eastAsia" w:ascii="宋体" w:hAnsi="宋体" w:eastAsia="宋体" w:cs="宋体"/>
          <w:sz w:val="28"/>
          <w:szCs w:val="28"/>
        </w:rPr>
        <w:t>结果公告期限届满之日。</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投标人应当在法定质疑期内一次性提出针对同一采购程序环节的质疑。</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2.3质疑函必须按照本招标文件中《质疑函范本》要求的格式和内容进行填写。供应商如组成联合体参加投标，则《质疑函范本》中要求签字、盖章、加盖公章之处，联合体各方均须按要求签字、盖章、加盖公章。</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采购代理</w:t>
      </w:r>
      <w:r>
        <w:rPr>
          <w:rFonts w:hint="eastAsia" w:ascii="宋体" w:hAnsi="宋体" w:eastAsia="宋体" w:cs="宋体"/>
          <w:sz w:val="28"/>
          <w:szCs w:val="28"/>
        </w:rPr>
        <w:t>提出，由</w:t>
      </w:r>
      <w:r>
        <w:rPr>
          <w:rFonts w:hint="eastAsia" w:ascii="宋体" w:hAnsi="宋体" w:eastAsia="宋体" w:cs="宋体"/>
          <w:bCs/>
          <w:sz w:val="28"/>
          <w:szCs w:val="28"/>
        </w:rPr>
        <w:t>采购代理</w:t>
      </w:r>
      <w:r>
        <w:rPr>
          <w:rFonts w:hint="eastAsia" w:ascii="宋体" w:hAnsi="宋体" w:eastAsia="宋体" w:cs="宋体"/>
          <w:sz w:val="28"/>
          <w:szCs w:val="28"/>
        </w:rPr>
        <w:t>负责答复。</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2.5 以下情形的质疑不予受理</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2.5.1 内容不符合《政府采购质疑和投诉办法》第十二条规定的质疑。</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2.5.2 超出政府采购法定期限的质疑。</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2.5.3 未参加投标活动的供应商或在投标活动中自身权益未受到损害的供应商所提出的质疑。</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2.5.4供应商组成联合体参加投标，联合体中任何一方或多方未按要求签字、盖章、加盖公章的质疑。</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中标</w:t>
      </w:r>
      <w:r>
        <w:rPr>
          <w:rFonts w:hint="eastAsia" w:ascii="宋体" w:hAnsi="宋体" w:eastAsia="宋体" w:cs="宋体"/>
          <w:sz w:val="28"/>
          <w:szCs w:val="28"/>
        </w:rPr>
        <w:t>通知书</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中标</w:t>
      </w:r>
      <w:r>
        <w:rPr>
          <w:rFonts w:hint="eastAsia" w:ascii="宋体" w:hAnsi="宋体" w:eastAsia="宋体" w:cs="宋体"/>
          <w:sz w:val="28"/>
          <w:szCs w:val="28"/>
        </w:rPr>
        <w:t>结果确定后，</w:t>
      </w:r>
      <w:r>
        <w:rPr>
          <w:rFonts w:hint="eastAsia" w:ascii="宋体" w:hAnsi="宋体" w:eastAsia="宋体" w:cs="宋体"/>
          <w:bCs/>
          <w:sz w:val="28"/>
          <w:szCs w:val="28"/>
        </w:rPr>
        <w:t>采购代理</w:t>
      </w:r>
      <w:r>
        <w:rPr>
          <w:rFonts w:hint="eastAsia" w:ascii="宋体" w:hAnsi="宋体" w:eastAsia="宋体" w:cs="宋体"/>
          <w:sz w:val="28"/>
          <w:szCs w:val="28"/>
        </w:rPr>
        <w:t>将向</w:t>
      </w:r>
      <w:r>
        <w:rPr>
          <w:rFonts w:hint="eastAsia" w:ascii="宋体" w:hAnsi="宋体" w:eastAsia="宋体" w:cs="宋体"/>
          <w:sz w:val="28"/>
          <w:szCs w:val="28"/>
          <w:lang w:val="en-US" w:eastAsia="zh-CN"/>
        </w:rPr>
        <w:t>中标</w:t>
      </w:r>
      <w:r>
        <w:rPr>
          <w:rFonts w:hint="eastAsia" w:ascii="宋体" w:hAnsi="宋体" w:eastAsia="宋体" w:cs="宋体"/>
          <w:sz w:val="28"/>
          <w:szCs w:val="28"/>
        </w:rPr>
        <w:t>投标人发出</w:t>
      </w:r>
      <w:r>
        <w:rPr>
          <w:rFonts w:hint="eastAsia" w:ascii="宋体" w:hAnsi="宋体" w:eastAsia="宋体" w:cs="宋体"/>
          <w:sz w:val="28"/>
          <w:szCs w:val="28"/>
          <w:lang w:val="en-US" w:eastAsia="zh-CN"/>
        </w:rPr>
        <w:t>中标</w:t>
      </w:r>
      <w:r>
        <w:rPr>
          <w:rFonts w:hint="eastAsia" w:ascii="宋体" w:hAnsi="宋体" w:eastAsia="宋体" w:cs="宋体"/>
          <w:sz w:val="28"/>
          <w:szCs w:val="28"/>
        </w:rPr>
        <w:t>通知书。</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3.2</w:t>
      </w:r>
      <w:r>
        <w:rPr>
          <w:rFonts w:hint="eastAsia" w:ascii="宋体" w:hAnsi="宋体" w:eastAsia="宋体" w:cs="宋体"/>
          <w:sz w:val="28"/>
          <w:szCs w:val="28"/>
          <w:lang w:val="en-US" w:eastAsia="zh-CN"/>
        </w:rPr>
        <w:t>中标</w:t>
      </w:r>
      <w:r>
        <w:rPr>
          <w:rFonts w:hint="eastAsia" w:ascii="宋体" w:hAnsi="宋体" w:eastAsia="宋体" w:cs="宋体"/>
          <w:sz w:val="28"/>
          <w:szCs w:val="28"/>
        </w:rPr>
        <w:t>通知书将是合同的一个组成部分。对采购人和</w:t>
      </w:r>
      <w:r>
        <w:rPr>
          <w:rFonts w:hint="eastAsia" w:ascii="宋体" w:hAnsi="宋体" w:eastAsia="宋体" w:cs="宋体"/>
          <w:sz w:val="28"/>
          <w:szCs w:val="28"/>
          <w:lang w:val="en-US" w:eastAsia="zh-CN"/>
        </w:rPr>
        <w:t>中标</w:t>
      </w:r>
      <w:r>
        <w:rPr>
          <w:rFonts w:hint="eastAsia" w:ascii="宋体" w:hAnsi="宋体" w:eastAsia="宋体" w:cs="宋体"/>
          <w:sz w:val="28"/>
          <w:szCs w:val="28"/>
        </w:rPr>
        <w:t>投标人均具有法律效力。</w:t>
      </w:r>
      <w:r>
        <w:rPr>
          <w:rFonts w:hint="eastAsia" w:ascii="宋体" w:hAnsi="宋体" w:eastAsia="宋体" w:cs="宋体"/>
          <w:sz w:val="28"/>
          <w:szCs w:val="28"/>
          <w:lang w:val="en-US" w:eastAsia="zh-CN"/>
        </w:rPr>
        <w:t>中标</w:t>
      </w:r>
      <w:r>
        <w:rPr>
          <w:rFonts w:hint="eastAsia" w:ascii="宋体" w:hAnsi="宋体" w:eastAsia="宋体" w:cs="宋体"/>
          <w:sz w:val="28"/>
          <w:szCs w:val="28"/>
        </w:rPr>
        <w:t>通知书发出后，采购人改变</w:t>
      </w:r>
      <w:r>
        <w:rPr>
          <w:rFonts w:hint="eastAsia" w:ascii="宋体" w:hAnsi="宋体" w:eastAsia="宋体" w:cs="宋体"/>
          <w:sz w:val="28"/>
          <w:szCs w:val="28"/>
          <w:lang w:val="en-US" w:eastAsia="zh-CN"/>
        </w:rPr>
        <w:t>中标</w:t>
      </w:r>
      <w:r>
        <w:rPr>
          <w:rFonts w:hint="eastAsia" w:ascii="宋体" w:hAnsi="宋体" w:eastAsia="宋体" w:cs="宋体"/>
          <w:sz w:val="28"/>
          <w:szCs w:val="28"/>
        </w:rPr>
        <w:t>结果的，或者</w:t>
      </w:r>
      <w:r>
        <w:rPr>
          <w:rFonts w:hint="eastAsia" w:ascii="宋体" w:hAnsi="宋体" w:eastAsia="宋体" w:cs="宋体"/>
          <w:sz w:val="28"/>
          <w:szCs w:val="28"/>
          <w:lang w:val="en-US" w:eastAsia="zh-CN"/>
        </w:rPr>
        <w:t>中标</w:t>
      </w:r>
      <w:r>
        <w:rPr>
          <w:rFonts w:hint="eastAsia" w:ascii="宋体" w:hAnsi="宋体" w:eastAsia="宋体" w:cs="宋体"/>
          <w:sz w:val="28"/>
          <w:szCs w:val="28"/>
        </w:rPr>
        <w:t>投标人放弃投标项目的，应当依法承担法律责任。</w:t>
      </w:r>
    </w:p>
    <w:p>
      <w:pPr>
        <w:spacing w:line="360" w:lineRule="auto"/>
        <w:ind w:firstLine="560"/>
        <w:rPr>
          <w:rFonts w:hint="eastAsia" w:ascii="宋体" w:hAnsi="宋体" w:eastAsia="宋体" w:cs="宋体"/>
          <w:b/>
          <w:sz w:val="28"/>
          <w:szCs w:val="28"/>
        </w:rPr>
      </w:pPr>
      <w:r>
        <w:rPr>
          <w:rFonts w:hint="eastAsia" w:ascii="宋体" w:hAnsi="宋体" w:eastAsia="宋体" w:cs="宋体"/>
          <w:b/>
          <w:sz w:val="28"/>
          <w:szCs w:val="28"/>
        </w:rPr>
        <w:t>（七）授予合同</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1.签订合同</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1.l</w:t>
      </w:r>
      <w:r>
        <w:rPr>
          <w:rFonts w:hint="eastAsia" w:ascii="宋体" w:hAnsi="宋体" w:eastAsia="宋体" w:cs="宋体"/>
          <w:bCs/>
          <w:sz w:val="28"/>
          <w:szCs w:val="28"/>
          <w:lang w:val="en-US" w:eastAsia="zh-CN"/>
        </w:rPr>
        <w:t>中标</w:t>
      </w:r>
      <w:r>
        <w:rPr>
          <w:rFonts w:hint="eastAsia" w:ascii="宋体" w:hAnsi="宋体" w:eastAsia="宋体" w:cs="宋体"/>
          <w:bCs/>
          <w:sz w:val="28"/>
          <w:szCs w:val="28"/>
        </w:rPr>
        <w:t>投标人应当在</w:t>
      </w:r>
      <w:r>
        <w:rPr>
          <w:rFonts w:hint="eastAsia" w:ascii="宋体" w:hAnsi="宋体" w:eastAsia="宋体" w:cs="宋体"/>
          <w:bCs/>
          <w:sz w:val="28"/>
          <w:szCs w:val="28"/>
          <w:lang w:val="en-US" w:eastAsia="zh-CN"/>
        </w:rPr>
        <w:t>中标</w:t>
      </w:r>
      <w:r>
        <w:rPr>
          <w:rFonts w:hint="eastAsia" w:ascii="宋体" w:hAnsi="宋体" w:eastAsia="宋体" w:cs="宋体"/>
          <w:bCs/>
          <w:sz w:val="28"/>
          <w:szCs w:val="28"/>
        </w:rPr>
        <w:t>通知书发出之日起三十日内，按照招标文件确定的事项与采购人签订政府采购合同。</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1.2招标文件、</w:t>
      </w:r>
      <w:r>
        <w:rPr>
          <w:rFonts w:hint="eastAsia" w:ascii="宋体" w:hAnsi="宋体" w:eastAsia="宋体" w:cs="宋体"/>
          <w:bCs/>
          <w:sz w:val="28"/>
          <w:szCs w:val="28"/>
          <w:lang w:val="en-US" w:eastAsia="zh-CN"/>
        </w:rPr>
        <w:t>中标</w:t>
      </w:r>
      <w:r>
        <w:rPr>
          <w:rFonts w:hint="eastAsia" w:ascii="宋体" w:hAnsi="宋体" w:eastAsia="宋体" w:cs="宋体"/>
          <w:bCs/>
          <w:sz w:val="28"/>
          <w:szCs w:val="28"/>
        </w:rPr>
        <w:t>投标人的投标文件及招标过程中有关澄清、承诺文件均应作为合同附件。</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1.3签订合同后，</w:t>
      </w:r>
      <w:r>
        <w:rPr>
          <w:rFonts w:hint="eastAsia" w:ascii="宋体" w:hAnsi="宋体" w:eastAsia="宋体" w:cs="宋体"/>
          <w:bCs/>
          <w:sz w:val="28"/>
          <w:szCs w:val="28"/>
          <w:lang w:val="en-US" w:eastAsia="zh-CN"/>
        </w:rPr>
        <w:t>中标</w:t>
      </w:r>
      <w:r>
        <w:rPr>
          <w:rFonts w:hint="eastAsia" w:ascii="宋体" w:hAnsi="宋体" w:eastAsia="宋体" w:cs="宋体"/>
          <w:bCs/>
          <w:sz w:val="28"/>
          <w:szCs w:val="28"/>
        </w:rPr>
        <w:t>投标人不得将货物及其他相关服务进行转包。未经采购人同意，</w:t>
      </w:r>
      <w:r>
        <w:rPr>
          <w:rFonts w:hint="eastAsia" w:ascii="宋体" w:hAnsi="宋体" w:eastAsia="宋体" w:cs="宋体"/>
          <w:bCs/>
          <w:sz w:val="28"/>
          <w:szCs w:val="28"/>
          <w:lang w:val="en-US" w:eastAsia="zh-CN"/>
        </w:rPr>
        <w:t>中标</w:t>
      </w:r>
      <w:r>
        <w:rPr>
          <w:rFonts w:hint="eastAsia" w:ascii="宋体" w:hAnsi="宋体" w:eastAsia="宋体" w:cs="宋体"/>
          <w:bCs/>
          <w:sz w:val="28"/>
          <w:szCs w:val="28"/>
        </w:rPr>
        <w:t>投标人也不得采用分包的形式履行合同，否则采购人有权终止合同。政府采购合同分包履行的，</w:t>
      </w:r>
      <w:r>
        <w:rPr>
          <w:rFonts w:hint="eastAsia" w:ascii="宋体" w:hAnsi="宋体" w:eastAsia="宋体" w:cs="宋体"/>
          <w:sz w:val="28"/>
          <w:szCs w:val="28"/>
          <w:lang w:val="en-US" w:eastAsia="zh-CN"/>
        </w:rPr>
        <w:t>中标</w:t>
      </w:r>
      <w:r>
        <w:rPr>
          <w:rFonts w:hint="eastAsia" w:ascii="宋体" w:hAnsi="宋体" w:eastAsia="宋体" w:cs="宋体"/>
          <w:bCs/>
          <w:sz w:val="28"/>
          <w:szCs w:val="28"/>
        </w:rPr>
        <w:t>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中标</w:t>
      </w:r>
      <w:r>
        <w:rPr>
          <w:rFonts w:hint="eastAsia" w:ascii="宋体" w:hAnsi="宋体" w:eastAsia="宋体" w:cs="宋体"/>
          <w:bCs/>
          <w:sz w:val="28"/>
          <w:szCs w:val="28"/>
        </w:rPr>
        <w:t>投标人应承担相应赔偿责任。</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2.货物和服务的追加、减少和添购。</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中标</w:t>
      </w:r>
      <w:r>
        <w:rPr>
          <w:rFonts w:hint="eastAsia" w:ascii="宋体" w:hAnsi="宋体" w:eastAsia="宋体" w:cs="宋体"/>
          <w:bCs/>
          <w:sz w:val="28"/>
          <w:szCs w:val="28"/>
        </w:rPr>
        <w:t>投标人协商签订补充合同，但所有补充合同的采购金额不超过原合同金额10%。</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 政府采购履约保证资金、合同信用融资扶持政策</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3.1中标投标人如需获得履约保证金支持，可在南通市政府采购网直接线上办理线上履约保证保险申请，详情请见南通市政府采购网首页 “易企服”综合服务平台-金融产品全周期-履约保证保险专栏。</w:t>
      </w:r>
    </w:p>
    <w:p>
      <w:pPr>
        <w:spacing w:line="360" w:lineRule="auto"/>
        <w:ind w:firstLine="560"/>
        <w:rPr>
          <w:rFonts w:hint="eastAsia" w:ascii="宋体" w:hAnsi="宋体" w:eastAsia="宋体" w:cs="宋体"/>
          <w:bCs/>
          <w:sz w:val="28"/>
          <w:szCs w:val="28"/>
        </w:rPr>
      </w:pPr>
      <w:r>
        <w:rPr>
          <w:rFonts w:hint="eastAsia" w:ascii="宋体" w:hAnsi="宋体" w:eastAsia="宋体" w:cs="宋体"/>
          <w:bCs/>
          <w:sz w:val="28"/>
          <w:szCs w:val="28"/>
        </w:rPr>
        <w:t>3.2根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p>
    <w:p>
      <w:pPr>
        <w:keepNext w:val="0"/>
        <w:keepLines w:val="0"/>
        <w:pageBreakBefore w:val="0"/>
        <w:widowControl w:val="0"/>
        <w:spacing w:line="360" w:lineRule="auto"/>
        <w:ind w:firstLine="560"/>
        <w:rPr>
          <w:rFonts w:hint="eastAsia" w:ascii="宋体" w:hAnsi="宋体" w:eastAsia="宋体" w:cs="宋体"/>
          <w:sz w:val="28"/>
          <w:szCs w:val="28"/>
        </w:rPr>
      </w:pPr>
      <w:r>
        <w:rPr>
          <w:rFonts w:hint="eastAsia" w:ascii="宋体" w:hAnsi="宋体" w:eastAsia="宋体" w:cs="宋体"/>
          <w:sz w:val="28"/>
          <w:szCs w:val="28"/>
        </w:rPr>
        <w:t>（八）电子招标投标交易平台</w:t>
      </w:r>
    </w:p>
    <w:p>
      <w:pPr>
        <w:keepNext w:val="0"/>
        <w:keepLines w:val="0"/>
        <w:pageBreakBefore w:val="0"/>
        <w:widowControl w:val="0"/>
        <w:spacing w:line="360" w:lineRule="auto"/>
        <w:ind w:firstLine="561"/>
        <w:jc w:val="both"/>
        <w:rPr>
          <w:rFonts w:hint="eastAsia" w:ascii="宋体" w:hAnsi="宋体" w:eastAsia="宋体" w:cs="宋体"/>
          <w:b/>
          <w:bCs/>
          <w:sz w:val="36"/>
          <w:szCs w:val="36"/>
        </w:rPr>
      </w:pPr>
      <w:r>
        <w:rPr>
          <w:rFonts w:hint="eastAsia" w:ascii="宋体" w:hAnsi="宋体" w:eastAsia="宋体" w:cs="宋体"/>
          <w:sz w:val="28"/>
          <w:szCs w:val="28"/>
        </w:rPr>
        <w:t>电子招标投标交易平台（即“苏采云”系统，网址：http://jszfcg.jsczt.cn/）相关要求是本采购文件的组成部分。</w:t>
      </w:r>
    </w:p>
    <w:p>
      <w:pPr>
        <w:spacing w:line="360" w:lineRule="auto"/>
        <w:jc w:val="center"/>
        <w:rPr>
          <w:rFonts w:hint="eastAsia" w:ascii="宋体" w:hAnsi="宋体" w:eastAsia="宋体" w:cs="宋体"/>
          <w:b/>
          <w:bCs/>
          <w:sz w:val="36"/>
          <w:szCs w:val="36"/>
        </w:rPr>
      </w:pPr>
    </w:p>
    <w:p>
      <w:pPr>
        <w:pStyle w:val="39"/>
        <w:rPr>
          <w:rFonts w:hint="eastAsia" w:ascii="宋体" w:hAnsi="宋体" w:eastAsia="宋体" w:cs="宋体"/>
          <w:b/>
          <w:bCs/>
          <w:sz w:val="36"/>
          <w:szCs w:val="36"/>
        </w:rPr>
      </w:pPr>
    </w:p>
    <w:p>
      <w:pPr>
        <w:pStyle w:val="39"/>
        <w:rPr>
          <w:rFonts w:hint="eastAsia" w:ascii="宋体" w:hAnsi="宋体" w:eastAsia="宋体" w:cs="宋体"/>
          <w:b/>
          <w:bCs/>
          <w:sz w:val="36"/>
          <w:szCs w:val="36"/>
        </w:rPr>
      </w:pPr>
    </w:p>
    <w:p>
      <w:pPr>
        <w:pStyle w:val="39"/>
        <w:rPr>
          <w:rFonts w:hint="eastAsia" w:ascii="宋体" w:hAnsi="宋体" w:eastAsia="宋体" w:cs="宋体"/>
          <w:b/>
          <w:bCs/>
          <w:sz w:val="36"/>
          <w:szCs w:val="36"/>
        </w:rPr>
      </w:pPr>
    </w:p>
    <w:p>
      <w:pPr>
        <w:pStyle w:val="39"/>
        <w:rPr>
          <w:rFonts w:hint="eastAsia" w:ascii="宋体" w:hAnsi="宋体" w:eastAsia="宋体" w:cs="宋体"/>
          <w:b/>
          <w:bCs/>
          <w:sz w:val="36"/>
          <w:szCs w:val="36"/>
        </w:rPr>
      </w:pPr>
    </w:p>
    <w:p>
      <w:pPr>
        <w:spacing w:line="360" w:lineRule="auto"/>
        <w:jc w:val="center"/>
        <w:rPr>
          <w:rFonts w:hint="eastAsia" w:ascii="宋体" w:hAnsi="宋体" w:eastAsia="宋体" w:cs="宋体"/>
          <w:b/>
          <w:bCs/>
          <w:sz w:val="36"/>
          <w:szCs w:val="36"/>
        </w:rPr>
      </w:pPr>
      <w:bookmarkStart w:id="39" w:name="_Toc52352447"/>
      <w:r>
        <w:rPr>
          <w:rFonts w:hint="eastAsia" w:ascii="宋体" w:hAnsi="宋体" w:eastAsia="宋体" w:cs="宋体"/>
          <w:b/>
          <w:bCs/>
          <w:sz w:val="36"/>
          <w:szCs w:val="36"/>
          <w:lang w:val="en-US" w:eastAsia="zh-CN"/>
        </w:rPr>
        <w:t>第三</w:t>
      </w:r>
      <w:r>
        <w:rPr>
          <w:rFonts w:hint="eastAsia" w:ascii="宋体" w:hAnsi="宋体" w:eastAsia="宋体" w:cs="宋体"/>
          <w:b/>
          <w:bCs/>
          <w:sz w:val="36"/>
          <w:szCs w:val="36"/>
        </w:rPr>
        <w:t>部分 采购项目需求</w:t>
      </w:r>
    </w:p>
    <w:p>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第一章 采购项目内容与技术需求</w:t>
      </w:r>
    </w:p>
    <w:p>
      <w:pPr>
        <w:spacing w:line="360" w:lineRule="auto"/>
        <w:ind w:firstLine="482"/>
        <w:outlineLvl w:val="2"/>
        <w:rPr>
          <w:rFonts w:hint="eastAsia" w:ascii="宋体" w:hAnsi="宋体" w:eastAsia="宋体" w:cs="宋体"/>
          <w:sz w:val="24"/>
          <w:szCs w:val="24"/>
          <w:highlight w:val="none"/>
        </w:rPr>
      </w:pPr>
      <w:r>
        <w:rPr>
          <w:rFonts w:hint="eastAsia" w:ascii="宋体" w:hAnsi="宋体" w:eastAsia="宋体" w:cs="宋体"/>
          <w:b/>
          <w:bCs/>
          <w:sz w:val="24"/>
          <w:szCs w:val="24"/>
          <w:highlight w:val="none"/>
        </w:rPr>
        <w:t>一、</w:t>
      </w:r>
      <w:r>
        <w:rPr>
          <w:rFonts w:hint="eastAsia" w:ascii="宋体" w:hAnsi="宋体" w:eastAsia="宋体" w:cs="宋体"/>
          <w:b/>
          <w:bCs/>
          <w:sz w:val="24"/>
          <w:szCs w:val="24"/>
          <w:highlight w:val="none"/>
          <w:lang w:val="en-US" w:eastAsia="zh-CN"/>
        </w:rPr>
        <w:t>招标内容</w:t>
      </w:r>
      <w:r>
        <w:rPr>
          <w:rFonts w:hint="eastAsia" w:ascii="宋体" w:hAnsi="宋体" w:eastAsia="宋体" w:cs="宋体"/>
          <w:b/>
          <w:bCs/>
          <w:sz w:val="24"/>
          <w:szCs w:val="24"/>
          <w:highlight w:val="none"/>
        </w:rPr>
        <w:t>概况</w:t>
      </w:r>
    </w:p>
    <w:p>
      <w:pPr>
        <w:spacing w:line="360" w:lineRule="auto"/>
        <w:ind w:firstLine="48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采购清单</w:t>
      </w:r>
    </w:p>
    <w:tbl>
      <w:tblPr>
        <w:tblStyle w:val="33"/>
        <w:tblW w:w="95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5"/>
        <w:gridCol w:w="2250"/>
        <w:gridCol w:w="4935"/>
        <w:gridCol w:w="630"/>
        <w:gridCol w:w="7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序号</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项目名称</w:t>
            </w:r>
          </w:p>
        </w:tc>
        <w:tc>
          <w:tcPr>
            <w:tcW w:w="49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项目特征描述</w:t>
            </w: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计量</w:t>
            </w:r>
            <w:r>
              <w:rPr>
                <w:rFonts w:hint="eastAsia" w:ascii="黑体" w:hAnsi="宋体" w:eastAsia="黑体" w:cs="黑体"/>
                <w:b/>
                <w:bCs/>
                <w:i w:val="0"/>
                <w:iCs w:val="0"/>
                <w:color w:val="000000"/>
                <w:kern w:val="0"/>
                <w:sz w:val="20"/>
                <w:szCs w:val="20"/>
                <w:u w:val="none"/>
                <w:lang w:val="en-US" w:eastAsia="zh-CN" w:bidi="ar"/>
              </w:rPr>
              <w:br w:type="textWrapping"/>
            </w:r>
            <w:r>
              <w:rPr>
                <w:rFonts w:hint="eastAsia" w:ascii="黑体" w:hAnsi="宋体" w:eastAsia="黑体" w:cs="黑体"/>
                <w:b/>
                <w:bCs/>
                <w:i w:val="0"/>
                <w:iCs w:val="0"/>
                <w:color w:val="000000"/>
                <w:kern w:val="0"/>
                <w:sz w:val="20"/>
                <w:szCs w:val="20"/>
                <w:u w:val="none"/>
                <w:lang w:val="en-US" w:eastAsia="zh-CN" w:bidi="ar"/>
              </w:rPr>
              <w:t>单位</w:t>
            </w:r>
          </w:p>
        </w:tc>
        <w:tc>
          <w:tcPr>
            <w:tcW w:w="7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2250"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室内文化布展</w:t>
            </w:r>
          </w:p>
        </w:tc>
        <w:tc>
          <w:tcPr>
            <w:tcW w:w="49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拆除工程</w:t>
            </w:r>
          </w:p>
        </w:tc>
        <w:tc>
          <w:tcPr>
            <w:tcW w:w="49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b/>
                <w:bCs/>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拆除原有仿真植物、花箱清理、现有墙体面饰面铲除至露出原有基础墙体等业主指定所有内容</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1.拆除原有仿真植物及花箱清理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2.现有墙体面饰面铲除至露出原有基础墙体、原板材局部拆除等业主指定所有内容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3.包括但不限于以上拆除内容，具体拆除内容及部位根据业主要求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4.投标单位自行踏勘现场，结合实际现场综合考虑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建筑垃圾外运</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1.建筑垃圾类别：拆除垃圾、建筑垃圾的等所有垃圾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2.清理出场，且满足业主要求</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序厅改造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2.1</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序厅&amp;入口校训墙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4.涂料品种、喷刷遍数：白色涂料、3遍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80x80x10厚亚克力标题字，表面金属色烤漆（共83个字符）</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1.80x80x10厚亚克力标题字，表面金属色烤漆（共83个字符）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定制校徽</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1.定制校徽图案，10mm厚亚克力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（三）</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刘瑞龙展示道具改造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3.1</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刘瑞龙雕像展示道具</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定制格栅一</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1.定制木格栅一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2.外框：40x40防腐木格栅，表面棕色漆饰面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3.竖向：15x15防腐木格栅，表面棕色漆饰面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4.横向：15x15防腐木格栅，表面棕色漆饰面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定制格栅二</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1.外框：40x40防腐木格栅，表面棕色漆饰面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2.竖向：15x15防腐木格栅，表面棕色漆饰面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3.横向：15x15防腐木格栅，表面棕色漆饰面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4.金色光面2mm厚不锈钢装饰板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5.深红色烤漆2mm厚不锈钢装饰板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350宽2mm厚不锈钢钛金色3D立体五角星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1.350宽2mm厚不锈钢钛金色3D立体五角星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300宽2mm厚不锈钢钛金色3D立体五角星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1.300宽2mm厚不锈钢钛金色3D立体五角星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80宽2mm厚不锈钢钛金色3D立体五角星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1.80宽2mm厚不锈钢钛金色3D立体五角星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1.金色光面2mm厚不锈钢装饰板弯折，凸出墙面10mm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1.古铜色哑光面2mm厚不锈钢装饰板弯折，凸出墙面10mm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1.深红色烤漆2mm厚不锈钢装饰板弯折，凸出墙面10mm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1.古铜色哑光面2mm厚不锈钢装饰板弯折，凸出墙面20mm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钛金色立体金属字，凸出板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面10mm</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1.钛金色立体金属字，凸出板面10mm（共24个字符）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1.宣传板采用2mm金属板定制加工弯折，凸出墙体20mm，表面腐蚀工艺定制文字内容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定制刘瑞龙铜像</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1.定制刘瑞龙铜像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2.定制0.8米半人高精品纯铜半身铜像，采用精铸工艺、人物神态细节精细化打磨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3.0.6米高仿铜底座上根据要求增加说明文字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4.文字内容详见图纸且满足业主要求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玫瑰金拉丝面金属字-一个人</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1.玫瑰金拉丝面金属字，凸出墙面20mm-一个人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成品展柜1</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1.名称：成品展柜1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2.规格、型号：长1200mm*高900mm*宽500mm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3.实木烤漆博物馆展柜，高透钢化玻璃，液压开合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（四）</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序厅楼梯&amp;一个人主题装饰墙面改造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4.1</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序厅楼梯</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1.红色烤漆2mm厚不锈钢装饰板弯折成山形，凸出墙面20mm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1.白色金属字墙贴，凸出墙面20mm-早年经历/革命探索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一个人主题装饰墙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350宽2mm厚不锈钢红色3D立体五角星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1.350宽2mm厚不锈钢红色3D立体五角星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玫瑰金拉丝面金属字-刘瑞龙事迹</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1.玫瑰金拉丝面金属字，凸出墙面20mm-刘瑞龙事迹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1.红色烤漆2mm厚不锈钢装饰板弯折成山形，凸出墙面20mm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1.黑色金属字墙贴，凸出墙面20mm-大淮海、大支前、大后勤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1.黑色金属字墙贴，凸出墙面10mm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4.部位：刘瑞龙字体下方小字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黑色金属字墙贴-刘瑞龙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1.黑色金属字墙贴，凸出墙面10mm-刘瑞龙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1.玫瑰金拉丝面金属字，凸出墙面20mm-通海如泰农民暴动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1.黑色金属字墙贴，凸出墙面10mm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3.部位：01/02/03处小字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红色金属字贴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1.红色金属字墙贴，凸出墙面10mm-被俘西路军人员历尽难中难,心如铁石坚/创建淮北抗日根据地/第三野战军的“粮草大将军”!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红色金属分割线墙贴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1.红色金属分割线墙贴，凸出墙面10mm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4.部位：01/02/03处</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红色金属字墙贴-1910/1988</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1.红色金属字墙贴，凸出墙面20mm-1910/1988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（五）</w:t>
            </w:r>
          </w:p>
        </w:tc>
        <w:tc>
          <w:tcPr>
            <w:tcW w:w="22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一段岁月主题装饰墙改造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一段岁月主题装饰墙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350宽2mm厚不锈钢红色3D立体五角星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1.350宽2mm厚不锈钢红色3D立体五角星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1.红色烤漆2mm厚不锈钢装饰板弯折成山形，凸出墙面20mm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玫瑰金拉丝面金属字-一段岁月</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1.玫瑰金拉丝面金属字，凸出墙面20mm-一段岁月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1.红色金属字墙贴，凸出墙面20mm-中国工农红军江苏省一大队成立/红十四军建军大会/中国工农红军第十四军成立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图片文字转印贴转印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1.图片文字转印贴转印-红十四军战斗图片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楼梯处装饰墙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1.红色烤漆2mm厚不锈钢装饰板弯折成山形，凸出墙面20mm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1.照片采用2mm金属板定制加工弯折，凸出墙体20mm，表面腐蚀工艺定制文字内容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1.红色金属字墙贴，凸出墙面20mm-中国工农红军第十四军军民鱼水情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（六）</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一群人主题装饰墙改造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一群人主题装饰墙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1.定制玻璃钢红色立方体造型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1.红色烤漆2mm厚不锈钢装饰板/金色光面2mm厚不锈钢装饰板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350宽2mm厚不锈钢红色3D立体五角星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1.350宽2mm厚不锈钢红色3D立体五角星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玫瑰金拉丝面金属字-一群人</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1.玫瑰金拉丝面金属字-一群人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150宽2mm厚红色立体3D五角星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1.150宽2mm厚红色立体3D五角星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250宽2mm厚金色五角星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1.250宽2mm厚金色五角星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红色亚克力分割线墙贴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1.红色亚克力分割线墙贴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成品展柜2</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1.名称：成品展柜2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2.规格：长500*高250*宽250mm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3.成品冷轧钢板博物馆展示吊柜表面烤漆，8mm钢化玻璃，液压上翻开启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成品展柜1</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1.名称：成品展柜1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2.规格、型号：长1200mm*高900mm*宽500mm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3.实木烤漆博物馆展柜，高透钢化玻璃，液压开合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150x150x10厚高密度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PVC烤漆字，墨色书法手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写体（共14个字符）</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1.150x150x10厚高密度PVC烤漆字，墨色书法手写体（共14个字符）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宣传板装饰墙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（七）</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一组故事主题装饰墙改造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一组故事主题装饰墙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1.古铜色哑光面2mm厚不锈钢装饰板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350宽2mm厚不锈钢红色3D立体五角星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1.350宽2mm厚不锈钢红色3D立体五角星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玫瑰金拉丝面金属字-一组故事</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1.玫瑰金拉丝面金属字-一组故事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150宽2mm厚金色立体3D五角星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1.150宽2mm厚金色立体3D五角星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成品展柜3</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1.名称：成品展柜3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2.规格：长500mm*高250mm*宽250mm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3.成品冷轧钢板博物馆展示吊柜表面烤漆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8mm钢化玻璃，液压上翻开启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成品展柜4</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1.名称：成品展柜4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2.规格：长700mm*高250mm*宽250mm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3.成品冷轧钢板博物馆展示吊柜表面烤漆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8mm钢化玻璃，液压上翻开启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10mm宽深灰色涂料分隔线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1.10mm宽深灰色涂料分隔线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1.玫瑰金拉丝面金属字-攻打余东警察局 首战告捷、智取四杨坝、夜袭四甲坝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（八）</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三打汤家苴改造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三打汤家苴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1.古铜色哑光面2mm厚不锈钢装饰板弯折，凸出墙面20mm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1.红色烤漆2mm厚不锈钢装饰板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150宽2mm厚金色立体五角星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1.150宽2mm厚金色立体五角星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1.玫瑰金拉丝面金属字-三打汤家苴/二打汤家苴/首战汤家苴/第三次攻打汤家苴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（九）</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增加墙体底部装饰改造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1.红色长城剪影PVC墙贴分层立体雕刻,凸出墙面20mm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1.红色几何形PVC墙贴分层立体雕刻,凸出墙面20mm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（十）</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国防展厅改造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成品装饰线条</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1.线条材料品种、规格：10mm宽不锈钢分隔条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1.宣传板采用20厚PVC板定制加工，表面UV喷印+1mm厚水晶膜，侧面与正面同色同亮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成品展柜5</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1.名称：成品展柜5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2.规格：长1000mm*高1150mm*宽500mm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3.实木烤漆博物馆展柜，高透钢化玻璃，液压开合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成品椭圆形展柜</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1.成品椭圆形展柜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2.径长1400mm/1800mm*高度950mm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3.实木烤漆博物馆展柜，高透钢化玻璃，液压开合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飞机模型</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1.飞机模型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火箭模型</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1.火箭模型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陈列微型仿真军事模型</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1.陈列微型仿真军事模型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成品实木地台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1.成品实木地台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2.白色烤漆饰面，2000x400x400高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（十一）</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一种精神主题装饰墙改造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一种精神装饰墙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350宽2mm厚不锈钢红色3D立体五角星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1.350宽2mm厚不锈钢红色3D立体五角星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玫瑰金拉丝面金属字-一种精神</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1.玫瑰金拉丝面金属字，凸出墙面20mm-一种精神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红色亚克力墙贴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1.红色亚克力墙贴，凸出墙面10mm（带五角星）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红色亚克力条形墙贴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1.红色亚克力条形墙贴，凸出墙面10mm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1.宣传板采用20厚PVC板定制加工，表面UV喷印+1mm厚水晶膜，侧面与正面同色同亮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成品红色书柜</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1.名称：成品红色书柜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2.规格：长3100mm*高700mm*宽300mm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3.实木烤漆，板厚20mm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尾厅宣传板装饰墙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墙面喷刷涂料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1.喷刷涂料部位：墙面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2.腻子种类：成品腻子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3.刮腻子遍数：3遍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4.涂料品种、喷刷遍数：香槟色涂料、3遍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1.绿色亚克力底板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1.橙色亚克力底板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1.红色亚克力底板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墙、柱面装饰板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1.蓝色亚克力底板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照片+宣传板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1.宣传板及照片采用可更换插片式PVC板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2.照片、宣传板内容见图纸且满足业主要求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m²</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定制棕色书柜</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1.名称：定制棕色书柜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2.规格：长4450mm*高500mm*宽300mm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3.实木烤漆，板厚20mm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玫瑰金金属字墙贴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1.玫瑰金金属字墙贴，凸出墙面20mm-书香文脉/艺趣美育/健体科创/校园风采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红以养正装饰墙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红色PVC墙贴分层立体雕刻,凸出墙面20mm</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1.红色PVC墙贴分层立体雕刻,凸出墙面20mm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3.投标单位自行踏勘现场，结合实际现场综合考虑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银色金属字墙贴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1.银色金属字墙贴，凸出墙面20mm-勇往直前/自强不息/坚定不移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120x120红色亚克力字墙贴字，凸出墙面20mm(共四个字)</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1.120x120红色亚克力字墙贴字，凸出墙面20mm(共四个字)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（十二）</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展馆局部装饰更换&amp;修复</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移动展板至序厅门洞上方</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1.移动展板至序厅门洞上方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2.含安装等所有内容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原展板移动至序厅门洞上方处周围红色主题墙面画装饰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1.原展板移动至序厅门洞上方处周围红色主题墙面画装饰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更换红色五角星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1.更换红色五角星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2.做法：详见图纸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3.投标单位自行踏勘现场，结合实际现场综合考虑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更换墙面浮雕文字</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1.更换墙面浮雕文字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2.具体字体内容、做法、规格、型号及材质需满足业主要求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其他项目</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1.其他所有项目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2.业主要求的所有内容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3.投标单位自行踏勘现场，结合实际现场综合考虑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（十三）</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其他工程</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墙、柱面一般抹灰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1.10厚1:0.3:3水泥石灰膏砂浆打底扫毛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2.6厚1:0.3:2.5水泥石灰膏砂浆找平层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3.工程量暂估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4.投标单位自行踏勘现场，结合实际现场综合考虑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精保洁</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1.精保洁</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增设陈列刘瑞龙及红十四军红色物料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1.增设陈列刘瑞龙及红十四军红色物料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2.具体做法、规格、型号及材质根据业主要求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采购红色书籍</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1.采购红色书籍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2.具体书籍名录根据业主要求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3.具体做法：详见图纸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20"/>
                <w:szCs w:val="20"/>
                <w:u w:val="none"/>
              </w:rPr>
            </w:pPr>
          </w:p>
        </w:tc>
        <w:tc>
          <w:tcPr>
            <w:tcW w:w="225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493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2250"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劳动研学基地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农耕园</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购买秧苗、草籽</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按业主要求购买秧苗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整理用地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1.找平找坡要求：场地垃圾清理，垃圾外运，运距自行考虑，整理地形</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栽植土回填</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1.回填土质要求：暂估量，菜地土壤改良</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植被清理</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1.清杂，暂估量，土方向下清杂30cm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长征研学点-飞渡桥</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购买秧苗、草籽</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按业主要求购买秧苗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整理用地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1.找平找坡要求：整理地形</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栽植土回填</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1.回填土质要求：填土至设计标高，具体以现场实际情况为准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植被清理</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1.种类：清杂，暂估量，土方向下清杂30cm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20"/>
                <w:szCs w:val="20"/>
                <w:u w:val="none"/>
              </w:rPr>
            </w:pPr>
          </w:p>
        </w:tc>
        <w:tc>
          <w:tcPr>
            <w:tcW w:w="225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小计</w:t>
            </w:r>
          </w:p>
        </w:tc>
        <w:tc>
          <w:tcPr>
            <w:tcW w:w="493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三</w:t>
            </w:r>
          </w:p>
        </w:tc>
        <w:tc>
          <w:tcPr>
            <w:tcW w:w="2250"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室外红色文化布展</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农耕园</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园路面层</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1.碎拼铺装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2.素土夯实,压实系数≥0.93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3.150厚碎石垫层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4.100厚C20混凝土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5.结合层厚度、材料种类：30厚1:3干硬性水泥砂浆粘结层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6.面层材料种类、规格：50厚500-800烧面芝麻灰圆形拼铺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留缝50-100，缝内嵌草</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园路面层</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1.菜地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2.素土夯实，夯实系数≥90%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3.100厚碎石垫层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4.土工布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5.100厚散置砾石</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园路面层</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1.菜地收边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2.素土夯实，夯实系数≥90%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3.100厚碎石垫层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4.土工布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5.C20素砼垫层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6.200X100X50标准青砖（C20素砼护角固定）</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花池</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1.菜地种植池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2.素土夯实≥93%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3.60厚C20素混凝土基垫层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4.30厚1:2.5水泥砂浆粘接层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5.白麻花岗石整打路沿石</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1.农耕园入口标识石</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竹篱笆</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1.外形尺寸：竹篱笆详见图纸，含基础</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农耕园小品</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研学读书台凳</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竹篱笆展板</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场地西侧墙上展板</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1、入口对联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2、2块/副</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劳动工具收纳柜</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菜地认领牌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红色故事宣传牌-农耕园</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长征研学点</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园路面层</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1.AC-13改性细粒式沥青混凝土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2.钢板与沥青接缝弹性密封胶封缝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3.乳化沥青粘层油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4.环氧沥青界面粘结底漆(满刷)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5.原有混凝土基层病害修复+铣刨拉毛</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园路面层</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1.AC-10C彩色改性细粒式沥青混凝土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2.钢板与沥青接缝弹性密封胶封缝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3.彩色乳化沥青粘层油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4.环氧沥青界面粘结底漆(满刷)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5.原有混凝土基层病害修复+铣刨拉毛</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木(竹、塑木)地面面层</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1.会师台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2.40×40×4mm镀锌钢通副龙骨@350-400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40×40×4mm镀锌钢通主龙骨@1200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3.塑木地板</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1.会师台背景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2.素土夯实，夯实系数≥93%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3.150厚碎石垫层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4.100厚C20素混凝土垫层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5.C25混凝土基础</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吊桥详见图纸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木制桩</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1.吊桥安全配套设施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2.材质、规格：杉木桩密布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3.桩长、尾径：通长5mφ120，后包裹土工布</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长征历史行军路径研学区</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保留宣传围挡改造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（现状向北移动约1.4m）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lang w:val="en-US" w:eastAsia="zh-CN" w:bidi="ar-SA"/>
              </w:rPr>
            </w:pPr>
            <w:r>
              <w:rPr>
                <w:rFonts w:hint="eastAsia" w:ascii="黑体" w:hAnsi="宋体" w:eastAsia="黑体" w:cs="黑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指示宣传牌-飞渡桥、会师台、征途卷</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黑体" w:hAnsi="宋体" w:eastAsia="黑体" w:cs="黑体"/>
                <w:i w:val="0"/>
                <w:iCs w:val="0"/>
                <w:color w:val="000000"/>
                <w:sz w:val="20"/>
                <w:szCs w:val="20"/>
                <w:u w:val="none"/>
                <w:lang w:val="en-US" w:eastAsia="zh-CN"/>
              </w:rPr>
            </w:pPr>
            <w:r>
              <w:rPr>
                <w:rFonts w:hint="eastAsia" w:ascii="黑体" w:hAnsi="宋体" w:eastAsia="黑体" w:cs="黑体"/>
                <w:i w:val="0"/>
                <w:iCs w:val="0"/>
                <w:color w:val="000000"/>
                <w:sz w:val="20"/>
                <w:szCs w:val="20"/>
                <w:u w:val="none"/>
                <w:lang w:val="en-US" w:eastAsia="zh-CN"/>
              </w:rPr>
              <w:t>10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长征研学点展板</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（三）</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操场西北角-过草地</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过草地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1.20厚石英砂(人造草皮铺完再填充)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2.10厚环保橡胶颗粒填充物(人造草皮铺完再填充)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3.30mm厚高防静电人工草皮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4.10厚SPEE减震垫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5.现状水泥场地进行修复平整</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499.52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草地设施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放置成品活动设施</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指示宣传牌-过草地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过草地配套设施</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（四）</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操场西南角-凌云隘</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其他小摆设-攀爬网设施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成品采购</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攀爬网设施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成品采购</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其他小摆设-独木桥设施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成品采购</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独木桥设施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成品采购</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其他小摆设-指示宣传牌</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1、指示宣传牌-凌云隘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2、做法详见27-29节点四-凌云隘宣传牌做法，面层文字由甲方自定专业厂家二次深化设计</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（五）</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操场东南角-险途径</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1、指示宣传牌-险途径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2、做法详见30-31节点五-险途径宣传牌做法，面层文字由甲方自定专业厂家二次深化设计</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攀爬网设施 成品采购</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攀爬网设施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成品采购</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其他小摆设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独木桥设施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成品采购</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20"/>
                <w:szCs w:val="20"/>
                <w:u w:val="none"/>
              </w:rPr>
            </w:pPr>
          </w:p>
        </w:tc>
        <w:tc>
          <w:tcPr>
            <w:tcW w:w="225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小计</w:t>
            </w:r>
          </w:p>
        </w:tc>
        <w:tc>
          <w:tcPr>
            <w:tcW w:w="493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四</w:t>
            </w:r>
          </w:p>
        </w:tc>
        <w:tc>
          <w:tcPr>
            <w:tcW w:w="2250"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室外灌溉</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塑料管</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1.垫层、基础材质及厚度：至少20cm细土（砂）包封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2.材质及规格：PE给水管 DE63 公称压力1.25MPa（含管件）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3.连接形式：热熔承插连接</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塑料管</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1.垫层、基础材质及厚度：至少20cm细土（砂）包封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2.材质及规格：PE给水管 DE32 公称压力1.6MPa（含管件）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3.连接形式：热熔承插连接</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喷嘴</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散射喷嘴:8VAN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喷酒角度0-360度可调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矩形散射喷嘴:15SST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喷洒角度90/180度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弹伸高度10CM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地埋伸缩喷头壳体:1804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铰接架:1/2”</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阀门</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快速取水阀:3/4”全铜材质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阀门箱:PVB6 RND阀箱</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阀门</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电磁阀:1200PGA2寸内螺纹接口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检修阀:DN50铜闸阀(安装于电磁阀前端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阀门箱:PVB-JMB</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砖检查井</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水表井:含DN50水表*1、DN50闸阀*2、DN50防污隔断阀*1                                                                         做法参考图集05S502第43页(绿化浇灌）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阀门</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真空破坏器 水平直通形(大气型),见图集12S108-2第39页</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挖沟槽土方</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1.土类别：一二类土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2.挖土深度：具体详见图纸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沟槽、基坑回填方</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1.填方来源：场内回填</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20"/>
                <w:szCs w:val="20"/>
                <w:u w:val="none"/>
              </w:rPr>
            </w:pPr>
          </w:p>
        </w:tc>
        <w:tc>
          <w:tcPr>
            <w:tcW w:w="225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小计</w:t>
            </w:r>
          </w:p>
        </w:tc>
        <w:tc>
          <w:tcPr>
            <w:tcW w:w="4935"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五</w:t>
            </w:r>
          </w:p>
        </w:tc>
        <w:tc>
          <w:tcPr>
            <w:tcW w:w="2250"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室内安装</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（一）</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智能语音</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发射讲解器Bcity-6-313TQ-5</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频率范围 UHF600Mhz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频率响应 20Hz-20KHz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频道数 102频道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发射功率 ≦0.45W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对频方式 手动调频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电池容量 3000mAh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工作电流 400mA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电池续航 约6.5小时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充电时长 约6小时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 L*W*H : 115*55*26mm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 98g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工作距离 约300m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电池类型 锂聚合物电池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充电方式 可用type-c线充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 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颜色 黑色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标准配置 麦克风,挂绳</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耳挂式接收器BCT-6-621R-Q</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 621R  Q系列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频率范围 UHF600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频率响应 20Hz-20KHz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频道数 102频道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对频方式 手动调频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充电电压 DC3.5V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信噪比 &gt;-47dB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灵敏度 -95dB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失真度 &lt; 0.5% @1KHZ DEV30KHZ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电池续航 约6小时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充电时长 约2.5小时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 L*W*H : 52*22*14mm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 16g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工作距离 约300m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电池类型 锂聚合物电池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 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颜色 银灰色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标准配置 挂钩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充电器电流 100mAh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充电器电压 5V                                                                                                                                                                                                                                                                  1、内置锂电池独立充电，待机时间6-8小时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2、频道102个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3、无线距离1-300 米</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耳挂式充电箱LQ-50W位充电收纳消毒一体箱</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同时给50个耳挂式接收器，2个发射器充电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充电一体箱: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 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输入: AC100-240V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 DC5V ⎓ 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使用方法: 按开关键开机, 盒盖后自动消毒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注 : 开机消毒后请勿开盖, 中间需停止消毒, 请先关 接收器集中充电，一次可充50台，自动断电保护。充电绿灯，饱和蓝灯  智能Q芯片控制，2-4小时充饱，绿灯充电，蓝灯充饱。合上盖子3秒后 臭氧和灯一起开始工作，其中臭氧工作15分钟后停止，灯工作60分钟后停止，没有循环，直到下一次开盖</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室外音响</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1.名称：可移动式一体机音响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2.屏幕尺寸：约26吋（含镜面边框对角线66cm）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3.屏幕翻转角度：鸥翼式折叠分体，翻转180°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4.喇叭单元：10吋低音*2+80磁专业号角高音*2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5.额定功率：400W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6.电池：12.8V/24000mAh磷酸铁锂动力电池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7.内存：2G（运存）+16G（内存）+1TB（硬盘）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8.蓝牙版本；V5.3.2.4GH-2.48GHz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9.频响：50HZ-20KHZ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10.失真度：≤0.5%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11.信噪比：≥80dB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12.网络接口：支持2.4G/5G双频WIFI</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13.视频系统：安卓+K歌系统（赠送3年K歌会员）</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（二）</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导览系统</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控制机房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定位主机</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工业级机柜式机，配置≥8核，≥2.4GHz处理器。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2.内存:≥8GB，内置EMMC储存容量≥128GB+≥256G固态硬盘。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3.具有≥1路HDMI输出接口，具有≥2个USB2.0接口，具有≥2个USB3.0接口。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5.支持音频路由矩阵，≥256×256规格的网络音频路由矩阵。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6.支持定位算法引擎功能，具备UWB定位设备统一管理能力，可通过网络采集基站定位数据，由算法引擎集中处理分析。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7.支持多种定位算法模式，采用包括卡尔曼滤波和最小二乘法在内的多种定位算法，支持零维、一维及二维精准定位。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8.支持MP3、WAV音频文件上传至主机媒体库，可实时解码文件并分发至各音频分区进行播放。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9、为响应国家节能减排政策，参与投标产品生产过程符合国家GB/T 23331-2020或者ISO50001:2018《能源管理体系要求》。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10、为确保产品质量符合项目需求，有效履行合同义务和具备相关履约能力，参与投标产品制造商需通过GB/T 40753-2021或者ISO28000供应链管理体系规范认证。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11、为确保产品制造商能在项目需求周期内完成供货和不会影响到项目验收，参与投标产品制造商需通过GB/T 30146-2023或者ISO22301《安全与韧性-业务连续性管理体系-要求》。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12、为确保投标产品在生产过程中，制造商对有害物质的控制符合节约能源、保护环境及其他国家相关的的政策，参与投标产品厂家需通过《IECQ-QC080000有害物质过程管理体系认证》。</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音频综合管理系统主机嵌入软件</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1.软件内嵌于音频综合管理系统主机设备，支撑设备各项基本功能的运行。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2.支持系统设置、定时任务、应急任务、时间设置功能。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3.支持分区/全区广播功能，支持与消防设备联动紧急广播。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4.支持自动锁屏功能。</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7"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智慧语音导览系统管理软件</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支持对定位基站的基础参数、信息进行添加、编辑、删除与保存。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2.支持配置SSH远程连接参数，管理员可通过远程终端安全访问系统后台，实现跨设备的系统维护与指令下发。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3.支持脱机模式下的自动讲解任务配置，支持在无网络脱机环境下，创建、编辑、删除自动讲解任务，设置任务触发条件、播放内容与执行时段。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4.支持对GPIO接口设备进行任务配置，可关联导览场景设置设备的触发指令、运行逻辑与联动规则，实现外设与系统的智能协同。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5.支持对U段通信通道参数进行配置与优化。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6.支持在脱机状态下对音频导览媒体资源进行上传、编辑、删除管理。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7.支持在无网络环境下对讲解器设备进行批量绑定、状态监测、参数设置与故障排查。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8.支持导览地图显示，提供地图上传与比例校准功能。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▲9.支持自定义划分区域，允许用户按需创建椭圆、矩形或多边形的多种形状的电子围栏区域。（提供功能界面截图佐证）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10.支持区域讲解任务配置，支持为每个区域创建独立的讲解任务，可设置讲解音频、播放次数、持续时间及播放模式（顺序、循环、随机）。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▲11.支持定位引擎算法配置，支持配置定位算法模式，包括零维、一维、二维定位，以及单基站/多基站协同定位策略。（提供功能界面截图佐证）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▲12.实时位置与轨迹显示，通过后台客户端实时追踪并可视化讲师当前位置与历史移动轨迹。（提供功能界面截图佐证）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13.支持多楼层层组结构配置，有效隔离各楼层定位与通信信号，避免跨层串扰与频率冲突。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14.支持设备实时管控，监控系统内设备（基站、讲解器）的运行状态，包括在线/离线状态、故障告警及电池电量的信息。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15.支持会话状态管理，实时展示当前运行中的讲解会话列表，支持远程调节音量、暂停/停止播放的操作。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16.支持查看系统全量日志，包含任务执行日志、设备运行日志、用户操作日志。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17.支持数据备份与导入，支持对系统配置信息、导览任务数据、媒体资源进行一键备份，生成备份文件；可通过导入备份文件快速恢复系统数据。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18.支持闪避音量设置，支持设置音频闪避规则，当讲解广播触发时，自动降低背景音乐音量；讲解结束后，恢复背景音乐音量。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19.支持分组解算参数设置，支持对多团队、多区域的定位分组参数进行配置。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20.支持地图配置，支持对导览地图进行高精度参数设置，可自定义地图比例尺、长宽尺寸、坐标原点的信息。</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21.因项目涉及到软件产品，为确保采购过程和用户在使用过程中引起知识产权纠纷软件产品厂家需通过《GB/T29490-2023 知识产权管理体系》考核</w:t>
            </w:r>
            <w:r>
              <w:rPr>
                <w:rFonts w:hint="eastAsia" w:ascii="宋体" w:hAnsi="宋体" w:eastAsia="宋体" w:cs="宋体"/>
                <w:i w:val="0"/>
                <w:iCs w:val="0"/>
                <w:color w:val="000000"/>
                <w:kern w:val="0"/>
                <w:sz w:val="21"/>
                <w:szCs w:val="21"/>
                <w:highlight w:val="none"/>
                <w:u w:val="none"/>
                <w:lang w:val="en-US" w:eastAsia="zh-CN" w:bidi="ar"/>
              </w:rPr>
              <w:t>。</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台式电脑</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1.处理器：i7处理器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2.内存：16G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3.硬盘：1TB SSD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4.显卡类型：集成显卡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5.系统：Windows 11家庭中文版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6.包含21.45英寸显示器（分辨率：1080P）</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讲解器</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导览讲解器</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1.支持数字U段传输技术，语音传输半径≥50米，支持≥48kHz采样率，pi/4-DQPSK调制方式。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2.支持UWB定位技术，导游进入不同展馆时，设备可自动连接对应基站，实现讲解内容无缝切换，定位半径≥30米。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3.支持多种讲话模式，提供PTT讲话模式和MUTE模式，用户可通过PC软件切换。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4.具有智能指示灯，电量、射频、PTT/MUTE指示灯分别显示设备电量、连接状态及讲话模式。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5.支持功率调节，配备高、中、低三档发射功率，用户可根据场景在PC端调节。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6.具有≥1路3.5mm通用麦克风接口，支持短型手持咪头和头戴式麦克风。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7.讲解器内置锂电池供电，≥2小时快速充电，并采用低功耗设计，≥8小时续航。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高音质对讲话筒嵌入软件</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1.软件内嵌于话筒设备，实现话筒广播功能，支撑设备各项基本功能的运行。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2.授权操作管理功能，支持服务器统一配置管理用户及密码。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3.支持单独调节音量。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4.支持对讲、广播功能。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5.支持广播闪避功能。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6.支持远程固件升级。</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导览位置定位设备</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扩声定位基站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1.基于超宽带（UWB）技术，内置天线，覆盖半径≥30m，实现位置感知和定位。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2.基于U段技术，内置≥4个接收通道，实现讲解器音频实时传输和扩声。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▲3.具备≥2路触发输入接口，具备≥1路RS485接口，具备≥1路TF卡接口，具备≥1路音频输入和输出接口，具备≥1个复位按键，具备≥1路标准RJ45，具备≥1路直流电源供电接口。（提供设备产品图佐证）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4.支持DHCP、TCP、UDP、ICMP、IGMP、ARP标准网络协议。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5.支持吸顶、壁挂安装方式。</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高音质网络终端嵌入软件</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1.软件内嵌于控制面板设备，支撑设备各项基本功能的运行。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2.支持本地音源选择、音频通道选择、音量控制功能。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3.支持查看设备信息。</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数传专业数字功放</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1.采用网络传输协议，内置≥4路网络传输通道，支持远距离音频传输；集成DSP音频处理功能。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切换音频输入模式：包括混音输入模式、网络音频输入模式、本地音频输入模式；同时具有数模备份（网络优先模式下，优先播放网络音频，当网络音频断开，自动切换为模拟音频）、模数备份两种模式（模拟优先模式下，优先播放模拟音频，当模拟音频断开，自动切换为网络音频）。（提供功能截图佐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3.内置多种工作模式：包括定阻、定压、音频矩阵和桥接，可自由切换以满足不同用户需求；定阻模式支持16欧、8欧、4欧；桥接模式支持16欧、8欧；定压模式支持70V；最低支持4欧负载。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▲4.集成设备监控状态功能，实时显示各通道工作状态、温度、功率、实时电压、电流、市电电压、市电电流、通道音量、音频输入模式状态。（提供功能截图佐证）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5.输入灵敏度提供≥2档设置：包括1V/2V。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6.支持多设备级联，可远程监控多台设备使用状态及控制设备。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7.配备智能削峰限幅器，确保功率模块及扬声器系统在安全范围内工作。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8.采用开机软启动设计，防止开机时向电网吸收大电流，避免干扰其他用电设备。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9.具有过压保护、欠压保护、过流保护、直流保护、输出短路保护、温控风扇功能。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具有集中控制功能，支持软件远程调节音频大小、通道切换、开关机及多设备控制，还可通过网络对接中控系统，实时显示设备使用状态、温度、功率、电压、电流信息，并支持控制功放开关机与调节音量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11.输出功率：立体声16Ω：≥4×100W；立体声8Ω：≥4×200W；立体声4Ω：≥4×400W；桥接16Ω：≥2×400W；桥接8Ω：≥2×750W；定压70V：≥2×350W。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12.具备设备定位功能。通过PC软件在设备列表中点击定位，主机显示屏会弹出“定位成功”提示。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具有≥3.7英寸IPS电容触控显示屏，支持动态显示开机界面、通道数量、通道实时电平值。支持控制设备静音、调节增益、工作模式（包含切换定阻/定压模式、输入通道切换、矩阵/桥接模式、灵敏度1V/2V切换、音频优先级切换功能）以及查看功放状态（包含通道状态，正常状态与故障状态分别通过不同颜色指示灯标识；实时显示当前输出通道温度、电压、电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触控显示屏可显示设备信息，包含设备IP地址、子网掩码、默认网关、MAC地址、MCU版本及固件版本信息；具有中英文界面切换功能，用户可选择简体中文或English，系统默认为简体中文。支持设置设备息屏时间，提供≥3种无操作息屏时长选项以供选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▲15.集成DSP音频处理功能，具有≥15段参量均衡器、限幅器、高低通滤波器、通道延时功能，通道延时可设置时间等同或宽于0~2000ms；软件可根据现场延时距离自动计算需要的延时时间。（提供功能截图佐证）</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天花喇叭</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1.喇叭单元：6.5"低音+19mm(3/4")高音同轴扬声器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2.阻抗：≤16Ω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3.频率响应等同或优于100Hzto20kHz@-10dB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4.最大声压级：≥106dB±3dB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5.额定功率≥60W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6.最大功率≥120W</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辅助材料</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插箱、机柜、台架</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42U，600*800*2000，钢化玻璃门</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1.16个千兆网口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2.支持IEEE 802.3 、IEEE 802.3i、IEEE 802.3u、IEEE 802.3ab、IEEE 802.3x等网络标准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超五类非屏蔽网线</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1.名称：超五类非屏蔽网线</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1.名称：PVC25</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其他辅材</w:t>
            </w:r>
          </w:p>
        </w:tc>
        <w:tc>
          <w:tcPr>
            <w:tcW w:w="4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其它辅助材料（排插、三极电源插头、水晶头、2芯线缆等）</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 </w:t>
            </w:r>
          </w:p>
        </w:tc>
      </w:tr>
    </w:tbl>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方正魏碑_GBK" w:hAnsi="方正魏碑_GBK" w:eastAsia="方正魏碑_GBK" w:cs="方正魏碑_GBK"/>
          <w:bCs/>
          <w:color w:val="FF0000"/>
          <w:sz w:val="24"/>
          <w:szCs w:val="24"/>
          <w:lang w:val="en-US" w:eastAsia="zh-CN"/>
        </w:rPr>
      </w:pPr>
      <w:r>
        <w:rPr>
          <w:rFonts w:hint="eastAsia" w:ascii="方正魏碑_GBK" w:hAnsi="方正魏碑_GBK" w:eastAsia="方正魏碑_GBK" w:cs="方正魏碑_GBK"/>
          <w:bCs/>
          <w:color w:val="FF0000"/>
          <w:sz w:val="24"/>
          <w:szCs w:val="24"/>
          <w:lang w:val="en-US" w:eastAsia="zh-CN"/>
        </w:rPr>
        <w:t>注：1、</w:t>
      </w:r>
      <w:r>
        <w:rPr>
          <w:rFonts w:hint="eastAsia" w:ascii="宋体" w:hAnsi="宋体" w:eastAsia="宋体" w:cs="宋体"/>
          <w:i w:val="0"/>
          <w:iCs w:val="0"/>
          <w:color w:val="FF0000"/>
          <w:kern w:val="0"/>
          <w:sz w:val="21"/>
          <w:szCs w:val="21"/>
          <w:u w:val="none"/>
          <w:lang w:val="en-US" w:eastAsia="zh-CN" w:bidi="ar"/>
        </w:rPr>
        <w:t>▲</w:t>
      </w:r>
      <w:r>
        <w:rPr>
          <w:rFonts w:hint="eastAsia" w:ascii="方正魏碑_GBK" w:hAnsi="方正魏碑_GBK" w:eastAsia="方正魏碑_GBK" w:cs="方正魏碑_GBK"/>
          <w:bCs/>
          <w:color w:val="FF0000"/>
          <w:sz w:val="24"/>
          <w:szCs w:val="24"/>
          <w:lang w:val="en-US" w:eastAsia="zh-CN"/>
        </w:rPr>
        <w:t>号参数为重要参数，有一项不满足做废标处理,提供证明材料扫描件并加盖公章，证明技术参数及功能的有效性。</w:t>
      </w:r>
    </w:p>
    <w:p>
      <w:pPr>
        <w:keepNext/>
        <w:keepLines/>
        <w:pageBreakBefore w:val="0"/>
        <w:widowControl w:val="0"/>
        <w:kinsoku/>
        <w:wordWrap/>
        <w:overflowPunct/>
        <w:topLinePunct w:val="0"/>
        <w:autoSpaceDE/>
        <w:autoSpaceDN/>
        <w:bidi w:val="0"/>
        <w:adjustRightInd/>
        <w:snapToGrid/>
        <w:spacing w:line="400" w:lineRule="exact"/>
        <w:textAlignment w:val="auto"/>
        <w:outlineLvl w:val="3"/>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二、政府采购中实施本国产品标准及相关政策</w:t>
      </w:r>
    </w:p>
    <w:p>
      <w:pPr>
        <w:pageBreakBefore w:val="0"/>
        <w:widowControl w:val="0"/>
        <w:kinsoku/>
        <w:wordWrap/>
        <w:overflowPunct/>
        <w:topLinePunct w:val="0"/>
        <w:autoSpaceDE/>
        <w:autoSpaceDN/>
        <w:bidi w:val="0"/>
        <w:adjustRightInd/>
        <w:snapToGrid/>
        <w:spacing w:line="400" w:lineRule="exact"/>
        <w:ind w:firstLine="555"/>
        <w:textAlignment w:val="auto"/>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1.本项目对采购本国产品给予政策支持，具体内容见招标文件“第五章 评标方法与评标标准”。</w:t>
      </w:r>
    </w:p>
    <w:p>
      <w:pPr>
        <w:pageBreakBefore w:val="0"/>
        <w:widowControl w:val="0"/>
        <w:kinsoku/>
        <w:wordWrap/>
        <w:overflowPunct/>
        <w:topLinePunct w:val="0"/>
        <w:autoSpaceDE/>
        <w:autoSpaceDN/>
        <w:bidi w:val="0"/>
        <w:adjustRightInd/>
        <w:snapToGrid/>
        <w:spacing w:line="400" w:lineRule="exact"/>
        <w:ind w:firstLine="555"/>
        <w:textAlignment w:val="auto"/>
        <w:rPr>
          <w:rFonts w:hint="eastAsia"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ageBreakBefore w:val="0"/>
        <w:widowControl w:val="0"/>
        <w:kinsoku/>
        <w:wordWrap/>
        <w:overflowPunct/>
        <w:topLinePunct w:val="0"/>
        <w:autoSpaceDE/>
        <w:autoSpaceDN/>
        <w:bidi w:val="0"/>
        <w:adjustRightInd/>
        <w:snapToGrid/>
        <w:spacing w:line="400" w:lineRule="exact"/>
        <w:ind w:firstLine="555"/>
        <w:textAlignment w:val="auto"/>
        <w:rPr>
          <w:rFonts w:ascii="方正魏碑_GBK" w:hAnsi="方正魏碑_GBK" w:eastAsia="方正魏碑_GBK" w:cs="方正魏碑_GBK"/>
          <w:bCs/>
          <w:color w:val="auto"/>
          <w:sz w:val="24"/>
          <w:szCs w:val="24"/>
        </w:rPr>
      </w:pPr>
      <w:r>
        <w:rPr>
          <w:rFonts w:hint="eastAsia" w:ascii="方正魏碑_GBK" w:hAnsi="方正魏碑_GBK" w:eastAsia="方正魏碑_GBK" w:cs="方正魏碑_GBK"/>
          <w:bCs/>
          <w:color w:val="auto"/>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ageBreakBefore w:val="0"/>
        <w:widowControl w:val="0"/>
        <w:kinsoku/>
        <w:wordWrap/>
        <w:overflowPunct/>
        <w:topLinePunct w:val="0"/>
        <w:autoSpaceDE/>
        <w:autoSpaceDN/>
        <w:bidi w:val="0"/>
        <w:adjustRightInd/>
        <w:snapToGrid/>
        <w:spacing w:line="400" w:lineRule="exact"/>
        <w:textAlignment w:val="auto"/>
        <w:rPr>
          <w:rFonts w:hint="default"/>
          <w:lang w:val="en-US" w:eastAsia="zh-CN"/>
        </w:rPr>
      </w:pPr>
      <w:r>
        <w:rPr>
          <w:rFonts w:hint="eastAsia" w:ascii="宋体" w:hAnsi="宋体"/>
          <w:b/>
          <w:bCs/>
          <w:color w:val="auto"/>
          <w:sz w:val="24"/>
          <w:szCs w:val="24"/>
          <w:lang w:val="en-US" w:eastAsia="zh-CN"/>
        </w:rPr>
        <w:t>三</w:t>
      </w:r>
      <w:r>
        <w:rPr>
          <w:rFonts w:ascii="宋体" w:hAnsi="宋体"/>
          <w:b/>
          <w:bCs/>
          <w:color w:val="auto"/>
          <w:sz w:val="24"/>
          <w:szCs w:val="24"/>
        </w:rPr>
        <w:t>、</w:t>
      </w:r>
      <w:r>
        <w:rPr>
          <w:rFonts w:hint="eastAsia" w:ascii="宋体" w:hAnsi="宋体"/>
          <w:b/>
          <w:bCs/>
          <w:color w:val="auto"/>
          <w:sz w:val="24"/>
          <w:szCs w:val="24"/>
        </w:rPr>
        <w:t>商务</w:t>
      </w:r>
      <w:r>
        <w:rPr>
          <w:rFonts w:ascii="宋体" w:hAnsi="宋体"/>
          <w:b/>
          <w:bCs/>
          <w:color w:val="auto"/>
          <w:sz w:val="24"/>
          <w:szCs w:val="24"/>
        </w:rPr>
        <w:t>要求</w:t>
      </w:r>
    </w:p>
    <w:p>
      <w:pPr>
        <w:tabs>
          <w:tab w:val="left" w:pos="720"/>
        </w:tabs>
        <w:spacing w:line="360" w:lineRule="auto"/>
        <w:ind w:firstLine="482"/>
        <w:jc w:val="left"/>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服务</w:t>
      </w:r>
      <w:r>
        <w:rPr>
          <w:rFonts w:hint="eastAsia" w:ascii="宋体" w:hAnsi="宋体" w:eastAsia="宋体" w:cs="宋体"/>
          <w:b/>
          <w:bCs/>
          <w:sz w:val="24"/>
          <w:szCs w:val="24"/>
          <w:lang w:val="en-US" w:eastAsia="zh-CN"/>
        </w:rPr>
        <w:t>期限</w:t>
      </w:r>
      <w:r>
        <w:rPr>
          <w:rFonts w:hint="eastAsia" w:ascii="宋体" w:hAnsi="宋体" w:eastAsia="宋体" w:cs="宋体"/>
          <w:b/>
          <w:bCs/>
          <w:sz w:val="24"/>
          <w:szCs w:val="24"/>
          <w:lang w:val="zh-CN"/>
        </w:rPr>
        <w:t>、地点、质量要求：</w:t>
      </w:r>
    </w:p>
    <w:p>
      <w:pPr>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1、服务期限：</w:t>
      </w:r>
      <w:r>
        <w:rPr>
          <w:rFonts w:hint="eastAsia" w:ascii="宋体" w:hAnsi="宋体" w:cs="宋体"/>
          <w:color w:val="000000"/>
          <w:kern w:val="2"/>
          <w:sz w:val="24"/>
          <w:szCs w:val="24"/>
          <w:lang w:val="zh-CN"/>
        </w:rPr>
        <w:t>合同签订后</w:t>
      </w:r>
      <w:r>
        <w:rPr>
          <w:rFonts w:hint="eastAsia" w:ascii="宋体" w:hAnsi="宋体" w:eastAsia="宋体" w:cs="宋体"/>
          <w:color w:val="000000"/>
          <w:kern w:val="2"/>
          <w:sz w:val="24"/>
          <w:szCs w:val="24"/>
          <w:lang w:val="en-US" w:eastAsia="zh-CN"/>
        </w:rPr>
        <w:t>60</w:t>
      </w:r>
      <w:r>
        <w:rPr>
          <w:rFonts w:hint="eastAsia" w:ascii="宋体" w:hAnsi="宋体" w:cs="宋体"/>
          <w:color w:val="000000"/>
          <w:kern w:val="2"/>
          <w:sz w:val="24"/>
          <w:szCs w:val="24"/>
        </w:rPr>
        <w:t>日历天内完成</w:t>
      </w:r>
      <w:r>
        <w:rPr>
          <w:rFonts w:hint="eastAsia" w:ascii="宋体" w:hAnsi="宋体" w:eastAsia="宋体" w:cs="宋体"/>
          <w:sz w:val="24"/>
          <w:szCs w:val="24"/>
        </w:rPr>
        <w:t>。</w:t>
      </w:r>
    </w:p>
    <w:p>
      <w:pPr>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2、服务地点：采购单位指定地点</w:t>
      </w:r>
    </w:p>
    <w:p>
      <w:pPr>
        <w:spacing w:line="360" w:lineRule="auto"/>
        <w:ind w:firstLine="480"/>
        <w:contextualSpacing/>
        <w:rPr>
          <w:rFonts w:hint="eastAsia" w:ascii="宋体" w:hAnsi="宋体" w:cs="宋体"/>
          <w:color w:val="000000"/>
          <w:kern w:val="2"/>
          <w:sz w:val="24"/>
          <w:szCs w:val="24"/>
          <w:lang w:val="zh-CN"/>
        </w:rPr>
      </w:pPr>
      <w:r>
        <w:rPr>
          <w:rFonts w:hint="eastAsia" w:ascii="宋体" w:hAnsi="宋体" w:eastAsia="宋体" w:cs="宋体"/>
          <w:sz w:val="24"/>
          <w:szCs w:val="24"/>
        </w:rPr>
        <w:t>3、质量要求：</w:t>
      </w:r>
      <w:r>
        <w:rPr>
          <w:rFonts w:hint="eastAsia" w:ascii="宋体" w:hAnsi="宋体" w:cs="宋体"/>
          <w:color w:val="000000"/>
          <w:kern w:val="2"/>
          <w:sz w:val="24"/>
          <w:szCs w:val="24"/>
          <w:lang w:val="zh-CN"/>
        </w:rPr>
        <w:t>合格，使用材料必须符合国家标准</w:t>
      </w:r>
    </w:p>
    <w:p>
      <w:pPr>
        <w:spacing w:line="360" w:lineRule="auto"/>
        <w:ind w:firstLine="480"/>
        <w:contextualSpacing/>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（2）质保期</w:t>
      </w:r>
    </w:p>
    <w:p>
      <w:pPr>
        <w:widowControl w:val="0"/>
        <w:spacing w:line="360" w:lineRule="auto"/>
        <w:ind w:firstLine="480"/>
        <w:contextualSpacing/>
        <w:jc w:val="both"/>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1、本项目免费质保期为一年，质保期自项目验收合格之日起开始计算。在质保期内，如产品出现质量问题,乙方将负责提供免费上门服务，且在服务过程中不收取任何材料费、人工服务费、差旅费等一切费用。质保期内，同一材料、同一质量问题连续两次维修仍无法正常使用，乙方应无条件给予全套更新或退货。</w:t>
      </w:r>
    </w:p>
    <w:p>
      <w:pPr>
        <w:widowControl w:val="0"/>
        <w:spacing w:line="360" w:lineRule="auto"/>
        <w:ind w:firstLine="480"/>
        <w:contextualSpacing/>
        <w:jc w:val="both"/>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2、超过质保期后，所有产品提供终身成本维修（维修只收取成本费）。</w:t>
      </w:r>
    </w:p>
    <w:p>
      <w:pPr>
        <w:widowControl w:val="0"/>
        <w:spacing w:line="360" w:lineRule="auto"/>
        <w:ind w:firstLine="480"/>
        <w:contextualSpacing/>
        <w:jc w:val="both"/>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3、产品在使用过程中出现问题，甲方向乙方发出故障通知后，乙方应当在24小时以内到达现场进行解决。</w:t>
      </w:r>
    </w:p>
    <w:p>
      <w:pPr>
        <w:spacing w:line="360" w:lineRule="auto"/>
        <w:ind w:firstLine="482"/>
        <w:contextualSpacing/>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val="zh-CN"/>
        </w:rPr>
        <w:t>现场勘察</w:t>
      </w:r>
    </w:p>
    <w:p>
      <w:pPr>
        <w:widowControl w:val="0"/>
        <w:spacing w:line="360" w:lineRule="auto"/>
        <w:ind w:firstLine="480"/>
        <w:contextualSpacing/>
        <w:jc w:val="both"/>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1、根据自身情况，投标供应商对有关现场和周围环境自行勘察，以获取编制投标文件和签署合同所需的信息。勘察现场所发生的费用由投标供应商自己承担。</w:t>
      </w:r>
    </w:p>
    <w:p>
      <w:pPr>
        <w:widowControl w:val="0"/>
        <w:spacing w:line="360" w:lineRule="auto"/>
        <w:ind w:firstLine="480"/>
        <w:contextualSpacing/>
        <w:jc w:val="both"/>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2、采购人向投标供应商提供的有关现场的资料和数据，是采购人现有的并认为能使投标供应商可利用的资料。采购人对投标供应商由此而做出的推论、理解和结论概不负责。</w:t>
      </w:r>
    </w:p>
    <w:p>
      <w:pPr>
        <w:widowControl w:val="0"/>
        <w:spacing w:line="360" w:lineRule="auto"/>
        <w:ind w:firstLine="480"/>
        <w:contextualSpacing/>
        <w:jc w:val="both"/>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3、经采购人允许，投标供应商可为勘察目的进入采购人的项目现场，但投标供应商不得因此使采购人承担有关的责任和蒙受损失。投标供应商应承担勘察现场的责任和风险。</w:t>
      </w:r>
    </w:p>
    <w:p>
      <w:pPr>
        <w:widowControl w:val="0"/>
        <w:spacing w:line="360" w:lineRule="auto"/>
        <w:ind w:firstLine="480"/>
        <w:contextualSpacing/>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4、投标供应商应认真踏勘现场。在现场勘察时，熟悉施工现场、现场周围交通道路等情况，以获得一切可能影响其投标的直接资料。投标供应商中标后，不得以不完全了解现场情况为理由而向采购人提出任何索赔的要求，对此采购人不承担任何责任并将不作任何答复与考虑。</w:t>
      </w:r>
    </w:p>
    <w:p>
      <w:pPr>
        <w:widowControl w:val="0"/>
        <w:spacing w:line="360" w:lineRule="auto"/>
        <w:ind w:firstLine="480"/>
        <w:contextualSpacing/>
        <w:jc w:val="both"/>
        <w:rPr>
          <w:rFonts w:hint="default" w:ascii="宋体" w:hAnsi="宋体" w:eastAsia="宋体" w:cs="宋体"/>
          <w:sz w:val="24"/>
          <w:szCs w:val="24"/>
          <w:lang w:val="zh-CN" w:eastAsia="zh-CN" w:bidi="ar-SA"/>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付款要求</w:t>
      </w:r>
      <w:r>
        <w:rPr>
          <w:rFonts w:hint="eastAsia" w:ascii="宋体" w:hAnsi="宋体" w:eastAsia="宋体" w:cs="宋体"/>
          <w:sz w:val="24"/>
          <w:szCs w:val="24"/>
        </w:rPr>
        <w:t>：</w:t>
      </w:r>
      <w:bookmarkStart w:id="40" w:name="_Hlk113377847"/>
      <w:r>
        <w:rPr>
          <w:rFonts w:hint="eastAsia" w:ascii="宋体" w:hAnsi="宋体" w:eastAsia="宋体" w:cs="宋体"/>
          <w:sz w:val="24"/>
          <w:szCs w:val="24"/>
          <w:lang w:val="zh-CN" w:eastAsia="zh-CN" w:bidi="ar-SA"/>
        </w:rPr>
        <w:t>本项目不设预付款及进度款，待项目竣工验收合格后付至合同价的50%，审计结束后付至审计审定价的</w:t>
      </w:r>
      <w:r>
        <w:rPr>
          <w:rFonts w:hint="eastAsia" w:ascii="宋体" w:hAnsi="宋体" w:eastAsia="宋体" w:cs="宋体"/>
          <w:sz w:val="24"/>
          <w:szCs w:val="24"/>
          <w:lang w:val="en-US" w:eastAsia="zh-CN" w:bidi="ar-SA"/>
        </w:rPr>
        <w:t>97</w:t>
      </w:r>
      <w:r>
        <w:rPr>
          <w:rFonts w:hint="eastAsia" w:ascii="宋体" w:hAnsi="宋体" w:eastAsia="宋体" w:cs="宋体"/>
          <w:sz w:val="24"/>
          <w:szCs w:val="24"/>
          <w:lang w:val="zh-CN" w:eastAsia="zh-CN" w:bidi="ar-SA"/>
        </w:rPr>
        <w:t>%，余款待质保期满且无质量问题后的当年年底一次性付清。（以上付款均不计利息）。</w:t>
      </w:r>
    </w:p>
    <w:bookmarkEnd w:id="40"/>
    <w:p>
      <w:pPr>
        <w:widowControl w:val="0"/>
        <w:spacing w:line="360" w:lineRule="auto"/>
        <w:ind w:firstLine="480"/>
        <w:contextualSpacing/>
        <w:jc w:val="both"/>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双方一致确认以甲方审计结论为双方工程款结算依据，并受甲方审计报告约束，工程款的支付以乙方开具发票并交甲方财务入账为必要条件。乙方收取工程款应首先确保农民工工资100%足额发放。</w:t>
      </w:r>
    </w:p>
    <w:p>
      <w:pPr>
        <w:widowControl w:val="0"/>
        <w:spacing w:line="360" w:lineRule="auto"/>
        <w:contextualSpacing/>
        <w:jc w:val="both"/>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en-US" w:eastAsia="zh-CN" w:bidi="ar-SA"/>
        </w:rPr>
        <w:t>四、</w:t>
      </w:r>
      <w:r>
        <w:rPr>
          <w:rFonts w:hint="eastAsia" w:ascii="宋体" w:hAnsi="宋体" w:eastAsia="宋体" w:cs="宋体"/>
          <w:b/>
          <w:bCs/>
          <w:sz w:val="24"/>
          <w:szCs w:val="24"/>
          <w:lang w:val="zh-CN" w:eastAsia="zh-CN" w:bidi="ar-SA"/>
        </w:rPr>
        <w:t>其它相关说明：</w:t>
      </w:r>
    </w:p>
    <w:p>
      <w:pPr>
        <w:widowControl w:val="0"/>
        <w:spacing w:line="360" w:lineRule="auto"/>
        <w:ind w:firstLine="480"/>
        <w:contextualSpacing/>
        <w:jc w:val="both"/>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val="zh-CN" w:eastAsia="zh-CN" w:bidi="ar-SA"/>
        </w:rPr>
        <w:t>）</w:t>
      </w:r>
      <w:r>
        <w:rPr>
          <w:rFonts w:hint="eastAsia" w:ascii="宋体" w:hAnsi="宋体" w:eastAsia="宋体" w:cs="宋体"/>
          <w:sz w:val="24"/>
          <w:szCs w:val="24"/>
          <w:lang w:val="en-US" w:eastAsia="zh-CN" w:bidi="ar-SA"/>
        </w:rPr>
        <w:t>本项目投标有效期为开标后60天。</w:t>
      </w:r>
    </w:p>
    <w:p>
      <w:pPr>
        <w:widowControl w:val="0"/>
        <w:spacing w:line="360" w:lineRule="auto"/>
        <w:ind w:firstLine="480"/>
        <w:contextualSpacing/>
        <w:jc w:val="both"/>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val="zh-CN" w:eastAsia="zh-CN" w:bidi="ar-SA"/>
        </w:rPr>
        <w:t>）无论投标结果如何，投标人自行承担与投标相应有关的全部费用，采购单位不收取任何费用。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zh-CN"/>
        </w:rPr>
        <w:t>（</w:t>
      </w:r>
      <w:r>
        <w:rPr>
          <w:rFonts w:hint="eastAsia" w:ascii="宋体" w:hAnsi="宋体" w:eastAsia="宋体" w:cs="宋体"/>
          <w:sz w:val="24"/>
          <w:szCs w:val="24"/>
        </w:rPr>
        <w:t>3</w:t>
      </w:r>
      <w:r>
        <w:rPr>
          <w:rFonts w:hint="eastAsia" w:ascii="宋体" w:hAnsi="宋体" w:eastAsia="宋体" w:cs="宋体"/>
          <w:sz w:val="24"/>
          <w:szCs w:val="24"/>
          <w:lang w:val="zh-CN"/>
        </w:rPr>
        <w:t>）</w:t>
      </w:r>
      <w:r>
        <w:rPr>
          <w:rFonts w:hint="eastAsia" w:ascii="宋体" w:hAnsi="宋体" w:eastAsia="宋体" w:cs="宋体"/>
          <w:sz w:val="24"/>
          <w:szCs w:val="24"/>
        </w:rPr>
        <w:t>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80%</w:t>
      </w:r>
      <w:r>
        <w:rPr>
          <w:rFonts w:hint="eastAsia" w:ascii="宋体" w:hAnsi="宋体" w:eastAsia="宋体" w:cs="宋体"/>
          <w:sz w:val="24"/>
          <w:szCs w:val="24"/>
        </w:rPr>
        <w:t>计取</w:t>
      </w:r>
      <w:r>
        <w:rPr>
          <w:rFonts w:hint="eastAsia" w:ascii="宋体" w:hAnsi="宋体" w:eastAsia="宋体" w:cs="宋体"/>
          <w:sz w:val="24"/>
          <w:szCs w:val="24"/>
          <w:lang w:eastAsia="zh-CN"/>
        </w:rPr>
        <w:t>，</w:t>
      </w:r>
      <w:r>
        <w:rPr>
          <w:rFonts w:hint="eastAsia" w:ascii="宋体" w:hAnsi="宋体" w:cs="仿宋_GB2312"/>
          <w:kern w:val="0"/>
          <w:sz w:val="24"/>
          <w:szCs w:val="22"/>
        </w:rPr>
        <w:t>不足3000元按3000元计取</w:t>
      </w:r>
      <w:r>
        <w:rPr>
          <w:rFonts w:hint="eastAsia" w:ascii="宋体" w:hAnsi="宋体" w:eastAsia="宋体" w:cs="宋体"/>
          <w:sz w:val="24"/>
          <w:szCs w:val="24"/>
        </w:rPr>
        <w:t>。</w:t>
      </w:r>
    </w:p>
    <w:bookmarkEnd w:id="39"/>
    <w:p>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履约保证金：中标供应商须在签订合同前向采购单位缴纳中标金额5%的履约保证金，以支票、汇票、本票或者金融机构、担保机构出具的保函等非现金形式提交，缴纳至甲方指定账户，待履约完成经甲方组织验收合格后退还。</w:t>
      </w:r>
    </w:p>
    <w:p>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w:t>
      </w:r>
      <w:r>
        <w:rPr>
          <w:rFonts w:hint="default" w:ascii="宋体" w:hAnsi="宋体" w:eastAsia="宋体" w:cs="宋体"/>
          <w:sz w:val="24"/>
          <w:szCs w:val="24"/>
          <w:lang w:val="zh-CN"/>
        </w:rPr>
        <w:t>发生以下情况的，履约保证金不予退还或部分退还：</w:t>
      </w:r>
    </w:p>
    <w:p>
      <w:pPr>
        <w:spacing w:line="360" w:lineRule="auto"/>
        <w:ind w:firstLine="480"/>
        <w:rPr>
          <w:rFonts w:hint="eastAsia" w:ascii="宋体" w:hAnsi="宋体" w:eastAsia="宋体" w:cs="宋体"/>
          <w:sz w:val="24"/>
          <w:szCs w:val="24"/>
          <w:lang w:val="zh-CN"/>
        </w:rPr>
      </w:pPr>
      <w:r>
        <w:rPr>
          <w:rFonts w:hint="default" w:ascii="宋体" w:hAnsi="宋体" w:eastAsia="宋体" w:cs="宋体"/>
          <w:sz w:val="24"/>
          <w:szCs w:val="24"/>
          <w:lang w:val="zh-CN"/>
        </w:rPr>
        <w:t>①签订合同后，成交供应商不履行合同义务的，采购单位有权全额扣除履约保证金，全额不予退还，同时采购单位亦有权终止合同，中标供应商还须承担相应的法律赔偿责任。</w:t>
      </w:r>
    </w:p>
    <w:p>
      <w:pPr>
        <w:spacing w:line="360" w:lineRule="auto"/>
        <w:ind w:firstLine="480"/>
        <w:rPr>
          <w:rFonts w:hint="eastAsia" w:ascii="宋体" w:hAnsi="宋体" w:eastAsia="宋体" w:cs="宋体"/>
          <w:sz w:val="24"/>
          <w:szCs w:val="24"/>
          <w:lang w:val="zh-CN"/>
        </w:rPr>
      </w:pPr>
      <w:r>
        <w:rPr>
          <w:rFonts w:hint="default" w:ascii="宋体" w:hAnsi="宋体" w:eastAsia="宋体" w:cs="宋体"/>
          <w:sz w:val="24"/>
          <w:szCs w:val="24"/>
          <w:lang w:val="zh-CN"/>
        </w:rPr>
        <w:t>②成交供应商在履约过程中发生违约行为，给采购单位造成损失的，采购单位有权在成交供应商缴纳的履约保证金中予以扣款，以弥补采购单位经济损失，不足的部分成交供应商另外补齐。</w:t>
      </w:r>
    </w:p>
    <w:p>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w:t>
      </w:r>
      <w:r>
        <w:rPr>
          <w:rFonts w:hint="default" w:ascii="宋体" w:hAnsi="宋体" w:eastAsia="宋体" w:cs="宋体"/>
          <w:sz w:val="24"/>
          <w:szCs w:val="24"/>
          <w:lang w:val="zh-CN"/>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val="zh-CN"/>
        </w:rPr>
        <w:t>）</w:t>
      </w:r>
      <w:r>
        <w:rPr>
          <w:rFonts w:hint="default" w:ascii="宋体" w:hAnsi="宋体" w:eastAsia="宋体" w:cs="宋体"/>
          <w:sz w:val="24"/>
          <w:szCs w:val="24"/>
          <w:lang w:val="zh-CN"/>
        </w:rPr>
        <w:t>若供应商中标后无故弃标，采购人将其移交政府采购监管部门，按政府采购相关法律法规处理。</w:t>
      </w:r>
    </w:p>
    <w:p>
      <w:pPr>
        <w:pStyle w:val="18"/>
        <w:rPr>
          <w:rFonts w:hint="eastAsia"/>
          <w:lang w:val="zh-CN" w:eastAsia="zh-CN"/>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spacing w:line="360" w:lineRule="auto"/>
        <w:jc w:val="center"/>
        <w:rPr>
          <w:rFonts w:hint="eastAsia" w:ascii="宋体" w:hAnsi="宋体" w:eastAsia="宋体" w:cs="Times New Roman"/>
          <w:b/>
          <w:bCs w:val="0"/>
          <w:color w:val="000000"/>
          <w:sz w:val="36"/>
          <w:szCs w:val="36"/>
          <w:highlight w:val="none"/>
        </w:rPr>
      </w:pPr>
    </w:p>
    <w:p>
      <w:pPr>
        <w:pStyle w:val="39"/>
        <w:rPr>
          <w:rFonts w:hint="eastAsia"/>
        </w:rPr>
      </w:pPr>
    </w:p>
    <w:p>
      <w:pPr>
        <w:spacing w:line="360" w:lineRule="auto"/>
        <w:jc w:val="center"/>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第</w:t>
      </w:r>
      <w:r>
        <w:rPr>
          <w:rFonts w:hint="eastAsia" w:ascii="宋体" w:hAnsi="宋体" w:eastAsia="宋体" w:cs="Times New Roman"/>
          <w:b/>
          <w:bCs w:val="0"/>
          <w:color w:val="000000"/>
          <w:sz w:val="36"/>
          <w:szCs w:val="36"/>
          <w:highlight w:val="none"/>
          <w:lang w:val="en-US" w:eastAsia="zh-CN"/>
        </w:rPr>
        <w:t>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评审方法和评审标准</w:t>
      </w:r>
    </w:p>
    <w:p>
      <w:pPr>
        <w:spacing w:line="480" w:lineRule="exact"/>
        <w:ind w:firstLine="643"/>
        <w:jc w:val="left"/>
        <w:rPr>
          <w:rFonts w:hint="eastAsia" w:ascii="宋体" w:hAnsi="宋体" w:eastAsia="宋体" w:cs="宋体"/>
          <w:b/>
          <w:sz w:val="28"/>
          <w:szCs w:val="28"/>
        </w:rPr>
      </w:pPr>
      <w:bookmarkStart w:id="41" w:name="_Toc25726409"/>
      <w:bookmarkStart w:id="42" w:name="_Toc52352456"/>
      <w:bookmarkStart w:id="43" w:name="_Toc25574120"/>
      <w:bookmarkStart w:id="44" w:name="_Toc25401332"/>
      <w:bookmarkStart w:id="45" w:name="_Toc26261456"/>
      <w:bookmarkStart w:id="46" w:name="_Toc25400536"/>
      <w:bookmarkStart w:id="47" w:name="_Toc52352454"/>
      <w:r>
        <w:rPr>
          <w:rFonts w:hint="eastAsia" w:ascii="宋体" w:hAnsi="宋体" w:eastAsia="宋体" w:cs="宋体"/>
          <w:b/>
          <w:sz w:val="28"/>
          <w:szCs w:val="28"/>
        </w:rPr>
        <w:t>一、开标</w:t>
      </w:r>
    </w:p>
    <w:p>
      <w:pPr>
        <w:spacing w:line="480" w:lineRule="exact"/>
        <w:ind w:firstLine="643"/>
        <w:jc w:val="left"/>
        <w:rPr>
          <w:rFonts w:hint="eastAsia" w:ascii="宋体" w:hAnsi="宋体" w:eastAsia="宋体" w:cs="宋体"/>
          <w:sz w:val="28"/>
          <w:szCs w:val="28"/>
        </w:rPr>
      </w:pPr>
      <w:r>
        <w:rPr>
          <w:rFonts w:hint="eastAsia" w:ascii="宋体" w:hAnsi="宋体" w:eastAsia="宋体" w:cs="宋体"/>
          <w:sz w:val="28"/>
          <w:szCs w:val="28"/>
        </w:rPr>
        <w:t>不见面远程开标模式：投标人在各自地点通过“苏采云”不见面交易系统参加开标会。</w:t>
      </w:r>
    </w:p>
    <w:p>
      <w:pPr>
        <w:spacing w:line="480" w:lineRule="exact"/>
        <w:ind w:firstLine="643"/>
        <w:jc w:val="left"/>
        <w:rPr>
          <w:rFonts w:hint="eastAsia" w:ascii="宋体" w:hAnsi="宋体" w:eastAsia="宋体" w:cs="宋体"/>
          <w:b/>
          <w:sz w:val="28"/>
          <w:szCs w:val="28"/>
        </w:rPr>
      </w:pPr>
      <w:r>
        <w:rPr>
          <w:rFonts w:hint="eastAsia" w:ascii="宋体" w:hAnsi="宋体" w:eastAsia="宋体" w:cs="宋体"/>
          <w:b/>
          <w:sz w:val="28"/>
          <w:szCs w:val="28"/>
        </w:rPr>
        <w:t>二、评标流程和评标标准</w:t>
      </w:r>
    </w:p>
    <w:p>
      <w:pPr>
        <w:spacing w:line="500" w:lineRule="exact"/>
        <w:ind w:firstLine="555"/>
        <w:rPr>
          <w:rFonts w:hint="default" w:ascii="宋体" w:hAnsi="宋体" w:eastAsia="宋体" w:cs="宋体"/>
          <w:bCs/>
          <w:sz w:val="28"/>
          <w:szCs w:val="28"/>
        </w:rPr>
      </w:pPr>
      <w:r>
        <w:rPr>
          <w:rFonts w:hint="eastAsia" w:ascii="宋体" w:hAnsi="宋体" w:eastAsia="宋体" w:cs="宋体"/>
          <w:bCs/>
          <w:sz w:val="28"/>
          <w:szCs w:val="28"/>
        </w:rPr>
        <w:t>1.评审方法：</w:t>
      </w:r>
      <w:r>
        <w:rPr>
          <w:rFonts w:hint="eastAsia" w:ascii="宋体" w:hAnsi="宋体" w:eastAsia="宋体" w:cs="宋体"/>
          <w:sz w:val="28"/>
          <w:szCs w:val="28"/>
        </w:rPr>
        <w:t>采用综合评分法。分资格审查、符合性审查、商务技术标、价格标四部分评审，总分值为100分，加分和减分因素除外。</w:t>
      </w:r>
    </w:p>
    <w:p>
      <w:pPr>
        <w:spacing w:line="500" w:lineRule="exact"/>
        <w:ind w:firstLine="555"/>
        <w:rPr>
          <w:rFonts w:hint="eastAsia" w:ascii="宋体" w:hAnsi="宋体" w:eastAsia="宋体" w:cs="宋体"/>
          <w:sz w:val="28"/>
          <w:szCs w:val="28"/>
        </w:rPr>
      </w:pPr>
      <w:r>
        <w:rPr>
          <w:rFonts w:hint="eastAsia" w:ascii="宋体" w:hAnsi="宋体" w:eastAsia="宋体" w:cs="宋体"/>
          <w:sz w:val="28"/>
          <w:szCs w:val="28"/>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pPr>
        <w:spacing w:line="500" w:lineRule="exact"/>
        <w:ind w:firstLine="555"/>
        <w:rPr>
          <w:rFonts w:hint="eastAsia" w:ascii="宋体" w:hAnsi="宋体" w:eastAsia="宋体" w:cs="宋体"/>
          <w:sz w:val="28"/>
          <w:szCs w:val="28"/>
        </w:rPr>
      </w:pPr>
      <w:r>
        <w:rPr>
          <w:rFonts w:hint="eastAsia" w:ascii="宋体" w:hAnsi="宋体" w:eastAsia="宋体" w:cs="宋体"/>
          <w:sz w:val="28"/>
          <w:szCs w:val="28"/>
        </w:rPr>
        <w:t>评标结果按评审后总得分由高到低顺序排列，确定中标候选人名</w:t>
      </w:r>
      <w:r>
        <w:rPr>
          <w:rFonts w:hint="default" w:ascii="宋体" w:hAnsi="宋体" w:eastAsia="宋体" w:cs="宋体"/>
          <w:sz w:val="28"/>
          <w:szCs w:val="28"/>
        </w:rPr>
        <w:t>单并按顺序确定中标人。得分相同的，按投标报价由低到高顺序排列，得分且投标报价相同的并列</w:t>
      </w:r>
      <w:r>
        <w:rPr>
          <w:rFonts w:hint="eastAsia" w:ascii="宋体" w:hAnsi="宋体" w:eastAsia="宋体" w:cs="宋体"/>
          <w:sz w:val="28"/>
          <w:szCs w:val="28"/>
        </w:rPr>
        <w:t>。</w:t>
      </w:r>
    </w:p>
    <w:p>
      <w:pPr>
        <w:spacing w:line="500" w:lineRule="exact"/>
        <w:ind w:firstLine="555"/>
        <w:rPr>
          <w:rFonts w:hint="eastAsia" w:ascii="宋体" w:hAnsi="宋体" w:eastAsia="宋体" w:cs="宋体"/>
          <w:sz w:val="28"/>
          <w:szCs w:val="28"/>
        </w:rPr>
      </w:pPr>
      <w:r>
        <w:rPr>
          <w:rFonts w:hint="eastAsia" w:ascii="宋体" w:hAnsi="宋体" w:eastAsia="宋体" w:cs="宋体"/>
          <w:sz w:val="28"/>
          <w:szCs w:val="28"/>
        </w:rPr>
        <w:t>评委在认真审阅投标文件的基础上，根据各投标文件的响应程度独立评判，不得统一打分。</w:t>
      </w:r>
    </w:p>
    <w:p>
      <w:pPr>
        <w:spacing w:line="500" w:lineRule="exact"/>
        <w:ind w:firstLine="555"/>
        <w:rPr>
          <w:rFonts w:hint="eastAsia" w:ascii="宋体" w:hAnsi="宋体" w:eastAsia="宋体" w:cs="宋体"/>
          <w:b/>
          <w:sz w:val="28"/>
          <w:szCs w:val="28"/>
        </w:rPr>
      </w:pPr>
      <w:r>
        <w:rPr>
          <w:rFonts w:hint="eastAsia" w:ascii="宋体" w:hAnsi="宋体" w:eastAsia="宋体" w:cs="宋体"/>
          <w:b/>
          <w:sz w:val="28"/>
          <w:szCs w:val="28"/>
        </w:rPr>
        <w:t>（一）采购人（代表）对投标人资格进行审查。</w:t>
      </w:r>
    </w:p>
    <w:p>
      <w:pPr>
        <w:widowControl w:val="0"/>
        <w:spacing w:line="500" w:lineRule="exact"/>
        <w:ind w:firstLine="577"/>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投标人资格不合格的，其投标文件判定为无效投标文件。</w:t>
      </w:r>
    </w:p>
    <w:p>
      <w:pPr>
        <w:widowControl w:val="0"/>
        <w:spacing w:line="500" w:lineRule="exact"/>
        <w:ind w:firstLine="577"/>
        <w:jc w:val="both"/>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（二）评标委员会对符合资格投标人的投标文件进行符合性审查。</w:t>
      </w:r>
    </w:p>
    <w:p>
      <w:pPr>
        <w:widowControl w:val="0"/>
        <w:spacing w:line="500" w:lineRule="exact"/>
        <w:ind w:firstLine="577"/>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未通过符合性审查的投标文件，将被判为不满足招标文件实质性要求</w:t>
      </w:r>
    </w:p>
    <w:p>
      <w:pPr>
        <w:numPr>
          <w:ilvl w:val="0"/>
          <w:numId w:val="4"/>
        </w:numPr>
        <w:spacing w:line="500" w:lineRule="exact"/>
        <w:ind w:firstLine="562"/>
        <w:jc w:val="lef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商务技术分</w:t>
      </w:r>
      <w:r>
        <w:rPr>
          <w:rFonts w:hint="eastAsia" w:ascii="宋体" w:hAnsi="宋体" w:eastAsia="宋体" w:cs="宋体"/>
          <w:color w:val="000000"/>
          <w:sz w:val="28"/>
          <w:szCs w:val="28"/>
          <w:lang w:val="zh-CN"/>
        </w:rPr>
        <w:t>：</w:t>
      </w:r>
      <w:r>
        <w:rPr>
          <w:rFonts w:hint="eastAsia" w:ascii="宋体" w:hAnsi="宋体" w:eastAsia="宋体" w:cs="宋体"/>
          <w:color w:val="000000"/>
          <w:sz w:val="28"/>
          <w:szCs w:val="28"/>
          <w:lang w:val="en-US" w:eastAsia="zh-CN"/>
        </w:rPr>
        <w:t>70</w:t>
      </w:r>
      <w:r>
        <w:rPr>
          <w:rFonts w:hint="eastAsia" w:ascii="宋体" w:hAnsi="宋体" w:eastAsia="宋体" w:cs="宋体"/>
          <w:color w:val="000000"/>
          <w:sz w:val="28"/>
          <w:szCs w:val="28"/>
          <w:lang w:val="zh-CN"/>
        </w:rPr>
        <w:t>分</w:t>
      </w:r>
    </w:p>
    <w:tbl>
      <w:tblPr>
        <w:tblStyle w:val="33"/>
        <w:tblW w:w="95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472"/>
        <w:gridCol w:w="802"/>
        <w:gridCol w:w="6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710" w:type="dxa"/>
            <w:noWrap/>
            <w:vAlign w:val="center"/>
          </w:tcPr>
          <w:p>
            <w:pPr>
              <w:spacing w:line="360" w:lineRule="auto"/>
              <w:jc w:val="center"/>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序号</w:t>
            </w:r>
          </w:p>
        </w:tc>
        <w:tc>
          <w:tcPr>
            <w:tcW w:w="1472" w:type="dxa"/>
            <w:noWrap/>
            <w:vAlign w:val="center"/>
          </w:tcPr>
          <w:p>
            <w:pPr>
              <w:spacing w:line="360" w:lineRule="auto"/>
              <w:jc w:val="center"/>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评分点名称</w:t>
            </w:r>
          </w:p>
        </w:tc>
        <w:tc>
          <w:tcPr>
            <w:tcW w:w="802" w:type="dxa"/>
            <w:noWrap/>
            <w:vAlign w:val="center"/>
          </w:tcPr>
          <w:p>
            <w:pPr>
              <w:spacing w:line="360" w:lineRule="auto"/>
              <w:jc w:val="center"/>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分值</w:t>
            </w:r>
          </w:p>
        </w:tc>
        <w:tc>
          <w:tcPr>
            <w:tcW w:w="6570" w:type="dxa"/>
            <w:noWrap/>
            <w:vAlign w:val="center"/>
          </w:tcPr>
          <w:p>
            <w:pPr>
              <w:spacing w:line="360" w:lineRule="auto"/>
              <w:jc w:val="center"/>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3" w:hRule="atLeast"/>
          <w:jc w:val="center"/>
        </w:trPr>
        <w:tc>
          <w:tcPr>
            <w:tcW w:w="710" w:type="dxa"/>
            <w:noWrap/>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1472" w:type="dxa"/>
            <w:noWrap/>
            <w:vAlign w:val="center"/>
          </w:tcPr>
          <w:p>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项目组人员</w:t>
            </w:r>
          </w:p>
        </w:tc>
        <w:tc>
          <w:tcPr>
            <w:tcW w:w="802" w:type="dxa"/>
            <w:noWrap/>
            <w:vAlign w:val="center"/>
          </w:tcPr>
          <w:p>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6分</w:t>
            </w:r>
          </w:p>
        </w:tc>
        <w:tc>
          <w:tcPr>
            <w:tcW w:w="6570" w:type="dxa"/>
            <w:noWrap/>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拟派项目负责人具有有效的建筑工程二级及以上注册建造师资格且同时具有有效的建设行政主管部门颁发的有效的安全生产考核合格证书B证的3分；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2、拟派项目组成员具有建设工程或装饰设计或工艺美术类专业中级及以上职称的，有一人得1.5分，最高得3分。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注：</w:t>
            </w:r>
            <w:r>
              <w:rPr>
                <w:rFonts w:hint="eastAsia" w:ascii="宋体" w:hAnsi="宋体" w:eastAsia="宋体" w:cs="宋体"/>
                <w:color w:val="000000"/>
                <w:sz w:val="24"/>
                <w:szCs w:val="24"/>
                <w:highlight w:val="none"/>
                <w:lang w:val="en-US" w:eastAsia="zh-CN"/>
              </w:rPr>
              <w:t>提供相关证书扫描件及投标单位为其缴纳近一个月的养老保险证明材料复印件并加盖公章，注册不到三个月的新公司提供用工合同及员工自进入新公司至今的养老保险缴费证明；注册不到一个月的新公司可以不提供养老保险缴费证明；新入职的员工提供用工合同及新员工自进入公司至今的养老保险缴费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710" w:type="dxa"/>
            <w:noWrap/>
            <w:vAlign w:val="center"/>
          </w:tcPr>
          <w:p>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1472" w:type="dxa"/>
            <w:shd w:val="clear" w:color="auto" w:fill="auto"/>
            <w:noWrap/>
            <w:vAlign w:val="center"/>
          </w:tcPr>
          <w:p>
            <w:pPr>
              <w:spacing w:line="360" w:lineRule="auto"/>
              <w:jc w:val="center"/>
              <w:rPr>
                <w:rFonts w:hint="default" w:ascii="宋体" w:hAnsi="宋体" w:eastAsia="宋体" w:cs="宋体"/>
                <w:b/>
                <w:bCs/>
                <w:color w:val="000000"/>
                <w:sz w:val="24"/>
                <w:szCs w:val="24"/>
                <w:lang w:val="en-US" w:eastAsia="zh-CN" w:bidi="ar-SA"/>
              </w:rPr>
            </w:pPr>
            <w:r>
              <w:rPr>
                <w:rFonts w:hint="eastAsia" w:ascii="宋体" w:hAnsi="宋体" w:eastAsia="宋体" w:cs="宋体"/>
                <w:color w:val="000000"/>
                <w:sz w:val="24"/>
                <w:szCs w:val="24"/>
              </w:rPr>
              <w:t>企业</w:t>
            </w:r>
            <w:r>
              <w:rPr>
                <w:rFonts w:hint="eastAsia" w:ascii="宋体" w:hAnsi="宋体" w:eastAsia="宋体" w:cs="宋体"/>
                <w:color w:val="000000"/>
                <w:sz w:val="24"/>
                <w:szCs w:val="24"/>
                <w:lang w:val="en-US" w:eastAsia="zh-CN"/>
              </w:rPr>
              <w:t>业绩</w:t>
            </w:r>
          </w:p>
        </w:tc>
        <w:tc>
          <w:tcPr>
            <w:tcW w:w="802" w:type="dxa"/>
            <w:shd w:val="clear" w:color="auto" w:fill="auto"/>
            <w:noWrap/>
            <w:vAlign w:val="center"/>
          </w:tcPr>
          <w:p>
            <w:pPr>
              <w:widowControl/>
              <w:shd w:val="clear" w:color="auto" w:fill="FFFFFF"/>
              <w:spacing w:before="0" w:beforeAutospacing="0" w:after="0" w:afterAutospacing="0" w:line="360" w:lineRule="auto"/>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20分</w:t>
            </w:r>
          </w:p>
        </w:tc>
        <w:tc>
          <w:tcPr>
            <w:tcW w:w="6570" w:type="dxa"/>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投标人202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val="zh-CN"/>
              </w:rPr>
              <w:t>年1月1日以来（时间以合同签订时间为准）承担过类似布展</w:t>
            </w:r>
            <w:r>
              <w:rPr>
                <w:rFonts w:hint="eastAsia" w:ascii="宋体" w:hAnsi="宋体" w:eastAsia="宋体" w:cs="宋体"/>
                <w:color w:val="000000"/>
                <w:sz w:val="24"/>
                <w:szCs w:val="24"/>
                <w:lang w:val="en-US" w:eastAsia="zh-CN"/>
              </w:rPr>
              <w:t>或改造</w:t>
            </w:r>
            <w:r>
              <w:rPr>
                <w:rFonts w:hint="eastAsia" w:ascii="宋体" w:hAnsi="宋体" w:eastAsia="宋体" w:cs="宋体"/>
                <w:color w:val="000000"/>
                <w:sz w:val="24"/>
                <w:szCs w:val="24"/>
                <w:lang w:val="zh-CN"/>
              </w:rPr>
              <w:t>业绩的，有一个得</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rPr>
              <w:t>分，本项最多得</w:t>
            </w: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lang w:val="zh-CN"/>
              </w:rPr>
              <w:t>分。</w:t>
            </w:r>
          </w:p>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rPr>
              <w:t>注：提供签订的合同、</w:t>
            </w:r>
            <w:r>
              <w:rPr>
                <w:rFonts w:hint="eastAsia" w:ascii="宋体" w:hAnsi="宋体" w:eastAsia="宋体" w:cs="宋体"/>
                <w:color w:val="000000"/>
                <w:sz w:val="24"/>
                <w:szCs w:val="24"/>
                <w:lang w:val="en-US" w:eastAsia="zh-CN"/>
              </w:rPr>
              <w:t>发票</w:t>
            </w:r>
            <w:r>
              <w:rPr>
                <w:spacing w:val="7"/>
                <w:sz w:val="24"/>
                <w:szCs w:val="24"/>
              </w:rPr>
              <w:t>（发票金额可与合同金额不一致，但发票内需体现项目内容。）</w:t>
            </w:r>
            <w:r>
              <w:rPr>
                <w:rFonts w:hint="eastAsia" w:ascii="宋体" w:hAnsi="宋体" w:eastAsia="宋体" w:cs="宋体"/>
                <w:color w:val="000000"/>
                <w:sz w:val="24"/>
                <w:szCs w:val="24"/>
                <w:lang w:val="zh-CN"/>
              </w:rPr>
              <w:t>，以上证明材料缺一不可。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710" w:type="dxa"/>
            <w:noWrap/>
            <w:vAlign w:val="center"/>
          </w:tcPr>
          <w:p>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3</w:t>
            </w:r>
          </w:p>
        </w:tc>
        <w:tc>
          <w:tcPr>
            <w:tcW w:w="1472" w:type="dxa"/>
            <w:shd w:val="clear" w:color="auto" w:fill="auto"/>
            <w:noWrap/>
            <w:vAlign w:val="center"/>
          </w:tcPr>
          <w:p>
            <w:pPr>
              <w:spacing w:line="360" w:lineRule="auto"/>
              <w:jc w:val="center"/>
              <w:rPr>
                <w:rFonts w:hint="eastAsia" w:ascii="宋体" w:hAnsi="宋体" w:eastAsiaTheme="minorEastAsia" w:cstheme="minorBidi"/>
                <w:color w:val="000000"/>
                <w:sz w:val="24"/>
                <w:szCs w:val="24"/>
                <w:lang w:val="zh-CN" w:eastAsia="zh-CN" w:bidi="ar-SA"/>
              </w:rPr>
            </w:pPr>
            <w:r>
              <w:rPr>
                <w:rFonts w:hint="eastAsia" w:ascii="宋体" w:hAnsi="宋体"/>
                <w:color w:val="000000"/>
                <w:sz w:val="24"/>
                <w:szCs w:val="24"/>
                <w:lang w:val="zh-CN"/>
              </w:rPr>
              <w:t>施工组织方案</w:t>
            </w:r>
          </w:p>
        </w:tc>
        <w:tc>
          <w:tcPr>
            <w:tcW w:w="802" w:type="dxa"/>
            <w:shd w:val="clear" w:color="auto" w:fill="auto"/>
            <w:noWrap/>
            <w:vAlign w:val="center"/>
          </w:tcPr>
          <w:p>
            <w:pPr>
              <w:spacing w:line="360" w:lineRule="auto"/>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25分</w:t>
            </w:r>
          </w:p>
        </w:tc>
        <w:tc>
          <w:tcPr>
            <w:tcW w:w="6570" w:type="dxa"/>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1、投标人从施工组织总体设想、方案针对性及施工段划分等方面提供方案，方案完整、科学、可操作性强的得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分；方案基本完整、可操作性一般的得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分；方案不够完整、可操作性欠缺的得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val="zh-CN"/>
              </w:rPr>
              <w:t>分，不提供或全部不符合不得分。</w:t>
            </w: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2、投标人从施工进度计划和各阶段进度的保证措施等方面提供方案，方案完整、科学、可操作性强的得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分；方案基本完整、可操作性一般的得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分；方案不够完整、可操作性欠缺的得1分，不提供或全部不符合不得分。</w:t>
            </w: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3、投标人从各分部项工程的施工组织设计及质量保证措施等方面提供方案，方案完整、科学、可操作性强的得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分；方案基本完整、可操作性一般的得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分；方案不够完整、可操作性欠缺的得1分，不提供或全部不符合不得分。</w:t>
            </w: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4、投标人从安全文明施工及环境保护措施等方面提供方案，方案完整、科学、可操作性强的得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分；方案基本完整、可操作性一般的得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分；方案不够完整、可操作性欠缺的得1分，不提供或全部不符合不得分。</w:t>
            </w: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zh-CN"/>
              </w:rPr>
              <w:t>5、投标人从关键施工技术、工艺及工程项目实施的重点、难点和解决方案等方面提供方案，方案完整、科学、可操作性强的得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分；方案基本完整、可操作性一般的得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分；方案不够完整、可操作性欠缺的得1分，不提供或全部不符合不得分。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710" w:type="dxa"/>
            <w:noWrap/>
            <w:vAlign w:val="center"/>
          </w:tcPr>
          <w:p>
            <w:pPr>
              <w:spacing w:line="36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w:t>
            </w:r>
          </w:p>
        </w:tc>
        <w:tc>
          <w:tcPr>
            <w:tcW w:w="1472" w:type="dxa"/>
            <w:shd w:val="clear" w:color="auto" w:fill="auto"/>
            <w:noWrap/>
            <w:vAlign w:val="center"/>
          </w:tcPr>
          <w:p>
            <w:pPr>
              <w:spacing w:line="360" w:lineRule="auto"/>
              <w:jc w:val="center"/>
              <w:rPr>
                <w:rFonts w:hint="default" w:ascii="宋体" w:hAnsi="宋体" w:eastAsia="宋体" w:cs="宋体"/>
                <w:color w:val="000000"/>
                <w:sz w:val="24"/>
                <w:szCs w:val="24"/>
                <w:lang w:val="en-US" w:eastAsia="zh-CN" w:bidi="ar-SA"/>
              </w:rPr>
            </w:pPr>
            <w:r>
              <w:rPr>
                <w:rFonts w:hint="eastAsia" w:ascii="宋体" w:hAnsi="宋体"/>
                <w:color w:val="000000"/>
                <w:sz w:val="24"/>
                <w:szCs w:val="24"/>
                <w:lang w:val="zh-CN"/>
              </w:rPr>
              <w:t>深化图文效果说明</w:t>
            </w:r>
          </w:p>
        </w:tc>
        <w:tc>
          <w:tcPr>
            <w:tcW w:w="802" w:type="dxa"/>
            <w:shd w:val="clear" w:color="auto" w:fill="auto"/>
            <w:noWrap/>
            <w:vAlign w:val="center"/>
          </w:tcPr>
          <w:p>
            <w:pPr>
              <w:spacing w:line="360" w:lineRule="auto"/>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15分</w:t>
            </w:r>
          </w:p>
        </w:tc>
        <w:tc>
          <w:tcPr>
            <w:tcW w:w="6570" w:type="dxa"/>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针对本项目特点，对布展艺术展项内容制作的理解，提供对应的深化图文效果说明，要求对场地有深入的勘察及对项目意图的理解</w:t>
            </w:r>
          </w:p>
          <w:p>
            <w:pPr>
              <w:pStyle w:val="39"/>
              <w:ind w:left="0" w:leftChars="0" w:firstLine="0" w:firstLineChars="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1、对本项目文化有清晰的思路、合理的文字组织及图文表现的得</w:t>
            </w:r>
            <w:r>
              <w:rPr>
                <w:rFonts w:hint="eastAsia" w:ascii="宋体" w:hAnsi="宋体" w:cs="Times New Roman"/>
                <w:color w:val="000000"/>
                <w:sz w:val="24"/>
                <w:szCs w:val="24"/>
                <w:lang w:val="en-US" w:eastAsia="zh-CN" w:bidi="ar-SA"/>
              </w:rPr>
              <w:t>5</w:t>
            </w:r>
            <w:r>
              <w:rPr>
                <w:rFonts w:hint="eastAsia" w:ascii="宋体" w:hAnsi="宋体" w:eastAsia="宋体" w:cs="Times New Roman"/>
                <w:color w:val="000000"/>
                <w:sz w:val="24"/>
                <w:szCs w:val="24"/>
                <w:lang w:val="en-US" w:eastAsia="zh-CN" w:bidi="ar-SA"/>
              </w:rPr>
              <w:t>分，项目不够理解、文字组织及图文表现不够明显的得</w:t>
            </w:r>
            <w:r>
              <w:rPr>
                <w:rFonts w:hint="eastAsia" w:ascii="宋体" w:hAnsi="宋体" w:cs="Times New Roman"/>
                <w:color w:val="000000"/>
                <w:sz w:val="24"/>
                <w:szCs w:val="24"/>
                <w:lang w:val="en-US" w:eastAsia="zh-CN" w:bidi="ar-SA"/>
              </w:rPr>
              <w:t>3</w:t>
            </w:r>
            <w:r>
              <w:rPr>
                <w:rFonts w:hint="eastAsia" w:ascii="宋体" w:hAnsi="宋体" w:eastAsia="宋体" w:cs="Times New Roman"/>
                <w:color w:val="000000"/>
                <w:sz w:val="24"/>
                <w:szCs w:val="24"/>
                <w:lang w:val="en-US" w:eastAsia="zh-CN" w:bidi="ar-SA"/>
              </w:rPr>
              <w:t>分，项目不理解、文字组织及图文表现不明确，不能表达主题的得1分，不提供或全部不符合不得分。</w:t>
            </w: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2、平面排版主题突出、图文分布合理、色彩和谐得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分；主题较突出、图文分布较合理，色彩较和谐得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 xml:space="preserve">分；主题不够突出、图文分布一般，色彩一般得1分；不提供或全部不符合不得分。   </w:t>
            </w: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宋体" w:hAnsi="宋体" w:eastAsia="宋体" w:cs="宋体"/>
                <w:color w:val="000000"/>
                <w:sz w:val="24"/>
                <w:szCs w:val="24"/>
                <w:lang w:val="en-US" w:eastAsia="zh-CN" w:bidi="ar-SA"/>
              </w:rPr>
            </w:pPr>
            <w:r>
              <w:rPr>
                <w:rFonts w:hint="eastAsia" w:ascii="宋体" w:hAnsi="宋体" w:eastAsia="宋体" w:cs="Times New Roman"/>
                <w:color w:val="000000"/>
                <w:sz w:val="24"/>
                <w:szCs w:val="24"/>
                <w:lang w:val="zh-CN"/>
              </w:rPr>
              <w:t>3、户外艺术装置主题鲜明，艺术性强，整体协调得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val="zh-CN"/>
              </w:rPr>
              <w:t>分；主题较鲜明，艺术性较强，整体较协调得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val="zh-CN"/>
              </w:rPr>
              <w:t>分；主题一般，艺术性一般，整体协调一般得1分；不提供或全部不符合不得分。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9" w:hRule="atLeast"/>
          <w:jc w:val="center"/>
        </w:trPr>
        <w:tc>
          <w:tcPr>
            <w:tcW w:w="710" w:type="dxa"/>
            <w:noWrap/>
            <w:vAlign w:val="center"/>
          </w:tcPr>
          <w:p>
            <w:pPr>
              <w:spacing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472" w:type="dxa"/>
            <w:shd w:val="clear" w:color="auto" w:fill="auto"/>
            <w:noWrap/>
            <w:vAlign w:val="center"/>
          </w:tcPr>
          <w:p>
            <w:pPr>
              <w:widowControl/>
              <w:spacing w:line="360" w:lineRule="auto"/>
              <w:jc w:val="center"/>
              <w:rPr>
                <w:rFonts w:hint="eastAsia" w:ascii="Times New Roman" w:hAnsi="Times New Roman" w:eastAsia="宋体" w:cs="Times New Roman"/>
                <w:sz w:val="24"/>
                <w:szCs w:val="24"/>
                <w:highlight w:val="none"/>
                <w:lang w:val="zh-CN" w:eastAsia="zh-CN" w:bidi="ar-SA"/>
              </w:rPr>
            </w:pPr>
            <w:r>
              <w:rPr>
                <w:rFonts w:hint="eastAsia" w:ascii="宋体" w:hAnsi="宋体"/>
                <w:color w:val="000000"/>
                <w:sz w:val="24"/>
                <w:szCs w:val="24"/>
              </w:rPr>
              <w:t>售后服务</w:t>
            </w:r>
          </w:p>
        </w:tc>
        <w:tc>
          <w:tcPr>
            <w:tcW w:w="802" w:type="dxa"/>
            <w:shd w:val="clear" w:color="auto" w:fill="auto"/>
            <w:noWrap/>
            <w:vAlign w:val="center"/>
          </w:tcPr>
          <w:p>
            <w:pPr>
              <w:spacing w:line="360" w:lineRule="auto"/>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4分</w:t>
            </w:r>
          </w:p>
        </w:tc>
        <w:tc>
          <w:tcPr>
            <w:tcW w:w="6570" w:type="dxa"/>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s="宋体"/>
                <w:color w:val="000000"/>
                <w:sz w:val="24"/>
                <w:szCs w:val="24"/>
                <w:highlight w:val="none"/>
                <w:lang w:val="zh-CN" w:eastAsia="zh-CN" w:bidi="ar-SA"/>
              </w:rPr>
            </w:pPr>
            <w:r>
              <w:rPr>
                <w:rFonts w:hint="eastAsia" w:ascii="宋体" w:hAnsi="宋体" w:eastAsia="宋体" w:cs="Times New Roman"/>
                <w:color w:val="000000"/>
                <w:sz w:val="24"/>
                <w:szCs w:val="24"/>
                <w:lang w:val="zh-CN"/>
              </w:rPr>
              <w:t>根据投标人提供的售后服务及质保方案（包含售后服务体系、管理制度、专业服务团队（提供投标单位近一个月单位为团队人员缴纳的基本养老保险证明材料）、响应时间、质保方案等）进行综合评分，方案详细、全面、合理、可行性强的得</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lang w:val="zh-CN"/>
              </w:rPr>
              <w:t>分；方案比较详细、合理、基本可行的得</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lang w:val="zh-CN"/>
              </w:rPr>
              <w:t>分；方案基本合理、可行性一般的得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val="zh-CN"/>
              </w:rPr>
              <w:t>分，不提供或全部不符合不得分。</w:t>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p>
    <w:p>
      <w:pPr>
        <w:spacing w:line="360" w:lineRule="auto"/>
        <w:ind w:firstLine="446"/>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②请供应商制作投标文件的时保证图片、文字材料的完整、清晰可辨，任何原因导致评委看不清楚或无法查看，后果由供应商自负。</w:t>
      </w:r>
    </w:p>
    <w:p>
      <w:pPr>
        <w:spacing w:line="360" w:lineRule="auto"/>
        <w:ind w:firstLine="446"/>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③供应商制作投标文件时所用的所有原件材料均须准备好中标公告结束后</w:t>
      </w:r>
      <w:r>
        <w:rPr>
          <w:rFonts w:hint="eastAsia" w:ascii="宋体" w:hAnsi="宋体" w:eastAsia="宋体" w:cs="宋体"/>
          <w:b/>
          <w:bCs/>
          <w:color w:val="000000"/>
          <w:sz w:val="22"/>
          <w:szCs w:val="28"/>
          <w:lang w:val="en-US" w:eastAsia="zh-CN"/>
        </w:rPr>
        <w:t>5日内</w:t>
      </w:r>
      <w:r>
        <w:rPr>
          <w:rFonts w:hint="eastAsia" w:ascii="宋体" w:hAnsi="宋体" w:eastAsia="宋体" w:cs="宋体"/>
          <w:b/>
          <w:bCs/>
          <w:color w:val="000000"/>
          <w:sz w:val="22"/>
          <w:szCs w:val="28"/>
          <w:lang w:val="zh-CN"/>
        </w:rPr>
        <w:t>被采购人核查，如核查时供应商不能提供相关原件材料作弄虚作假处理，供应商自行承担相应法律后果。</w:t>
      </w:r>
    </w:p>
    <w:p>
      <w:pPr>
        <w:spacing w:line="500" w:lineRule="exact"/>
        <w:ind w:firstLine="560"/>
        <w:rPr>
          <w:rFonts w:hint="eastAsia" w:ascii="宋体" w:hAnsi="宋体" w:eastAsia="宋体" w:cs="宋体"/>
          <w:color w:val="000000"/>
          <w:sz w:val="28"/>
          <w:szCs w:val="28"/>
        </w:rPr>
      </w:pPr>
      <w:r>
        <w:rPr>
          <w:rFonts w:hint="eastAsia" w:ascii="宋体" w:hAnsi="宋体" w:eastAsia="宋体" w:cs="宋体"/>
          <w:b/>
          <w:color w:val="000000"/>
          <w:sz w:val="28"/>
          <w:szCs w:val="28"/>
        </w:rPr>
        <w:t>（四）</w:t>
      </w:r>
      <w:r>
        <w:rPr>
          <w:rFonts w:hint="eastAsia" w:ascii="宋体" w:hAnsi="宋体" w:eastAsia="宋体" w:cs="宋体"/>
          <w:b/>
          <w:color w:val="000000"/>
          <w:sz w:val="28"/>
          <w:szCs w:val="28"/>
          <w:lang w:val="zh-CN"/>
        </w:rPr>
        <w:t>价格分：</w:t>
      </w:r>
      <w:r>
        <w:rPr>
          <w:rFonts w:hint="eastAsia" w:ascii="宋体" w:hAnsi="宋体" w:eastAsia="宋体" w:cs="宋体"/>
          <w:b/>
          <w:color w:val="000000"/>
          <w:sz w:val="28"/>
          <w:szCs w:val="28"/>
          <w:lang w:val="en-US" w:eastAsia="zh-CN"/>
        </w:rPr>
        <w:t>30</w:t>
      </w:r>
      <w:r>
        <w:rPr>
          <w:rFonts w:hint="eastAsia" w:ascii="宋体" w:hAnsi="宋体" w:eastAsia="宋体" w:cs="宋体"/>
          <w:b/>
          <w:color w:val="000000"/>
          <w:sz w:val="28"/>
          <w:szCs w:val="28"/>
          <w:lang w:val="zh-CN"/>
        </w:rPr>
        <w:t>分</w:t>
      </w:r>
    </w:p>
    <w:p>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价格分统一采用低价优先法计算，即满足招标文件要求且投标价格最低的投标报价为评标基准价，其价格分为满分。其他投标人的价格分统一按照下列公式计算：</w:t>
      </w:r>
    </w:p>
    <w:p>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投标报价得分=（评标基准价/投标报价）×价格权值×100</w:t>
      </w:r>
      <w:bookmarkEnd w:id="41"/>
      <w:bookmarkEnd w:id="42"/>
      <w:bookmarkEnd w:id="43"/>
      <w:bookmarkEnd w:id="44"/>
      <w:bookmarkEnd w:id="45"/>
      <w:bookmarkEnd w:id="46"/>
      <w:bookmarkEnd w:id="47"/>
    </w:p>
    <w:p>
      <w:pPr>
        <w:spacing w:line="500" w:lineRule="exact"/>
        <w:ind w:firstLine="570"/>
        <w:rPr>
          <w:rFonts w:hint="eastAsia" w:ascii="宋体" w:hAnsi="宋体" w:eastAsia="宋体" w:cs="宋体"/>
          <w:bCs/>
          <w:sz w:val="28"/>
          <w:szCs w:val="28"/>
        </w:rPr>
      </w:pPr>
      <w:r>
        <w:rPr>
          <w:rFonts w:hint="eastAsia" w:ascii="宋体" w:hAnsi="宋体" w:eastAsia="宋体" w:cs="宋体"/>
          <w:b/>
          <w:sz w:val="28"/>
          <w:szCs w:val="28"/>
        </w:rPr>
        <w:t>（</w:t>
      </w:r>
      <w:r>
        <w:rPr>
          <w:rFonts w:hint="eastAsia" w:ascii="宋体" w:hAnsi="宋体" w:eastAsia="宋体" w:cs="宋体"/>
          <w:b/>
          <w:sz w:val="28"/>
          <w:szCs w:val="28"/>
          <w:lang w:val="en-US" w:eastAsia="zh-CN"/>
        </w:rPr>
        <w:t>五</w:t>
      </w:r>
      <w:r>
        <w:rPr>
          <w:rFonts w:hint="eastAsia" w:ascii="宋体" w:hAnsi="宋体" w:eastAsia="宋体" w:cs="宋体"/>
          <w:b/>
          <w:sz w:val="28"/>
          <w:szCs w:val="28"/>
        </w:rPr>
        <w:t>）中标投标人的确定</w:t>
      </w:r>
    </w:p>
    <w:p>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评委会汇总各评委评分后，按照得分从高到低的顺序推荐三名</w:t>
      </w:r>
      <w:r>
        <w:rPr>
          <w:rFonts w:hint="eastAsia" w:ascii="宋体" w:hAnsi="宋体" w:eastAsia="宋体" w:cs="宋体"/>
          <w:sz w:val="28"/>
          <w:szCs w:val="28"/>
          <w:lang w:val="en-US" w:eastAsia="zh-CN"/>
        </w:rPr>
        <w:t>中标</w:t>
      </w:r>
      <w:r>
        <w:rPr>
          <w:rFonts w:hint="eastAsia" w:ascii="宋体" w:hAnsi="宋体" w:eastAsia="宋体" w:cs="宋体"/>
          <w:sz w:val="28"/>
          <w:szCs w:val="28"/>
        </w:rPr>
        <w:t>候选人，并编写评审报告。</w:t>
      </w:r>
    </w:p>
    <w:p>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采购人委托评委会直接确定排名第一的</w:t>
      </w:r>
      <w:r>
        <w:rPr>
          <w:rFonts w:hint="eastAsia" w:ascii="宋体" w:hAnsi="宋体" w:eastAsia="宋体" w:cs="宋体"/>
          <w:sz w:val="28"/>
          <w:szCs w:val="28"/>
          <w:lang w:val="en-US" w:eastAsia="zh-CN"/>
        </w:rPr>
        <w:t>中标</w:t>
      </w:r>
      <w:r>
        <w:rPr>
          <w:rFonts w:hint="eastAsia" w:ascii="宋体" w:hAnsi="宋体" w:eastAsia="宋体" w:cs="宋体"/>
          <w:sz w:val="28"/>
          <w:szCs w:val="28"/>
        </w:rPr>
        <w:t>候选人为</w:t>
      </w:r>
      <w:r>
        <w:rPr>
          <w:rFonts w:hint="eastAsia" w:ascii="宋体" w:hAnsi="宋体" w:eastAsia="宋体" w:cs="宋体"/>
          <w:sz w:val="28"/>
          <w:szCs w:val="28"/>
          <w:lang w:val="en-US" w:eastAsia="zh-CN"/>
        </w:rPr>
        <w:t>中标</w:t>
      </w:r>
      <w:r>
        <w:rPr>
          <w:rFonts w:hint="eastAsia" w:ascii="宋体" w:hAnsi="宋体" w:eastAsia="宋体" w:cs="宋体"/>
          <w:sz w:val="28"/>
          <w:szCs w:val="28"/>
        </w:rPr>
        <w:t>投标人。</w:t>
      </w:r>
    </w:p>
    <w:p>
      <w:pPr>
        <w:spacing w:line="500" w:lineRule="exact"/>
        <w:ind w:firstLine="557"/>
        <w:rPr>
          <w:rFonts w:hint="eastAsia" w:ascii="宋体" w:hAnsi="宋体" w:eastAsia="宋体" w:cs="宋体"/>
          <w:b/>
          <w:sz w:val="28"/>
          <w:szCs w:val="28"/>
        </w:rPr>
      </w:pPr>
      <w:r>
        <w:rPr>
          <w:rFonts w:hint="eastAsia" w:ascii="宋体" w:hAnsi="宋体" w:eastAsia="宋体" w:cs="宋体"/>
          <w:b/>
          <w:sz w:val="28"/>
          <w:szCs w:val="28"/>
        </w:rPr>
        <w:t>（</w:t>
      </w:r>
      <w:r>
        <w:rPr>
          <w:rFonts w:hint="eastAsia" w:ascii="宋体" w:hAnsi="宋体" w:eastAsia="宋体" w:cs="宋体"/>
          <w:b/>
          <w:sz w:val="28"/>
          <w:szCs w:val="28"/>
          <w:lang w:val="en-US" w:eastAsia="zh-CN"/>
        </w:rPr>
        <w:t>六</w:t>
      </w:r>
      <w:r>
        <w:rPr>
          <w:rFonts w:hint="eastAsia" w:ascii="宋体" w:hAnsi="宋体" w:eastAsia="宋体" w:cs="宋体"/>
          <w:b/>
          <w:sz w:val="28"/>
          <w:szCs w:val="28"/>
        </w:rPr>
        <w:t>）采购人代表宣布评审结果。</w:t>
      </w:r>
    </w:p>
    <w:p>
      <w:pP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w:t>
      </w:r>
      <w:r>
        <w:rPr>
          <w:rFonts w:hint="eastAsia" w:ascii="宋体" w:hAnsi="宋体" w:eastAsia="宋体" w:cs="宋体"/>
          <w:b/>
          <w:bCs/>
          <w:sz w:val="28"/>
          <w:szCs w:val="28"/>
          <w:lang w:val="en-US" w:eastAsia="zh-CN"/>
        </w:rPr>
        <w:t>七</w:t>
      </w:r>
      <w:r>
        <w:rPr>
          <w:rFonts w:hint="eastAsia" w:ascii="宋体" w:hAnsi="宋体" w:eastAsia="宋体" w:cs="宋体"/>
          <w:b/>
          <w:sz w:val="28"/>
          <w:szCs w:val="28"/>
        </w:rPr>
        <w:t>）公告</w:t>
      </w:r>
      <w:r>
        <w:rPr>
          <w:rFonts w:hint="eastAsia" w:ascii="宋体" w:hAnsi="宋体" w:eastAsia="宋体" w:cs="宋体"/>
          <w:b/>
          <w:sz w:val="28"/>
          <w:szCs w:val="28"/>
          <w:lang w:val="en-US" w:eastAsia="zh-CN"/>
        </w:rPr>
        <w:t>中标</w:t>
      </w:r>
      <w:r>
        <w:rPr>
          <w:rFonts w:hint="eastAsia" w:ascii="宋体" w:hAnsi="宋体" w:eastAsia="宋体" w:cs="宋体"/>
          <w:b/>
          <w:sz w:val="28"/>
          <w:szCs w:val="28"/>
        </w:rPr>
        <w:t>结果</w:t>
      </w:r>
    </w:p>
    <w:p>
      <w:pPr>
        <w:spacing w:line="500" w:lineRule="exact"/>
        <w:ind w:firstLine="570"/>
        <w:rPr>
          <w:rFonts w:hint="default" w:ascii="宋体" w:hAnsi="宋体" w:eastAsia="宋体" w:cs="Times New Roman"/>
          <w:sz w:val="28"/>
          <w:szCs w:val="28"/>
        </w:rPr>
      </w:pPr>
      <w:r>
        <w:rPr>
          <w:rFonts w:hint="default" w:ascii="宋体" w:hAnsi="宋体" w:eastAsia="宋体" w:cs="Times New Roman"/>
          <w:sz w:val="28"/>
          <w:szCs w:val="28"/>
        </w:rPr>
        <w:t>自确定中标人之日起2个工作日内，在</w:t>
      </w:r>
      <w:r>
        <w:rPr>
          <w:rFonts w:hint="eastAsia" w:ascii="宋体" w:hAnsi="宋体" w:eastAsia="宋体" w:cs="Times New Roman"/>
          <w:sz w:val="28"/>
          <w:szCs w:val="28"/>
        </w:rPr>
        <w:t>江苏政府采购网</w:t>
      </w:r>
      <w:r>
        <w:rPr>
          <w:rFonts w:hint="default" w:ascii="宋体" w:hAnsi="宋体" w:eastAsia="宋体" w:cs="Times New Roman"/>
          <w:sz w:val="28"/>
          <w:szCs w:val="28"/>
        </w:rPr>
        <w:t>公告中标结果，公告期限为1个工作日。</w:t>
      </w:r>
    </w:p>
    <w:p>
      <w:pPr>
        <w:spacing w:line="500" w:lineRule="exact"/>
        <w:ind w:firstLine="562"/>
        <w:rPr>
          <w:rFonts w:hint="eastAsia" w:ascii="宋体" w:hAnsi="宋体" w:eastAsia="宋体" w:cs="宋体"/>
          <w:b/>
          <w:bCs/>
          <w:sz w:val="28"/>
          <w:szCs w:val="28"/>
        </w:rPr>
      </w:pPr>
      <w:r>
        <w:rPr>
          <w:rFonts w:hint="eastAsia" w:ascii="宋体" w:hAnsi="宋体" w:eastAsia="宋体" w:cs="宋体"/>
          <w:b/>
          <w:sz w:val="28"/>
          <w:szCs w:val="28"/>
        </w:rPr>
        <w:t>（</w:t>
      </w:r>
      <w:r>
        <w:rPr>
          <w:rFonts w:hint="eastAsia" w:ascii="宋体" w:hAnsi="宋体" w:eastAsia="宋体" w:cs="宋体"/>
          <w:b/>
          <w:sz w:val="28"/>
          <w:szCs w:val="28"/>
          <w:lang w:val="en-US" w:eastAsia="zh-CN"/>
        </w:rPr>
        <w:t>八</w:t>
      </w:r>
      <w:r>
        <w:rPr>
          <w:rFonts w:hint="eastAsia" w:ascii="宋体" w:hAnsi="宋体" w:eastAsia="宋体" w:cs="宋体"/>
          <w:b/>
          <w:sz w:val="28"/>
          <w:szCs w:val="28"/>
        </w:rPr>
        <w:t>）</w:t>
      </w:r>
      <w:r>
        <w:rPr>
          <w:rFonts w:hint="eastAsia" w:ascii="宋体" w:hAnsi="宋体" w:eastAsia="宋体" w:cs="宋体"/>
          <w:b/>
          <w:bCs/>
          <w:sz w:val="28"/>
          <w:szCs w:val="28"/>
        </w:rPr>
        <w:t>发放</w:t>
      </w:r>
      <w:r>
        <w:rPr>
          <w:rFonts w:hint="eastAsia" w:ascii="宋体" w:hAnsi="宋体" w:eastAsia="宋体" w:cs="宋体"/>
          <w:b/>
          <w:bCs/>
          <w:sz w:val="28"/>
          <w:szCs w:val="28"/>
          <w:lang w:val="en-US" w:eastAsia="zh-CN"/>
        </w:rPr>
        <w:t>中标</w:t>
      </w:r>
      <w:r>
        <w:rPr>
          <w:rFonts w:hint="eastAsia" w:ascii="宋体" w:hAnsi="宋体" w:eastAsia="宋体" w:cs="宋体"/>
          <w:b/>
          <w:bCs/>
          <w:sz w:val="28"/>
          <w:szCs w:val="28"/>
        </w:rPr>
        <w:t>通知书</w:t>
      </w:r>
    </w:p>
    <w:p>
      <w:pPr>
        <w:spacing w:line="500" w:lineRule="exact"/>
        <w:ind w:firstLine="560"/>
        <w:rPr>
          <w:rFonts w:hint="eastAsia" w:ascii="宋体" w:hAnsi="宋体" w:eastAsia="宋体" w:cs="Times New Roman"/>
          <w:bCs/>
          <w:sz w:val="28"/>
          <w:szCs w:val="28"/>
        </w:rPr>
      </w:pPr>
      <w:r>
        <w:rPr>
          <w:rFonts w:hint="default" w:ascii="宋体" w:hAnsi="宋体" w:eastAsia="宋体" w:cs="Times New Roman"/>
          <w:sz w:val="28"/>
          <w:szCs w:val="28"/>
        </w:rPr>
        <w:t>公告中标结果的同时，</w:t>
      </w:r>
      <w:r>
        <w:rPr>
          <w:rFonts w:hint="eastAsia" w:ascii="宋体" w:hAnsi="宋体" w:eastAsia="宋体" w:cs="Times New Roman"/>
          <w:bCs/>
          <w:sz w:val="28"/>
          <w:szCs w:val="28"/>
        </w:rPr>
        <w:t>采购人或采购代理机构</w:t>
      </w:r>
      <w:r>
        <w:rPr>
          <w:rFonts w:hint="default" w:ascii="宋体" w:hAnsi="宋体" w:eastAsia="宋体" w:cs="Times New Roman"/>
          <w:bCs/>
          <w:sz w:val="28"/>
          <w:szCs w:val="28"/>
        </w:rPr>
        <w:t>向中标</w:t>
      </w:r>
      <w:r>
        <w:rPr>
          <w:rFonts w:hint="eastAsia" w:ascii="宋体" w:hAnsi="宋体" w:eastAsia="宋体" w:cs="Times New Roman"/>
          <w:bCs/>
          <w:sz w:val="28"/>
          <w:szCs w:val="28"/>
        </w:rPr>
        <w:t>投标人</w:t>
      </w:r>
      <w:r>
        <w:rPr>
          <w:rFonts w:hint="default" w:ascii="宋体" w:hAnsi="宋体" w:eastAsia="宋体" w:cs="Times New Roman"/>
          <w:bCs/>
          <w:sz w:val="28"/>
          <w:szCs w:val="28"/>
        </w:rPr>
        <w:t>发放中标通知书</w:t>
      </w:r>
      <w:r>
        <w:rPr>
          <w:rFonts w:hint="eastAsia" w:ascii="宋体" w:hAnsi="宋体" w:eastAsia="宋体" w:cs="Times New Roman"/>
          <w:bCs/>
          <w:sz w:val="28"/>
          <w:szCs w:val="28"/>
        </w:rPr>
        <w:t>。</w:t>
      </w:r>
    </w:p>
    <w:p>
      <w:pPr>
        <w:spacing w:line="500" w:lineRule="exact"/>
        <w:ind w:firstLine="570"/>
        <w:rPr>
          <w:rFonts w:hint="eastAsia" w:ascii="宋体" w:hAnsi="宋体" w:eastAsia="宋体" w:cs="宋体"/>
          <w:sz w:val="28"/>
          <w:szCs w:val="28"/>
        </w:rPr>
      </w:pPr>
      <w:r>
        <w:rPr>
          <w:rFonts w:hint="eastAsia" w:ascii="宋体" w:hAnsi="宋体" w:eastAsia="宋体" w:cs="宋体"/>
          <w:sz w:val="28"/>
          <w:szCs w:val="28"/>
          <w:lang w:val="en-US" w:eastAsia="zh-CN"/>
        </w:rPr>
        <w:t>中标</w:t>
      </w:r>
      <w:r>
        <w:rPr>
          <w:rFonts w:hint="eastAsia" w:ascii="宋体" w:hAnsi="宋体" w:eastAsia="宋体" w:cs="宋体"/>
          <w:sz w:val="28"/>
          <w:szCs w:val="28"/>
        </w:rPr>
        <w:t>通知书发出后，采购人不得违法改变</w:t>
      </w:r>
      <w:r>
        <w:rPr>
          <w:rFonts w:hint="eastAsia" w:ascii="宋体" w:hAnsi="宋体" w:eastAsia="宋体" w:cs="宋体"/>
          <w:sz w:val="28"/>
          <w:szCs w:val="28"/>
          <w:lang w:val="en-US" w:eastAsia="zh-CN"/>
        </w:rPr>
        <w:t>中标</w:t>
      </w:r>
      <w:r>
        <w:rPr>
          <w:rFonts w:hint="eastAsia" w:ascii="宋体" w:hAnsi="宋体" w:eastAsia="宋体" w:cs="宋体"/>
          <w:sz w:val="28"/>
          <w:szCs w:val="28"/>
        </w:rPr>
        <w:t>结果，</w:t>
      </w:r>
      <w:r>
        <w:rPr>
          <w:rFonts w:hint="eastAsia" w:ascii="宋体" w:hAnsi="宋体" w:eastAsia="宋体" w:cs="宋体"/>
          <w:sz w:val="28"/>
          <w:szCs w:val="28"/>
          <w:lang w:val="en-US" w:eastAsia="zh-CN"/>
        </w:rPr>
        <w:t>中标</w:t>
      </w:r>
      <w:r>
        <w:rPr>
          <w:rFonts w:hint="eastAsia" w:ascii="宋体" w:hAnsi="宋体" w:eastAsia="宋体" w:cs="宋体"/>
          <w:sz w:val="28"/>
          <w:szCs w:val="28"/>
        </w:rPr>
        <w:t>投标人无正当理由不得放弃</w:t>
      </w:r>
      <w:r>
        <w:rPr>
          <w:rFonts w:hint="eastAsia" w:ascii="宋体" w:hAnsi="宋体" w:eastAsia="宋体" w:cs="宋体"/>
          <w:sz w:val="28"/>
          <w:szCs w:val="28"/>
          <w:lang w:val="en-US" w:eastAsia="zh-CN"/>
        </w:rPr>
        <w:t>中标</w:t>
      </w:r>
      <w:r>
        <w:rPr>
          <w:rFonts w:hint="eastAsia" w:ascii="宋体" w:hAnsi="宋体" w:eastAsia="宋体" w:cs="宋体"/>
          <w:sz w:val="28"/>
          <w:szCs w:val="28"/>
        </w:rPr>
        <w:t>。</w:t>
      </w:r>
    </w:p>
    <w:p>
      <w:pPr>
        <w:spacing w:line="500" w:lineRule="exact"/>
        <w:ind w:firstLine="570"/>
        <w:rPr>
          <w:rFonts w:hint="eastAsia" w:ascii="宋体" w:hAnsi="宋体" w:eastAsia="宋体" w:cs="Times New Roman"/>
          <w:b/>
          <w:sz w:val="36"/>
          <w:szCs w:val="36"/>
        </w:rPr>
      </w:pPr>
      <w:r>
        <w:rPr>
          <w:rFonts w:hint="eastAsia" w:ascii="宋体" w:hAnsi="宋体" w:eastAsia="宋体" w:cs="宋体"/>
          <w:b/>
          <w:bCs/>
          <w:sz w:val="28"/>
          <w:szCs w:val="28"/>
        </w:rPr>
        <w:t>中标投标人在中标后须将装订好的纸质投标文件一份通过快递的方式（不接受到付）寄至南通市海门区</w:t>
      </w:r>
      <w:r>
        <w:rPr>
          <w:rFonts w:hint="eastAsia" w:ascii="宋体" w:hAnsi="宋体" w:eastAsia="宋体" w:cs="宋体"/>
          <w:b/>
          <w:bCs/>
          <w:sz w:val="28"/>
          <w:szCs w:val="28"/>
          <w:lang w:val="en-US" w:eastAsia="zh-CN"/>
        </w:rPr>
        <w:t>大生创业园507幢407室</w:t>
      </w:r>
      <w:r>
        <w:rPr>
          <w:rFonts w:hint="eastAsia" w:ascii="宋体" w:hAnsi="宋体" w:eastAsia="宋体" w:cs="宋体"/>
          <w:b/>
          <w:bCs/>
          <w:sz w:val="28"/>
          <w:szCs w:val="28"/>
        </w:rPr>
        <w:t>（</w:t>
      </w:r>
      <w:r>
        <w:rPr>
          <w:rFonts w:hint="eastAsia" w:ascii="宋体" w:hAnsi="宋体" w:eastAsia="宋体" w:cs="宋体"/>
          <w:b/>
          <w:bCs/>
          <w:sz w:val="28"/>
          <w:szCs w:val="28"/>
          <w:lang w:eastAsia="zh-CN"/>
        </w:rPr>
        <w:t>南通万隆工程管理有限公司</w:t>
      </w:r>
      <w:r>
        <w:rPr>
          <w:rFonts w:hint="eastAsia" w:ascii="宋体" w:hAnsi="宋体" w:eastAsia="宋体" w:cs="宋体"/>
          <w:b/>
          <w:bCs/>
          <w:sz w:val="28"/>
          <w:szCs w:val="28"/>
        </w:rPr>
        <w:t>），并在中标通知书规定期限（确定中标人后</w:t>
      </w:r>
      <w:r>
        <w:rPr>
          <w:rFonts w:hint="eastAsia" w:ascii="宋体" w:hAnsi="宋体" w:eastAsia="宋体" w:cs="宋体"/>
          <w:b/>
          <w:bCs/>
          <w:sz w:val="28"/>
          <w:szCs w:val="28"/>
          <w:lang w:val="en-US" w:eastAsia="zh-CN"/>
        </w:rPr>
        <w:t>30</w:t>
      </w:r>
      <w:r>
        <w:rPr>
          <w:rFonts w:hint="eastAsia" w:ascii="宋体" w:hAnsi="宋体" w:eastAsia="宋体" w:cs="宋体"/>
          <w:b/>
          <w:bCs/>
          <w:sz w:val="28"/>
          <w:szCs w:val="28"/>
        </w:rPr>
        <w:t>日）内和采购人签订合同。</w:t>
      </w:r>
    </w:p>
    <w:p>
      <w:pPr>
        <w:spacing w:line="360" w:lineRule="auto"/>
        <w:jc w:val="center"/>
        <w:rPr>
          <w:rFonts w:hint="eastAsia" w:ascii="宋体" w:hAnsi="宋体" w:eastAsia="宋体" w:cs="Times New Roman"/>
          <w:b/>
          <w:bCs/>
          <w:color w:val="000000"/>
          <w:sz w:val="36"/>
          <w:szCs w:val="36"/>
          <w:highlight w:val="none"/>
          <w:lang w:val="en-US" w:eastAsia="zh-CN"/>
        </w:rPr>
      </w:pPr>
      <w:bookmarkStart w:id="50" w:name="_GoBack"/>
      <w:bookmarkEnd w:id="50"/>
    </w:p>
    <w:p>
      <w:pPr>
        <w:widowControl w:val="0"/>
        <w:jc w:val="both"/>
        <w:rPr>
          <w:rFonts w:hint="eastAsia" w:ascii="宋体" w:hAnsi="宋体" w:eastAsia="宋体" w:cs="Times New Roman"/>
          <w:b/>
          <w:bCs/>
          <w:color w:val="000000"/>
          <w:sz w:val="36"/>
          <w:szCs w:val="36"/>
          <w:highlight w:val="none"/>
          <w:lang w:val="en-US" w:eastAsia="zh-CN" w:bidi="ar-SA"/>
        </w:rPr>
      </w:pPr>
    </w:p>
    <w:p>
      <w:pPr>
        <w:rPr>
          <w:rFonts w:hint="eastAsia" w:ascii="宋体" w:hAnsi="宋体" w:eastAsia="宋体" w:cs="Times New Roman"/>
          <w:b/>
          <w:bCs/>
          <w:color w:val="000000"/>
          <w:sz w:val="36"/>
          <w:szCs w:val="36"/>
          <w:highlight w:val="none"/>
          <w:lang w:val="en-US" w:eastAsia="zh-CN"/>
        </w:rPr>
      </w:pPr>
    </w:p>
    <w:p>
      <w:pPr>
        <w:widowControl w:val="0"/>
        <w:jc w:val="both"/>
        <w:rPr>
          <w:rFonts w:hint="eastAsia" w:ascii="宋体" w:hAnsi="宋体" w:eastAsia="宋体" w:cs="Times New Roman"/>
          <w:b/>
          <w:bCs/>
          <w:color w:val="000000"/>
          <w:sz w:val="36"/>
          <w:szCs w:val="36"/>
          <w:highlight w:val="none"/>
          <w:lang w:val="en-US" w:eastAsia="zh-CN" w:bidi="ar-SA"/>
        </w:rPr>
      </w:pPr>
    </w:p>
    <w:p>
      <w:pPr>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spacing w:line="360" w:lineRule="auto"/>
        <w:jc w:val="both"/>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pStyle w:val="39"/>
        <w:rPr>
          <w:rFonts w:hint="eastAsia" w:ascii="宋体" w:hAnsi="宋体" w:eastAsia="宋体" w:cs="Times New Roman"/>
          <w:b/>
          <w:bCs/>
          <w:color w:val="000000"/>
          <w:sz w:val="36"/>
          <w:szCs w:val="36"/>
          <w:highlight w:val="none"/>
          <w:lang w:val="en-US" w:eastAsia="zh-CN"/>
        </w:rPr>
      </w:pPr>
    </w:p>
    <w:p>
      <w:pPr>
        <w:numPr>
          <w:ilvl w:val="0"/>
          <w:numId w:val="6"/>
        </w:numPr>
        <w:spacing w:line="420" w:lineRule="exact"/>
        <w:jc w:val="center"/>
        <w:rPr>
          <w:rFonts w:hint="eastAsia" w:ascii="宋体" w:hAnsi="宋体" w:eastAsia="宋体" w:cs="Times New Roman"/>
          <w:b/>
          <w:sz w:val="36"/>
          <w:szCs w:val="36"/>
        </w:rPr>
      </w:pPr>
      <w:r>
        <w:rPr>
          <w:rFonts w:hint="eastAsia" w:ascii="宋体" w:hAnsi="宋体" w:eastAsia="宋体" w:cs="Times New Roman"/>
          <w:b/>
          <w:sz w:val="36"/>
          <w:szCs w:val="36"/>
          <w:lang w:val="en-US" w:eastAsia="zh-CN"/>
        </w:rPr>
        <w:t xml:space="preserve"> </w:t>
      </w:r>
      <w:r>
        <w:rPr>
          <w:rFonts w:hint="eastAsia" w:ascii="宋体" w:hAnsi="宋体" w:eastAsia="宋体" w:cs="Times New Roman"/>
          <w:b/>
          <w:sz w:val="36"/>
          <w:szCs w:val="36"/>
        </w:rPr>
        <w:t>合同签订与验收付款</w:t>
      </w:r>
    </w:p>
    <w:p>
      <w:pPr>
        <w:widowControl w:val="0"/>
        <w:numPr>
          <w:ilvl w:val="0"/>
          <w:numId w:val="0"/>
        </w:numPr>
        <w:jc w:val="both"/>
        <w:rPr>
          <w:rFonts w:hint="default" w:ascii="Arial" w:hAnsi="Arial" w:eastAsia="Arial" w:cs="Arial"/>
          <w:sz w:val="21"/>
          <w:szCs w:val="21"/>
          <w:lang w:val="en-US" w:eastAsia="zh-CN" w:bidi="ar-SA"/>
        </w:rPr>
      </w:pPr>
    </w:p>
    <w:p>
      <w:pPr>
        <w:rPr>
          <w:rFonts w:hint="default" w:ascii="Times New Roman" w:hAnsi="Times New Roman" w:eastAsia="宋体" w:cs="Times New Roman"/>
          <w:szCs w:val="20"/>
          <w:lang w:val="en-US" w:eastAsia="zh-CN"/>
        </w:rPr>
      </w:pPr>
    </w:p>
    <w:p>
      <w:pPr>
        <w:spacing w:line="360" w:lineRule="auto"/>
        <w:ind w:firstLine="560"/>
        <w:rPr>
          <w:rFonts w:hint="eastAsia" w:ascii="宋体" w:hAnsi="宋体" w:eastAsia="宋体" w:cs="Times New Roman"/>
          <w:sz w:val="28"/>
          <w:szCs w:val="28"/>
          <w:lang w:val="en-GB"/>
        </w:rPr>
      </w:pPr>
      <w:r>
        <w:rPr>
          <w:rFonts w:hint="eastAsia" w:ascii="宋体" w:hAnsi="宋体" w:eastAsia="宋体" w:cs="Times New Roman"/>
          <w:sz w:val="28"/>
          <w:szCs w:val="28"/>
        </w:rPr>
        <w:t>一</w:t>
      </w:r>
      <w:r>
        <w:rPr>
          <w:rFonts w:hint="eastAsia" w:ascii="宋体" w:hAnsi="宋体" w:eastAsia="宋体" w:cs="Times New Roman"/>
          <w:sz w:val="28"/>
          <w:szCs w:val="28"/>
          <w:lang w:val="en-GB"/>
        </w:rPr>
        <w:t>、中标</w:t>
      </w:r>
      <w:r>
        <w:rPr>
          <w:rFonts w:hint="eastAsia" w:ascii="宋体" w:hAnsi="宋体" w:eastAsia="宋体" w:cs="Times New Roman"/>
          <w:sz w:val="28"/>
          <w:szCs w:val="28"/>
        </w:rPr>
        <w:t>公告发出之日起3日内</w:t>
      </w:r>
      <w:r>
        <w:rPr>
          <w:rFonts w:hint="eastAsia" w:ascii="宋体" w:hAnsi="宋体" w:eastAsia="宋体" w:cs="Times New Roman"/>
          <w:sz w:val="28"/>
          <w:szCs w:val="28"/>
          <w:lang w:val="en-GB"/>
        </w:rPr>
        <w:t>须领取中标通知书，同时中标人应按照《中标通知书》指定的时间内与采购人洽谈并签订合同，合同一式四份(采购单位</w:t>
      </w:r>
      <w:r>
        <w:rPr>
          <w:rFonts w:hint="eastAsia" w:ascii="宋体" w:hAnsi="宋体" w:eastAsia="宋体" w:cs="Times New Roman"/>
          <w:sz w:val="28"/>
          <w:szCs w:val="28"/>
        </w:rPr>
        <w:t>三份</w:t>
      </w:r>
      <w:r>
        <w:rPr>
          <w:rFonts w:hint="eastAsia" w:ascii="宋体" w:hAnsi="宋体" w:eastAsia="宋体" w:cs="Times New Roman"/>
          <w:sz w:val="28"/>
          <w:szCs w:val="28"/>
          <w:lang w:val="en-GB"/>
        </w:rPr>
        <w:t>、供应商</w:t>
      </w:r>
      <w:r>
        <w:rPr>
          <w:rFonts w:hint="eastAsia" w:ascii="宋体" w:hAnsi="宋体" w:eastAsia="宋体" w:cs="Times New Roman"/>
          <w:sz w:val="28"/>
          <w:szCs w:val="28"/>
        </w:rPr>
        <w:t>一份</w:t>
      </w:r>
      <w:r>
        <w:rPr>
          <w:rFonts w:hint="eastAsia" w:ascii="宋体" w:hAnsi="宋体" w:eastAsia="宋体" w:cs="Times New Roman"/>
          <w:sz w:val="28"/>
          <w:szCs w:val="28"/>
          <w:lang w:val="en-GB"/>
        </w:rPr>
        <w:t>)。如在规定的时限内因中标方原因没有签订合同，将取消中标人候选人中标资格。所签合同不得对招标文件作实质性修改，由此给采购人造成损失的，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中标</w:t>
      </w:r>
      <w:r>
        <w:rPr>
          <w:rFonts w:hint="eastAsia" w:ascii="宋体" w:hAnsi="宋体" w:eastAsia="宋体" w:cs="Times New Roman"/>
          <w:sz w:val="28"/>
          <w:szCs w:val="28"/>
          <w:lang w:val="en-GB"/>
        </w:rPr>
        <w:t>供应商还应承担赔偿责任。</w:t>
      </w:r>
    </w:p>
    <w:p>
      <w:pPr>
        <w:spacing w:line="360" w:lineRule="auto"/>
        <w:ind w:firstLine="560"/>
        <w:rPr>
          <w:rFonts w:hint="eastAsia" w:ascii="宋体" w:hAnsi="宋体" w:eastAsia="宋体" w:cs="Times New Roman"/>
          <w:sz w:val="28"/>
          <w:szCs w:val="28"/>
          <w:lang w:val="en-GB"/>
        </w:rPr>
      </w:pPr>
      <w:r>
        <w:rPr>
          <w:rFonts w:hint="eastAsia" w:ascii="宋体" w:hAnsi="宋体" w:eastAsia="宋体" w:cs="Times New Roman"/>
          <w:sz w:val="28"/>
          <w:szCs w:val="28"/>
          <w:lang w:val="en-GB"/>
        </w:rPr>
        <w:t>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p>
    <w:p>
      <w:pPr>
        <w:spacing w:line="360" w:lineRule="auto"/>
        <w:ind w:firstLine="560"/>
        <w:rPr>
          <w:rFonts w:hint="eastAsia" w:ascii="宋体" w:hAnsi="宋体" w:eastAsia="宋体" w:cs="Times New Roman"/>
          <w:sz w:val="28"/>
          <w:szCs w:val="28"/>
          <w:lang w:val="en-GB"/>
        </w:rPr>
      </w:pPr>
      <w:r>
        <w:rPr>
          <w:rFonts w:hint="eastAsia" w:ascii="宋体" w:hAnsi="宋体" w:eastAsia="宋体" w:cs="Times New Roman"/>
          <w:sz w:val="28"/>
          <w:szCs w:val="28"/>
          <w:lang w:val="en-GB"/>
        </w:rPr>
        <w:t>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pPr>
        <w:spacing w:line="360" w:lineRule="auto"/>
        <w:ind w:firstLine="560"/>
        <w:rPr>
          <w:rFonts w:hint="eastAsia" w:ascii="宋体" w:hAnsi="宋体" w:eastAsia="宋体" w:cs="Times New Roman"/>
          <w:sz w:val="28"/>
          <w:szCs w:val="28"/>
          <w:lang w:val="en-GB"/>
        </w:rPr>
      </w:pPr>
      <w:r>
        <w:rPr>
          <w:rFonts w:hint="eastAsia" w:ascii="宋体" w:hAnsi="宋体" w:eastAsia="宋体" w:cs="Times New Roman"/>
          <w:sz w:val="28"/>
          <w:szCs w:val="28"/>
          <w:lang w:val="en-GB"/>
        </w:rPr>
        <w:t>四、中标供应商出现违约情形，应当及时纠正或补偿；造成损失的，按合同约定追究违约责任；发现有假冒、伪劣、走私产品、商业贿赂等违法情形的，应由采购单位移交工商、质监、公安等行政执法部门依法查处。</w:t>
      </w:r>
    </w:p>
    <w:p>
      <w:pPr>
        <w:spacing w:line="360" w:lineRule="auto"/>
        <w:ind w:firstLine="560"/>
        <w:rPr>
          <w:rFonts w:hint="eastAsia" w:ascii="宋体" w:hAnsi="宋体" w:eastAsia="宋体" w:cs="Times New Roman"/>
          <w:sz w:val="28"/>
          <w:szCs w:val="28"/>
          <w:lang w:val="en-GB"/>
        </w:rPr>
      </w:pPr>
      <w:r>
        <w:rPr>
          <w:rFonts w:hint="eastAsia" w:ascii="宋体" w:hAnsi="宋体" w:eastAsia="宋体" w:cs="Times New Roman"/>
          <w:sz w:val="28"/>
          <w:szCs w:val="28"/>
          <w:lang w:val="en-GB"/>
        </w:rPr>
        <w:t>五、供方如没有在合同规定的时限内完成符合合同约定的服务，逾期期间，供方应承担每天1000元的违约金；逾期达10天，需方将有权全部或部分终止合同，同时供方应承担合同总额30%的违约金，违约金不足于弥补需方损失的，还应赔偿需方的实际损失。</w:t>
      </w:r>
    </w:p>
    <w:p>
      <w:pPr>
        <w:spacing w:line="360" w:lineRule="auto"/>
        <w:ind w:firstLine="560"/>
        <w:rPr>
          <w:rFonts w:hint="eastAsia" w:ascii="宋体" w:hAnsi="宋体" w:eastAsia="宋体" w:cs="Times New Roman"/>
          <w:sz w:val="28"/>
          <w:szCs w:val="28"/>
          <w:highlight w:val="yellow"/>
          <w:lang w:val="en-GB"/>
        </w:rPr>
      </w:pPr>
    </w:p>
    <w:p>
      <w:pPr>
        <w:spacing w:line="360" w:lineRule="auto"/>
        <w:ind w:firstLine="560"/>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t>拟签订的合同文本：</w:t>
      </w:r>
    </w:p>
    <w:p>
      <w:pPr>
        <w:widowControl w:val="0"/>
        <w:jc w:val="both"/>
        <w:rPr>
          <w:rFonts w:hint="default" w:ascii="Arial" w:hAnsi="Arial" w:eastAsia="Arial" w:cs="Arial"/>
          <w:sz w:val="21"/>
          <w:szCs w:val="21"/>
          <w:lang w:val="en-US" w:eastAsia="zh-CN" w:bidi="ar-SA"/>
        </w:rPr>
      </w:pPr>
    </w:p>
    <w:p>
      <w:pPr>
        <w:rPr>
          <w:rFonts w:hint="default" w:ascii="Times New Roman" w:hAnsi="Times New Roman" w:eastAsia="宋体" w:cs="Times New Roman"/>
          <w:szCs w:val="20"/>
          <w:lang w:val="en-US" w:eastAsia="zh-CN"/>
        </w:rPr>
      </w:pPr>
    </w:p>
    <w:p>
      <w:pPr>
        <w:widowControl w:val="0"/>
        <w:jc w:val="both"/>
        <w:rPr>
          <w:rFonts w:hint="default" w:ascii="Arial" w:hAnsi="Arial" w:eastAsia="Arial" w:cs="Arial"/>
          <w:sz w:val="21"/>
          <w:szCs w:val="21"/>
          <w:lang w:val="en-US" w:eastAsia="zh-CN" w:bidi="ar-SA"/>
        </w:rPr>
      </w:pPr>
    </w:p>
    <w:p>
      <w:pPr>
        <w:rPr>
          <w:rFonts w:hint="default" w:ascii="Times New Roman" w:hAnsi="Times New Roman" w:eastAsia="宋体" w:cs="Times New Roman"/>
          <w:szCs w:val="20"/>
          <w:lang w:val="en-US" w:eastAsia="zh-CN"/>
        </w:rPr>
      </w:pPr>
    </w:p>
    <w:p>
      <w:pPr>
        <w:widowControl w:val="0"/>
        <w:jc w:val="both"/>
        <w:rPr>
          <w:rFonts w:hint="default" w:ascii="Arial" w:hAnsi="Arial" w:eastAsia="Arial" w:cs="Arial"/>
          <w:sz w:val="21"/>
          <w:szCs w:val="21"/>
          <w:lang w:val="en-US" w:eastAsia="zh-CN" w:bidi="ar-SA"/>
        </w:rPr>
      </w:pPr>
    </w:p>
    <w:p>
      <w:pPr>
        <w:numPr>
          <w:ilvl w:val="0"/>
          <w:numId w:val="0"/>
        </w:numPr>
        <w:spacing w:line="360" w:lineRule="auto"/>
        <w:jc w:val="center"/>
        <w:rPr>
          <w:rFonts w:hint="eastAsia" w:ascii="Times New Roman" w:hAnsi="Times New Roman" w:eastAsia="宋体" w:cs="Times New Roman"/>
          <w:sz w:val="21"/>
          <w:szCs w:val="20"/>
          <w:lang w:val="en-US" w:eastAsia="zh-CN" w:bidi="ar-SA"/>
        </w:rPr>
      </w:pPr>
      <w:r>
        <w:rPr>
          <w:rFonts w:hint="eastAsia" w:ascii="宋体" w:hAnsi="宋体" w:eastAsia="宋体" w:cs="宋体"/>
          <w:b/>
          <w:bCs/>
          <w:sz w:val="36"/>
          <w:szCs w:val="36"/>
          <w:lang w:val="en-US" w:eastAsia="zh-CN"/>
        </w:rPr>
        <w:t>合同文本</w:t>
      </w:r>
    </w:p>
    <w:p>
      <w:pPr>
        <w:spacing w:line="360" w:lineRule="auto"/>
        <w:rPr>
          <w:rFonts w:hint="eastAsia" w:ascii="宋体" w:hAnsi="宋体" w:eastAsia="宋体" w:cs="仿宋"/>
          <w:color w:val="000000"/>
          <w:kern w:val="2"/>
          <w:sz w:val="24"/>
          <w:szCs w:val="21"/>
        </w:rPr>
      </w:pPr>
      <w:r>
        <w:rPr>
          <w:rFonts w:hint="eastAsia" w:ascii="宋体" w:hAnsi="宋体" w:eastAsia="宋体" w:cs="仿宋"/>
          <w:color w:val="000000"/>
          <w:kern w:val="2"/>
          <w:sz w:val="24"/>
          <w:szCs w:val="21"/>
        </w:rPr>
        <w:t>甲方：</w:t>
      </w:r>
      <w:r>
        <w:rPr>
          <w:rFonts w:hint="eastAsia" w:ascii="宋体" w:hAnsi="宋体" w:eastAsia="宋体" w:cs="仿宋"/>
          <w:color w:val="000000"/>
          <w:kern w:val="2"/>
          <w:sz w:val="24"/>
          <w:szCs w:val="21"/>
          <w:u w:val="single"/>
        </w:rPr>
        <w:t xml:space="preserve">                              </w:t>
      </w:r>
      <w:r>
        <w:rPr>
          <w:rFonts w:hint="eastAsia" w:ascii="宋体" w:hAnsi="宋体" w:eastAsia="宋体" w:cs="仿宋"/>
          <w:color w:val="000000"/>
          <w:kern w:val="2"/>
          <w:sz w:val="24"/>
          <w:szCs w:val="21"/>
        </w:rPr>
        <w:t xml:space="preserve">（需方）      </w:t>
      </w:r>
    </w:p>
    <w:p>
      <w:pPr>
        <w:spacing w:line="360" w:lineRule="auto"/>
        <w:rPr>
          <w:rFonts w:hint="eastAsia" w:ascii="宋体" w:hAnsi="宋体" w:eastAsia="宋体" w:cs="仿宋"/>
          <w:color w:val="000000"/>
          <w:kern w:val="2"/>
          <w:sz w:val="24"/>
          <w:szCs w:val="21"/>
        </w:rPr>
      </w:pPr>
      <w:r>
        <w:rPr>
          <w:rFonts w:hint="eastAsia" w:ascii="宋体" w:hAnsi="宋体" w:eastAsia="宋体" w:cs="仿宋"/>
          <w:color w:val="000000"/>
          <w:kern w:val="2"/>
          <w:sz w:val="24"/>
          <w:szCs w:val="21"/>
        </w:rPr>
        <w:t>乙方：</w:t>
      </w:r>
      <w:r>
        <w:rPr>
          <w:rFonts w:hint="eastAsia" w:ascii="宋体" w:hAnsi="宋体" w:eastAsia="宋体" w:cs="仿宋"/>
          <w:color w:val="000000"/>
          <w:kern w:val="2"/>
          <w:sz w:val="24"/>
          <w:szCs w:val="21"/>
          <w:u w:val="single"/>
        </w:rPr>
        <w:t xml:space="preserve">                              </w:t>
      </w:r>
      <w:r>
        <w:rPr>
          <w:rFonts w:hint="eastAsia" w:ascii="宋体" w:hAnsi="宋体" w:eastAsia="宋体" w:cs="仿宋"/>
          <w:color w:val="000000"/>
          <w:kern w:val="2"/>
          <w:sz w:val="24"/>
          <w:szCs w:val="21"/>
        </w:rPr>
        <w:t>（供方）</w:t>
      </w:r>
    </w:p>
    <w:p>
      <w:pPr>
        <w:widowControl/>
        <w:snapToGrid w:val="0"/>
        <w:spacing w:line="360" w:lineRule="auto"/>
        <w:ind w:firstLine="480" w:firstLineChars="200"/>
        <w:rPr>
          <w:rFonts w:hint="eastAsia" w:ascii="宋体" w:hAnsi="宋体" w:eastAsia="宋体" w:cs="仿宋"/>
          <w:color w:val="000000"/>
          <w:sz w:val="24"/>
          <w:szCs w:val="21"/>
          <w:lang w:val="zh-CN"/>
        </w:rPr>
      </w:pPr>
      <w:r>
        <w:rPr>
          <w:rFonts w:hint="eastAsia" w:ascii="宋体" w:hAnsi="宋体" w:eastAsia="宋体" w:cs="仿宋"/>
          <w:color w:val="000000"/>
          <w:sz w:val="24"/>
          <w:szCs w:val="21"/>
          <w:lang w:val="zh-CN"/>
        </w:rPr>
        <w:t>根据</w:t>
      </w:r>
      <w:r>
        <w:rPr>
          <w:rFonts w:hint="eastAsia" w:ascii="宋体" w:hAnsi="宋体" w:eastAsia="宋体" w:cs="仿宋"/>
          <w:color w:val="000000"/>
          <w:sz w:val="24"/>
          <w:szCs w:val="21"/>
          <w:u w:val="single"/>
          <w:lang w:val="zh-CN"/>
        </w:rPr>
        <w:t xml:space="preserve">         </w:t>
      </w:r>
      <w:r>
        <w:rPr>
          <w:rFonts w:hint="eastAsia" w:ascii="宋体" w:hAnsi="宋体" w:eastAsia="宋体" w:cs="仿宋"/>
          <w:color w:val="000000"/>
          <w:sz w:val="24"/>
          <w:szCs w:val="21"/>
          <w:u w:val="single"/>
        </w:rPr>
        <w:t xml:space="preserve">          </w:t>
      </w:r>
      <w:r>
        <w:rPr>
          <w:rFonts w:hint="eastAsia" w:ascii="宋体" w:hAnsi="宋体" w:eastAsia="宋体" w:cs="仿宋"/>
          <w:color w:val="000000"/>
          <w:sz w:val="24"/>
          <w:szCs w:val="21"/>
          <w:u w:val="single"/>
          <w:lang w:val="zh-CN"/>
        </w:rPr>
        <w:t xml:space="preserve">      </w:t>
      </w:r>
      <w:r>
        <w:rPr>
          <w:rFonts w:hint="eastAsia" w:ascii="宋体" w:hAnsi="宋体" w:eastAsia="宋体" w:cs="仿宋"/>
          <w:color w:val="000000"/>
          <w:sz w:val="24"/>
          <w:szCs w:val="21"/>
          <w:lang w:val="zh-CN"/>
        </w:rPr>
        <w:t>（项目名称）招标结果、采购单位“招标文件”的要求及供应商投标文件的承诺，供需双方本着平等、自愿和诚实信用的原则,订立如下供需合同：</w:t>
      </w:r>
    </w:p>
    <w:p>
      <w:pPr>
        <w:widowControl w:val="0"/>
        <w:numPr>
          <w:ilvl w:val="0"/>
          <w:numId w:val="7"/>
        </w:numPr>
        <w:spacing w:line="360" w:lineRule="auto"/>
        <w:ind w:left="960" w:hanging="480"/>
        <w:jc w:val="both"/>
        <w:rPr>
          <w:rFonts w:hint="eastAsia" w:ascii="宋体" w:hAnsi="宋体" w:eastAsia="宋体" w:cs="仿宋"/>
          <w:color w:val="000000"/>
          <w:kern w:val="2"/>
          <w:sz w:val="24"/>
          <w:szCs w:val="24"/>
          <w:lang w:val="en-US" w:eastAsia="zh-CN" w:bidi="ar-SA"/>
        </w:rPr>
      </w:pPr>
      <w:r>
        <w:rPr>
          <w:rFonts w:hint="eastAsia" w:ascii="宋体" w:hAnsi="宋体" w:eastAsia="宋体" w:cs="仿宋"/>
          <w:color w:val="000000"/>
          <w:kern w:val="2"/>
          <w:sz w:val="24"/>
          <w:szCs w:val="24"/>
          <w:lang w:val="en-US" w:eastAsia="zh-CN" w:bidi="ar-SA"/>
        </w:rPr>
        <w:t>采购内容及价款：</w:t>
      </w:r>
    </w:p>
    <w:tbl>
      <w:tblPr>
        <w:tblStyle w:val="33"/>
        <w:tblW w:w="102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6"/>
        <w:gridCol w:w="1959"/>
        <w:gridCol w:w="4073"/>
        <w:gridCol w:w="658"/>
        <w:gridCol w:w="773"/>
        <w:gridCol w:w="1009"/>
        <w:gridCol w:w="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序号</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项目名称</w:t>
            </w:r>
          </w:p>
        </w:tc>
        <w:tc>
          <w:tcPr>
            <w:tcW w:w="407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项目特征描述</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计量</w:t>
            </w:r>
            <w:r>
              <w:rPr>
                <w:rFonts w:hint="eastAsia" w:ascii="黑体" w:hAnsi="宋体" w:eastAsia="黑体" w:cs="黑体"/>
                <w:b/>
                <w:bCs/>
                <w:i w:val="0"/>
                <w:iCs w:val="0"/>
                <w:color w:val="000000"/>
                <w:kern w:val="0"/>
                <w:sz w:val="18"/>
                <w:szCs w:val="18"/>
                <w:u w:val="none"/>
                <w:lang w:val="en-US" w:eastAsia="zh-CN" w:bidi="ar"/>
              </w:rPr>
              <w:br w:type="textWrapping"/>
            </w:r>
            <w:r>
              <w:rPr>
                <w:rFonts w:hint="eastAsia" w:ascii="黑体" w:hAnsi="宋体" w:eastAsia="黑体" w:cs="黑体"/>
                <w:b/>
                <w:bCs/>
                <w:i w:val="0"/>
                <w:iCs w:val="0"/>
                <w:color w:val="000000"/>
                <w:kern w:val="0"/>
                <w:sz w:val="18"/>
                <w:szCs w:val="18"/>
                <w:u w:val="none"/>
                <w:lang w:val="en-US" w:eastAsia="zh-CN" w:bidi="ar"/>
              </w:rPr>
              <w:t>单位</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工程量</w:t>
            </w:r>
          </w:p>
        </w:tc>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default" w:ascii="黑体" w:hAnsi="宋体" w:eastAsia="黑体" w:cs="黑体"/>
                <w:b/>
                <w:bCs/>
                <w:i w:val="0"/>
                <w:iCs w:val="0"/>
                <w:color w:val="000000"/>
                <w:kern w:val="0"/>
                <w:sz w:val="18"/>
                <w:szCs w:val="18"/>
                <w:u w:val="none"/>
                <w:lang w:val="en-US" w:eastAsia="zh-CN" w:bidi="ar"/>
              </w:rPr>
            </w:pPr>
            <w:r>
              <w:rPr>
                <w:rFonts w:hint="eastAsia" w:ascii="黑体" w:hAnsi="宋体" w:eastAsia="黑体" w:cs="黑体"/>
                <w:b/>
                <w:bCs/>
                <w:i w:val="0"/>
                <w:iCs w:val="0"/>
                <w:color w:val="000000"/>
                <w:kern w:val="0"/>
                <w:sz w:val="18"/>
                <w:szCs w:val="18"/>
                <w:u w:val="none"/>
                <w:lang w:val="en-US" w:eastAsia="zh-CN" w:bidi="ar"/>
              </w:rPr>
              <w:t>全费用综合单价（元）</w:t>
            </w: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default" w:ascii="黑体" w:hAnsi="宋体" w:eastAsia="黑体" w:cs="黑体"/>
                <w:b/>
                <w:bCs/>
                <w:i w:val="0"/>
                <w:iCs w:val="0"/>
                <w:color w:val="000000"/>
                <w:kern w:val="0"/>
                <w:sz w:val="18"/>
                <w:szCs w:val="18"/>
                <w:u w:val="none"/>
                <w:lang w:val="en-US" w:eastAsia="zh-CN" w:bidi="ar"/>
              </w:rPr>
            </w:pPr>
            <w:r>
              <w:rPr>
                <w:rFonts w:hint="eastAsia" w:ascii="黑体" w:hAnsi="宋体" w:eastAsia="黑体" w:cs="黑体"/>
                <w:b/>
                <w:bCs/>
                <w:i w:val="0"/>
                <w:iCs w:val="0"/>
                <w:color w:val="000000"/>
                <w:kern w:val="0"/>
                <w:sz w:val="18"/>
                <w:szCs w:val="18"/>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室内文化布展</w:t>
            </w:r>
          </w:p>
        </w:tc>
        <w:tc>
          <w:tcPr>
            <w:tcW w:w="407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拆除工程</w:t>
            </w:r>
          </w:p>
        </w:tc>
        <w:tc>
          <w:tcPr>
            <w:tcW w:w="407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b/>
                <w:bCs/>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拆除原有仿真植物、花箱清理、现有墙体面饰面铲除至露出原有基础墙体等业主指定所有内容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1.拆除原有仿真植物及花箱清理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2.现有墙体面饰面铲除至露出原有基础墙体、原板材局部拆除等业主指定所有内容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3.包括但不限于以上拆除内容，具体拆除内容及部位根据业主要求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建筑垃圾外运</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1.建筑垃圾类别：拆除垃圾、建筑垃圾的等所有垃圾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2.清理出场，且满足业主要求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2.1</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序厅&amp;入口校训墙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4.涂料品种、喷刷遍数：白色涂料、3遍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80x80x10厚亚克力标题字，表面金属色烤漆（共83个字符）</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1.80x80x10厚亚克力标题字，表面金属色烤漆（共83个字符）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定制校徽</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1.定制校徽图案，10mm厚亚克力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（三）</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刘瑞龙展示道具改造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3.1</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刘瑞龙雕像展示道具</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定制格栅一</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1.定制木格栅一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2.外框：40x40防腐木格栅，表面棕色漆饰面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3.竖向：15x15防腐木格栅，表面棕色漆饰面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4.横向：15x15防腐木格栅，表面棕色漆饰面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定制格栅二</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1.外框：40x40防腐木格栅，表面棕色漆饰面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2.竖向：15x15防腐木格栅，表面棕色漆饰面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3.横向：15x15防腐木格栅，表面棕色漆饰面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4.金色光面2mm厚不锈钢装饰板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5.深红色烤漆2mm厚不锈钢装饰板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350宽2mm厚不锈钢钛金色3D立体五角星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1.350宽2mm厚不锈钢钛金色3D立体五角星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300宽2mm厚不锈钢钛金色3D立体五角星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1.300宽2mm厚不锈钢钛金色3D立体五角星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80宽2mm厚不锈钢钛金色3D立体五角星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1.80宽2mm厚不锈钢钛金色3D立体五角星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1.金色光面2mm厚不锈钢装饰板弯折，凸出墙面10mm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1.深红色烤漆2mm厚不锈钢装饰板弯折，凸出墙面10mm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钛金色立体金属字，凸出板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面10mm</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1.钛金色立体金属字，凸出板面10mm（共24个字符）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定制刘瑞龙铜像</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1.定制刘瑞龙铜像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2.定制0.8米半人高精品纯铜半身铜像，采用精铸工艺、人物神态细节精细化打磨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3.0.6米高仿铜底座上根据要求增加说明文字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4.文字内容详见图纸且满足业主要求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玫瑰金拉丝面金属字-一个人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1.玫瑰金拉丝面金属字，凸出墙面20mm-一个人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成品展柜1</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2.规格、型号：长1200mm*高900mm*宽500mm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（四）</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序厅楼梯&amp;一个人主题装饰墙面改造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4.1</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序厅楼梯</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1.白色金属字墙贴，凸出墙面20mm-早年经历/革命探索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一个人主题装饰墙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3"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玫瑰金拉丝面金属字-刘瑞龙事迹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1.玫瑰金拉丝面金属字，凸出墙面20mm-刘瑞龙事迹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1.黑色金属字墙贴，凸出墙面20mm-大淮海、大支前、大后勤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4.部位：刘瑞龙字体下方小字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黑色金属字墙贴-刘瑞龙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1.黑色金属字墙贴，凸出墙面10mm-刘瑞龙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1.玫瑰金拉丝面金属字，凸出墙面20mm-通海如泰农民暴动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3.部位：01/02/03处小字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1.红色金属字墙贴，凸出墙面10mm-被俘西路军人员历尽难中难,心如铁石坚/创建淮北抗日根据地/第三野战军的“粮草大将军”!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红色金属分割线墙贴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1.红色金属分割线墙贴，凸出墙面10mm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4.部位：01/02/03处</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红色金属字墙贴-1910/1988</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1.红色金属字墙贴，凸出墙面20mm-1910/1988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（五）</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一段岁月主题装饰墙改造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一段岁月主题装饰墙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玫瑰金拉丝面金属字-一段岁月</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1.玫瑰金拉丝面金属字，凸出墙面20mm-一段岁月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1.红色金属字墙贴，凸出墙面20mm-中国工农红军江苏省一大队成立/红十四军建军大会/中国工农红军第十四军成立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2"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图片文字转印贴转印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1.图片文字转印贴转印-红十四军战斗图片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楼梯处装饰墙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1.红色金属字墙贴，凸出墙面20mm-中国工农红军第十四军军民鱼水情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（六）</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一群人主题装饰墙改造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一群人主题装饰墙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1.定制玻璃钢红色立方体造型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1.红色烤漆2mm厚不锈钢装饰板/金色光面2mm厚不锈钢装饰板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玫瑰金拉丝面金属字-一群人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1.玫瑰金拉丝面金属字-一群人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150宽2mm厚红色立体3D五角星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1.150宽2mm厚红色立体3D五角星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250宽2mm厚金色五角星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1.250宽2mm厚金色五角星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红色亚克力分割线墙贴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1.红色亚克力分割线墙贴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成品展柜2</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2.规格：长500*高250*宽250mm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3.成品冷轧钢板博物馆展示吊柜表面烤漆，8mm钢化玻璃，液压上翻开启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成品展柜1</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2.规格、型号：长1200mm*高900mm*宽500mm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150x150x10厚高密度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PVC烤漆字，墨色书法手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写体（共14个字符）</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1.150x150x10厚高密度PVC烤漆字，墨色书法手写体（共14个字符）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宣传板装饰墙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（七）</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一组故事主题装饰墙改造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一组故事主题装饰墙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玫瑰金拉丝面金属字-一组故事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1.玫瑰金拉丝面金属字-一组故事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150宽2mm厚金色立体3D五角星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1.150宽2mm厚金色立体3D五角星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成品展柜3</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2.规格：长500mm*高250mm*宽250mm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3.成品冷轧钢板博物馆展示吊柜表面烤漆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8mm钢化玻璃，液压上翻开启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成品展柜4</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2.规格：长700mm*高250mm*宽250mm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3.成品冷轧钢板博物馆展示吊柜表面烤漆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8mm钢化玻璃，液压上翻开启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10mm宽深灰色涂料分隔线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1.10mm宽深灰色涂料分隔线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1.玫瑰金拉丝面金属字-攻打余东警察局 首战告捷、智取四杨坝、夜袭四甲坝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（八）</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三打汤家苴改造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三打汤家苴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150宽2mm厚金色立体五角星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1.150宽2mm厚金色立体五角星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1.玫瑰金拉丝面金属字-三打汤家苴/二打汤家苴/首战汤家苴/第三次攻打汤家苴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（九）</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增加墙体底部装饰改造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1.红色长城剪影PVC墙贴分层立体雕刻,凸出墙面20mm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1.红色几何形PVC墙贴分层立体雕刻,凸出墙面20mm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国防展厅改造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成品装饰线条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1.线条材料品种、规格：10mm宽不锈钢分隔条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成品展柜5</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2.规格：长1000mm*高1150mm*宽500mm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成品椭圆形展柜</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1.成品椭圆形展柜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2.径长1400mm/1800mm*高度950mm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飞机模型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1.飞机模型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火箭模型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1.火箭模型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陈列微型仿真军事模型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1.陈列微型仿真军事模型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成品实木地台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1.成品实木地台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2.白色烤漆饰面，2000x400x400高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一种精神主题装饰墙改造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一种精神装饰墙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玫瑰金拉丝面金属字-一种精神</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1.玫瑰金拉丝面金属字，凸出墙面20mm-一种精神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红色亚克力墙贴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1.红色亚克力墙贴，凸出墙面10mm（带五角星）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红色亚克力条形墙贴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1.红色亚克力条形墙贴，凸出墙面10mm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成品红色书柜</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1.名称：成品红色书柜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2.规格：长3100mm*高700mm*宽300mm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3.实木烤漆，板厚20mm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尾厅宣传板装饰墙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1.绿色亚克力底板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1.橙色亚克力底板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1.蓝色亚克力底板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1.宣传板及照片采用可更换插片式PVC板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定制棕色书柜</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1.名称：定制棕色书柜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2.规格：长4450mm*高500mm*宽300mm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3.实木烤漆，板厚20mm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1.玫瑰金金属字墙贴，凸出墙面20mm-书香文脉/艺趣美育/健体科创/校园风采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红以养正装饰墙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红色PVC墙贴分层立体雕刻,凸出墙面20mm</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1.红色PVC墙贴分层立体雕刻,凸出墙面20mm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银色金属字墙贴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1.银色金属字墙贴，凸出墙面20mm-勇往直前/自强不息/坚定不移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120x120红色亚克力字墙贴字，凸出墙面20mm(共四个字)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1.120x120红色亚克力字墙贴字，凸出墙面20mm(共四个字)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展馆局部装饰更换&amp;修复</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移动展板至序厅门洞上方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1.移动展板至序厅门洞上方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2.含安装等所有内容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原展板移动至序厅门洞上方处周围红色主题墙面画装饰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1.原展板移动至序厅门洞上方处周围红色主题墙面画装饰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更换红色五角星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1.更换红色五角星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2.做法：详见图纸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更换墙面浮雕文字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1.更换墙面浮雕文字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其他项目</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1.其他所有项目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2.业主要求的所有内容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（十三）</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其他工程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墙、柱面一般抹灰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1.10厚1:0.3:3水泥石灰膏砂浆打底扫毛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2.6厚1:0.3:2.5水泥石灰膏砂浆找平层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3.工程量暂估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精保洁</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1.精保洁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增设陈列刘瑞龙及红十四军红色物料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1.增设陈列刘瑞龙及红十四军红色物料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采购红色书籍</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1.采购红色书籍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2.具体书籍名录根据业主要求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劳动研学基地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农耕园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购买秧苗、草籽</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按业主要求购买秧苗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整理用地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1.找平找坡要求：场地垃圾清理，垃圾外运，运距自行考虑，整理地形</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栽植土回填</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1.回填土质要求：暂估量，菜地土壤改良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植被清理</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1.清杂，暂估量，土方向下清杂30cm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长征研学点-飞渡桥</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购买秧苗、草籽</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按业主要求购买秧苗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整理用地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1.找平找坡要求：整理地形</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栽植土回填</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1.回填土质要求：填土至设计标高，具体以现场实际情况为准</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植被清理</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1.种类：清杂，暂估量，土方向下清杂30cm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三</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室外红色文化布展</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农耕园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1.碎拼铺装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2.素土夯实,压实系数≥0.93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3.150厚碎石垫层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4.100厚C20混凝土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5.结合层厚度、材料种类：30厚1:3干硬性水泥砂浆粘结层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6.面层材料种类、规格：50厚500-800烧面芝麻灰圆形拼铺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留缝50-100，缝内嵌草</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131.31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1.菜地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2.素土夯实，夯实系数≥90%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3.100厚碎石垫层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4.土工布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5.100厚散置砾石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1.菜地收边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2.素土夯实，夯实系数≥90%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3.100厚碎石垫层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4.土工布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5.C20素砼垫层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6.200X100X50标准青砖（C20素砼护角固定）</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花池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1.菜地种植池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2.素土夯实≥93%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3.60厚C20素混凝土基垫层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4.30厚1:2.5水泥砂浆粘接层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5.白麻花岗石整打路沿石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1.农耕园入口标识石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竹篱笆</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1.外形尺寸：竹篱笆详见图纸，含基础</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农耕园小品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研学读书台凳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竹篱笆展板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场地西侧墙上展板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1、入口对联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2、2块/副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副</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劳动工具收纳柜</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菜地认领牌</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红色故事宣传牌-农耕园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长征研学点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1.AC-13改性细粒式沥青混凝土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2.钢板与沥青接缝弹性密封胶封缝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3.乳化沥青粘层油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4.环氧沥青界面粘结底漆(满刷)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5.原有混凝土基层病害修复+铣刨拉毛</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1271.31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1.AC-10C彩色改性细粒式沥青混凝土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2.钢板与沥青接缝弹性密封胶封缝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3.彩色乳化沥青粘层油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4.环氧沥青界面粘结底漆(满刷)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5.原有混凝土基层病害修复+铣刨拉毛</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1"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木(竹、塑木)地面面层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1.会师台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2.40×40×4mm镀锌钢通副龙骨@350-400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40×40×4mm镀锌钢通主龙骨@1200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3.塑木地板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1.会师台背景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2.素土夯实，夯实系数≥93%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3.150厚碎石垫层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4.100厚C20素混凝土垫层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5.C25混凝土基础</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吊桥详见图纸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木制桩</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1.吊桥安全配套设施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2.材质、规格：杉木桩密布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3.桩长、尾径：通长5mφ120，后包裹土工布</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长征历史行军路径研学区</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保留宣传围挡改造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（现状向北移动约1.4m）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指示宣传牌-飞渡桥、会师台、征途卷</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黑体" w:hAnsi="宋体" w:eastAsia="黑体" w:cs="黑体"/>
                <w:i w:val="0"/>
                <w:iCs w:val="0"/>
                <w:color w:val="000000"/>
                <w:sz w:val="18"/>
                <w:szCs w:val="18"/>
                <w:u w:val="none"/>
                <w:lang w:val="en-US" w:eastAsia="zh-CN"/>
              </w:rPr>
            </w:pPr>
            <w:r>
              <w:rPr>
                <w:rFonts w:hint="eastAsia" w:ascii="黑体" w:hAnsi="宋体" w:eastAsia="黑体" w:cs="黑体"/>
                <w:i w:val="0"/>
                <w:iCs w:val="0"/>
                <w:color w:val="000000"/>
                <w:sz w:val="18"/>
                <w:szCs w:val="18"/>
                <w:u w:val="none"/>
                <w:lang w:val="en-US" w:eastAsia="zh-CN"/>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长征研学点展板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（三）</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操场西北角-过草地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铺种草皮</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过草地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1.20厚石英砂(人造草皮铺完再填充)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2.10厚环保橡胶颗粒填充物(人造草皮铺完再填充)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3.30mm厚高防静电人工草皮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4.10厚SPEE减震垫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5.现状水泥场地进行修复平整</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499.52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草地设施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放置成品活动设施</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指示宣传牌-过草地</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过草地配套设施</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（四）</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操场西南角-凌云隘</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其他小摆设-攀爬网设施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攀爬网设施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其他小摆设-独木桥设施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独木桥设施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其他小摆设-指示宣传牌</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1、指示宣传牌-凌云隘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2、做法详见27-29节点四-凌云隘宣传牌做法，面层文字由甲方自定专业厂家二次深化设计</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（五）</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操场东南角-险途径</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1、指示宣传牌-险途径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2、做法详见30-31节点五-险途径宣传牌做法，面层文字由甲方自定专业厂家二次深化设计</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攀爬网设施 成品采购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攀爬网设施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独木桥设施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四</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室外灌溉</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1.垫层、基础材质及厚度：至少20cm细土（砂）包封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2.材质及规格：PE给水管 DE63 公称压力1.25MPa（含管件）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3.连接形式：热熔承插连接</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1.垫层、基础材质及厚度：至少20cm细土（砂）包封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2.材质及规格：PE给水管 DE32 公称压力1.6MPa（含管件）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3.连接形式：热熔承插连接</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喷嘴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散射喷嘴:8VAN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喷酒角度0-360度可调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矩形散射喷嘴:15SST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喷洒角度90/180度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弹伸高度10CM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地埋伸缩喷头壳体:1804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铰接架:1/2”</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阀门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快速取水阀:3/4”全铜材质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阀门箱:PVB6 RND阀箱</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阀门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电磁阀:1200PGA2寸内螺纹接口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检修阀:DN50铜闸阀(安装于电磁阀前端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阀门箱:PVB-JMB</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砖检查井</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水表井:含DN50水表*1、DN50闸阀*2、DN50防污隔断阀*1                                                                         做法参考图集05S502第43页(绿化浇灌）</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阀门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真空破坏器 水平直通形(大气型),见图集12S108-2第39页</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1.土类别：一二类土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2.挖土深度：具体详见图纸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沟槽、基坑回填方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1.填方来源：场内回填</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五</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室内安装</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智能语音</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发射讲解器Bcity-6-313TQ-5</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频率范围 UHF600Mhz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频率响应 20Hz-20KHz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频道数 102频道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发射功率 ≦0.45W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对频方式 手动调频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电池容量 3000mAh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工作电流 400mA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电池续航 约6.5小时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充电时长 约6小时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 L*W*H : 115*55*26mm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 98g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工作距离 约300m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电池类型 锂聚合物电池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充电方式 可用type-c线充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 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 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标准配置 麦克风,挂绳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耳挂式接收器BCT-6-621R-Q</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 621R  Q系列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频率范围 UHF600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频率响应 20Hz-20KHz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频道数 102频道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对频方式 手动调频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充电电压 DC3.5V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信噪比 &gt;-47dB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灵敏度 -95dB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失真度 &lt; 0.5% @1KHZ DEV30KHZ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电池续航 约6小时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充电时长 约2.5小时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 L*W*H : 52*22*14mm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 16g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工作距离 约300m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电池类型 锂聚合物电池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 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 银灰色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标准配置 挂钩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充电器电流 100mAh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充电器电压 5V                                                                                                                                                                                                                                                                  1、内置锂电池独立充电，待机时间6-8小时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2、频道102个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3、无线距离1-300 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耳挂式充电箱LQ-50W位充电收纳消毒一体箱</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同时给50个耳挂式接收器，2个发射器充电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充电一体箱: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 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 AC100-240V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 DC5V ⎓ 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使用方法: 按开关键开机, 盒盖后自动消毒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注 : 开机消毒后请勿开盖, 中间需停止消毒, 请先关 接收器集中充电，一次可充50台，自动断电保护。充电绿灯，饱和蓝灯  智能Q芯片控制，2-4小时充饱，绿灯充电，蓝灯充饱。合上盖子3秒后 臭氧和灯一起开始工作，其中臭氧工作15分钟后停止，灯工作60分钟后停止，没有循环，直到下一次开盖</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室外音响</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1.名称：可移动式一体机音响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2.屏幕尺寸：约26吋（含镜面边框对角线66cm）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3.屏幕翻转角度：鸥翼式折叠分体，翻转180°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4.喇叭单元：10吋低音*2+80磁专业号角高音*2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5.额定功率：400W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6.电池：12.8V/24000mAh磷酸铁锂动力电池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7.内存：2G（运存）+16G（内存）+1TB（硬盘）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8.蓝牙版本；V5.3.2.4GH-2.48GHz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9.频响：50HZ-20KHZ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10.失真度：≤0.5%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11.信噪比：≥80dB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12.网络接口：支持2.4G/5G双频WIFI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13.视频系统：安卓+K歌系统（赠送3年K歌会员）</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导览系统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控制机房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定位主机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工业级机柜式机，配置≥8核，≥2.4GHz处理器。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2.内存:≥8GB，内置EMMC储存容量≥128GB+≥256G固态硬盘。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3.具有≥1路HDMI输出接口，具有≥2个USB2.0接口，具有≥2个USB3.0接口。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5.支持音频路由矩阵，≥256×256规格的网络音频路由矩阵。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6.支持定位算法引擎功能，具备UWB定位设备统一管理能力，可通过网络采集基站定位数据，由算法引擎集中处理分析。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7.支持多种定位算法模式，采用包括卡尔曼滤波和最小二乘法在内的多种定位算法，支持零维、一维及二维精准定位。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8.支持MP3、WAV音频文件上传至主机媒体库，可实时解码文件并分发至各音频分区进行播放。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9、为响应国家节能减排政策，参与投标产品生产过程符合国家GB/T 23331-2020或者ISO50001:2018《能源管理体系要求》。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10、为确保产品质量符合项目需求，有效履行合同义务和具备相关履约能力，参与投标产品制造商需通过GB/T 40753-2021或者ISO28000供应链管理体系规范认证。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11、为确保产品制造商能在项目需求周期内完成供货和不会影响到项目验收，参与投标产品制造商需通过GB/T 30146-2023或者ISO22301《安全与韧性-业务连续性管理体系-要求》。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highlight w:val="none"/>
                <w:u w:val="none"/>
                <w:lang w:val="en-US" w:eastAsia="zh-CN" w:bidi="ar"/>
              </w:rPr>
              <w:t>12、为确保投标产品在生产过程中，制造商对有害物质的控制符合节约能源、保护环境及其他国家相关的的政策，参与投标产品厂家需通过《IECQ-QC080000有害物质过程管理体系认证》。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音频综合管理系统主机嵌入软件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1.软件内嵌于音频综合管理系统主机设备，支撑设备各项基本功能的运行。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2.支持系统设置、定时任务、应急任务、时间设置功能。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3.支持分区/全区广播功能，支持与消防设备联动紧急广播。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4.支持自动锁屏功能。</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智慧语音导览系统管理软件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支持对定位基站的基础参数、信息进行添加、编辑、删除与保存。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2.支持配置SSH远程连接参数，管理员可通过远程终端安全访问系统后台，实现跨设备的系统维护与指令下发。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3.支持脱机模式下的自动讲解任务配置，支持在无网络脱机环境下，创建、编辑、删除自动讲解任务，设置任务触发条件、播放内容与执行时段。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4.支持对GPIO接口设备进行任务配置，可关联导览场景设置设备的触发指令、运行逻辑与联动规则，实现外设与系统的智能协同。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5.支持对U段通信通道参数进行配置与优化。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6.支持在脱机状态下对音频导览媒体资源进行上传、编辑、删除管理。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7.支持在无网络环境下对讲解器设备进行批量绑定、状态监测、参数设置与故障排查。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8.支持导览地图显示，提供地图上传与比例校准功能。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▲9.支持自定义划分区域，允许用户按需创建椭圆、矩形或多边形的多种形状的电子围栏区域。（提供功能界面截图佐证）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10.支持区域讲解任务配置，支持为每个区域创建独立的讲解任务，可设置讲解音频、播放次数、持续时间及播放模式（顺序、循环、随机）。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▲11.支持定位引擎算法配置，支持配置定位算法模式，包括零维、一维、二维定位，以及单基站/多基站协同定位策略。（提供功能界面截图佐证）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▲12.实时位置与轨迹显示，通过后台客户端实时追踪并可视化讲师当前位置与历史移动轨迹。（提供功能界面截图佐证）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13.支持多楼层层组结构配置，有效隔离各楼层定位与通信信号，避免跨层串扰与频率冲突。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14.支持设备实时管控，监控系统内设备（基站、讲解器）的运行状态，包括在线/离线状态、故障告警及电池电量的信息。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15.支持会话状态管理，实时展示当前运行中的讲解会话列表，支持远程调节音量、暂停/停止播放的操作。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16.支持查看系统全量日志，包含任务执行日志、设备运行日志、用户操作日志。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17.支持数据备份与导入，支持对系统配置信息、导览任务数据、媒体资源进行一键备份，生成备份文件；可通过导入备份文件快速恢复系统数据。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18.支持闪避音量设置，支持设置音频闪避规则，当讲解广播触发时，自动降低背景音乐音量；讲解结束后，恢复背景音乐音量。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19.支持分组解算参数设置，支持对多团队、多区域的定位分组参数进行配置。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20.支持地图配置，支持对导览地图进行高精度参数设置，可自定义地图比例尺、长宽尺寸、坐标原点的信息。</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21.因项目涉及到软件产品，为确保采购过程和用户在使用过程中引起知识产权纠纷软件产品厂家需通过《GB/T29490-2023 知识产权管理体系》考核</w:t>
            </w:r>
            <w:r>
              <w:rPr>
                <w:rFonts w:hint="eastAsia" w:ascii="宋体" w:hAnsi="宋体" w:eastAsia="宋体" w:cs="宋体"/>
                <w:i w:val="0"/>
                <w:iCs w:val="0"/>
                <w:color w:val="000000"/>
                <w:kern w:val="0"/>
                <w:sz w:val="18"/>
                <w:szCs w:val="18"/>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台式电脑</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1.处理器：i7处理器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2.内存：16G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3.硬盘：1TB SSD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4.显卡类型：集成显卡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5.系统：Windows 11家庭中文版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6.包含21.45英寸显示器（分辨率：1080P）</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讲解器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导览讲解器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1.支持数字U段传输技术，语音传输半径≥50米，支持≥48kHz采样率，pi/4-DQPSK调制方式。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2.支持UWB定位技术，导游进入不同展馆时，设备可自动连接对应基站，实现讲解内容无缝切换，定位半径≥30米。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3.支持多种讲话模式，提供PTT讲话模式和MUTE模式，用户可通过PC软件切换。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4.具有智能指示灯，电量、射频、PTT/MUTE指示灯分别显示设备电量、连接状态及讲话模式。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5.支持功率调节，配备高、中、低三档发射功率，用户可根据场景在PC端调节。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6.具有≥1路3.5mm通用麦克风接口，支持短型手持咪头和头戴式麦克风。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7.讲解器内置锂电池供电，≥2小时快速充电，并采用低功耗设计，≥8小时续航。</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高音质对讲话筒嵌入软件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1.软件内嵌于话筒设备，实现话筒广播功能，支撑设备各项基本功能的运行。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2.授权操作管理功能，支持服务器统一配置管理用户及密码。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3.支持单独调节音量。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4.支持对讲、广播功能。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5.支持广播闪避功能。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6.支持远程固件升级。</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导览位置定位设备</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扩声定位基站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1.基于超宽带（UWB）技术，内置天线，覆盖半径≥30m，实现位置感知和定位。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2.基于U段技术，内置≥4个接收通道，实现讲解器音频实时传输和扩声。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▲3.具备≥2路触发输入接口，具备≥1路RS485接口，具备≥1路TF卡接口，具备≥1路音频输入和输出接口，具备≥1个复位按键，具备≥1路标准RJ45，具备≥1路直流电源供电接口。（提供设备产品图佐证）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4.支持DHCP、TCP、UDP、ICMP、IGMP、ARP标准网络协议。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5.支持吸顶、壁挂安装方式。</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高音质网络终端嵌入软件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1.软件内嵌于控制面板设备，支撑设备各项基本功能的运行。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2.支持本地音源选择、音频通道选择、音量控制功能。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3.支持查看设备信息。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功放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数传专业数字功放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1.采用网络传输协议，内置≥4路网络传输通道，支持远距离音频传输；集成DSP音频处理功能。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切换音频输入模式：包括混音输入模式、网络音频输入模式、本地音频输入模式；同时具有数模备份（网络优先模式下，优先播放网络音频，当网络音频断开，自动切换为模拟音频）、模数备份两种模式（模拟优先模式下，优先播放模拟音频，当模拟音频断开，自动切换为网络音频）。（提供功能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3.内置多种工作模式：包括定阻、定压、音频矩阵和桥接，可自由切换以满足不同用户需求；定阻模式支持16欧、8欧、4欧；桥接模式支持16欧、8欧；定压模式支持70V；最低支持4欧负载。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▲4.集成设备监控状态功能，实时显示各通道工作状态、温度、功率、实时电压、电流、市电电压、市电电流、通道音量、音频输入模式状态。（提供功能截图佐证）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5.输入灵敏度提供≥2档设置：包括1V/2V。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6.支持多设备级联，可远程监控多台设备使用状态及控制设备。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7.配备智能削峰限幅器，确保功率模块及扬声器系统在安全范围内工作。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8.采用开机软启动设计，防止开机时向电网吸收大电流，避免干扰其他用电设备。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9.具有过压保护、欠压保护、过流保护、直流保护、输出短路保护、温控风扇功能。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集中控制功能，支持软件远程调节音频大小、通道切换、开关机及多设备控制，还可通过网络对接中控系统，实时显示设备使用状态、温度、功率、电压、电流信息，并支持控制功放开关机与调节音量大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11.输出功率：立体声16Ω：≥4×100W；立体声8Ω：≥4×200W；立体声4Ω：≥4×400W；桥接16Ω：≥2×400W；桥接8Ω：≥2×750W；定压70V：≥2×350W。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12.具备设备定位功能。通过PC软件在设备列表中点击定位，主机显示屏会弹出“定位成功”提示。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具有≥3.7英寸IPS电容触控显示屏，支持动态显示开机界面、通道数量、通道实时电平值。支持控制设备静音、调节增益、工作模式（包含切换定阻/定压模式、输入通道切换、矩阵/桥接模式、灵敏度1V/2V切换、音频优先级切换功能）以及查看功放状态（包含通道状态，正常状态与故障状态分别通过不同颜色指示灯标识；实时显示当前输出通道温度、电压、电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触控显示屏可显示设备信息，包含设备IP地址、子网掩码、默认网关、MAC地址、MCU版本及固件版本信息；具有中英文界面切换功能，用户可选择简体中文或English，系统默认为简体中文。支持设置设备息屏时间，提供≥3种无操作息屏时长选项以供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▲15.集成DSP音频处理功能，具有≥15段参量均衡器、限幅器、高低通滤波器、通道延时功能，通道延时可设置时间等同或宽于0~2000ms；软件可根据现场延时距离自动计算需要的延时时间。（提供功能截图佐证）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天花喇叭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1.喇叭单元：6.5"低音+19mm(3/4")高音同轴扬声器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2.阻抗：≤16Ω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3.频率响应等同或优于100Hzto20kHz@-10dB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4.最大声压级：≥106dB±3dB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5.额定功率≥60W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6.最大功率≥120W</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辅助材料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插箱、机柜、台架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42U，600*800*2000，钢化玻璃门</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1.16个千兆网口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2.支持IEEE 802.3 、IEEE 802.3i、IEEE 802.3u、IEEE 802.3ab、IEEE 802.3x等网络标准</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超五类非屏蔽网线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1.名称：超五类非屏蔽网线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1.名称：PVC25</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其他辅材</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其它辅助材料（排插、三极电源插头、水晶头、2芯线缆等）</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jc w:val="center"/>
        </w:trPr>
        <w:tc>
          <w:tcPr>
            <w:tcW w:w="9248"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合计</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rPr>
        <w:t>二、合同总金额：人民币（大写）</w:t>
      </w:r>
      <w:r>
        <w:rPr>
          <w:rFonts w:hint="eastAsia" w:ascii="宋体" w:hAnsi="宋体" w:eastAsia="宋体" w:cs="仿宋"/>
          <w:color w:val="000000"/>
          <w:kern w:val="2"/>
          <w:sz w:val="24"/>
          <w:szCs w:val="24"/>
          <w:u w:val="single"/>
        </w:rPr>
        <w:t xml:space="preserve">                                  </w:t>
      </w:r>
      <w:r>
        <w:rPr>
          <w:rFonts w:hint="eastAsia" w:ascii="宋体" w:hAnsi="宋体" w:eastAsia="宋体" w:cs="仿宋"/>
          <w:color w:val="000000"/>
          <w:kern w:val="2"/>
          <w:sz w:val="24"/>
          <w:szCs w:val="24"/>
        </w:rPr>
        <w:t>。此价格为固定总价，除本合同另有约定外，不因任何因素调整。</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rPr>
        <w:t>三、服务期限：</w:t>
      </w:r>
      <w:r>
        <w:rPr>
          <w:rFonts w:hint="eastAsia" w:ascii="宋体" w:hAnsi="宋体" w:eastAsia="宋体" w:cs="仿宋"/>
          <w:color w:val="000000"/>
          <w:kern w:val="2"/>
          <w:sz w:val="24"/>
          <w:szCs w:val="24"/>
          <w:lang w:val="zh-CN"/>
        </w:rPr>
        <w:t>合同签订后</w:t>
      </w:r>
      <w:r>
        <w:rPr>
          <w:rFonts w:hint="eastAsia" w:ascii="宋体" w:hAnsi="宋体" w:eastAsia="宋体" w:cs="仿宋"/>
          <w:color w:val="000000"/>
          <w:kern w:val="2"/>
          <w:sz w:val="24"/>
          <w:szCs w:val="24"/>
          <w:lang w:val="en-US" w:eastAsia="zh-CN"/>
        </w:rPr>
        <w:t>6</w:t>
      </w:r>
      <w:r>
        <w:rPr>
          <w:rFonts w:hint="eastAsia" w:ascii="宋体" w:hAnsi="宋体" w:eastAsia="宋体" w:cs="仿宋"/>
          <w:color w:val="000000"/>
          <w:kern w:val="2"/>
          <w:sz w:val="24"/>
          <w:szCs w:val="24"/>
          <w:lang w:val="zh-CN"/>
        </w:rPr>
        <w:t>0日历天内完成。</w:t>
      </w:r>
    </w:p>
    <w:p>
      <w:pPr>
        <w:spacing w:line="360" w:lineRule="auto"/>
        <w:ind w:firstLine="480" w:firstLineChars="200"/>
        <w:rPr>
          <w:rFonts w:hint="default"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rPr>
        <w:t>四、</w:t>
      </w:r>
      <w:r>
        <w:rPr>
          <w:rFonts w:hint="eastAsia" w:ascii="宋体" w:hAnsi="宋体" w:eastAsia="宋体" w:cs="仿宋"/>
          <w:color w:val="000000"/>
          <w:kern w:val="2"/>
          <w:sz w:val="24"/>
          <w:szCs w:val="24"/>
          <w:lang w:val="en-US" w:eastAsia="zh-CN"/>
        </w:rPr>
        <w:t>质量要求：合格，使用材料必须符合国家标准。</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lang w:val="en-US" w:eastAsia="zh-CN"/>
        </w:rPr>
        <w:t>五、</w:t>
      </w:r>
      <w:r>
        <w:rPr>
          <w:rFonts w:hint="eastAsia" w:ascii="宋体" w:hAnsi="宋体" w:eastAsia="宋体" w:cs="仿宋"/>
          <w:color w:val="000000"/>
          <w:kern w:val="2"/>
          <w:sz w:val="24"/>
          <w:szCs w:val="24"/>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 </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lang w:val="en-US" w:eastAsia="zh-CN"/>
        </w:rPr>
        <w:t>六</w:t>
      </w:r>
      <w:r>
        <w:rPr>
          <w:rFonts w:hint="eastAsia" w:ascii="宋体" w:hAnsi="宋体" w:eastAsia="宋体" w:cs="仿宋"/>
          <w:color w:val="000000"/>
          <w:kern w:val="2"/>
          <w:sz w:val="24"/>
          <w:szCs w:val="24"/>
        </w:rPr>
        <w:t>、售后服务：</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rPr>
        <w:t>1、本项目免费质保期为一年，质保期自项目验收合格之日起开始计算。在质保期内，如产品出现质量问题,乙方将负责提供免费上门服务，且在服务过程中不收取任何材料费、人工服务费、差旅费等一切费用。质保期内，同一材料、同一质量问题连续两次维修仍无法正常使用，乙方应无条件给予全套更新或退货。</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rPr>
        <w:t>2、超过质保期后，所有产品提供终身成本维修（维修只收取成本费）。</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rPr>
        <w:t>3、产品在使用过程中出现问题，甲方向乙方发出故障通知后，乙方应当在24小时以内到达现场进行解决。</w:t>
      </w:r>
    </w:p>
    <w:p>
      <w:pPr>
        <w:spacing w:line="360" w:lineRule="auto"/>
        <w:ind w:firstLine="480" w:firstLineChars="200"/>
        <w:rPr>
          <w:rFonts w:hint="eastAsia" w:ascii="宋体" w:hAnsi="宋体" w:eastAsia="宋体" w:cs="仿宋"/>
          <w:color w:val="000000"/>
          <w:kern w:val="2"/>
          <w:sz w:val="24"/>
          <w:szCs w:val="24"/>
          <w:lang w:val="zh-CN"/>
        </w:rPr>
      </w:pPr>
      <w:r>
        <w:rPr>
          <w:rFonts w:hint="eastAsia" w:ascii="宋体" w:hAnsi="宋体" w:eastAsia="宋体" w:cs="仿宋"/>
          <w:color w:val="000000"/>
          <w:kern w:val="2"/>
          <w:sz w:val="24"/>
          <w:szCs w:val="24"/>
          <w:lang w:val="en-US" w:eastAsia="zh-CN"/>
        </w:rPr>
        <w:t>七</w:t>
      </w:r>
      <w:r>
        <w:rPr>
          <w:rFonts w:hint="eastAsia" w:ascii="宋体" w:hAnsi="宋体" w:eastAsia="宋体" w:cs="仿宋"/>
          <w:color w:val="000000"/>
          <w:kern w:val="2"/>
          <w:sz w:val="24"/>
          <w:szCs w:val="24"/>
          <w:lang w:val="zh-CN"/>
        </w:rPr>
        <w:t>、验收标准：</w:t>
      </w:r>
    </w:p>
    <w:p>
      <w:pPr>
        <w:spacing w:line="360" w:lineRule="auto"/>
        <w:ind w:firstLine="480" w:firstLineChars="200"/>
        <w:rPr>
          <w:rFonts w:hint="eastAsia" w:ascii="宋体" w:hAnsi="宋体" w:eastAsia="宋体" w:cs="仿宋"/>
          <w:color w:val="000000"/>
          <w:kern w:val="2"/>
          <w:sz w:val="24"/>
          <w:szCs w:val="24"/>
          <w:lang w:val="zh-CN"/>
        </w:rPr>
      </w:pPr>
      <w:r>
        <w:rPr>
          <w:rFonts w:hint="eastAsia" w:ascii="宋体" w:hAnsi="宋体" w:eastAsia="宋体" w:cs="仿宋"/>
          <w:color w:val="000000"/>
          <w:kern w:val="2"/>
          <w:sz w:val="24"/>
          <w:szCs w:val="24"/>
          <w:lang w:val="zh-CN"/>
        </w:rPr>
        <w:t>1</w:t>
      </w:r>
      <w:r>
        <w:rPr>
          <w:rFonts w:hint="default" w:ascii="宋体" w:hAnsi="宋体" w:eastAsia="宋体" w:cs="仿宋"/>
          <w:color w:val="000000"/>
          <w:kern w:val="2"/>
          <w:sz w:val="24"/>
          <w:szCs w:val="24"/>
          <w:lang w:val="zh-CN"/>
        </w:rPr>
        <w:t>、</w:t>
      </w:r>
      <w:r>
        <w:rPr>
          <w:rFonts w:hint="eastAsia" w:ascii="宋体" w:hAnsi="宋体" w:eastAsia="宋体" w:cs="仿宋"/>
          <w:color w:val="000000"/>
          <w:kern w:val="2"/>
          <w:sz w:val="24"/>
          <w:szCs w:val="24"/>
          <w:lang w:val="zh-CN"/>
        </w:rPr>
        <w:t>按</w:t>
      </w:r>
      <w:r>
        <w:rPr>
          <w:rFonts w:hint="eastAsia" w:ascii="宋体" w:hAnsi="宋体" w:eastAsia="宋体" w:cs="仿宋"/>
          <w:color w:val="000000"/>
          <w:kern w:val="2"/>
          <w:sz w:val="24"/>
          <w:szCs w:val="24"/>
        </w:rPr>
        <w:t>甲方</w:t>
      </w:r>
      <w:r>
        <w:rPr>
          <w:rFonts w:hint="eastAsia" w:ascii="宋体" w:hAnsi="宋体" w:eastAsia="宋体" w:cs="仿宋"/>
          <w:color w:val="000000"/>
          <w:kern w:val="2"/>
          <w:sz w:val="24"/>
          <w:szCs w:val="24"/>
          <w:lang w:val="zh-CN"/>
        </w:rPr>
        <w:t>的要求规定和国家现行有关行业的验收规范、技术标准进行验收。</w:t>
      </w:r>
    </w:p>
    <w:p>
      <w:pPr>
        <w:spacing w:line="360" w:lineRule="auto"/>
        <w:ind w:firstLine="480" w:firstLineChars="200"/>
        <w:rPr>
          <w:rFonts w:hint="eastAsia" w:ascii="宋体" w:hAnsi="宋体" w:eastAsia="宋体" w:cs="仿宋"/>
          <w:color w:val="000000"/>
          <w:kern w:val="2"/>
          <w:sz w:val="24"/>
          <w:szCs w:val="24"/>
          <w:lang w:val="zh-CN"/>
        </w:rPr>
      </w:pPr>
      <w:r>
        <w:rPr>
          <w:rFonts w:hint="eastAsia" w:ascii="宋体" w:hAnsi="宋体" w:eastAsia="宋体" w:cs="仿宋"/>
          <w:color w:val="000000"/>
          <w:kern w:val="2"/>
          <w:sz w:val="24"/>
          <w:szCs w:val="24"/>
          <w:lang w:val="zh-CN"/>
        </w:rPr>
        <w:t>2</w:t>
      </w:r>
      <w:r>
        <w:rPr>
          <w:rFonts w:hint="default" w:ascii="宋体" w:hAnsi="宋体" w:eastAsia="宋体" w:cs="仿宋"/>
          <w:color w:val="000000"/>
          <w:kern w:val="2"/>
          <w:sz w:val="24"/>
          <w:szCs w:val="24"/>
          <w:lang w:val="zh-CN"/>
        </w:rPr>
        <w:t>、</w:t>
      </w:r>
      <w:r>
        <w:rPr>
          <w:rFonts w:hint="eastAsia" w:ascii="宋体" w:hAnsi="宋体" w:eastAsia="宋体" w:cs="仿宋"/>
          <w:color w:val="000000"/>
          <w:kern w:val="2"/>
          <w:sz w:val="24"/>
          <w:szCs w:val="24"/>
          <w:lang w:val="zh-CN"/>
        </w:rPr>
        <w:t>若验收不合格，乙方应在接到甲方整改通知后的3个工作日内完成整改并重新申请验收，直至验收合格。若乙方经</w:t>
      </w:r>
      <w:r>
        <w:rPr>
          <w:rFonts w:hint="eastAsia" w:ascii="宋体" w:hAnsi="宋体" w:eastAsia="宋体" w:cs="仿宋"/>
          <w:color w:val="000000"/>
          <w:kern w:val="2"/>
          <w:sz w:val="24"/>
          <w:szCs w:val="24"/>
          <w:lang w:val="en-US" w:eastAsia="zh-CN"/>
        </w:rPr>
        <w:t>3</w:t>
      </w:r>
      <w:r>
        <w:rPr>
          <w:rFonts w:hint="eastAsia" w:ascii="宋体" w:hAnsi="宋体" w:eastAsia="宋体" w:cs="仿宋"/>
          <w:color w:val="000000"/>
          <w:kern w:val="2"/>
          <w:sz w:val="24"/>
          <w:szCs w:val="24"/>
          <w:lang w:val="zh-CN"/>
        </w:rPr>
        <w:t>次整改仍未通过验收，甲方有权解除合同，并要求乙方承担相应的违约责任。</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lang w:val="en-US" w:eastAsia="zh-CN"/>
        </w:rPr>
        <w:t>八</w:t>
      </w:r>
      <w:r>
        <w:rPr>
          <w:rFonts w:hint="eastAsia" w:ascii="宋体" w:hAnsi="宋体" w:eastAsia="宋体" w:cs="仿宋"/>
          <w:color w:val="000000"/>
          <w:kern w:val="2"/>
          <w:sz w:val="24"/>
          <w:szCs w:val="24"/>
        </w:rPr>
        <w:t>、履约保证金：</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1、本项目履约保证金为人民币</w:t>
      </w:r>
      <w:r>
        <w:rPr>
          <w:rFonts w:hint="eastAsia" w:ascii="宋体" w:hAnsi="宋体" w:eastAsia="宋体" w:cs="仿宋"/>
          <w:color w:val="000000"/>
          <w:kern w:val="2"/>
          <w:sz w:val="24"/>
          <w:szCs w:val="24"/>
          <w:u w:val="single"/>
          <w:lang w:val="en-US" w:eastAsia="zh-CN"/>
        </w:rPr>
        <w:t xml:space="preserve">     </w:t>
      </w:r>
      <w:r>
        <w:rPr>
          <w:rFonts w:hint="default" w:ascii="宋体" w:hAnsi="宋体" w:eastAsia="宋体" w:cs="仿宋"/>
          <w:color w:val="000000"/>
          <w:kern w:val="2"/>
          <w:sz w:val="24"/>
          <w:szCs w:val="24"/>
          <w:lang w:val="en-US" w:eastAsia="zh-CN"/>
        </w:rPr>
        <w:t>元</w:t>
      </w:r>
      <w:r>
        <w:rPr>
          <w:rFonts w:hint="eastAsia" w:ascii="宋体" w:hAnsi="宋体" w:eastAsia="宋体" w:cs="仿宋"/>
          <w:color w:val="000000"/>
          <w:kern w:val="2"/>
          <w:sz w:val="24"/>
          <w:szCs w:val="24"/>
          <w:lang w:val="en-US" w:eastAsia="zh-CN"/>
        </w:rPr>
        <w:t>，缴纳方式：</w:t>
      </w:r>
      <w:r>
        <w:rPr>
          <w:rFonts w:hint="eastAsia" w:ascii="宋体" w:hAnsi="宋体" w:eastAsia="宋体" w:cs="仿宋"/>
          <w:color w:val="000000"/>
          <w:kern w:val="2"/>
          <w:sz w:val="24"/>
          <w:szCs w:val="24"/>
          <w:u w:val="single"/>
          <w:lang w:val="en-US" w:eastAsia="zh-CN"/>
        </w:rPr>
        <w:t xml:space="preserve">        </w:t>
      </w:r>
      <w:r>
        <w:rPr>
          <w:rFonts w:hint="eastAsia" w:ascii="宋体" w:hAnsi="宋体" w:eastAsia="宋体" w:cs="仿宋"/>
          <w:color w:val="000000"/>
          <w:kern w:val="2"/>
          <w:sz w:val="24"/>
          <w:szCs w:val="24"/>
          <w:lang w:val="en-US" w:eastAsia="zh-CN"/>
        </w:rPr>
        <w:t>。</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注：（1）缴纳形式以支票、汇票、本票或者金融机构、担保机构出具的保函等非现金形式提交，缴纳至甲方指定账户，待履约完成经甲方组织验收合格后退还。</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（2）缴纳形式为保函的，如保函的约定期到期但乙方履约仍未结束的，乙方须进行续保。</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2、发生以下情况的，履约保证金不予退还或部分退还：</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（1）签订合同后，因乙方违约导致甲方解除合同的，甲方有权全额扣除履约保证金，不予退还，乙方还须承担相应的法律赔偿责任。</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（2）乙方在履约过程中发生其他违约行为，给甲方造成损失的，甲方有权在乙方缴纳的履约保证金中予以扣款，以弥补甲方经济损失，不足的部分乙方另外补齐。</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（3）如达不到本合同约定的验收标准或不能一次性验收通过的或发生安全事故的，履约保证金不予退还，同时必须在规定期限内整改到位。</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九、服务地点：甲方指定地点。交货前风险及费用由乙方承担。</w:t>
      </w:r>
    </w:p>
    <w:p>
      <w:pPr>
        <w:spacing w:line="360" w:lineRule="auto"/>
        <w:ind w:firstLine="480" w:firstLineChars="200"/>
        <w:rPr>
          <w:rFonts w:hint="eastAsia" w:ascii="宋体" w:hAnsi="宋体" w:eastAsia="宋体" w:cs="仿宋"/>
          <w:color w:val="000000"/>
          <w:kern w:val="2"/>
          <w:sz w:val="24"/>
          <w:szCs w:val="24"/>
          <w:lang w:val="zh-CN"/>
        </w:rPr>
      </w:pPr>
      <w:r>
        <w:rPr>
          <w:rFonts w:hint="eastAsia" w:ascii="宋体" w:hAnsi="宋体" w:eastAsia="宋体" w:cs="仿宋"/>
          <w:color w:val="000000"/>
          <w:kern w:val="2"/>
          <w:sz w:val="24"/>
          <w:szCs w:val="24"/>
          <w:lang w:val="en-US" w:eastAsia="zh-CN"/>
        </w:rPr>
        <w:t>十</w:t>
      </w:r>
      <w:r>
        <w:rPr>
          <w:rFonts w:hint="eastAsia" w:ascii="宋体" w:hAnsi="宋体" w:eastAsia="宋体" w:cs="仿宋"/>
          <w:color w:val="000000"/>
          <w:kern w:val="2"/>
          <w:sz w:val="24"/>
          <w:szCs w:val="24"/>
        </w:rPr>
        <w:t>、付款方式：</w:t>
      </w:r>
      <w:r>
        <w:rPr>
          <w:rFonts w:hint="eastAsia" w:ascii="宋体" w:hAnsi="宋体" w:eastAsia="宋体" w:cs="仿宋"/>
          <w:color w:val="000000"/>
          <w:kern w:val="2"/>
          <w:sz w:val="24"/>
          <w:szCs w:val="24"/>
          <w:lang w:val="zh-CN"/>
        </w:rPr>
        <w:t>本项目不设预付款及进度款，待项目竣工验收合格后付至合同价的50%，审计结束后付至审计审定价的</w:t>
      </w:r>
      <w:r>
        <w:rPr>
          <w:rFonts w:hint="eastAsia" w:ascii="宋体" w:hAnsi="宋体" w:eastAsia="宋体" w:cs="仿宋"/>
          <w:color w:val="000000"/>
          <w:kern w:val="2"/>
          <w:sz w:val="24"/>
          <w:szCs w:val="24"/>
          <w:lang w:val="en-US" w:eastAsia="zh-CN"/>
        </w:rPr>
        <w:t>97</w:t>
      </w:r>
      <w:r>
        <w:rPr>
          <w:rFonts w:hint="eastAsia" w:ascii="宋体" w:hAnsi="宋体" w:eastAsia="宋体" w:cs="仿宋"/>
          <w:color w:val="000000"/>
          <w:kern w:val="2"/>
          <w:sz w:val="24"/>
          <w:szCs w:val="24"/>
          <w:lang w:val="zh-CN"/>
        </w:rPr>
        <w:t>%，余款待质保期满且无质量问题后的当年年底一次性付清。（以上付款均不计利息）。</w:t>
      </w:r>
    </w:p>
    <w:p>
      <w:pPr>
        <w:spacing w:line="360" w:lineRule="auto"/>
        <w:ind w:firstLine="480" w:firstLineChars="200"/>
        <w:rPr>
          <w:rFonts w:hint="eastAsia" w:ascii="宋体" w:hAnsi="宋体" w:eastAsia="宋体" w:cs="仿宋"/>
          <w:color w:val="000000"/>
          <w:kern w:val="2"/>
          <w:sz w:val="24"/>
          <w:szCs w:val="24"/>
        </w:rPr>
      </w:pPr>
      <w:r>
        <w:rPr>
          <w:rFonts w:hint="eastAsia" w:ascii="宋体" w:hAnsi="宋体" w:eastAsia="宋体" w:cs="仿宋"/>
          <w:color w:val="000000"/>
          <w:kern w:val="2"/>
          <w:sz w:val="24"/>
          <w:szCs w:val="24"/>
          <w:lang w:val="zh-CN"/>
        </w:rPr>
        <w:t>双方一致确认以甲方审计结论为双方工程款结算依据，并受甲方审计报告约束，工程款的支付以乙方开具发票并交甲方财务入账为必要条件。乙方收取工程款应首先确保农民工工资100%足额发放。</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kern w:val="2"/>
          <w:sz w:val="24"/>
          <w:szCs w:val="24"/>
        </w:rPr>
        <w:t>十</w:t>
      </w:r>
      <w:r>
        <w:rPr>
          <w:rFonts w:hint="eastAsia" w:ascii="宋体" w:hAnsi="宋体" w:eastAsia="宋体" w:cs="仿宋"/>
          <w:color w:val="000000"/>
          <w:kern w:val="2"/>
          <w:sz w:val="24"/>
          <w:szCs w:val="24"/>
          <w:lang w:val="en-US" w:eastAsia="zh-CN"/>
        </w:rPr>
        <w:t>一</w:t>
      </w:r>
      <w:r>
        <w:rPr>
          <w:rFonts w:hint="eastAsia" w:ascii="宋体" w:hAnsi="宋体" w:eastAsia="宋体" w:cs="仿宋"/>
          <w:color w:val="000000"/>
          <w:kern w:val="2"/>
          <w:sz w:val="24"/>
          <w:szCs w:val="24"/>
        </w:rPr>
        <w:t>、乙方违约责任：</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1.乙方不能按</w:t>
      </w:r>
      <w:r>
        <w:rPr>
          <w:rFonts w:hint="eastAsia" w:ascii="宋体" w:hAnsi="宋体" w:eastAsia="宋体" w:cs="仿宋"/>
          <w:color w:val="000000"/>
          <w:sz w:val="24"/>
          <w:szCs w:val="24"/>
          <w:lang w:val="en-US" w:eastAsia="zh-CN"/>
        </w:rPr>
        <w:t>时</w:t>
      </w:r>
      <w:r>
        <w:rPr>
          <w:rFonts w:hint="eastAsia" w:ascii="宋体" w:hAnsi="宋体" w:eastAsia="宋体" w:cs="仿宋"/>
          <w:color w:val="000000"/>
          <w:sz w:val="24"/>
          <w:szCs w:val="24"/>
        </w:rPr>
        <w:t>完成本项目的，乙方向甲方承担合同总价30%的违约金。违约金的支付不免除乙方应继续履行合同义务的责任，若甲方要求继续履行合同，乙方应在合理期限内完成交货；若甲方因乙方不能交货而不再要求继续履行合同，乙方除承担违约金外，还应赔偿甲方的实际损失。</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2.如乙方逾期,乙方按人民币</w:t>
      </w:r>
      <w:r>
        <w:rPr>
          <w:rFonts w:hint="eastAsia" w:ascii="宋体" w:hAnsi="宋体" w:eastAsia="宋体" w:cs="仿宋"/>
          <w:color w:val="000000"/>
          <w:sz w:val="24"/>
          <w:szCs w:val="24"/>
          <w:lang w:val="en-US" w:eastAsia="zh-CN"/>
        </w:rPr>
        <w:t>2</w:t>
      </w:r>
      <w:r>
        <w:rPr>
          <w:rFonts w:hint="eastAsia" w:ascii="宋体" w:hAnsi="宋体" w:eastAsia="宋体" w:cs="仿宋"/>
          <w:color w:val="000000"/>
          <w:sz w:val="24"/>
          <w:szCs w:val="24"/>
        </w:rPr>
        <w:t>000元/日的标准向甲方承担违约金,直至实际项目完成之日止。</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3.乙方交付的项目质量存在重大问题的,且经双方共同确认或具有资质的第三方检测机构鉴定为重大质量问题,甲方有权视为不能按时完成或逾期完成,并由乙方承担相应的违约责任。若甲方选择按照不能如期完成处理，乙方应依据本合同中不能如期完成的违约责任条款向甲方支付合同总价30%的违约金；若甲方选择按照逾期处理，乙方应自发现质量问题之日起，按照人民币</w:t>
      </w:r>
      <w:r>
        <w:rPr>
          <w:rFonts w:hint="eastAsia" w:ascii="宋体" w:hAnsi="宋体" w:eastAsia="宋体" w:cs="仿宋"/>
          <w:color w:val="000000"/>
          <w:sz w:val="24"/>
          <w:szCs w:val="24"/>
          <w:lang w:val="en-US" w:eastAsia="zh-CN"/>
        </w:rPr>
        <w:t>2</w:t>
      </w:r>
      <w:r>
        <w:rPr>
          <w:rFonts w:hint="eastAsia" w:ascii="宋体" w:hAnsi="宋体" w:eastAsia="宋体" w:cs="仿宋"/>
          <w:color w:val="000000"/>
          <w:sz w:val="24"/>
          <w:szCs w:val="24"/>
        </w:rPr>
        <w:t>000元/日的标准向甲方支付违约金，直至解决质量问题并重新交付合格项目之日止。</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4.逾期高达7天，甲方有权全部或部分终止合同，同时乙方应承担合同总额30%的违约金，违约金不足以弥补甲方损失的，还应赔偿甲方的实际损失。</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5.乙方应健全安装安全措施，防止安全事故发生，并购买足额的所有相关保险。如有事故发生，一切责任由乙方承担。如甲方因此遭受处罚或者承担赔偿责任以及造成甲方直接或者间接损失的，甲方有权直接在剩余款项里予以扣除，不足部分可继续向乙方追偿。</w:t>
      </w:r>
    </w:p>
    <w:p>
      <w:pPr>
        <w:spacing w:line="360" w:lineRule="auto"/>
        <w:ind w:firstLine="480" w:firstLineChars="200"/>
        <w:rPr>
          <w:rFonts w:hint="eastAsia" w:ascii="宋体" w:hAnsi="宋体" w:eastAsia="宋体" w:cs="仿宋"/>
          <w:color w:val="000000"/>
          <w:kern w:val="2"/>
          <w:sz w:val="24"/>
          <w:szCs w:val="24"/>
          <w:lang w:val="en-US" w:eastAsia="zh-CN"/>
        </w:rPr>
      </w:pPr>
      <w:r>
        <w:rPr>
          <w:rFonts w:hint="eastAsia" w:ascii="宋体" w:hAnsi="宋体" w:eastAsia="宋体" w:cs="仿宋"/>
          <w:color w:val="000000"/>
          <w:kern w:val="2"/>
          <w:sz w:val="24"/>
          <w:szCs w:val="24"/>
          <w:lang w:val="en-US" w:eastAsia="zh-CN"/>
        </w:rPr>
        <w:t>6.禁止乙方将工程转包、分包。承包人将工程转包、分包的，一经发现，甲方有权要求乙方承担合同总额20%的违约金，该违约金可直接从应付乙方的工程款中扣除。如发现乙方出借资质签订本合同的，已完成的应予计量工程量按80%计算工程款(折价补偿款)。</w:t>
      </w:r>
    </w:p>
    <w:p>
      <w:pPr>
        <w:spacing w:line="360" w:lineRule="auto"/>
        <w:ind w:firstLine="540" w:firstLineChars="225"/>
        <w:rPr>
          <w:rFonts w:hint="eastAsia" w:ascii="宋体" w:hAnsi="宋体" w:eastAsia="宋体" w:cs="仿宋"/>
          <w:b/>
          <w:bCs/>
          <w:color w:val="000000"/>
          <w:kern w:val="2"/>
          <w:sz w:val="24"/>
          <w:szCs w:val="22"/>
        </w:rPr>
      </w:pPr>
      <w:r>
        <w:rPr>
          <w:rFonts w:hint="eastAsia" w:ascii="宋体" w:hAnsi="宋体" w:eastAsia="宋体" w:cs="仿宋"/>
          <w:color w:val="000000"/>
          <w:kern w:val="2"/>
          <w:sz w:val="24"/>
          <w:szCs w:val="24"/>
        </w:rPr>
        <w:t>十</w:t>
      </w:r>
      <w:r>
        <w:rPr>
          <w:rFonts w:hint="eastAsia" w:ascii="宋体" w:hAnsi="宋体" w:eastAsia="宋体" w:cs="仿宋"/>
          <w:color w:val="000000"/>
          <w:kern w:val="2"/>
          <w:sz w:val="24"/>
          <w:szCs w:val="24"/>
          <w:lang w:val="en-US" w:eastAsia="zh-CN"/>
        </w:rPr>
        <w:t>二</w:t>
      </w:r>
      <w:r>
        <w:rPr>
          <w:rFonts w:hint="eastAsia" w:ascii="宋体" w:hAnsi="宋体" w:eastAsia="宋体" w:cs="仿宋"/>
          <w:color w:val="000000"/>
          <w:kern w:val="2"/>
          <w:sz w:val="24"/>
          <w:szCs w:val="24"/>
        </w:rPr>
        <w:t>、</w:t>
      </w:r>
      <w:r>
        <w:rPr>
          <w:rFonts w:hint="eastAsia" w:ascii="宋体" w:hAnsi="宋体" w:eastAsia="宋体" w:cs="仿宋"/>
          <w:b/>
          <w:bCs/>
          <w:color w:val="000000"/>
          <w:kern w:val="2"/>
          <w:sz w:val="24"/>
          <w:szCs w:val="22"/>
        </w:rPr>
        <w:t>仲裁或诉讼</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因合同及合同有关事项发生的争议，按下列第 （2） 种方式解决：</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（1）向南通仲裁委员会申请仲裁；</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（2）向项目所在地的</w:t>
      </w:r>
      <w:r>
        <w:rPr>
          <w:rFonts w:hint="eastAsia" w:ascii="宋体" w:hAnsi="宋体" w:eastAsia="宋体" w:cs="仿宋"/>
          <w:color w:val="000000"/>
          <w:sz w:val="24"/>
          <w:szCs w:val="24"/>
          <w:u w:val="single"/>
        </w:rPr>
        <w:t xml:space="preserve"> 南通市海门区人民法院 </w:t>
      </w:r>
      <w:r>
        <w:rPr>
          <w:rFonts w:hint="eastAsia" w:ascii="宋体" w:hAnsi="宋体" w:eastAsia="宋体" w:cs="仿宋"/>
          <w:color w:val="000000"/>
          <w:sz w:val="24"/>
          <w:szCs w:val="24"/>
        </w:rPr>
        <w:t>起诉。</w:t>
      </w:r>
    </w:p>
    <w:p>
      <w:pPr>
        <w:spacing w:line="360" w:lineRule="auto"/>
        <w:ind w:firstLine="480" w:firstLineChars="200"/>
        <w:rPr>
          <w:rFonts w:hint="eastAsia" w:ascii="宋体" w:hAnsi="宋体" w:eastAsia="宋体" w:cs="仿宋"/>
          <w:color w:val="000000"/>
          <w:sz w:val="24"/>
          <w:szCs w:val="24"/>
          <w:u w:val="none"/>
        </w:rPr>
      </w:pPr>
      <w:r>
        <w:rPr>
          <w:rFonts w:hint="eastAsia" w:ascii="宋体" w:hAnsi="宋体" w:eastAsia="宋体" w:cs="仿宋"/>
          <w:color w:val="000000"/>
          <w:sz w:val="24"/>
          <w:szCs w:val="24"/>
        </w:rPr>
        <w:t>十</w:t>
      </w:r>
      <w:r>
        <w:rPr>
          <w:rFonts w:hint="eastAsia" w:ascii="宋体" w:hAnsi="宋体" w:eastAsia="宋体" w:cs="仿宋"/>
          <w:color w:val="000000"/>
          <w:sz w:val="24"/>
          <w:szCs w:val="24"/>
          <w:lang w:val="en-US" w:eastAsia="zh-CN"/>
        </w:rPr>
        <w:t>三</w:t>
      </w:r>
      <w:r>
        <w:rPr>
          <w:rFonts w:hint="eastAsia" w:ascii="宋体" w:hAnsi="宋体" w:eastAsia="宋体" w:cs="仿宋"/>
          <w:color w:val="000000"/>
          <w:sz w:val="24"/>
          <w:szCs w:val="24"/>
        </w:rPr>
        <w:t>、合同其他事项：</w:t>
      </w:r>
      <w:r>
        <w:rPr>
          <w:rFonts w:hint="eastAsia" w:ascii="宋体" w:hAnsi="宋体" w:eastAsia="宋体" w:cs="仿宋"/>
          <w:color w:val="000000"/>
          <w:sz w:val="24"/>
          <w:szCs w:val="24"/>
          <w:u w:val="none"/>
        </w:rPr>
        <w:t xml:space="preserve"> </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lang w:val="en-US" w:eastAsia="zh-CN"/>
        </w:rPr>
        <w:t>1、</w:t>
      </w:r>
      <w:r>
        <w:rPr>
          <w:rFonts w:hint="eastAsia" w:ascii="宋体" w:hAnsi="宋体" w:eastAsia="宋体" w:cs="仿宋"/>
          <w:color w:val="000000"/>
          <w:sz w:val="24"/>
          <w:szCs w:val="24"/>
        </w:rPr>
        <w:t>本合同履行过程中，若遇到不可抗力因素，受不可抗力影响的一方应在不可抗力事件发生后的24小时内通知对方，并提供相关证明文件。双方应协商解决因不可抗力导致的合同履行问题，若因不可抗力导致合同无法继续履行或部分无法履行，双方互不承担违约责任，但应及时采取措施减少损失。</w:t>
      </w:r>
    </w:p>
    <w:p>
      <w:pPr>
        <w:spacing w:line="360" w:lineRule="auto"/>
        <w:ind w:firstLine="480" w:firstLineChars="200"/>
        <w:rPr>
          <w:rFonts w:hint="eastAsia" w:ascii="宋体" w:hAnsi="宋体" w:eastAsia="宋体" w:cs="仿宋"/>
          <w:color w:val="000000"/>
          <w:sz w:val="24"/>
          <w:szCs w:val="24"/>
          <w:lang w:val="en-US" w:eastAsia="zh-CN"/>
        </w:rPr>
      </w:pPr>
      <w:r>
        <w:rPr>
          <w:rFonts w:hint="eastAsia" w:ascii="宋体" w:hAnsi="宋体" w:eastAsia="宋体" w:cs="仿宋"/>
          <w:color w:val="000000"/>
          <w:sz w:val="24"/>
          <w:szCs w:val="24"/>
          <w:lang w:val="en-US" w:eastAsia="zh-CN"/>
        </w:rPr>
        <w:t>2、乙方确认本项目招标代理费由乙方承担，乙方应在合同签订前足额支付。若乙方逾期未付，甲方有权直接从应付工程款中等额扣除，并支付给招标代理机构，乙方对此无异议。扣款视为甲方已履行对应工程款支付义务，由此产生的税费、违约金等全部责任由乙方自行承担。</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十</w:t>
      </w:r>
      <w:r>
        <w:rPr>
          <w:rFonts w:hint="eastAsia" w:ascii="宋体" w:hAnsi="宋体" w:eastAsia="宋体" w:cs="仿宋"/>
          <w:color w:val="000000"/>
          <w:sz w:val="24"/>
          <w:szCs w:val="24"/>
          <w:lang w:val="en-US" w:eastAsia="zh-CN"/>
        </w:rPr>
        <w:t>四</w:t>
      </w:r>
      <w:r>
        <w:rPr>
          <w:rFonts w:hint="eastAsia" w:ascii="宋体" w:hAnsi="宋体" w:eastAsia="宋体" w:cs="仿宋"/>
          <w:color w:val="000000"/>
          <w:sz w:val="24"/>
          <w:szCs w:val="24"/>
        </w:rPr>
        <w:t>、组成本合同的文件包括：</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⒈ 本合同条款；</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⒉ 本项目的政府采购文件和乙方应标文件；</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⒊ 本项目在采购过程中供需双方签署的全部文字和图片资料；</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⒋ 供需双方其它按规定约定事宜。</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十</w:t>
      </w:r>
      <w:r>
        <w:rPr>
          <w:rFonts w:hint="eastAsia" w:ascii="宋体" w:hAnsi="宋体" w:eastAsia="宋体" w:cs="仿宋"/>
          <w:color w:val="000000"/>
          <w:sz w:val="24"/>
          <w:szCs w:val="24"/>
          <w:lang w:val="en-US" w:eastAsia="zh-CN"/>
        </w:rPr>
        <w:t>五</w:t>
      </w:r>
      <w:r>
        <w:rPr>
          <w:rFonts w:hint="eastAsia" w:ascii="宋体" w:hAnsi="宋体" w:eastAsia="宋体" w:cs="仿宋"/>
          <w:color w:val="000000"/>
          <w:sz w:val="24"/>
          <w:szCs w:val="24"/>
        </w:rPr>
        <w:t>、本合同内容如有冲突，以政府采购文件为准。</w:t>
      </w:r>
    </w:p>
    <w:p>
      <w:pPr>
        <w:spacing w:line="360" w:lineRule="auto"/>
        <w:ind w:firstLine="480" w:firstLineChars="200"/>
        <w:rPr>
          <w:rFonts w:hint="eastAsia" w:ascii="宋体" w:hAnsi="宋体" w:eastAsia="宋体" w:cs="仿宋"/>
          <w:color w:val="000000"/>
          <w:sz w:val="24"/>
          <w:szCs w:val="24"/>
        </w:rPr>
      </w:pPr>
      <w:r>
        <w:rPr>
          <w:rFonts w:hint="eastAsia" w:ascii="宋体" w:hAnsi="宋体" w:eastAsia="宋体" w:cs="仿宋"/>
          <w:color w:val="000000"/>
          <w:sz w:val="24"/>
          <w:szCs w:val="24"/>
        </w:rPr>
        <w:t>十</w:t>
      </w:r>
      <w:r>
        <w:rPr>
          <w:rFonts w:hint="eastAsia" w:ascii="宋体" w:hAnsi="宋体" w:eastAsia="宋体" w:cs="仿宋"/>
          <w:color w:val="000000"/>
          <w:sz w:val="24"/>
          <w:szCs w:val="24"/>
          <w:lang w:val="en-US" w:eastAsia="zh-CN"/>
        </w:rPr>
        <w:t>六</w:t>
      </w:r>
      <w:r>
        <w:rPr>
          <w:rFonts w:hint="eastAsia" w:ascii="宋体" w:hAnsi="宋体" w:eastAsia="宋体" w:cs="仿宋"/>
          <w:color w:val="000000"/>
          <w:sz w:val="24"/>
          <w:szCs w:val="24"/>
        </w:rPr>
        <w:t>、合同生效：本合同由供需双方签字盖章后生效。（多页合同供需双方必须加盖骑缝公章）</w:t>
      </w:r>
    </w:p>
    <w:p>
      <w:pPr>
        <w:spacing w:line="440" w:lineRule="exact"/>
        <w:ind w:firstLine="480" w:firstLineChars="200"/>
        <w:rPr>
          <w:rFonts w:hint="eastAsia" w:ascii="宋体" w:hAnsi="宋体" w:eastAsia="宋体" w:cs="仿宋"/>
          <w:color w:val="000000"/>
          <w:kern w:val="2"/>
          <w:sz w:val="24"/>
          <w:szCs w:val="21"/>
        </w:rPr>
      </w:pPr>
      <w:r>
        <w:rPr>
          <w:rFonts w:hint="eastAsia" w:ascii="宋体" w:hAnsi="宋体" w:eastAsia="宋体" w:cs="仿宋"/>
          <w:color w:val="000000"/>
          <w:kern w:val="2"/>
          <w:sz w:val="24"/>
          <w:szCs w:val="21"/>
        </w:rPr>
        <w:t>甲   方（章）：                          乙   方（章）：</w:t>
      </w:r>
    </w:p>
    <w:p>
      <w:pPr>
        <w:spacing w:line="440" w:lineRule="exact"/>
        <w:ind w:firstLine="480" w:firstLineChars="200"/>
        <w:rPr>
          <w:rFonts w:hint="eastAsia" w:ascii="宋体" w:hAnsi="宋体" w:eastAsia="宋体" w:cs="仿宋"/>
          <w:color w:val="000000"/>
          <w:kern w:val="2"/>
          <w:sz w:val="24"/>
          <w:szCs w:val="21"/>
        </w:rPr>
      </w:pPr>
      <w:r>
        <w:rPr>
          <w:rFonts w:hint="eastAsia" w:ascii="宋体" w:hAnsi="宋体" w:eastAsia="宋体" w:cs="仿宋"/>
          <w:color w:val="000000"/>
          <w:kern w:val="2"/>
          <w:sz w:val="24"/>
          <w:szCs w:val="21"/>
        </w:rPr>
        <w:t>法定代表人或                            法定代表人或</w:t>
      </w:r>
    </w:p>
    <w:p>
      <w:pPr>
        <w:spacing w:line="440" w:lineRule="exact"/>
        <w:ind w:firstLine="480" w:firstLineChars="200"/>
        <w:rPr>
          <w:rFonts w:hint="eastAsia" w:ascii="宋体" w:hAnsi="宋体" w:eastAsia="宋体" w:cs="仿宋"/>
          <w:color w:val="000000"/>
          <w:kern w:val="2"/>
          <w:sz w:val="24"/>
          <w:szCs w:val="21"/>
        </w:rPr>
      </w:pPr>
      <w:r>
        <w:rPr>
          <w:rFonts w:hint="eastAsia" w:ascii="宋体" w:hAnsi="宋体" w:eastAsia="宋体" w:cs="仿宋"/>
          <w:color w:val="000000"/>
          <w:kern w:val="2"/>
          <w:sz w:val="24"/>
          <w:szCs w:val="21"/>
        </w:rPr>
        <w:t xml:space="preserve">委托代理人（签字）：                     委托代理人（签字）：                                        </w:t>
      </w:r>
    </w:p>
    <w:p>
      <w:pPr>
        <w:spacing w:line="300" w:lineRule="exact"/>
        <w:rPr>
          <w:rFonts w:hint="eastAsia" w:ascii="宋体" w:hAnsi="宋体" w:eastAsia="宋体" w:cs="仿宋"/>
          <w:color w:val="000000"/>
          <w:kern w:val="2"/>
          <w:sz w:val="24"/>
          <w:szCs w:val="21"/>
        </w:rPr>
      </w:pPr>
    </w:p>
    <w:p>
      <w:pPr>
        <w:spacing w:line="300" w:lineRule="exact"/>
        <w:ind w:firstLine="480" w:firstLineChars="200"/>
        <w:rPr>
          <w:rFonts w:hint="eastAsia" w:ascii="宋体" w:hAnsi="宋体" w:eastAsia="宋体" w:cs="仿宋"/>
          <w:color w:val="000000"/>
          <w:kern w:val="2"/>
          <w:sz w:val="24"/>
          <w:szCs w:val="21"/>
          <w:u w:val="single"/>
        </w:rPr>
      </w:pPr>
      <w:r>
        <w:rPr>
          <w:rFonts w:hint="eastAsia" w:ascii="宋体" w:hAnsi="宋体" w:eastAsia="宋体" w:cs="仿宋"/>
          <w:color w:val="000000"/>
          <w:kern w:val="2"/>
          <w:sz w:val="24"/>
          <w:szCs w:val="21"/>
        </w:rPr>
        <w:t>地址：</w:t>
      </w:r>
      <w:r>
        <w:rPr>
          <w:rFonts w:hint="eastAsia" w:ascii="宋体" w:hAnsi="宋体" w:eastAsia="宋体" w:cs="仿宋"/>
          <w:color w:val="000000"/>
          <w:kern w:val="2"/>
          <w:sz w:val="24"/>
          <w:szCs w:val="21"/>
          <w:u w:val="single"/>
        </w:rPr>
        <w:t xml:space="preserve">                          </w:t>
      </w:r>
      <w:r>
        <w:rPr>
          <w:rFonts w:hint="eastAsia" w:ascii="宋体" w:hAnsi="宋体" w:eastAsia="宋体" w:cs="仿宋"/>
          <w:color w:val="000000"/>
          <w:kern w:val="2"/>
          <w:sz w:val="24"/>
          <w:szCs w:val="21"/>
        </w:rPr>
        <w:t xml:space="preserve">        地址：</w:t>
      </w:r>
      <w:r>
        <w:rPr>
          <w:rFonts w:hint="eastAsia" w:ascii="宋体" w:hAnsi="宋体" w:eastAsia="宋体" w:cs="仿宋"/>
          <w:color w:val="000000"/>
          <w:kern w:val="2"/>
          <w:sz w:val="24"/>
          <w:szCs w:val="21"/>
          <w:u w:val="single"/>
        </w:rPr>
        <w:t xml:space="preserve">                          </w:t>
      </w:r>
    </w:p>
    <w:p>
      <w:pPr>
        <w:spacing w:line="300" w:lineRule="exact"/>
        <w:rPr>
          <w:rFonts w:hint="eastAsia" w:ascii="宋体" w:hAnsi="宋体" w:eastAsia="宋体" w:cs="仿宋"/>
          <w:color w:val="000000"/>
          <w:kern w:val="2"/>
          <w:sz w:val="24"/>
          <w:szCs w:val="21"/>
        </w:rPr>
      </w:pPr>
    </w:p>
    <w:p>
      <w:pPr>
        <w:spacing w:line="300" w:lineRule="exact"/>
        <w:ind w:firstLine="480" w:firstLineChars="200"/>
        <w:rPr>
          <w:rFonts w:hint="eastAsia" w:ascii="宋体" w:hAnsi="宋体" w:eastAsia="宋体" w:cs="仿宋"/>
          <w:color w:val="000000"/>
          <w:kern w:val="2"/>
          <w:sz w:val="24"/>
          <w:szCs w:val="21"/>
          <w:u w:val="single"/>
        </w:rPr>
      </w:pPr>
      <w:r>
        <w:rPr>
          <w:rFonts w:hint="eastAsia" w:ascii="宋体" w:hAnsi="宋体" w:eastAsia="宋体" w:cs="仿宋"/>
          <w:color w:val="000000"/>
          <w:kern w:val="2"/>
          <w:sz w:val="24"/>
          <w:szCs w:val="21"/>
        </w:rPr>
        <w:t>电话：</w:t>
      </w:r>
      <w:r>
        <w:rPr>
          <w:rFonts w:hint="eastAsia" w:ascii="宋体" w:hAnsi="宋体" w:eastAsia="宋体" w:cs="仿宋"/>
          <w:color w:val="000000"/>
          <w:kern w:val="2"/>
          <w:sz w:val="24"/>
          <w:szCs w:val="21"/>
          <w:u w:val="single"/>
        </w:rPr>
        <w:t xml:space="preserve">                          </w:t>
      </w:r>
      <w:r>
        <w:rPr>
          <w:rFonts w:hint="eastAsia" w:ascii="宋体" w:hAnsi="宋体" w:eastAsia="宋体" w:cs="仿宋"/>
          <w:color w:val="000000"/>
          <w:kern w:val="2"/>
          <w:sz w:val="24"/>
          <w:szCs w:val="21"/>
        </w:rPr>
        <w:t xml:space="preserve">        电话：</w:t>
      </w:r>
      <w:r>
        <w:rPr>
          <w:rFonts w:hint="eastAsia" w:ascii="宋体" w:hAnsi="宋体" w:eastAsia="宋体" w:cs="仿宋"/>
          <w:color w:val="000000"/>
          <w:kern w:val="2"/>
          <w:sz w:val="24"/>
          <w:szCs w:val="21"/>
          <w:u w:val="single"/>
        </w:rPr>
        <w:t xml:space="preserve">                          </w:t>
      </w:r>
    </w:p>
    <w:p>
      <w:pPr>
        <w:spacing w:line="300" w:lineRule="exact"/>
        <w:rPr>
          <w:rFonts w:hint="eastAsia" w:ascii="宋体" w:hAnsi="宋体" w:eastAsia="宋体" w:cs="仿宋"/>
          <w:color w:val="000000"/>
          <w:kern w:val="2"/>
          <w:sz w:val="24"/>
          <w:szCs w:val="21"/>
        </w:rPr>
      </w:pPr>
    </w:p>
    <w:p>
      <w:pPr>
        <w:ind w:firstLine="480" w:firstLineChars="200"/>
        <w:rPr>
          <w:rFonts w:hint="eastAsia" w:ascii="宋体" w:hAnsi="宋体" w:eastAsia="宋体" w:cs="Times New Roman"/>
          <w:b/>
          <w:bCs w:val="0"/>
          <w:color w:val="000000"/>
          <w:sz w:val="36"/>
          <w:szCs w:val="36"/>
          <w:highlight w:val="none"/>
          <w:lang w:val="en-US" w:eastAsia="zh-CN"/>
        </w:rPr>
      </w:pPr>
      <w:r>
        <w:rPr>
          <w:rFonts w:hint="eastAsia" w:ascii="宋体" w:hAnsi="宋体" w:eastAsia="宋体" w:cs="仿宋"/>
          <w:color w:val="000000"/>
          <w:kern w:val="2"/>
          <w:sz w:val="24"/>
          <w:szCs w:val="21"/>
        </w:rPr>
        <w:t>签订日期：        年    月    日</w:t>
      </w:r>
    </w:p>
    <w:p>
      <w:pPr>
        <w:rPr>
          <w:rFonts w:hint="eastAsia" w:ascii="Times New Roman" w:hAnsi="Times New Roman" w:eastAsia="宋体" w:cs="Times New Roman"/>
          <w:szCs w:val="20"/>
          <w:lang w:val="en-US" w:eastAsia="zh-CN"/>
        </w:rPr>
      </w:pPr>
    </w:p>
    <w:p>
      <w:pPr>
        <w:spacing w:line="360" w:lineRule="auto"/>
        <w:jc w:val="cente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第六部分  质疑函范本</w:t>
      </w:r>
    </w:p>
    <w:p>
      <w:pPr>
        <w:spacing w:before="290" w:line="360" w:lineRule="auto"/>
        <w:ind w:firstLine="420"/>
        <w:rPr>
          <w:rFonts w:hint="eastAsia" w:ascii="宋体" w:hAnsi="宋体" w:eastAsia="宋体" w:cs="宋体"/>
          <w:bCs/>
          <w:szCs w:val="21"/>
        </w:rPr>
      </w:pPr>
      <w:r>
        <w:rPr>
          <w:rFonts w:hint="eastAsia" w:ascii="宋体" w:hAnsi="宋体" w:eastAsia="宋体" w:cs="宋体"/>
          <w:bCs/>
          <w:szCs w:val="21"/>
        </w:rPr>
        <w:t>一、质疑供应商基本信息</w:t>
      </w:r>
    </w:p>
    <w:p>
      <w:pPr>
        <w:spacing w:line="360" w:lineRule="auto"/>
        <w:ind w:firstLine="420"/>
        <w:rPr>
          <w:rFonts w:hint="eastAsia" w:ascii="宋体" w:hAnsi="宋体" w:eastAsia="宋体" w:cs="宋体"/>
          <w:szCs w:val="21"/>
          <w:u w:val="single"/>
        </w:rPr>
      </w:pPr>
      <w:r>
        <w:rPr>
          <w:rFonts w:hint="eastAsia" w:ascii="宋体" w:hAnsi="宋体" w:eastAsia="宋体" w:cs="宋体"/>
          <w:szCs w:val="21"/>
        </w:rPr>
        <w:t>质疑供应商：</w:t>
      </w:r>
    </w:p>
    <w:p>
      <w:pPr>
        <w:spacing w:line="360" w:lineRule="auto"/>
        <w:ind w:firstLine="420"/>
        <w:rPr>
          <w:rFonts w:hint="eastAsia" w:ascii="宋体" w:hAnsi="宋体" w:eastAsia="宋体" w:cs="宋体"/>
          <w:szCs w:val="21"/>
        </w:rPr>
      </w:pPr>
      <w:r>
        <w:rPr>
          <w:rFonts w:hint="eastAsia" w:ascii="宋体" w:hAnsi="宋体" w:eastAsia="宋体" w:cs="宋体"/>
          <w:szCs w:val="21"/>
        </w:rPr>
        <w:t>地址：邮编：</w:t>
      </w:r>
    </w:p>
    <w:p>
      <w:pPr>
        <w:spacing w:line="360" w:lineRule="auto"/>
        <w:ind w:firstLine="420"/>
        <w:rPr>
          <w:rFonts w:hint="eastAsia" w:ascii="宋体" w:hAnsi="宋体" w:eastAsia="宋体" w:cs="宋体"/>
          <w:szCs w:val="21"/>
        </w:rPr>
      </w:pPr>
      <w:r>
        <w:rPr>
          <w:rFonts w:hint="eastAsia" w:ascii="宋体" w:hAnsi="宋体" w:eastAsia="宋体" w:cs="宋体"/>
          <w:szCs w:val="21"/>
        </w:rPr>
        <w:t>联系人：联系电话：</w:t>
      </w:r>
    </w:p>
    <w:p>
      <w:pPr>
        <w:spacing w:line="360" w:lineRule="auto"/>
        <w:ind w:firstLine="420"/>
        <w:rPr>
          <w:rFonts w:hint="eastAsia" w:ascii="宋体" w:hAnsi="宋体" w:eastAsia="宋体" w:cs="宋体"/>
          <w:szCs w:val="21"/>
          <w:u w:val="single"/>
        </w:rPr>
      </w:pPr>
      <w:r>
        <w:rPr>
          <w:rFonts w:hint="eastAsia" w:ascii="宋体" w:hAnsi="宋体" w:eastAsia="宋体" w:cs="宋体"/>
          <w:szCs w:val="21"/>
        </w:rPr>
        <w:t>授权代表：</w:t>
      </w:r>
    </w:p>
    <w:p>
      <w:pPr>
        <w:spacing w:line="360" w:lineRule="auto"/>
        <w:ind w:firstLine="420"/>
        <w:rPr>
          <w:rFonts w:hint="eastAsia" w:ascii="宋体" w:hAnsi="宋体" w:eastAsia="宋体" w:cs="宋体"/>
          <w:szCs w:val="21"/>
        </w:rPr>
      </w:pPr>
      <w:r>
        <w:rPr>
          <w:rFonts w:hint="eastAsia" w:ascii="宋体" w:hAnsi="宋体" w:eastAsia="宋体" w:cs="宋体"/>
          <w:szCs w:val="21"/>
        </w:rPr>
        <w:t>联系电话：</w:t>
      </w:r>
    </w:p>
    <w:p>
      <w:pPr>
        <w:spacing w:line="360" w:lineRule="auto"/>
        <w:ind w:firstLine="420"/>
        <w:rPr>
          <w:rFonts w:hint="eastAsia" w:ascii="宋体" w:hAnsi="宋体" w:eastAsia="宋体" w:cs="宋体"/>
          <w:szCs w:val="21"/>
        </w:rPr>
      </w:pPr>
      <w:r>
        <w:rPr>
          <w:rFonts w:hint="eastAsia" w:ascii="宋体" w:hAnsi="宋体" w:eastAsia="宋体" w:cs="宋体"/>
          <w:szCs w:val="21"/>
        </w:rPr>
        <w:t>地址：邮编：</w:t>
      </w:r>
    </w:p>
    <w:p>
      <w:pPr>
        <w:spacing w:line="360" w:lineRule="auto"/>
        <w:ind w:firstLine="420"/>
        <w:rPr>
          <w:rFonts w:hint="eastAsia" w:ascii="宋体" w:hAnsi="宋体" w:eastAsia="宋体" w:cs="宋体"/>
          <w:bCs/>
          <w:szCs w:val="21"/>
        </w:rPr>
      </w:pPr>
      <w:r>
        <w:rPr>
          <w:rFonts w:hint="eastAsia" w:ascii="宋体" w:hAnsi="宋体" w:eastAsia="宋体" w:cs="宋体"/>
          <w:bCs/>
          <w:szCs w:val="21"/>
        </w:rPr>
        <w:t>二、质疑项目基本情况</w:t>
      </w:r>
    </w:p>
    <w:p>
      <w:pPr>
        <w:spacing w:line="360" w:lineRule="auto"/>
        <w:ind w:firstLine="420"/>
        <w:rPr>
          <w:rFonts w:hint="eastAsia" w:ascii="宋体" w:hAnsi="宋体" w:eastAsia="宋体" w:cs="宋体"/>
          <w:szCs w:val="21"/>
        </w:rPr>
      </w:pPr>
      <w:r>
        <w:rPr>
          <w:rFonts w:hint="eastAsia" w:ascii="宋体" w:hAnsi="宋体" w:eastAsia="宋体" w:cs="宋体"/>
          <w:szCs w:val="21"/>
        </w:rPr>
        <w:t>质疑项目的名称：</w:t>
      </w:r>
    </w:p>
    <w:p>
      <w:pPr>
        <w:spacing w:line="360" w:lineRule="auto"/>
        <w:ind w:firstLine="420"/>
        <w:rPr>
          <w:rFonts w:hint="eastAsia" w:ascii="宋体" w:hAnsi="宋体" w:eastAsia="宋体" w:cs="宋体"/>
          <w:szCs w:val="21"/>
        </w:rPr>
      </w:pPr>
      <w:r>
        <w:rPr>
          <w:rFonts w:hint="eastAsia" w:ascii="宋体" w:hAnsi="宋体" w:eastAsia="宋体" w:cs="宋体"/>
          <w:szCs w:val="21"/>
        </w:rPr>
        <w:t>质疑项目的编号：包号：</w:t>
      </w:r>
    </w:p>
    <w:p>
      <w:pPr>
        <w:spacing w:line="360" w:lineRule="auto"/>
        <w:ind w:firstLine="420"/>
        <w:rPr>
          <w:rFonts w:hint="eastAsia" w:ascii="宋体" w:hAnsi="宋体" w:eastAsia="宋体" w:cs="宋体"/>
          <w:szCs w:val="21"/>
          <w:u w:val="single"/>
        </w:rPr>
      </w:pPr>
      <w:r>
        <w:rPr>
          <w:rFonts w:hint="eastAsia" w:ascii="宋体" w:hAnsi="宋体" w:eastAsia="宋体" w:cs="宋体"/>
          <w:szCs w:val="21"/>
        </w:rPr>
        <w:t>采购人名称：</w:t>
      </w:r>
    </w:p>
    <w:p>
      <w:pPr>
        <w:spacing w:line="360" w:lineRule="auto"/>
        <w:ind w:firstLine="420"/>
        <w:rPr>
          <w:rFonts w:hint="eastAsia" w:ascii="宋体" w:hAnsi="宋体" w:eastAsia="宋体" w:cs="宋体"/>
          <w:szCs w:val="21"/>
        </w:rPr>
      </w:pPr>
      <w:r>
        <w:rPr>
          <w:rFonts w:hint="eastAsia" w:ascii="宋体" w:hAnsi="宋体" w:eastAsia="宋体" w:cs="宋体"/>
          <w:szCs w:val="21"/>
        </w:rPr>
        <w:t>采购文件获取日期：</w:t>
      </w:r>
    </w:p>
    <w:p>
      <w:pPr>
        <w:spacing w:line="360" w:lineRule="auto"/>
        <w:ind w:firstLine="420"/>
        <w:rPr>
          <w:rFonts w:hint="eastAsia" w:ascii="宋体" w:hAnsi="宋体" w:eastAsia="宋体" w:cs="宋体"/>
          <w:bCs/>
          <w:szCs w:val="21"/>
        </w:rPr>
      </w:pPr>
      <w:r>
        <w:rPr>
          <w:rFonts w:hint="eastAsia" w:ascii="宋体" w:hAnsi="宋体" w:eastAsia="宋体" w:cs="宋体"/>
          <w:bCs/>
          <w:szCs w:val="21"/>
        </w:rPr>
        <w:t>三、质疑事项具体内容</w:t>
      </w:r>
    </w:p>
    <w:p>
      <w:pPr>
        <w:spacing w:line="360" w:lineRule="auto"/>
        <w:ind w:firstLine="420"/>
        <w:rPr>
          <w:rFonts w:hint="eastAsia" w:ascii="宋体" w:hAnsi="宋体" w:eastAsia="宋体" w:cs="宋体"/>
          <w:szCs w:val="21"/>
          <w:u w:val="single"/>
        </w:rPr>
      </w:pPr>
      <w:r>
        <w:rPr>
          <w:rFonts w:hint="eastAsia" w:ascii="宋体" w:hAnsi="宋体" w:eastAsia="宋体" w:cs="宋体"/>
          <w:szCs w:val="21"/>
        </w:rPr>
        <w:t>质疑事项1：</w:t>
      </w:r>
    </w:p>
    <w:p>
      <w:pPr>
        <w:spacing w:line="360" w:lineRule="auto"/>
        <w:ind w:firstLine="420"/>
        <w:rPr>
          <w:rFonts w:hint="eastAsia" w:ascii="宋体" w:hAnsi="宋体" w:eastAsia="宋体" w:cs="宋体"/>
          <w:szCs w:val="21"/>
        </w:rPr>
      </w:pPr>
      <w:r>
        <w:rPr>
          <w:rFonts w:hint="eastAsia" w:ascii="宋体" w:hAnsi="宋体" w:eastAsia="宋体" w:cs="宋体"/>
          <w:szCs w:val="21"/>
        </w:rPr>
        <w:t>事实依据：</w:t>
      </w:r>
    </w:p>
    <w:p>
      <w:pPr>
        <w:spacing w:line="360" w:lineRule="auto"/>
        <w:ind w:firstLine="420"/>
        <w:rPr>
          <w:rFonts w:hint="eastAsia" w:ascii="宋体" w:hAnsi="宋体" w:eastAsia="宋体" w:cs="宋体"/>
          <w:szCs w:val="21"/>
          <w:u w:val="single"/>
        </w:rPr>
      </w:pPr>
      <w:r>
        <w:rPr>
          <w:rFonts w:hint="eastAsia" w:ascii="宋体" w:hAnsi="宋体" w:eastAsia="宋体" w:cs="宋体"/>
          <w:szCs w:val="21"/>
        </w:rPr>
        <w:t>法律依据：</w:t>
      </w:r>
    </w:p>
    <w:p>
      <w:pPr>
        <w:spacing w:line="360" w:lineRule="auto"/>
        <w:ind w:firstLine="420"/>
        <w:rPr>
          <w:rFonts w:hint="eastAsia" w:ascii="宋体" w:hAnsi="宋体" w:eastAsia="宋体" w:cs="宋体"/>
          <w:szCs w:val="21"/>
        </w:rPr>
      </w:pPr>
      <w:r>
        <w:rPr>
          <w:rFonts w:hint="eastAsia" w:ascii="宋体" w:hAnsi="宋体" w:eastAsia="宋体" w:cs="宋体"/>
          <w:szCs w:val="21"/>
        </w:rPr>
        <w:t>质疑事项2</w:t>
      </w:r>
    </w:p>
    <w:p>
      <w:pPr>
        <w:spacing w:line="360" w:lineRule="auto"/>
        <w:ind w:firstLine="420"/>
        <w:rPr>
          <w:rFonts w:hint="eastAsia" w:ascii="宋体" w:hAnsi="宋体" w:eastAsia="宋体" w:cs="宋体"/>
          <w:bCs/>
          <w:szCs w:val="21"/>
        </w:rPr>
      </w:pPr>
      <w:r>
        <w:rPr>
          <w:rFonts w:hint="eastAsia" w:ascii="宋体" w:hAnsi="宋体" w:eastAsia="宋体" w:cs="宋体"/>
          <w:bCs/>
          <w:szCs w:val="21"/>
        </w:rPr>
        <w:t>四、与质疑事项相关的质疑请求</w:t>
      </w:r>
    </w:p>
    <w:p>
      <w:pPr>
        <w:spacing w:line="360" w:lineRule="auto"/>
        <w:ind w:firstLine="420"/>
        <w:rPr>
          <w:rFonts w:hint="eastAsia" w:ascii="宋体" w:hAnsi="宋体" w:eastAsia="宋体" w:cs="宋体"/>
          <w:szCs w:val="21"/>
          <w:u w:val="single"/>
        </w:rPr>
      </w:pPr>
      <w:r>
        <w:rPr>
          <w:rFonts w:hint="eastAsia" w:ascii="宋体" w:hAnsi="宋体" w:eastAsia="宋体" w:cs="宋体"/>
          <w:szCs w:val="21"/>
        </w:rPr>
        <w:t>请求：</w:t>
      </w:r>
    </w:p>
    <w:p>
      <w:pPr>
        <w:spacing w:line="360" w:lineRule="auto"/>
        <w:ind w:firstLine="420"/>
        <w:rPr>
          <w:rFonts w:hint="eastAsia" w:ascii="宋体" w:hAnsi="宋体" w:eastAsia="宋体" w:cs="宋体"/>
          <w:b/>
          <w:szCs w:val="21"/>
        </w:rPr>
      </w:pPr>
      <w:r>
        <w:rPr>
          <w:rFonts w:hint="eastAsia" w:ascii="宋体" w:hAnsi="宋体" w:eastAsia="宋体" w:cs="宋体"/>
          <w:szCs w:val="21"/>
        </w:rPr>
        <w:t>签字</w:t>
      </w:r>
      <w:r>
        <w:rPr>
          <w:rFonts w:hint="eastAsia" w:ascii="宋体" w:hAnsi="宋体" w:eastAsia="宋体" w:cs="宋体"/>
          <w:szCs w:val="21"/>
          <w:lang w:eastAsia="zh-CN"/>
        </w:rPr>
        <w:t>（</w:t>
      </w:r>
      <w:r>
        <w:rPr>
          <w:rFonts w:hint="eastAsia" w:ascii="宋体" w:hAnsi="宋体" w:eastAsia="宋体" w:cs="宋体"/>
          <w:szCs w:val="21"/>
        </w:rPr>
        <w:t>签章</w:t>
      </w:r>
      <w:r>
        <w:rPr>
          <w:rFonts w:hint="eastAsia" w:ascii="宋体" w:hAnsi="宋体" w:eastAsia="宋体" w:cs="宋体"/>
          <w:szCs w:val="21"/>
          <w:lang w:eastAsia="zh-CN"/>
        </w:rPr>
        <w:t>）</w:t>
      </w:r>
      <w:r>
        <w:rPr>
          <w:rFonts w:hint="eastAsia" w:ascii="宋体" w:hAnsi="宋体" w:eastAsia="宋体" w:cs="宋体"/>
          <w:szCs w:val="21"/>
        </w:rPr>
        <w:t xml:space="preserve">：                   公章：                      日期：   </w:t>
      </w:r>
    </w:p>
    <w:p>
      <w:pPr>
        <w:spacing w:line="360" w:lineRule="auto"/>
        <w:ind w:firstLine="422"/>
        <w:rPr>
          <w:rFonts w:hint="eastAsia" w:ascii="宋体" w:hAnsi="宋体" w:eastAsia="宋体" w:cs="宋体"/>
          <w:b/>
          <w:szCs w:val="21"/>
        </w:rPr>
      </w:pPr>
      <w:r>
        <w:rPr>
          <w:rFonts w:hint="eastAsia" w:ascii="宋体" w:hAnsi="宋体" w:eastAsia="宋体" w:cs="宋体"/>
          <w:b/>
          <w:szCs w:val="21"/>
        </w:rPr>
        <w:t>质疑函制作说明：</w:t>
      </w:r>
    </w:p>
    <w:p>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rPr>
        <w:t>1.供应商提出质疑时，应提交质疑函和必要的证明材料。</w:t>
      </w:r>
    </w:p>
    <w:p>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rPr>
        <w:t>3.质疑供应商若对项目的某一分包进行质疑，质疑函中应列明具体分包号。</w:t>
      </w:r>
    </w:p>
    <w:p>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rPr>
        <w:t>4.质疑函的质疑事项应具体、明确，并有必要的事实依据和法律依据。</w:t>
      </w:r>
    </w:p>
    <w:p>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rPr>
        <w:t>5.质疑函的质疑请求应与质疑事项相关。</w:t>
      </w:r>
    </w:p>
    <w:p>
      <w:pPr>
        <w:widowControl/>
        <w:spacing w:line="360" w:lineRule="auto"/>
        <w:ind w:firstLine="420"/>
        <w:jc w:val="left"/>
        <w:rPr>
          <w:rFonts w:hint="eastAsia" w:ascii="宋体" w:hAnsi="宋体" w:eastAsia="宋体" w:cs="宋体"/>
          <w:b/>
          <w:sz w:val="44"/>
          <w:szCs w:val="44"/>
          <w:lang w:val="en-GB"/>
        </w:rPr>
      </w:pPr>
      <w:r>
        <w:rPr>
          <w:rFonts w:hint="eastAsia" w:ascii="宋体" w:hAnsi="宋体" w:eastAsia="宋体" w:cs="宋体"/>
          <w:szCs w:val="21"/>
        </w:rPr>
        <w:t>6.质疑供应商为自然人的，质疑函应由本人签字；质疑供应商为法人或者其他组织的，质疑函应由法定代表人、主要负责人，或者其授权代表签字或者盖章，并加盖公章。</w:t>
      </w:r>
    </w:p>
    <w:p>
      <w:pPr>
        <w:spacing w:line="480" w:lineRule="auto"/>
        <w:rPr>
          <w:rFonts w:hint="eastAsia" w:ascii="宋体" w:hAnsi="宋体" w:eastAsia="宋体" w:cs="宋体"/>
          <w:b/>
          <w:szCs w:val="28"/>
        </w:rPr>
      </w:pPr>
    </w:p>
    <w:p>
      <w:pPr>
        <w:spacing w:line="480" w:lineRule="auto"/>
        <w:jc w:val="center"/>
        <w:rPr>
          <w:rFonts w:hint="eastAsia" w:ascii="宋体" w:hAnsi="宋体" w:eastAsia="宋体" w:cs="宋体"/>
          <w:b/>
          <w:sz w:val="28"/>
          <w:szCs w:val="28"/>
        </w:rPr>
      </w:pPr>
      <w:r>
        <w:rPr>
          <w:rFonts w:hint="default" w:ascii="宋体" w:hAnsi="宋体" w:eastAsia="宋体" w:cs="黑体"/>
          <w:b/>
          <w:sz w:val="36"/>
          <w:szCs w:val="36"/>
        </w:rPr>
        <w:t>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响应文件格式</w:t>
      </w:r>
    </w:p>
    <w:p>
      <w:pPr>
        <w:spacing w:line="360" w:lineRule="auto"/>
        <w:jc w:val="both"/>
        <w:rPr>
          <w:rFonts w:hint="eastAsia" w:ascii="宋体" w:hAnsi="宋体" w:eastAsia="宋体" w:cs="宋体"/>
          <w:b/>
          <w:color w:val="000000"/>
          <w:sz w:val="28"/>
          <w:szCs w:val="28"/>
        </w:rPr>
      </w:pPr>
      <w:bookmarkStart w:id="48" w:name="_Toc3779"/>
      <w:bookmarkStart w:id="49" w:name="_一、法定代表人授权书"/>
      <w:r>
        <w:rPr>
          <w:rFonts w:hint="eastAsia" w:ascii="宋体" w:hAnsi="宋体" w:eastAsia="宋体" w:cs="宋体"/>
          <w:b/>
          <w:color w:val="000000"/>
          <w:sz w:val="28"/>
          <w:szCs w:val="28"/>
        </w:rPr>
        <w:t>响应文件由资格审查证明材料、商务技术文件、价格文件三部分组成。请供应商根据本</w:t>
      </w:r>
      <w:r>
        <w:rPr>
          <w:rFonts w:hint="eastAsia" w:ascii="宋体" w:hAnsi="宋体" w:eastAsia="宋体" w:cs="宋体"/>
          <w:b/>
          <w:color w:val="000000"/>
          <w:sz w:val="28"/>
          <w:szCs w:val="28"/>
          <w:lang w:val="en-US" w:eastAsia="zh-CN"/>
        </w:rPr>
        <w:t>招标</w:t>
      </w:r>
      <w:r>
        <w:rPr>
          <w:rFonts w:hint="eastAsia" w:ascii="宋体" w:hAnsi="宋体" w:eastAsia="宋体" w:cs="宋体"/>
          <w:b/>
          <w:color w:val="000000"/>
          <w:sz w:val="28"/>
          <w:szCs w:val="28"/>
        </w:rPr>
        <w:t>文件的要求在以上三部分中分别上传响应的材料。</w:t>
      </w:r>
    </w:p>
    <w:p>
      <w:pPr>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一、资格审查证明材料</w:t>
      </w:r>
    </w:p>
    <w:p>
      <w:pPr>
        <w:spacing w:line="360" w:lineRule="auto"/>
        <w:jc w:val="both"/>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1.投标人符合《政府采购法》第二十二条规定条件的声明函（格式见附件1）；</w:t>
      </w:r>
    </w:p>
    <w:p>
      <w:pPr>
        <w:spacing w:line="360" w:lineRule="auto"/>
        <w:jc w:val="both"/>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2.法定代表人身份证明书（格式见附件2）自然人的身份证明；</w:t>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3.法定代表人授权委托书原件（格式见附件3，法定代表人参加的无需提供授权委托书），投标代表人身份证复印件；</w:t>
      </w:r>
    </w:p>
    <w:p>
      <w:pPr>
        <w:spacing w:line="360" w:lineRule="auto"/>
        <w:jc w:val="both"/>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4</w:t>
      </w:r>
      <w:r>
        <w:rPr>
          <w:rFonts w:hint="eastAsia" w:ascii="宋体" w:hAnsi="宋体" w:eastAsia="宋体" w:cs="宋体"/>
          <w:b w:val="0"/>
          <w:bCs/>
          <w:color w:val="000000"/>
          <w:sz w:val="28"/>
          <w:szCs w:val="28"/>
        </w:rPr>
        <w:t>.供应商信用承诺书（格式见附件4）；</w:t>
      </w:r>
    </w:p>
    <w:p>
      <w:pPr>
        <w:spacing w:line="360" w:lineRule="auto"/>
        <w:jc w:val="both"/>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5.落实政府采购政策需满足的资格要求</w:t>
      </w:r>
      <w:r>
        <w:rPr>
          <w:rFonts w:hint="eastAsia" w:ascii="宋体" w:hAnsi="宋体" w:eastAsia="宋体" w:cs="宋体"/>
          <w:b w:val="0"/>
          <w:bCs/>
          <w:color w:val="auto"/>
          <w:sz w:val="28"/>
          <w:szCs w:val="28"/>
        </w:rPr>
        <w:t>（格式见附件</w:t>
      </w:r>
      <w:r>
        <w:rPr>
          <w:rFonts w:hint="eastAsia" w:ascii="宋体" w:hAnsi="宋体" w:eastAsia="宋体" w:cs="宋体"/>
          <w:b w:val="0"/>
          <w:bCs/>
          <w:color w:val="auto"/>
          <w:sz w:val="28"/>
          <w:szCs w:val="28"/>
          <w:lang w:val="en-US" w:eastAsia="zh-CN"/>
        </w:rPr>
        <w:t>6</w:t>
      </w:r>
      <w:r>
        <w:rPr>
          <w:rFonts w:hint="eastAsia" w:ascii="宋体" w:hAnsi="宋体" w:eastAsia="宋体" w:cs="宋体"/>
          <w:b w:val="0"/>
          <w:bCs/>
          <w:color w:val="auto"/>
          <w:sz w:val="28"/>
          <w:szCs w:val="28"/>
        </w:rPr>
        <w:t>）</w:t>
      </w:r>
      <w:r>
        <w:rPr>
          <w:rFonts w:hint="eastAsia" w:ascii="宋体" w:hAnsi="宋体" w:eastAsia="宋体" w:cs="宋体"/>
          <w:b w:val="0"/>
          <w:bCs/>
          <w:color w:val="000000"/>
          <w:sz w:val="28"/>
          <w:szCs w:val="28"/>
          <w:highlight w:val="none"/>
          <w:lang w:val="en-US" w:eastAsia="zh-CN"/>
        </w:rPr>
        <w:t>；</w:t>
      </w:r>
    </w:p>
    <w:p>
      <w:pPr>
        <w:spacing w:line="360" w:lineRule="auto"/>
        <w:jc w:val="both"/>
        <w:rPr>
          <w:rFonts w:hint="eastAsia" w:ascii="宋体" w:hAnsi="宋体" w:eastAsia="宋体" w:cs="宋体"/>
          <w:b w:val="0"/>
          <w:bCs w:val="0"/>
          <w:color w:val="000000"/>
          <w:sz w:val="28"/>
          <w:szCs w:val="28"/>
          <w:lang w:eastAsia="zh-CN"/>
        </w:rPr>
      </w:pPr>
      <w:r>
        <w:rPr>
          <w:rFonts w:hint="eastAsia" w:ascii="宋体" w:hAnsi="宋体" w:eastAsia="宋体" w:cs="宋体"/>
          <w:b w:val="0"/>
          <w:bCs/>
          <w:color w:val="000000"/>
          <w:sz w:val="28"/>
          <w:szCs w:val="28"/>
          <w:highlight w:val="none"/>
          <w:lang w:val="en-US" w:eastAsia="zh-CN"/>
        </w:rPr>
        <w:t>6</w:t>
      </w:r>
      <w:r>
        <w:rPr>
          <w:rFonts w:hint="eastAsia" w:ascii="宋体" w:hAnsi="宋体" w:eastAsia="宋体" w:cs="宋体"/>
          <w:b w:val="0"/>
          <w:bCs/>
          <w:color w:val="000000"/>
          <w:sz w:val="28"/>
          <w:szCs w:val="28"/>
          <w:highlight w:val="none"/>
        </w:rPr>
        <w:t>.本项目的特殊资格要求（详见采购公告）</w:t>
      </w:r>
      <w:r>
        <w:rPr>
          <w:rFonts w:hint="eastAsia" w:ascii="宋体" w:hAnsi="宋体" w:eastAsia="宋体" w:cs="宋体"/>
          <w:b w:val="0"/>
          <w:bCs/>
          <w:color w:val="000000"/>
          <w:sz w:val="28"/>
          <w:szCs w:val="28"/>
          <w:highlight w:val="none"/>
          <w:lang w:eastAsia="zh-CN"/>
        </w:rPr>
        <w:t>；</w:t>
      </w:r>
    </w:p>
    <w:p>
      <w:pPr>
        <w:spacing w:line="360" w:lineRule="auto"/>
        <w:jc w:val="both"/>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7</w:t>
      </w:r>
      <w:r>
        <w:rPr>
          <w:rFonts w:hint="eastAsia" w:ascii="宋体" w:hAnsi="宋体" w:eastAsia="宋体" w:cs="宋体"/>
          <w:b w:val="0"/>
          <w:bCs/>
          <w:color w:val="000000"/>
          <w:sz w:val="28"/>
          <w:szCs w:val="28"/>
        </w:rPr>
        <w:t>.其它需要提交的资格审查证明材料。</w:t>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二</w:t>
      </w:r>
      <w:r>
        <w:rPr>
          <w:rFonts w:hint="eastAsia" w:ascii="宋体" w:hAnsi="宋体" w:eastAsia="宋体" w:cs="宋体"/>
          <w:b/>
          <w:sz w:val="28"/>
          <w:szCs w:val="28"/>
        </w:rPr>
        <w:t>、商务技术文件</w:t>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1.商务技术评分标准中须提供的相关得分佐证材料；</w:t>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rPr>
        <w:t>2.投标人认为需要提交的其他商务技术材料。</w:t>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三</w:t>
      </w:r>
      <w:r>
        <w:rPr>
          <w:rFonts w:hint="eastAsia" w:ascii="宋体" w:hAnsi="宋体" w:eastAsia="宋体" w:cs="宋体"/>
          <w:b/>
          <w:sz w:val="28"/>
          <w:szCs w:val="28"/>
        </w:rPr>
        <w:t>、价格文件</w:t>
      </w:r>
    </w:p>
    <w:p>
      <w:pPr>
        <w:spacing w:line="360" w:lineRule="auto"/>
        <w:jc w:val="both"/>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1.报价一览表（格式见附件5）； </w:t>
      </w:r>
    </w:p>
    <w:p>
      <w:pPr>
        <w:spacing w:line="360" w:lineRule="auto"/>
        <w:jc w:val="both"/>
        <w:rPr>
          <w:rFonts w:hint="default"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2.分项报价一览表</w:t>
      </w:r>
    </w:p>
    <w:p>
      <w:pPr>
        <w:spacing w:line="360" w:lineRule="auto"/>
        <w:jc w:val="both"/>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3.小型、微型企业声明函（格式见附件6）</w:t>
      </w:r>
    </w:p>
    <w:p>
      <w:pPr>
        <w:spacing w:line="360" w:lineRule="auto"/>
        <w:jc w:val="both"/>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4.残疾人福利性单位声明函（格式见附件7）</w:t>
      </w:r>
    </w:p>
    <w:p>
      <w:pPr>
        <w:spacing w:line="360" w:lineRule="auto"/>
        <w:jc w:val="both"/>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5.监狱和戒毒企业证明材料（格式见附件8）</w:t>
      </w:r>
    </w:p>
    <w:p>
      <w:pPr>
        <w:rPr>
          <w:rFonts w:hint="eastAsia" w:ascii="宋体" w:hAnsi="宋体" w:eastAsia="宋体" w:cs="宋体"/>
          <w:b/>
          <w:spacing w:val="20"/>
          <w:sz w:val="24"/>
          <w:szCs w:val="20"/>
          <w:lang w:eastAsia="zh-CN"/>
        </w:rPr>
      </w:pPr>
    </w:p>
    <w:p>
      <w:pPr>
        <w:rPr>
          <w:rFonts w:hint="eastAsia" w:ascii="宋体" w:hAnsi="宋体" w:eastAsia="宋体" w:cs="宋体"/>
          <w:b/>
          <w:spacing w:val="20"/>
          <w:sz w:val="24"/>
          <w:szCs w:val="20"/>
        </w:rPr>
      </w:pPr>
    </w:p>
    <w:p>
      <w:pPr>
        <w:rPr>
          <w:rFonts w:hint="eastAsia" w:ascii="宋体" w:hAnsi="宋体" w:eastAsia="宋体" w:cs="宋体"/>
          <w:b/>
          <w:spacing w:val="20"/>
          <w:sz w:val="24"/>
          <w:szCs w:val="20"/>
        </w:rPr>
      </w:pPr>
    </w:p>
    <w:p>
      <w:pPr>
        <w:rPr>
          <w:rFonts w:hint="eastAsia" w:ascii="宋体" w:hAnsi="宋体" w:eastAsia="宋体" w:cs="宋体"/>
          <w:b/>
          <w:spacing w:val="20"/>
          <w:sz w:val="24"/>
          <w:szCs w:val="20"/>
        </w:rPr>
      </w:pPr>
    </w:p>
    <w:p>
      <w:pPr>
        <w:rPr>
          <w:rFonts w:hint="eastAsia" w:ascii="宋体" w:hAnsi="宋体" w:eastAsia="宋体" w:cs="宋体"/>
          <w:b/>
          <w:spacing w:val="20"/>
          <w:sz w:val="24"/>
          <w:szCs w:val="20"/>
        </w:rPr>
      </w:pPr>
    </w:p>
    <w:p>
      <w:pPr>
        <w:keepNext/>
        <w:widowControl w:val="0"/>
        <w:jc w:val="center"/>
        <w:outlineLvl w:val="3"/>
        <w:rPr>
          <w:rFonts w:hint="eastAsia" w:ascii="Times New Roman" w:hAnsi="Times New Roman" w:eastAsia="新宋体" w:cs="Times New Roman"/>
          <w:sz w:val="30"/>
          <w:szCs w:val="21"/>
          <w:lang w:val="en-US" w:eastAsia="zh-CN" w:bidi="ar-SA"/>
        </w:rPr>
      </w:pPr>
    </w:p>
    <w:p>
      <w:pPr>
        <w:rPr>
          <w:rFonts w:hint="eastAsia" w:ascii="宋体" w:hAnsi="宋体" w:eastAsia="宋体" w:cs="宋体"/>
          <w:b/>
          <w:spacing w:val="20"/>
          <w:sz w:val="24"/>
          <w:szCs w:val="20"/>
        </w:rPr>
      </w:pPr>
    </w:p>
    <w:p>
      <w:pPr>
        <w:rPr>
          <w:rFonts w:hint="eastAsia" w:ascii="宋体" w:hAnsi="宋体" w:eastAsia="宋体" w:cs="宋体"/>
          <w:b/>
          <w:bCs/>
          <w:sz w:val="24"/>
          <w:szCs w:val="24"/>
          <w:highlight w:val="none"/>
        </w:rPr>
      </w:pPr>
      <w:r>
        <w:rPr>
          <w:rFonts w:hint="eastAsia" w:ascii="宋体" w:hAnsi="宋体" w:eastAsia="宋体" w:cs="宋体"/>
          <w:b/>
          <w:spacing w:val="20"/>
          <w:sz w:val="24"/>
          <w:szCs w:val="20"/>
        </w:rPr>
        <w:t>响应文件</w:t>
      </w:r>
      <w:r>
        <w:rPr>
          <w:rFonts w:hint="eastAsia" w:ascii="宋体" w:hAnsi="宋体" w:eastAsia="宋体" w:cs="宋体"/>
          <w:b/>
          <w:sz w:val="24"/>
          <w:szCs w:val="20"/>
        </w:rPr>
        <w:t>封面</w:t>
      </w:r>
    </w:p>
    <w:p>
      <w:pPr>
        <w:jc w:val="center"/>
        <w:rPr>
          <w:rFonts w:hint="eastAsia" w:ascii="宋体" w:hAnsi="宋体" w:eastAsia="宋体" w:cs="宋体"/>
          <w:sz w:val="21"/>
          <w:szCs w:val="21"/>
        </w:rPr>
      </w:pPr>
    </w:p>
    <w:p>
      <w:pPr>
        <w:jc w:val="center"/>
        <w:rPr>
          <w:rFonts w:hint="eastAsia" w:ascii="宋体" w:hAnsi="宋体" w:eastAsia="宋体" w:cs="宋体"/>
          <w:b/>
          <w:spacing w:val="60"/>
          <w:sz w:val="84"/>
          <w:szCs w:val="84"/>
        </w:rPr>
      </w:pPr>
    </w:p>
    <w:p>
      <w:pPr>
        <w:jc w:val="center"/>
        <w:rPr>
          <w:rFonts w:hint="eastAsia" w:ascii="宋体" w:hAnsi="宋体" w:eastAsia="宋体" w:cs="宋体"/>
          <w:b/>
          <w:spacing w:val="60"/>
          <w:sz w:val="84"/>
          <w:szCs w:val="84"/>
        </w:rPr>
      </w:pP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响应文件</w:t>
      </w:r>
    </w:p>
    <w:p>
      <w:pPr>
        <w:ind w:firstLine="873"/>
        <w:rPr>
          <w:rFonts w:hint="eastAsia" w:ascii="宋体" w:hAnsi="宋体" w:eastAsia="宋体" w:cs="宋体"/>
          <w:b/>
          <w:spacing w:val="60"/>
          <w:sz w:val="52"/>
          <w:szCs w:val="52"/>
        </w:rPr>
      </w:pPr>
    </w:p>
    <w:p>
      <w:pPr>
        <w:ind w:firstLine="873"/>
        <w:rPr>
          <w:rFonts w:hint="eastAsia" w:ascii="宋体" w:hAnsi="宋体" w:eastAsia="宋体" w:cs="宋体"/>
          <w:b/>
          <w:spacing w:val="60"/>
          <w:sz w:val="52"/>
          <w:szCs w:val="52"/>
        </w:rPr>
      </w:pPr>
    </w:p>
    <w:p>
      <w:pPr>
        <w:ind w:firstLine="512"/>
        <w:rPr>
          <w:rFonts w:hint="eastAsia" w:ascii="宋体" w:hAnsi="宋体" w:eastAsia="宋体" w:cs="宋体"/>
          <w:b/>
          <w:spacing w:val="20"/>
          <w:sz w:val="32"/>
          <w:szCs w:val="32"/>
        </w:rPr>
      </w:pPr>
    </w:p>
    <w:p>
      <w:pPr>
        <w:ind w:firstLine="512"/>
        <w:rPr>
          <w:rFonts w:hint="eastAsia" w:ascii="宋体" w:hAnsi="宋体" w:eastAsia="宋体" w:cs="宋体"/>
          <w:b/>
          <w:spacing w:val="20"/>
          <w:sz w:val="32"/>
          <w:szCs w:val="32"/>
        </w:rPr>
      </w:pP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项 目 名 称：</w:t>
      </w:r>
      <w:r>
        <w:rPr>
          <w:rFonts w:hint="eastAsia" w:ascii="宋体" w:hAnsi="宋体" w:eastAsia="宋体" w:cs="宋体"/>
          <w:b/>
          <w:sz w:val="36"/>
          <w:szCs w:val="20"/>
          <w:u w:val="single"/>
          <w:lang w:val="en-US" w:eastAsia="zh-CN"/>
        </w:rPr>
        <w:t xml:space="preserve">                   </w:t>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项 目 编 号：</w:t>
      </w:r>
      <w:r>
        <w:rPr>
          <w:rFonts w:hint="eastAsia" w:ascii="宋体" w:hAnsi="宋体" w:eastAsia="宋体" w:cs="宋体"/>
          <w:b/>
          <w:sz w:val="36"/>
          <w:szCs w:val="20"/>
          <w:u w:val="single"/>
          <w:lang w:val="en-US" w:eastAsia="zh-CN"/>
        </w:rPr>
        <w:t xml:space="preserve">                   </w:t>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w:t>
      </w:r>
      <w:r>
        <w:rPr>
          <w:rFonts w:hint="eastAsia" w:ascii="宋体" w:hAnsi="宋体" w:eastAsia="宋体" w:cs="宋体"/>
          <w:b/>
          <w:sz w:val="36"/>
          <w:szCs w:val="20"/>
          <w:u w:val="single"/>
          <w:lang w:val="en-US" w:eastAsia="zh-CN"/>
        </w:rPr>
        <w:t>加盖CA电子公章</w:t>
      </w:r>
      <w:r>
        <w:rPr>
          <w:rFonts w:hint="eastAsia" w:ascii="宋体" w:hAnsi="宋体" w:eastAsia="宋体" w:cs="宋体"/>
          <w:b/>
          <w:sz w:val="36"/>
          <w:szCs w:val="20"/>
          <w:u w:val="single"/>
          <w:lang w:eastAsia="zh-CN"/>
        </w:rPr>
        <w:t>）</w:t>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日      期 ：</w:t>
      </w:r>
      <w:r>
        <w:rPr>
          <w:rFonts w:hint="eastAsia" w:ascii="宋体" w:hAnsi="宋体" w:eastAsia="宋体" w:cs="宋体"/>
          <w:b/>
          <w:sz w:val="36"/>
          <w:szCs w:val="20"/>
          <w:u w:val="single"/>
          <w:lang w:val="en-US" w:eastAsia="zh-CN"/>
        </w:rPr>
        <w:t xml:space="preserve">                   </w:t>
      </w:r>
    </w:p>
    <w:p>
      <w:pPr>
        <w:rPr>
          <w:rFonts w:hint="eastAsia" w:ascii="宋体" w:hAnsi="宋体" w:eastAsia="宋体" w:cs="宋体"/>
          <w:b/>
          <w:sz w:val="36"/>
          <w:szCs w:val="20"/>
        </w:rPr>
      </w:pP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p>
    <w:p>
      <w:pPr>
        <w:jc w:val="both"/>
        <w:rPr>
          <w:rFonts w:hint="eastAsia" w:ascii="宋体" w:hAnsi="宋体" w:eastAsia="宋体" w:cs="宋体"/>
          <w:b/>
          <w:color w:val="000000"/>
          <w:sz w:val="30"/>
          <w:szCs w:val="30"/>
        </w:rPr>
      </w:pPr>
    </w:p>
    <w:p>
      <w:pPr>
        <w:jc w:val="both"/>
        <w:rPr>
          <w:rFonts w:hint="eastAsia" w:ascii="宋体" w:hAnsi="宋体" w:eastAsia="宋体" w:cs="宋体"/>
          <w:b/>
          <w:color w:val="000000"/>
          <w:sz w:val="15"/>
          <w:szCs w:val="15"/>
          <w:lang w:val="en-US" w:eastAsia="zh-CN"/>
        </w:rPr>
      </w:pPr>
    </w:p>
    <w:p>
      <w:pPr>
        <w:jc w:val="both"/>
        <w:rPr>
          <w:rFonts w:hint="default" w:ascii="宋体" w:hAnsi="宋体" w:eastAsia="宋体" w:cs="宋体"/>
          <w:b w:val="0"/>
          <w:bCs w:val="0"/>
          <w:color w:val="000000"/>
          <w:sz w:val="24"/>
          <w:szCs w:val="24"/>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rPr>
          <w:rFonts w:hint="eastAsia"/>
          <w:lang w:val="en-US" w:eastAsia="zh-CN"/>
        </w:rPr>
      </w:pPr>
    </w:p>
    <w:p>
      <w:pPr>
        <w:jc w:val="both"/>
        <w:rPr>
          <w:rFonts w:hint="eastAsia" w:ascii="宋体" w:hAnsi="宋体" w:eastAsia="宋体" w:cs="宋体"/>
          <w:b w:val="0"/>
          <w:bCs/>
          <w:color w:val="000000"/>
          <w:sz w:val="24"/>
          <w:szCs w:val="24"/>
          <w:lang w:val="en-US" w:eastAsia="zh-CN"/>
        </w:rPr>
      </w:pP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附件1：</w:t>
      </w:r>
    </w:p>
    <w:p>
      <w:pPr>
        <w:jc w:val="center"/>
        <w:rPr>
          <w:rFonts w:hint="eastAsia" w:ascii="宋体" w:hAnsi="宋体" w:eastAsia="宋体" w:cs="宋体"/>
          <w:b/>
          <w:color w:val="000000"/>
          <w:sz w:val="30"/>
          <w:szCs w:val="30"/>
        </w:rPr>
      </w:pP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投标人符合《政府采购法》第二十二条规定条件的声明函</w:t>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p>
    <w:p>
      <w:pPr>
        <w:spacing w:line="520" w:lineRule="exact"/>
        <w:ind w:firstLine="480"/>
        <w:rPr>
          <w:rFonts w:hint="eastAsia" w:ascii="宋体" w:hAnsi="宋体" w:eastAsia="宋体" w:cs="宋体"/>
          <w:b/>
          <w:bCs/>
          <w:color w:val="000000"/>
          <w:sz w:val="28"/>
          <w:szCs w:val="28"/>
        </w:rPr>
      </w:pPr>
      <w:r>
        <w:rPr>
          <w:rFonts w:hint="eastAsia" w:ascii="宋体" w:hAnsi="宋体" w:eastAsia="宋体" w:cs="宋体"/>
          <w:bCs/>
          <w:color w:val="000000"/>
          <w:sz w:val="28"/>
          <w:szCs w:val="28"/>
        </w:rPr>
        <w:t>我单位参加</w:t>
      </w:r>
      <w:r>
        <w:rPr>
          <w:rFonts w:hint="eastAsia" w:ascii="宋体" w:hAnsi="宋体" w:eastAsia="宋体" w:cs="宋体"/>
          <w:bCs/>
          <w:color w:val="000000"/>
          <w:sz w:val="28"/>
          <w:szCs w:val="28"/>
          <w:u w:val="single"/>
          <w:lang w:eastAsia="zh-CN"/>
        </w:rPr>
        <w:t>南通市海门区正余镇人民政府采购中国工农红军南通海门红军小学校园红色环境提升项目</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（项目编号</w:t>
      </w:r>
      <w:r>
        <w:rPr>
          <w:rFonts w:hint="eastAsia" w:ascii="宋体" w:hAnsi="宋体" w:eastAsia="宋体" w:cs="宋体"/>
          <w:bCs/>
          <w:color w:val="000000"/>
          <w:sz w:val="28"/>
          <w:szCs w:val="28"/>
          <w:lang w:eastAsia="zh-CN"/>
        </w:rPr>
        <w:t>：JSZC-320614-NTWL-G2026-0012</w:t>
      </w:r>
      <w:r>
        <w:rPr>
          <w:rFonts w:hint="eastAsia" w:ascii="宋体" w:hAnsi="宋体" w:eastAsia="宋体" w:cs="宋体"/>
          <w:bCs/>
          <w:color w:val="000000"/>
          <w:sz w:val="28"/>
          <w:szCs w:val="28"/>
        </w:rPr>
        <w:t>）投标活动。针对《中华人民共和国政府采购法》第二十二条规定做出如下声明：</w:t>
      </w:r>
    </w:p>
    <w:p>
      <w:pPr>
        <w:spacing w:line="520" w:lineRule="exact"/>
        <w:ind w:firstLine="482"/>
        <w:rPr>
          <w:rFonts w:hint="eastAsia" w:ascii="宋体" w:hAnsi="宋体" w:eastAsia="宋体" w:cs="宋体"/>
          <w:color w:val="000000"/>
          <w:sz w:val="28"/>
          <w:szCs w:val="28"/>
        </w:rPr>
      </w:pPr>
      <w:r>
        <w:rPr>
          <w:rFonts w:hint="eastAsia" w:ascii="宋体" w:hAnsi="宋体" w:eastAsia="宋体" w:cs="宋体"/>
          <w:bCs/>
          <w:color w:val="000000"/>
          <w:sz w:val="28"/>
          <w:szCs w:val="28"/>
        </w:rPr>
        <w:t>1.我单位具有独立承担民事责任的能力；</w:t>
      </w:r>
    </w:p>
    <w:p>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2.我单位具有良好的商业信誉和健全的财务会计制度；</w:t>
      </w:r>
    </w:p>
    <w:p>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3.我单位具有履行合同所必需的设备和专业技术能力；</w:t>
      </w:r>
    </w:p>
    <w:p>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4.我单位有依法缴纳税收和社会保障资金的良好记录；</w:t>
      </w:r>
    </w:p>
    <w:p>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6.我单位满足法律、行政法规规定的其他条件。</w:t>
      </w:r>
    </w:p>
    <w:p>
      <w:pPr>
        <w:spacing w:line="500" w:lineRule="exact"/>
        <w:ind w:firstLine="482"/>
        <w:rPr>
          <w:rFonts w:hint="eastAsia" w:ascii="宋体" w:hAnsi="宋体" w:eastAsia="宋体" w:cs="宋体"/>
          <w:color w:val="000000"/>
          <w:sz w:val="28"/>
          <w:szCs w:val="28"/>
        </w:rPr>
      </w:pPr>
    </w:p>
    <w:p>
      <w:pPr>
        <w:spacing w:line="500" w:lineRule="exact"/>
        <w:rPr>
          <w:rFonts w:hint="eastAsia" w:ascii="宋体" w:hAnsi="宋体" w:eastAsia="宋体" w:cs="宋体"/>
          <w:bCs/>
          <w:color w:val="000000"/>
          <w:sz w:val="28"/>
          <w:szCs w:val="28"/>
        </w:rPr>
      </w:pPr>
    </w:p>
    <w:p>
      <w:pPr>
        <w:spacing w:line="4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承诺人名称（公章）：</w:t>
      </w:r>
    </w:p>
    <w:p>
      <w:pPr>
        <w:spacing w:line="460" w:lineRule="exact"/>
        <w:jc w:val="righ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p>
    <w:p>
      <w:pPr>
        <w:spacing w:line="460" w:lineRule="exact"/>
        <w:jc w:val="righ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日</w:t>
      </w:r>
    </w:p>
    <w:p>
      <w:pPr>
        <w:widowControl w:val="0"/>
        <w:ind w:firstLine="0"/>
        <w:jc w:val="both"/>
        <w:rPr>
          <w:rFonts w:hint="eastAsia" w:ascii="宋体" w:hAnsi="宋体" w:eastAsia="宋体" w:cs="宋体"/>
          <w:sz w:val="21"/>
          <w:lang w:val="en-US" w:eastAsia="zh-CN" w:bidi="ar-SA"/>
        </w:rPr>
      </w:pPr>
    </w:p>
    <w:p>
      <w:pPr>
        <w:widowControl w:val="0"/>
        <w:spacing w:before="0" w:beforeAutospacing="0" w:after="0" w:afterAutospacing="0" w:line="560" w:lineRule="exact"/>
        <w:jc w:val="both"/>
        <w:rPr>
          <w:rFonts w:hint="eastAsia" w:ascii="宋体" w:hAnsi="宋体" w:eastAsia="宋体" w:cs="宋体"/>
          <w:color w:val="000000"/>
          <w:sz w:val="32"/>
          <w:szCs w:val="32"/>
          <w:lang w:val="zh-CN" w:eastAsia="zh-CN" w:bidi="ar-SA"/>
        </w:rPr>
      </w:pPr>
    </w:p>
    <w:p>
      <w:pPr>
        <w:widowControl w:val="0"/>
        <w:spacing w:before="0" w:beforeAutospacing="0" w:after="0" w:afterAutospacing="0" w:line="560" w:lineRule="exact"/>
        <w:jc w:val="both"/>
        <w:rPr>
          <w:rFonts w:hint="eastAsia" w:ascii="宋体" w:hAnsi="宋体" w:eastAsia="宋体" w:cs="宋体"/>
          <w:color w:val="000000"/>
          <w:sz w:val="32"/>
          <w:szCs w:val="32"/>
          <w:lang w:val="zh-CN" w:eastAsia="zh-CN" w:bidi="ar-SA"/>
        </w:rPr>
      </w:pPr>
    </w:p>
    <w:p>
      <w:pPr>
        <w:pBdr>
          <w:top w:val="none" w:color="000000" w:sz="0" w:space="0"/>
          <w:left w:val="none" w:color="000000" w:sz="0" w:space="0"/>
          <w:bottom w:val="none" w:color="000000" w:sz="0" w:space="0"/>
          <w:right w:val="none" w:color="000000" w:sz="0" w:space="0"/>
        </w:pBdr>
        <w:jc w:val="both"/>
        <w:rPr>
          <w:rFonts w:hint="eastAsia" w:ascii="宋体" w:hAnsi="宋体" w:eastAsia="宋体" w:cs="宋体"/>
          <w:i w:val="0"/>
          <w:iCs/>
          <w:sz w:val="32"/>
          <w:szCs w:val="20"/>
          <w:u w:val="singl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附件2：</w:t>
      </w:r>
    </w:p>
    <w:p>
      <w:pPr>
        <w:widowControl w:val="0"/>
        <w:spacing w:before="0" w:beforeAutospacing="0" w:after="0" w:afterAutospacing="0" w:line="560" w:lineRule="exact"/>
        <w:jc w:val="center"/>
        <w:rPr>
          <w:rFonts w:hint="eastAsia" w:ascii="宋体" w:hAnsi="宋体" w:eastAsia="宋体" w:cs="宋体"/>
          <w:b/>
          <w:sz w:val="32"/>
          <w:szCs w:val="32"/>
          <w:lang w:val="en-US" w:eastAsia="zh-CN" w:bidi="ar"/>
        </w:rPr>
      </w:pPr>
    </w:p>
    <w:p>
      <w:pPr>
        <w:widowControl w:val="0"/>
        <w:spacing w:before="0" w:beforeAutospacing="0" w:after="0" w:afterAutospacing="0" w:line="560" w:lineRule="exact"/>
        <w:jc w:val="center"/>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法定代表人身份证明</w:t>
      </w:r>
    </w:p>
    <w:p>
      <w:pPr>
        <w:spacing w:line="480" w:lineRule="exact"/>
        <w:rPr>
          <w:rFonts w:hint="eastAsia" w:ascii="宋体" w:hAnsi="宋体" w:eastAsia="宋体" w:cs="宋体"/>
          <w:sz w:val="24"/>
          <w:szCs w:val="20"/>
        </w:rPr>
      </w:pPr>
    </w:p>
    <w:p>
      <w:pPr>
        <w:spacing w:line="480" w:lineRule="exact"/>
        <w:ind w:firstLine="560"/>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职务，为法定代表人，特此证明。</w:t>
      </w:r>
    </w:p>
    <w:p>
      <w:pPr>
        <w:spacing w:line="480" w:lineRule="exact"/>
        <w:ind w:firstLine="480"/>
        <w:rPr>
          <w:rFonts w:hint="eastAsia" w:ascii="宋体" w:hAnsi="宋体" w:eastAsia="宋体" w:cs="宋体"/>
          <w:sz w:val="28"/>
          <w:szCs w:val="28"/>
          <w:u w:val="single"/>
        </w:rPr>
      </w:pPr>
      <w:r>
        <w:rPr>
          <w:rFonts w:hint="eastAsia" w:ascii="宋体" w:hAnsi="宋体" w:eastAsia="宋体" w:cs="宋体"/>
          <w:sz w:val="28"/>
          <w:szCs w:val="28"/>
          <w:lang w:bidi="ar"/>
        </w:rPr>
        <w:t>身份证号码：</w:t>
      </w:r>
      <w:r>
        <w:rPr>
          <w:rFonts w:hint="eastAsia" w:ascii="宋体" w:hAnsi="宋体" w:eastAsia="宋体" w:cs="宋体"/>
          <w:sz w:val="28"/>
          <w:szCs w:val="28"/>
          <w:u w:val="single"/>
          <w:lang w:bidi="ar"/>
        </w:rPr>
        <w:t xml:space="preserve">                  </w:t>
      </w:r>
    </w:p>
    <w:p>
      <w:pPr>
        <w:spacing w:line="480" w:lineRule="exact"/>
        <w:ind w:firstLine="480"/>
        <w:rPr>
          <w:rFonts w:hint="eastAsia" w:ascii="宋体" w:hAnsi="宋体" w:eastAsia="宋体" w:cs="宋体"/>
          <w:sz w:val="28"/>
          <w:szCs w:val="28"/>
          <w:u w:val="single"/>
        </w:rPr>
      </w:pPr>
      <w:r>
        <w:rPr>
          <w:rFonts w:hint="eastAsia" w:ascii="宋体" w:hAnsi="宋体" w:eastAsia="宋体" w:cs="宋体"/>
          <w:sz w:val="28"/>
          <w:szCs w:val="28"/>
        </w:rPr>
        <w:t>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
    <w:p>
      <w:pPr>
        <w:widowControl/>
        <w:spacing w:line="600" w:lineRule="exact"/>
        <w:jc w:val="both"/>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注：提供法定代表人的身份证复印件盖公章</w:t>
      </w:r>
      <w:bookmarkEnd w:id="48"/>
      <w:bookmarkEnd w:id="49"/>
    </w:p>
    <w:p>
      <w:pPr>
        <w:spacing w:line="520" w:lineRule="exact"/>
        <w:jc w:val="center"/>
        <w:rPr>
          <w:rFonts w:hint="eastAsia" w:ascii="宋体" w:hAnsi="宋体" w:eastAsia="宋体" w:cs="宋体"/>
          <w:b/>
          <w:bCs/>
          <w:szCs w:val="21"/>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sz w:val="28"/>
          <w:szCs w:val="28"/>
          <w:u w:val="single"/>
        </w:rPr>
      </w:pPr>
    </w:p>
    <w:p>
      <w:pPr>
        <w:jc w:val="both"/>
        <w:rPr>
          <w:rFonts w:hint="eastAsia" w:ascii="宋体" w:hAnsi="宋体" w:eastAsia="宋体" w:cs="宋体"/>
          <w:b/>
          <w:bCs/>
          <w:sz w:val="32"/>
          <w:szCs w:val="32"/>
        </w:rPr>
      </w:pPr>
    </w:p>
    <w:p>
      <w:pPr>
        <w:pStyle w:val="18"/>
        <w:rPr>
          <w:rFonts w:hint="eastAsia"/>
        </w:rPr>
      </w:pP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附件3：</w:t>
      </w:r>
    </w:p>
    <w:p>
      <w:pPr>
        <w:spacing w:line="520" w:lineRule="exact"/>
        <w:jc w:val="center"/>
        <w:rPr>
          <w:rFonts w:hint="eastAsia" w:ascii="宋体" w:hAnsi="宋体" w:eastAsia="宋体" w:cs="宋体"/>
          <w:b/>
          <w:sz w:val="32"/>
          <w:szCs w:val="32"/>
        </w:rPr>
      </w:pPr>
      <w:r>
        <w:rPr>
          <w:rFonts w:hint="eastAsia" w:ascii="宋体" w:hAnsi="宋体" w:eastAsia="宋体" w:cs="宋体"/>
          <w:b/>
          <w:sz w:val="32"/>
          <w:szCs w:val="32"/>
        </w:rPr>
        <w:t>法定代表人授权书</w:t>
      </w:r>
    </w:p>
    <w:p>
      <w:pPr>
        <w:spacing w:line="520" w:lineRule="exact"/>
        <w:rPr>
          <w:rFonts w:hint="eastAsia" w:ascii="宋体" w:hAnsi="宋体" w:eastAsia="宋体" w:cs="宋体"/>
          <w:sz w:val="28"/>
          <w:szCs w:val="28"/>
          <w:u w:val="single"/>
        </w:rPr>
      </w:pP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南通市海门区正余镇人民政府</w:t>
      </w:r>
      <w:r>
        <w:rPr>
          <w:rFonts w:hint="eastAsia" w:ascii="宋体" w:hAnsi="宋体" w:eastAsia="宋体" w:cs="宋体"/>
          <w:bCs/>
          <w:sz w:val="28"/>
          <w:szCs w:val="28"/>
        </w:rPr>
        <w:t>：</w:t>
      </w:r>
    </w:p>
    <w:p>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兹授权</w:t>
      </w:r>
      <w:r>
        <w:rPr>
          <w:rFonts w:hint="eastAsia" w:ascii="宋体" w:hAnsi="宋体" w:eastAsia="宋体" w:cs="宋体"/>
          <w:sz w:val="28"/>
          <w:szCs w:val="28"/>
          <w:u w:val="single"/>
        </w:rPr>
        <w:t xml:space="preserve">               （</w:t>
      </w:r>
      <w:r>
        <w:rPr>
          <w:rFonts w:hint="eastAsia" w:ascii="宋体" w:hAnsi="宋体" w:eastAsia="宋体" w:cs="宋体"/>
          <w:sz w:val="28"/>
          <w:szCs w:val="28"/>
        </w:rPr>
        <w:t>被授权人的姓名、职务）代表我公司参加</w:t>
      </w:r>
      <w:r>
        <w:rPr>
          <w:rFonts w:hint="eastAsia" w:ascii="宋体" w:hAnsi="宋体" w:eastAsia="宋体" w:cs="宋体"/>
          <w:sz w:val="28"/>
          <w:szCs w:val="28"/>
          <w:u w:val="single"/>
          <w:lang w:eastAsia="zh-CN"/>
        </w:rPr>
        <w:t>南通市海门区正余镇人民政府采购中国工农红军南通海门红军小学校园红色环境提升项目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（项目编号：JSZC-320614-NTWL-G2026-0012 ）</w:t>
      </w:r>
      <w:r>
        <w:rPr>
          <w:rFonts w:hint="eastAsia" w:ascii="宋体" w:hAnsi="宋体" w:eastAsia="宋体" w:cs="宋体"/>
          <w:sz w:val="28"/>
          <w:szCs w:val="28"/>
        </w:rPr>
        <w:t>的招标采购活动，全权处理一切与该项目招标有关的事务。其在办理上述事宜过程中所签署的所有文件我公司均予以承认，我公司对被授权人签名的所有文件负全部责任。</w:t>
      </w:r>
    </w:p>
    <w:p>
      <w:pPr>
        <w:spacing w:line="520" w:lineRule="exact"/>
        <w:rPr>
          <w:rFonts w:hint="eastAsia" w:ascii="宋体" w:hAnsi="宋体" w:eastAsia="宋体" w:cs="宋体"/>
          <w:szCs w:val="21"/>
        </w:rPr>
      </w:pPr>
      <w:r>
        <w:rPr>
          <w:rFonts w:hint="eastAsia" w:ascii="宋体" w:hAnsi="宋体" w:eastAsia="宋体" w:cs="宋体"/>
          <w:szCs w:val="21"/>
        </w:rPr>
        <w:t>附：授权代表情况：</w:t>
      </w:r>
    </w:p>
    <w:p>
      <w:pPr>
        <w:spacing w:line="520" w:lineRule="exact"/>
        <w:rPr>
          <w:rFonts w:hint="eastAsia" w:ascii="宋体" w:hAnsi="宋体" w:eastAsia="宋体" w:cs="宋体"/>
          <w:szCs w:val="21"/>
          <w:u w:val="single"/>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年龄：</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single"/>
        </w:rPr>
        <w:t xml:space="preserve">          </w:t>
      </w:r>
      <w:r>
        <w:rPr>
          <w:rFonts w:hint="eastAsia" w:ascii="宋体" w:hAnsi="宋体" w:eastAsia="宋体" w:cs="宋体"/>
          <w:szCs w:val="21"/>
        </w:rPr>
        <w:t>联系电话：</w:t>
      </w:r>
      <w:r>
        <w:rPr>
          <w:rFonts w:hint="eastAsia" w:ascii="宋体" w:hAnsi="宋体" w:eastAsia="宋体" w:cs="宋体"/>
          <w:szCs w:val="21"/>
          <w:u w:val="single"/>
        </w:rPr>
        <w:t xml:space="preserve">          </w:t>
      </w:r>
      <w:r>
        <w:rPr>
          <w:rFonts w:hint="eastAsia" w:ascii="宋体" w:hAnsi="宋体" w:eastAsia="宋体" w:cs="宋体"/>
          <w:szCs w:val="21"/>
        </w:rPr>
        <w:t>手机：</w:t>
      </w:r>
      <w:r>
        <w:rPr>
          <w:rFonts w:hint="eastAsia" w:ascii="宋体" w:hAnsi="宋体" w:eastAsia="宋体" w:cs="宋体"/>
          <w:szCs w:val="21"/>
          <w:u w:val="single"/>
        </w:rPr>
        <w:t xml:space="preserve">            </w:t>
      </w:r>
    </w:p>
    <w:p>
      <w:pPr>
        <w:spacing w:line="520" w:lineRule="exact"/>
        <w:rPr>
          <w:rFonts w:hint="eastAsia" w:ascii="宋体" w:hAnsi="宋体" w:eastAsia="宋体" w:cs="宋体"/>
          <w:szCs w:val="21"/>
          <w:u w:val="single"/>
        </w:rPr>
      </w:pPr>
      <w:r>
        <w:rPr>
          <w:rFonts w:hint="eastAsia" w:ascii="宋体" w:hAnsi="宋体" w:eastAsia="宋体" w:cs="宋体"/>
          <w:szCs w:val="21"/>
        </w:rPr>
        <w:t>身份证号码：</w:t>
      </w:r>
      <w:r>
        <w:rPr>
          <w:rFonts w:hint="eastAsia" w:ascii="宋体" w:hAnsi="宋体" w:eastAsia="宋体" w:cs="宋体"/>
          <w:szCs w:val="21"/>
          <w:u w:val="single"/>
        </w:rPr>
        <w:t xml:space="preserve">                               </w:t>
      </w:r>
    </w:p>
    <w:p>
      <w:pPr>
        <w:spacing w:line="520" w:lineRule="exact"/>
        <w:rPr>
          <w:rFonts w:hint="eastAsia" w:ascii="宋体" w:hAnsi="宋体" w:eastAsia="宋体" w:cs="宋体"/>
          <w:szCs w:val="21"/>
        </w:rPr>
      </w:pPr>
      <w:r>
        <w:rPr>
          <w:rFonts w:hint="eastAsia" w:ascii="宋体" w:hAnsi="宋体" w:eastAsia="宋体" w:cs="宋体"/>
          <w:szCs w:val="21"/>
        </w:rPr>
        <w:t>详细通讯地址：</w:t>
      </w:r>
      <w:r>
        <w:rPr>
          <w:rFonts w:hint="eastAsia" w:ascii="宋体" w:hAnsi="宋体" w:eastAsia="宋体" w:cs="宋体"/>
          <w:szCs w:val="21"/>
          <w:u w:val="single"/>
        </w:rPr>
        <w:t xml:space="preserve">                                </w:t>
      </w:r>
      <w:r>
        <w:rPr>
          <w:rFonts w:hint="eastAsia" w:ascii="宋体" w:hAnsi="宋体" w:eastAsia="宋体" w:cs="宋体"/>
          <w:szCs w:val="21"/>
        </w:rPr>
        <w:t>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p>
    <w:p>
      <w:pPr>
        <w:spacing w:line="520" w:lineRule="exact"/>
        <w:rPr>
          <w:rFonts w:hint="eastAsia" w:ascii="宋体" w:hAnsi="宋体" w:eastAsia="宋体" w:cs="宋体"/>
          <w:szCs w:val="21"/>
        </w:rPr>
      </w:pPr>
    </w:p>
    <w:p>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法定代表人（签字或盖章）</w:t>
      </w:r>
    </w:p>
    <w:p>
      <w:pPr>
        <w:spacing w:line="520" w:lineRule="exact"/>
        <w:ind w:firstLine="1400"/>
        <w:rPr>
          <w:rFonts w:hint="eastAsia" w:ascii="宋体" w:hAnsi="宋体" w:eastAsia="宋体" w:cs="宋体"/>
          <w:szCs w:val="21"/>
        </w:rPr>
      </w:pPr>
      <w:r>
        <w:rPr>
          <w:rFonts w:hint="eastAsia" w:ascii="宋体" w:hAnsi="宋体" w:eastAsia="宋体" w:cs="宋体"/>
          <w:sz w:val="28"/>
          <w:szCs w:val="28"/>
        </w:rPr>
        <w:t xml:space="preserve">                                  年   月    日  </w:t>
      </w:r>
    </w:p>
    <w:p>
      <w:pPr>
        <w:spacing w:line="520" w:lineRule="exact"/>
        <w:rPr>
          <w:rFonts w:hint="eastAsia" w:ascii="宋体" w:hAnsi="宋体" w:eastAsia="宋体" w:cs="宋体"/>
          <w:szCs w:val="21"/>
        </w:rPr>
      </w:pPr>
    </w:p>
    <w:p>
      <w:pPr>
        <w:spacing w:line="520" w:lineRule="exact"/>
        <w:rPr>
          <w:rFonts w:hint="eastAsia" w:ascii="宋体" w:hAnsi="宋体" w:eastAsia="宋体" w:cs="宋体"/>
          <w:szCs w:val="21"/>
        </w:rPr>
      </w:pPr>
      <w:r>
        <w:rPr>
          <w:rFonts w:hint="eastAsia" w:ascii="宋体" w:hAnsi="宋体" w:eastAsia="宋体" w:cs="宋体"/>
          <w:szCs w:val="21"/>
        </w:rPr>
        <w:t>被授权人身份证复印件</w:t>
      </w:r>
    </w:p>
    <w:p>
      <w:pPr>
        <w:spacing w:line="520" w:lineRule="exact"/>
        <w:rPr>
          <w:rFonts w:hint="eastAsia" w:ascii="宋体" w:hAnsi="宋体" w:eastAsia="宋体" w:cs="宋体"/>
          <w:szCs w:val="21"/>
        </w:rPr>
      </w:pPr>
    </w:p>
    <w:p>
      <w:pPr>
        <w:spacing w:line="520" w:lineRule="exact"/>
        <w:ind w:firstLine="422"/>
        <w:rPr>
          <w:rFonts w:hint="eastAsia" w:ascii="宋体" w:hAnsi="宋体" w:eastAsia="宋体" w:cs="宋体"/>
          <w:b/>
          <w:bCs/>
          <w:szCs w:val="21"/>
        </w:rPr>
      </w:pPr>
    </w:p>
    <w:p>
      <w:pPr>
        <w:spacing w:line="520" w:lineRule="exact"/>
        <w:ind w:firstLine="1995"/>
        <w:rPr>
          <w:rFonts w:hint="eastAsia" w:ascii="宋体" w:hAnsi="宋体" w:eastAsia="宋体" w:cs="宋体"/>
          <w:b/>
          <w:bCs/>
          <w:szCs w:val="21"/>
        </w:rPr>
      </w:pPr>
      <w:r>
        <w:rPr>
          <w:rFonts w:hint="eastAsia" w:ascii="宋体" w:hAnsi="宋体" w:eastAsia="宋体" w:cs="宋体"/>
          <w:szCs w:val="21"/>
        </w:rPr>
        <w:t>（粘贴此处）</w:t>
      </w:r>
    </w:p>
    <w:p>
      <w:pPr>
        <w:spacing w:line="520" w:lineRule="exact"/>
        <w:rPr>
          <w:rFonts w:hint="eastAsia" w:ascii="宋体" w:hAnsi="宋体" w:eastAsia="宋体" w:cs="宋体"/>
          <w:szCs w:val="21"/>
        </w:rPr>
      </w:pPr>
    </w:p>
    <w:p>
      <w:pPr>
        <w:spacing w:line="520" w:lineRule="exact"/>
        <w:ind w:firstLine="600"/>
        <w:rPr>
          <w:rFonts w:hint="eastAsia" w:ascii="宋体" w:hAnsi="宋体" w:eastAsia="宋体" w:cs="宋体"/>
          <w:szCs w:val="21"/>
        </w:rPr>
      </w:pPr>
    </w:p>
    <w:p>
      <w:pPr>
        <w:spacing w:line="520" w:lineRule="exact"/>
        <w:ind w:firstLine="600"/>
        <w:rPr>
          <w:rFonts w:hint="eastAsia" w:ascii="宋体" w:hAnsi="宋体" w:eastAsia="宋体" w:cs="宋体"/>
          <w:szCs w:val="21"/>
        </w:rPr>
      </w:pPr>
    </w:p>
    <w:p>
      <w:pPr>
        <w:spacing w:line="560" w:lineRule="atLeast"/>
        <w:jc w:val="center"/>
        <w:rPr>
          <w:rFonts w:hint="eastAsia" w:ascii="宋体" w:hAnsi="宋体" w:eastAsia="宋体" w:cs="宋体"/>
          <w:b/>
          <w:bCs/>
          <w:sz w:val="36"/>
          <w:szCs w:val="36"/>
          <w:lang w:val="en-US" w:eastAsia="zh-CN" w:bidi="ar-SA"/>
        </w:rPr>
      </w:pPr>
    </w:p>
    <w:p>
      <w:pPr>
        <w:spacing w:line="560" w:lineRule="atLeast"/>
        <w:jc w:val="center"/>
        <w:rPr>
          <w:rFonts w:hint="eastAsia" w:ascii="宋体" w:hAnsi="宋体" w:eastAsia="宋体" w:cs="宋体"/>
          <w:b/>
          <w:bCs/>
          <w:sz w:val="36"/>
          <w:szCs w:val="36"/>
          <w:lang w:val="en-US" w:eastAsia="zh-CN" w:bidi="ar-SA"/>
        </w:rPr>
      </w:pPr>
    </w:p>
    <w:p>
      <w:pPr>
        <w:jc w:val="both"/>
        <w:rPr>
          <w:rFonts w:hint="eastAsia" w:ascii="宋体" w:hAnsi="宋体" w:eastAsia="宋体" w:cs="宋体"/>
          <w:b w:val="0"/>
          <w:bCs/>
          <w:color w:val="000000"/>
          <w:sz w:val="24"/>
          <w:szCs w:val="24"/>
          <w:lang w:val="en-US" w:eastAsia="zh-CN"/>
        </w:rPr>
      </w:pPr>
    </w:p>
    <w:p>
      <w:pPr>
        <w:jc w:val="both"/>
        <w:rPr>
          <w:rFonts w:hint="eastAsia" w:ascii="宋体" w:hAnsi="宋体" w:eastAsia="宋体" w:cs="宋体"/>
          <w:b w:val="0"/>
          <w:bCs/>
          <w:color w:val="000000"/>
          <w:sz w:val="24"/>
          <w:szCs w:val="24"/>
          <w:lang w:val="en-US" w:eastAsia="zh-CN"/>
        </w:rPr>
      </w:pP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附件4：</w:t>
      </w:r>
    </w:p>
    <w:p>
      <w:pPr>
        <w:spacing w:line="560" w:lineRule="exact"/>
        <w:ind w:firstLine="321"/>
        <w:jc w:val="center"/>
        <w:rPr>
          <w:rFonts w:hint="eastAsia" w:ascii="宋体" w:hAnsi="宋体" w:eastAsia="宋体" w:cs="宋体"/>
          <w:b/>
          <w:sz w:val="32"/>
          <w:szCs w:val="32"/>
        </w:rPr>
      </w:pPr>
      <w:r>
        <w:rPr>
          <w:rFonts w:hint="eastAsia" w:ascii="宋体" w:hAnsi="宋体" w:eastAsia="宋体" w:cs="宋体"/>
          <w:b/>
          <w:sz w:val="32"/>
          <w:szCs w:val="32"/>
        </w:rPr>
        <w:t>政府采购供应商信用承诺书</w:t>
      </w:r>
    </w:p>
    <w:p>
      <w:pPr>
        <w:spacing w:line="560" w:lineRule="exact"/>
        <w:ind w:firstLine="321"/>
        <w:jc w:val="center"/>
        <w:rPr>
          <w:rFonts w:hint="eastAsia" w:ascii="宋体" w:hAnsi="宋体" w:eastAsia="宋体" w:cs="宋体"/>
          <w:b/>
          <w:sz w:val="32"/>
          <w:szCs w:val="32"/>
          <w:lang w:eastAsia="zh-CN"/>
        </w:rPr>
      </w:pP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为维护公开、公平、公正的政府采购市场秩序，树立诚实守信的供应商形象，本单位在参与政府采购活动中,自愿作出以下承诺：</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一、严格遵守国家法律、法规和规章，全面履行应尽的责任和义务，全面做到履约守信，具备《政府采购法》第二十二条第一款规定的条件。</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二、本单位提供给注册登记部门、行业管理部门、司法部门、行业组织以及在政府采购活动中提交的所有资料均合法、真实、有效，无任何伪造、修改、虚假成份，并对所提供资料的真实性负责。</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三、严格依法开展生产经营活动，主动接受行业监管，自愿接受依法开展的日常检查；违法失信经营后将自愿接受约束和惩戒，并依法承担相应责任。</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七、承诺本单位提出政府采购质疑和投诉坚持依法依规、诚实信用原则。</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p>
    <w:p>
      <w:p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九、承诺本单位若违背承诺约定，经查实，愿意接受行业主管部门和信用管理部门相应的规定处罚，承担违约责任，并依法承担相应的法律责任。</w:t>
      </w:r>
    </w:p>
    <w:p>
      <w:pPr>
        <w:spacing w:line="360" w:lineRule="auto"/>
        <w:ind w:firstLine="480"/>
        <w:rPr>
          <w:rFonts w:hint="eastAsia" w:ascii="宋体" w:hAnsi="宋体" w:eastAsia="宋体" w:cs="宋体"/>
          <w:sz w:val="24"/>
          <w:szCs w:val="22"/>
        </w:rPr>
      </w:pPr>
      <w:r>
        <w:rPr>
          <w:rFonts w:hint="eastAsia" w:ascii="宋体" w:hAnsi="宋体" w:eastAsia="宋体" w:cs="宋体"/>
          <w:sz w:val="24"/>
          <w:szCs w:val="20"/>
        </w:rPr>
        <w:t>十、承诺本单位同意将以上承诺事项上网公示，违背承诺约定行为将作为失信信息，记录到南通市公共信用信息系统，并予以公开。</w:t>
      </w:r>
    </w:p>
    <w:p>
      <w:pPr>
        <w:tabs>
          <w:tab w:val="left" w:pos="5580"/>
        </w:tabs>
        <w:spacing w:line="360" w:lineRule="auto"/>
        <w:ind w:left="420"/>
        <w:rPr>
          <w:rFonts w:hint="eastAsia" w:ascii="宋体" w:hAnsi="宋体" w:eastAsia="宋体" w:cs="宋体"/>
          <w:sz w:val="24"/>
          <w:szCs w:val="20"/>
        </w:rPr>
      </w:pPr>
      <w:r>
        <w:rPr>
          <w:rFonts w:hint="eastAsia" w:ascii="宋体" w:hAnsi="宋体" w:eastAsia="宋体" w:cs="宋体"/>
          <w:sz w:val="24"/>
          <w:szCs w:val="20"/>
        </w:rPr>
        <w:t>供应商：（</w:t>
      </w:r>
      <w:r>
        <w:rPr>
          <w:rFonts w:hint="eastAsia" w:ascii="宋体" w:hAnsi="宋体" w:eastAsia="宋体" w:cs="宋体"/>
          <w:sz w:val="24"/>
          <w:szCs w:val="24"/>
        </w:rPr>
        <w:t>加盖电子公章</w:t>
      </w:r>
      <w:r>
        <w:rPr>
          <w:rFonts w:hint="eastAsia" w:ascii="宋体" w:hAnsi="宋体" w:eastAsia="宋体" w:cs="宋体"/>
          <w:sz w:val="24"/>
          <w:szCs w:val="20"/>
        </w:rPr>
        <w:t>） ___________</w:t>
      </w:r>
    </w:p>
    <w:p>
      <w:pPr>
        <w:tabs>
          <w:tab w:val="left" w:pos="5580"/>
        </w:tabs>
        <w:spacing w:line="360" w:lineRule="auto"/>
        <w:ind w:left="420"/>
        <w:rPr>
          <w:rFonts w:hint="eastAsia" w:ascii="宋体" w:hAnsi="宋体" w:eastAsia="宋体" w:cs="宋体"/>
          <w:sz w:val="24"/>
          <w:szCs w:val="20"/>
        </w:rPr>
      </w:pPr>
      <w:r>
        <w:rPr>
          <w:rFonts w:hint="eastAsia" w:ascii="宋体" w:hAnsi="宋体" w:eastAsia="宋体" w:cs="宋体"/>
          <w:sz w:val="24"/>
          <w:szCs w:val="20"/>
        </w:rPr>
        <w:t>日期：_____年______月______日</w:t>
      </w:r>
    </w:p>
    <w:p>
      <w:pPr>
        <w:jc w:val="both"/>
        <w:rPr>
          <w:rFonts w:hint="eastAsia" w:ascii="Times New Roman" w:hAnsi="Times New Roman" w:eastAsia="宋体" w:cs="Times New Roman"/>
          <w:szCs w:val="20"/>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jc w:val="both"/>
        <w:rPr>
          <w:rFonts w:hint="eastAsia" w:ascii="宋体" w:hAnsi="宋体" w:eastAsia="宋体" w:cs="宋体"/>
          <w:b w:val="0"/>
          <w:bCs w:val="0"/>
          <w:color w:val="000000"/>
          <w:sz w:val="24"/>
          <w:szCs w:val="24"/>
          <w:highlight w:val="none"/>
          <w:lang w:val="en-US" w:eastAsia="zh-CN"/>
        </w:rPr>
      </w:pPr>
    </w:p>
    <w:p>
      <w:pPr>
        <w:rPr>
          <w:rFonts w:hint="eastAsia" w:ascii="宋体" w:hAnsi="宋体" w:eastAsia="宋体" w:cs="宋体"/>
          <w:b w:val="0"/>
          <w:bCs/>
          <w:color w:val="000000"/>
          <w:sz w:val="24"/>
          <w:szCs w:val="24"/>
          <w:lang w:val="en-US" w:eastAsia="zh-CN"/>
        </w:rPr>
      </w:pP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附件5：</w:t>
      </w: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0"/>
        </w:rPr>
      </w:pPr>
      <w:r>
        <w:rPr>
          <w:rFonts w:hint="eastAsia" w:ascii="宋体" w:hAnsi="宋体" w:eastAsia="宋体" w:cs="宋体"/>
          <w:b/>
          <w:sz w:val="32"/>
          <w:szCs w:val="20"/>
        </w:rPr>
        <w:t>报价一览表</w:t>
      </w:r>
    </w:p>
    <w:p>
      <w:pPr>
        <w:pBdr>
          <w:top w:val="none" w:color="000000" w:sz="0" w:space="0"/>
          <w:left w:val="none" w:color="000000" w:sz="0" w:space="0"/>
          <w:bottom w:val="none" w:color="000000" w:sz="0" w:space="0"/>
          <w:right w:val="none" w:color="000000" w:sz="0" w:space="0"/>
        </w:pBdr>
        <w:ind w:firstLine="480"/>
        <w:jc w:val="both"/>
        <w:rPr>
          <w:rFonts w:hint="eastAsia" w:ascii="宋体" w:hAnsi="宋体" w:eastAsia="宋体" w:cs="宋体"/>
          <w:sz w:val="24"/>
          <w:szCs w:val="20"/>
        </w:rPr>
      </w:pPr>
    </w:p>
    <w:p>
      <w:pPr>
        <w:widowControl w:val="0"/>
        <w:spacing w:line="360" w:lineRule="auto"/>
        <w:ind w:firstLine="480"/>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供应商全称（加盖电子签章）：</w:t>
      </w:r>
    </w:p>
    <w:p>
      <w:pPr>
        <w:widowControl w:val="0"/>
        <w:spacing w:line="360" w:lineRule="auto"/>
        <w:ind w:firstLine="480"/>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项目编号： JSZC-320614-NTWL-G2026-0012</w:t>
      </w:r>
    </w:p>
    <w:tbl>
      <w:tblPr>
        <w:tblStyle w:val="188"/>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4129"/>
        <w:gridCol w:w="2738"/>
        <w:gridCol w:w="2418"/>
        <w:gridCol w:w="123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64" w:hRule="atLeast"/>
          <w:jc w:val="center"/>
        </w:trPr>
        <w:tc>
          <w:tcPr>
            <w:tcW w:w="4129" w:type="dxa"/>
            <w:noWrap/>
            <w:tcMar>
              <w:top w:w="15" w:type="dxa"/>
              <w:left w:w="15" w:type="dxa"/>
              <w:bottom w:w="15" w:type="dxa"/>
              <w:right w:w="15" w:type="dxa"/>
            </w:tcMar>
            <w:vAlign w:val="center"/>
          </w:tcPr>
          <w:p>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项目名称</w:t>
            </w:r>
          </w:p>
        </w:tc>
        <w:tc>
          <w:tcPr>
            <w:tcW w:w="2738" w:type="dxa"/>
            <w:noWrap/>
            <w:tcMar>
              <w:top w:w="15" w:type="dxa"/>
              <w:left w:w="15" w:type="dxa"/>
              <w:bottom w:w="15" w:type="dxa"/>
              <w:right w:w="15" w:type="dxa"/>
            </w:tcMar>
            <w:vAlign w:val="center"/>
          </w:tcPr>
          <w:p>
            <w:pPr>
              <w:widowControl w:val="0"/>
              <w:jc w:val="center"/>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最高限价（万元）</w:t>
            </w:r>
          </w:p>
        </w:tc>
        <w:tc>
          <w:tcPr>
            <w:tcW w:w="2418" w:type="dxa"/>
            <w:noWrap/>
            <w:tcMar>
              <w:top w:w="15" w:type="dxa"/>
              <w:left w:w="15" w:type="dxa"/>
              <w:bottom w:w="15" w:type="dxa"/>
              <w:right w:w="15" w:type="dxa"/>
            </w:tcMar>
            <w:vAlign w:val="center"/>
          </w:tcPr>
          <w:p>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投标报价（万元）</w:t>
            </w:r>
          </w:p>
        </w:tc>
        <w:tc>
          <w:tcPr>
            <w:tcW w:w="1233" w:type="dxa"/>
            <w:noWrap/>
            <w:tcMar>
              <w:top w:w="15" w:type="dxa"/>
              <w:left w:w="15" w:type="dxa"/>
              <w:bottom w:w="15" w:type="dxa"/>
              <w:right w:w="15" w:type="dxa"/>
            </w:tcMar>
            <w:vAlign w:val="center"/>
          </w:tcPr>
          <w:p>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14" w:hRule="atLeast"/>
          <w:jc w:val="center"/>
        </w:trPr>
        <w:tc>
          <w:tcPr>
            <w:tcW w:w="4129" w:type="dxa"/>
            <w:noWrap/>
            <w:tcMar>
              <w:top w:w="15" w:type="dxa"/>
              <w:left w:w="15" w:type="dxa"/>
              <w:bottom w:w="15" w:type="dxa"/>
              <w:right w:w="15" w:type="dxa"/>
            </w:tcMar>
            <w:vAlign w:val="center"/>
          </w:tcPr>
          <w:p>
            <w:pPr>
              <w:widowControl w:val="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南通市海门区正余镇人民政府采购中国工农红军南通海门红军小学校园红色环境提升项目</w:t>
            </w:r>
          </w:p>
        </w:tc>
        <w:tc>
          <w:tcPr>
            <w:tcW w:w="2738" w:type="dxa"/>
            <w:noWrap/>
            <w:tcMar>
              <w:top w:w="15" w:type="dxa"/>
              <w:left w:w="15" w:type="dxa"/>
              <w:bottom w:w="15" w:type="dxa"/>
              <w:right w:w="15" w:type="dxa"/>
            </w:tcMar>
            <w:vAlign w:val="center"/>
          </w:tcPr>
          <w:p>
            <w:pPr>
              <w:widowControl w:val="0"/>
              <w:jc w:val="center"/>
              <w:rPr>
                <w:rFonts w:hint="default" w:ascii="宋体" w:hAnsi="宋体" w:eastAsia="宋体" w:cs="宋体"/>
                <w:sz w:val="28"/>
                <w:szCs w:val="28"/>
                <w:lang w:val="en-US" w:eastAsia="zh-CN" w:bidi="ar-SA"/>
              </w:rPr>
            </w:pPr>
            <w:r>
              <w:rPr>
                <w:rFonts w:hint="eastAsia" w:ascii="宋体" w:hAnsi="宋体" w:eastAsia="宋体" w:cs="宋体"/>
                <w:sz w:val="28"/>
                <w:szCs w:val="28"/>
                <w:highlight w:val="none"/>
                <w:lang w:val="en-US" w:eastAsia="zh-CN" w:bidi="ar-SA"/>
              </w:rPr>
              <w:t>167.226149</w:t>
            </w:r>
          </w:p>
        </w:tc>
        <w:tc>
          <w:tcPr>
            <w:tcW w:w="2418" w:type="dxa"/>
            <w:noWrap/>
            <w:tcMar>
              <w:top w:w="15" w:type="dxa"/>
              <w:left w:w="15" w:type="dxa"/>
              <w:bottom w:w="15" w:type="dxa"/>
              <w:right w:w="15" w:type="dxa"/>
            </w:tcMar>
            <w:vAlign w:val="center"/>
          </w:tcPr>
          <w:p>
            <w:pPr>
              <w:widowControl w:val="0"/>
              <w:jc w:val="center"/>
              <w:rPr>
                <w:rFonts w:hint="eastAsia" w:ascii="宋体" w:hAnsi="宋体" w:eastAsia="宋体" w:cs="宋体"/>
                <w:sz w:val="28"/>
                <w:szCs w:val="28"/>
                <w:lang w:val="en-US" w:eastAsia="zh-CN" w:bidi="ar-SA"/>
              </w:rPr>
            </w:pPr>
          </w:p>
        </w:tc>
        <w:tc>
          <w:tcPr>
            <w:tcW w:w="1233" w:type="dxa"/>
            <w:noWrap/>
            <w:tcMar>
              <w:top w:w="15" w:type="dxa"/>
              <w:left w:w="15" w:type="dxa"/>
              <w:bottom w:w="15" w:type="dxa"/>
              <w:right w:w="15" w:type="dxa"/>
            </w:tcMar>
            <w:vAlign w:val="center"/>
          </w:tcPr>
          <w:p>
            <w:pPr>
              <w:widowControl w:val="0"/>
              <w:jc w:val="center"/>
              <w:rPr>
                <w:rFonts w:hint="eastAsia" w:ascii="宋体" w:hAnsi="宋体" w:eastAsia="宋体" w:cs="宋体"/>
                <w:sz w:val="28"/>
                <w:szCs w:val="28"/>
                <w:lang w:val="en-US" w:eastAsia="zh-CN" w:bidi="ar-SA"/>
              </w:rPr>
            </w:pPr>
          </w:p>
        </w:tc>
      </w:tr>
    </w:tbl>
    <w:p>
      <w:pPr>
        <w:widowControl w:val="0"/>
        <w:jc w:val="both"/>
        <w:rPr>
          <w:rFonts w:hint="eastAsia" w:ascii="宋体" w:hAnsi="宋体" w:eastAsia="宋体" w:cs="宋体"/>
          <w:sz w:val="24"/>
          <w:szCs w:val="24"/>
          <w:lang w:val="en-US" w:eastAsia="zh-CN" w:bidi="ar-SA"/>
        </w:rPr>
      </w:pPr>
    </w:p>
    <w:p>
      <w:pPr>
        <w:widowControl w:val="0"/>
        <w:ind w:firstLine="480"/>
        <w:jc w:val="both"/>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日期：     年   月   日</w:t>
      </w:r>
    </w:p>
    <w:p>
      <w:pPr>
        <w:rPr>
          <w:rFonts w:hint="eastAsia" w:ascii="宋体" w:hAnsi="宋体" w:eastAsia="宋体" w:cs="宋体"/>
          <w:szCs w:val="20"/>
          <w:lang w:val="en-US" w:eastAsia="zh-CN"/>
        </w:rPr>
      </w:pPr>
    </w:p>
    <w:p>
      <w:pPr>
        <w:rPr>
          <w:rFonts w:hint="eastAsia" w:ascii="宋体" w:hAnsi="宋体" w:eastAsia="宋体" w:cs="宋体"/>
          <w:szCs w:val="20"/>
          <w:lang w:val="en-US" w:eastAsia="zh-CN"/>
        </w:rPr>
      </w:pPr>
    </w:p>
    <w:p>
      <w:pPr>
        <w:rPr>
          <w:rFonts w:hint="eastAsia" w:ascii="宋体" w:hAnsi="宋体" w:eastAsia="宋体" w:cs="宋体"/>
          <w:szCs w:val="20"/>
          <w:lang w:val="en-US" w:eastAsia="zh-CN"/>
        </w:rPr>
      </w:pPr>
    </w:p>
    <w:p>
      <w:pPr>
        <w:rPr>
          <w:rFonts w:hint="eastAsia" w:ascii="宋体" w:hAnsi="宋体" w:eastAsia="宋体" w:cs="宋体"/>
          <w:szCs w:val="20"/>
          <w:lang w:val="en-US" w:eastAsia="zh-CN"/>
        </w:rPr>
      </w:pPr>
    </w:p>
    <w:p>
      <w:pPr>
        <w:rPr>
          <w:rFonts w:hint="eastAsia" w:ascii="宋体" w:hAnsi="宋体" w:eastAsia="宋体" w:cs="宋体"/>
          <w:szCs w:val="20"/>
          <w:lang w:val="en-US" w:eastAsia="zh-CN"/>
        </w:rPr>
      </w:pPr>
    </w:p>
    <w:p>
      <w:pPr>
        <w:rPr>
          <w:rFonts w:hint="eastAsia" w:ascii="宋体" w:hAnsi="宋体" w:eastAsia="宋体" w:cs="宋体"/>
          <w:b/>
          <w:sz w:val="32"/>
        </w:rPr>
        <w:sectPr>
          <w:headerReference r:id="rId3" w:type="default"/>
          <w:footerReference r:id="rId4" w:type="default"/>
          <w:pgSz w:w="11906" w:h="16838"/>
          <w:pgMar w:top="1134" w:right="1134" w:bottom="1134" w:left="1134" w:header="851" w:footer="907" w:gutter="0"/>
          <w:cols w:space="1701" w:num="1"/>
          <w:docGrid w:linePitch="360" w:charSpace="0"/>
        </w:sectPr>
      </w:pP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szCs w:val="20"/>
          <w:lang w:val="en-US" w:eastAsia="zh-CN"/>
        </w:rPr>
      </w:pPr>
      <w:r>
        <w:rPr>
          <w:rFonts w:hint="eastAsia" w:ascii="宋体" w:hAnsi="宋体" w:eastAsia="宋体" w:cs="宋体"/>
          <w:b/>
          <w:sz w:val="32"/>
          <w:szCs w:val="20"/>
          <w:lang w:val="en-US" w:eastAsia="zh-CN"/>
        </w:rPr>
        <w:t>分项报价一览表</w:t>
      </w:r>
    </w:p>
    <w:p>
      <w:pPr>
        <w:pStyle w:val="18"/>
        <w:rPr>
          <w:rFonts w:hint="default"/>
          <w:lang w:val="en-US" w:eastAsia="zh-CN"/>
        </w:rPr>
      </w:pPr>
    </w:p>
    <w:tbl>
      <w:tblPr>
        <w:tblStyle w:val="33"/>
        <w:tblW w:w="102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6"/>
        <w:gridCol w:w="1959"/>
        <w:gridCol w:w="4073"/>
        <w:gridCol w:w="658"/>
        <w:gridCol w:w="773"/>
        <w:gridCol w:w="1009"/>
        <w:gridCol w:w="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序号</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项目名称</w:t>
            </w:r>
          </w:p>
        </w:tc>
        <w:tc>
          <w:tcPr>
            <w:tcW w:w="407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项目特征描述</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计量</w:t>
            </w:r>
            <w:r>
              <w:rPr>
                <w:rFonts w:hint="eastAsia" w:ascii="黑体" w:hAnsi="宋体" w:eastAsia="黑体" w:cs="黑体"/>
                <w:b/>
                <w:bCs/>
                <w:i w:val="0"/>
                <w:iCs w:val="0"/>
                <w:color w:val="000000"/>
                <w:kern w:val="0"/>
                <w:sz w:val="18"/>
                <w:szCs w:val="18"/>
                <w:u w:val="none"/>
                <w:lang w:val="en-US" w:eastAsia="zh-CN" w:bidi="ar"/>
              </w:rPr>
              <w:br w:type="textWrapping"/>
            </w:r>
            <w:r>
              <w:rPr>
                <w:rFonts w:hint="eastAsia" w:ascii="黑体" w:hAnsi="宋体" w:eastAsia="黑体" w:cs="黑体"/>
                <w:b/>
                <w:bCs/>
                <w:i w:val="0"/>
                <w:iCs w:val="0"/>
                <w:color w:val="000000"/>
                <w:kern w:val="0"/>
                <w:sz w:val="18"/>
                <w:szCs w:val="18"/>
                <w:u w:val="none"/>
                <w:lang w:val="en-US" w:eastAsia="zh-CN" w:bidi="ar"/>
              </w:rPr>
              <w:t>单位</w:t>
            </w: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工程量</w:t>
            </w:r>
          </w:p>
        </w:tc>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default" w:ascii="黑体" w:hAnsi="宋体" w:eastAsia="黑体" w:cs="黑体"/>
                <w:b/>
                <w:bCs/>
                <w:i w:val="0"/>
                <w:iCs w:val="0"/>
                <w:color w:val="000000"/>
                <w:kern w:val="0"/>
                <w:sz w:val="18"/>
                <w:szCs w:val="18"/>
                <w:u w:val="none"/>
                <w:lang w:val="en-US" w:eastAsia="zh-CN" w:bidi="ar"/>
              </w:rPr>
            </w:pPr>
            <w:r>
              <w:rPr>
                <w:rFonts w:hint="eastAsia" w:ascii="黑体" w:hAnsi="宋体" w:eastAsia="黑体" w:cs="黑体"/>
                <w:b/>
                <w:bCs/>
                <w:i w:val="0"/>
                <w:iCs w:val="0"/>
                <w:color w:val="000000"/>
                <w:kern w:val="0"/>
                <w:sz w:val="18"/>
                <w:szCs w:val="18"/>
                <w:u w:val="none"/>
                <w:lang w:val="en-US" w:eastAsia="zh-CN" w:bidi="ar"/>
              </w:rPr>
              <w:t>全费用综合单价（元）</w:t>
            </w: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default" w:ascii="黑体" w:hAnsi="宋体" w:eastAsia="黑体" w:cs="黑体"/>
                <w:b/>
                <w:bCs/>
                <w:i w:val="0"/>
                <w:iCs w:val="0"/>
                <w:color w:val="000000"/>
                <w:kern w:val="0"/>
                <w:sz w:val="18"/>
                <w:szCs w:val="18"/>
                <w:u w:val="none"/>
                <w:lang w:val="en-US" w:eastAsia="zh-CN" w:bidi="ar"/>
              </w:rPr>
            </w:pPr>
            <w:r>
              <w:rPr>
                <w:rFonts w:hint="eastAsia" w:ascii="黑体" w:hAnsi="宋体" w:eastAsia="黑体" w:cs="黑体"/>
                <w:b/>
                <w:bCs/>
                <w:i w:val="0"/>
                <w:iCs w:val="0"/>
                <w:color w:val="000000"/>
                <w:kern w:val="0"/>
                <w:sz w:val="18"/>
                <w:szCs w:val="18"/>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室内文化布展</w:t>
            </w:r>
          </w:p>
        </w:tc>
        <w:tc>
          <w:tcPr>
            <w:tcW w:w="407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拆除工程</w:t>
            </w:r>
          </w:p>
        </w:tc>
        <w:tc>
          <w:tcPr>
            <w:tcW w:w="407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b/>
                <w:bCs/>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拆除原有仿真植物、花箱清理、现有墙体面饰面铲除至露出原有基础墙体等业主指定所有内容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1.拆除原有仿真植物及花箱清理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2.现有墙体面饰面铲除至露出原有基础墙体、原板材局部拆除等业主指定所有内容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3.包括但不限于以上拆除内容，具体拆除内容及部位根据业主要求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建筑垃圾外运</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1.建筑垃圾类别：拆除垃圾、建筑垃圾的等所有垃圾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2.清理出场，且满足业主要求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2.1</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序厅&amp;入口校训墙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4.涂料品种、喷刷遍数：白色涂料、3遍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80x80x10厚亚克力标题字，表面金属色烤漆（共83个字符）</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1.80x80x10厚亚克力标题字，表面金属色烤漆（共83个字符）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定制校徽</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1.定制校徽图案，10mm厚亚克力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（三）</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刘瑞龙展示道具改造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3.1</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刘瑞龙雕像展示道具</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定制格栅一</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1.定制木格栅一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2.外框：40x40防腐木格栅，表面棕色漆饰面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3.竖向：15x15防腐木格栅，表面棕色漆饰面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4.横向：15x15防腐木格栅，表面棕色漆饰面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定制格栅二</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1.外框：40x40防腐木格栅，表面棕色漆饰面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2.竖向：15x15防腐木格栅，表面棕色漆饰面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3.横向：15x15防腐木格栅，表面棕色漆饰面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4.金色光面2mm厚不锈钢装饰板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5.深红色烤漆2mm厚不锈钢装饰板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350宽2mm厚不锈钢钛金色3D立体五角星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1.350宽2mm厚不锈钢钛金色3D立体五角星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300宽2mm厚不锈钢钛金色3D立体五角星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1.300宽2mm厚不锈钢钛金色3D立体五角星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80宽2mm厚不锈钢钛金色3D立体五角星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1.80宽2mm厚不锈钢钛金色3D立体五角星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1.金色光面2mm厚不锈钢装饰板弯折，凸出墙面10mm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1.深红色烤漆2mm厚不锈钢装饰板弯折，凸出墙面10mm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钛金色立体金属字，凸出板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面10mm</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1.钛金色立体金属字，凸出板面10mm（共24个字符）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定制刘瑞龙铜像</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1.定制刘瑞龙铜像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2.定制0.8米半人高精品纯铜半身铜像，采用精铸工艺、人物神态细节精细化打磨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3.0.6米高仿铜底座上根据要求增加说明文字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4.文字内容详见图纸且满足业主要求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玫瑰金拉丝面金属字-一个人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1.玫瑰金拉丝面金属字，凸出墙面20mm-一个人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成品展柜1</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2.规格、型号：长1200mm*高900mm*宽500mm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（四）</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序厅楼梯&amp;一个人主题装饰墙面改造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4.1</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序厅楼梯</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1.白色金属字墙贴，凸出墙面20mm-早年经历/革命探索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一个人主题装饰墙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3"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玫瑰金拉丝面金属字-刘瑞龙事迹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1.玫瑰金拉丝面金属字，凸出墙面20mm-刘瑞龙事迹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1.黑色金属字墙贴，凸出墙面20mm-大淮海、大支前、大后勤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4.部位：刘瑞龙字体下方小字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黑色金属字墙贴-刘瑞龙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1.黑色金属字墙贴，凸出墙面10mm-刘瑞龙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1.玫瑰金拉丝面金属字，凸出墙面20mm-通海如泰农民暴动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1.黑色金属字墙贴，凸出墙面10mm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3.部位：01/02/03处小字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1.红色金属字墙贴，凸出墙面10mm-被俘西路军人员历尽难中难,心如铁石坚/创建淮北抗日根据地/第三野战军的“粮草大将军”!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红色金属分割线墙贴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1.红色金属分割线墙贴，凸出墙面10mm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4.部位：01/02/03处</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红色金属字墙贴-1910/1988</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1.红色金属字墙贴，凸出墙面20mm-1910/1988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（五）</w:t>
            </w:r>
          </w:p>
        </w:tc>
        <w:tc>
          <w:tcPr>
            <w:tcW w:w="19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一段岁月主题装饰墙改造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一段岁月主题装饰墙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玫瑰金拉丝面金属字-一段岁月</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1.玫瑰金拉丝面金属字，凸出墙面20mm-一段岁月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1.红色金属字墙贴，凸出墙面20mm-中国工农红军江苏省一大队成立/红十四军建军大会/中国工农红军第十四军成立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2"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图片文字转印贴转印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1.图片文字转印贴转印-红十四军战斗图片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楼梯处装饰墙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1.红色烤漆2mm厚不锈钢装饰板弯折成山形，凸出墙面20mm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1.照片采用2mm金属板定制加工弯折，凸出墙体20mm，表面腐蚀工艺定制文字内容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1.红色金属字墙贴，凸出墙面20mm-中国工农红军第十四军军民鱼水情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（六）</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一群人主题装饰墙改造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一群人主题装饰墙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1.定制玻璃钢红色立方体造型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1.红色烤漆2mm厚不锈钢装饰板/金色光面2mm厚不锈钢装饰板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玫瑰金拉丝面金属字-一群人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1.玫瑰金拉丝面金属字-一群人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150宽2mm厚红色立体3D五角星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1.150宽2mm厚红色立体3D五角星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250宽2mm厚金色五角星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1.250宽2mm厚金色五角星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红色亚克力分割线墙贴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1.红色亚克力分割线墙贴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成品展柜2</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2.规格：长500*高250*宽250mm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3.成品冷轧钢板博物馆展示吊柜表面烤漆，8mm钢化玻璃，液压上翻开启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成品展柜1</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2.规格、型号：长1200mm*高900mm*宽500mm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150x150x10厚高密度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PVC烤漆字，墨色书法手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写体（共14个字符）</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1.150x150x10厚高密度PVC烤漆字，墨色书法手写体（共14个字符）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宣传板装饰墙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8"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（七）</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一组故事主题装饰墙改造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一组故事主题装饰墙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玫瑰金拉丝面金属字-一组故事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1.玫瑰金拉丝面金属字-一组故事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150宽2mm厚金色立体3D五角星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1.150宽2mm厚金色立体3D五角星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成品展柜3</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2.规格：长500mm*高250mm*宽250mm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3.成品冷轧钢板博物馆展示吊柜表面烤漆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8mm钢化玻璃，液压上翻开启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成品展柜4</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2.规格：长700mm*高250mm*宽250mm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3.成品冷轧钢板博物馆展示吊柜表面烤漆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8mm钢化玻璃，液压上翻开启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10mm宽深灰色涂料分隔线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1.10mm宽深灰色涂料分隔线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1.玫瑰金拉丝面金属字-攻打余东警察局 首战告捷、智取四杨坝、夜袭四甲坝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（八）</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三打汤家苴改造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三打汤家苴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1.古铜色哑光面2mm厚不锈钢装饰板弯折，凸出墙面20mm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1.红色烤漆2mm厚不锈钢装饰板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150宽2mm厚金色立体五角星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1.150宽2mm厚金色立体五角星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1.玫瑰金拉丝面金属字-三打汤家苴/二打汤家苴/首战汤家苴/第三次攻打汤家苴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1.照片+宣传板采用20厚PVC板定制加工，表面UV喷印+1mm厚水晶膜，侧面与正面同色同亮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（九）</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增加墙体底部装饰改造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1.红色长城剪影PVC墙贴分层立体雕刻,凸出墙面20mm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1.红色几何形PVC墙贴分层立体雕刻,凸出墙面20mm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国防展厅改造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成品装饰线条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1.线条材料品种、规格：10mm宽不锈钢分隔条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成品展柜5</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1.名称：成品展柜5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2.规格：长1000mm*高1150mm*宽500mm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成品椭圆形展柜</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1.成品椭圆形展柜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2.径长1400mm/1800mm*高度950mm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3.实木烤漆博物馆展柜，高透钢化玻璃，液压开合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飞机模型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1.飞机模型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火箭模型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1.火箭模型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陈列微型仿真军事模型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1.陈列微型仿真军事模型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成品实木地台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1.成品实木地台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2.白色烤漆饰面，2000x400x400高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一种精神主题装饰墙改造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一种精神装饰墙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350宽2mm厚不锈钢红色3D立体五角星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1.350宽2mm厚不锈钢红色3D立体五角星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玫瑰金拉丝面金属字-一种精神</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1.玫瑰金拉丝面金属字，凸出墙面20mm-一种精神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红色亚克力墙贴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1.红色亚克力墙贴，凸出墙面10mm（带五角星）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红色亚克力条形墙贴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1.红色亚克力条形墙贴，凸出墙面10mm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1.宣传板采用20厚PVC板定制加工，表面UV喷印+1mm厚水晶膜，侧面与正面同色同亮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成品红色书柜</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1.名称：成品红色书柜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2.规格：长3100mm*高700mm*宽300mm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3.实木烤漆，板厚20mm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尾厅宣传板装饰墙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1.喷刷涂料部位：墙面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2.腻子种类：成品腻子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3.刮腻子遍数：3遍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4.涂料品种、喷刷遍数：香槟色涂料、3遍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1.绿色亚克力底板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1.橙色亚克力底板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墙、柱面装饰板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1.蓝色亚克力底板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照片+宣传板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1.宣传板及照片采用可更换插片式PVC板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2.照片、宣传板内容见图纸且满足业主要求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定制棕色书柜</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1.名称：定制棕色书柜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2.规格：长4450mm*高500mm*宽300mm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3.实木烤漆，板厚20mm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玫瑰金金属字墙贴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1.玫瑰金金属字墙贴，凸出墙面20mm-书香文脉/艺趣美育/健体科创/校园风采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红以养正装饰墙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红色PVC墙贴分层立体雕刻,凸出墙面20mm</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1.红色PVC墙贴分层立体雕刻,凸出墙面20mm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银色金属字墙贴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1.银色金属字墙贴，凸出墙面20mm-勇往直前/自强不息/坚定不移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120x120红色亚克力字墙贴字，凸出墙面20mm(共四个字)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1.120x120红色亚克力字墙贴字，凸出墙面20mm(共四个字)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展馆局部装饰更换&amp;修复</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移动展板至序厅门洞上方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1.移动展板至序厅门洞上方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2.含安装等所有内容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原展板移动至序厅门洞上方处周围红色主题墙面画装饰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1.原展板移动至序厅门洞上方处周围红色主题墙面画装饰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更换红色五角星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1.更换红色五角星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2.做法：详见图纸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更换墙面浮雕文字</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1.更换墙面浮雕文字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2.具体字体内容、做法、规格、型号及材质需满足业主要求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其他项目</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1.其他所有项目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2.业主要求的所有内容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（十三）</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其他工程</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墙、柱面一般抹灰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1.10厚1:0.3:3水泥石灰膏砂浆打底扫毛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2.6厚1:0.3:2.5水泥石灰膏砂浆找平层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3.工程量暂估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4.投标单位自行踏勘现场，结合实际现场综合考虑</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精保洁</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1.精保洁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增设陈列刘瑞龙及红十四军红色物料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1.增设陈列刘瑞龙及红十四军红色物料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2.具体做法、规格、型号及材质根据业主要求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采购红色书籍</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1.采购红色书籍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2.具体书籍名录根据业主要求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3.具体做法：详见图纸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劳动研学基地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农耕园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购买秧苗、草籽</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按业主要求购买秧苗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整理用地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1.找平找坡要求：场地垃圾清理，垃圾外运，运距自行考虑，整理地形</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栽植土回填</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1.回填土质要求：暂估量，菜地土壤改良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植被清理</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1.清杂，暂估量，土方向下清杂30cm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长征研学点-飞渡桥</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购买秧苗、草籽</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按业主要求购买秧苗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整理用地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1.找平找坡要求：整理地形</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栽植土回填</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1.回填土质要求：填土至设计标高，具体以现场实际情况为准</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植被清理</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1.种类：清杂，暂估量，土方向下清杂30cm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三</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室外红色文化布展</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农耕园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1.碎拼铺装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2.素土夯实,压实系数≥0.93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3.150厚碎石垫层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4.100厚C20混凝土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5.结合层厚度、材料种类：30厚1:3干硬性水泥砂浆粘结层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6.面层材料种类、规格：50厚500-800烧面芝麻灰圆形拼铺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留缝50-100，缝内嵌草</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131.31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1.菜地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2.素土夯实，夯实系数≥90%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3.100厚碎石垫层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4.土工布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5.100厚散置砾石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4"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1.菜地收边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2.素土夯实，夯实系数≥90%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3.100厚碎石垫层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4.土工布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5.C20素砼垫层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6.200X100X50标准青砖（C20素砼护角固定）</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花池</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1.菜地种植池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2.素土夯实≥93%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3.60厚C20素混凝土基垫层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4.30厚1:2.5水泥砂浆粘接层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5.白麻花岗石整打路沿石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1.农耕园入口标识石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竹篱笆</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1.外形尺寸：竹篱笆详见图纸，含基础</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农耕园小品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研学读书台凳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竹篱笆展板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场地西侧墙上展板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1、入口对联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2、2块/副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副</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劳动工具收纳柜</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菜地认领牌</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红色故事宣传牌-农耕园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长征研学点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1.AC-13改性细粒式沥青混凝土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2.钢板与沥青接缝弹性密封胶封缝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3.乳化沥青粘层油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4.环氧沥青界面粘结底漆(满刷)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5.原有混凝土基层病害修复+铣刨拉毛</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1271.31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园路面层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1.AC-10C彩色改性细粒式沥青混凝土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2.钢板与沥青接缝弹性密封胶封缝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3.彩色乳化沥青粘层油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4.环氧沥青界面粘结底漆(满刷)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5.原有混凝土基层病害修复+铣刨拉毛</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1"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木(竹、塑木)地面面层</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1.会师台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2.40×40×4mm镀锌钢通副龙骨@350-400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40×40×4mm镀锌钢通主龙骨@1200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3.塑木地板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1.会师台背景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2.素土夯实，夯实系数≥93%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3.150厚碎石垫层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4.100厚C20素混凝土垫层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5.C25混凝土基础</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吊桥详见图纸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木制桩</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1.吊桥安全配套设施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2.材质、规格：杉木桩密布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3.桩长、尾径：通长5mφ120，后包裹土工布</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长征历史行军路径研学区</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保留宣传围挡改造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（现状向北移动约1.4m）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lang w:val="en-US" w:eastAsia="zh-CN" w:bidi="ar-SA"/>
              </w:rPr>
            </w:pPr>
            <w:r>
              <w:rPr>
                <w:rFonts w:hint="eastAsia" w:ascii="黑体" w:hAnsi="宋体" w:eastAsia="黑体" w:cs="黑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指示宣传牌-飞渡桥、会师台、征途卷</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黑体" w:hAnsi="宋体" w:eastAsia="黑体" w:cs="黑体"/>
                <w:i w:val="0"/>
                <w:iCs w:val="0"/>
                <w:color w:val="000000"/>
                <w:sz w:val="18"/>
                <w:szCs w:val="18"/>
                <w:u w:val="none"/>
                <w:lang w:val="en-US" w:eastAsia="zh-CN"/>
              </w:rPr>
            </w:pPr>
            <w:r>
              <w:rPr>
                <w:rFonts w:hint="eastAsia" w:ascii="黑体" w:hAnsi="宋体" w:eastAsia="黑体" w:cs="黑体"/>
                <w:i w:val="0"/>
                <w:iCs w:val="0"/>
                <w:color w:val="000000"/>
                <w:sz w:val="18"/>
                <w:szCs w:val="18"/>
                <w:u w:val="none"/>
                <w:lang w:val="en-US" w:eastAsia="zh-CN"/>
              </w:rPr>
              <w:t>10</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长征研学点展板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（三）</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操场西北角-过草地</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铺种草皮</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过草地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1.20厚石英砂(人造草皮铺完再填充)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2.10厚环保橡胶颗粒填充物(人造草皮铺完再填充)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3.30mm厚高防静电人工草皮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4.10厚SPEE减震垫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5.现状水泥场地进行修复平整</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499.52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草地设施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放置成品活动设施</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指示宣传牌-过草地</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过草地配套设施</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（四）</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操场西南角-凌云隘</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其他小摆设-攀爬网设施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攀爬网设施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其他小摆设-独木桥设施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独木桥设施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其他小摆设-指示宣传牌</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1、指示宣传牌-凌云隘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2、做法详见27-29节点四-凌云隘宣传牌做法，面层文字由甲方自定专业厂家二次深化设计</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（五）</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操场东南角-险途径</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1、指示宣传牌-险途径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2、做法详见30-31节点五-险途径宣传牌做法，面层文字由甲方自定专业厂家二次深化设计</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攀爬网设施 成品采购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攀爬网设施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其他小摆设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独木桥设施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成品采购</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四</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室外灌溉</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1.垫层、基础材质及厚度：至少20cm细土（砂）包封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2.材质及规格：PE给水管 DE63 公称压力1.25MPa（含管件）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3.连接形式：热熔承插连接</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塑料管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1.垫层、基础材质及厚度：至少20cm细土（砂）包封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2.材质及规格：PE给水管 DE32 公称压力1.6MPa（含管件）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3.连接形式：热熔承插连接</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喷嘴</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散射喷嘴:8VAN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喷酒角度0-360度可调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矩形散射喷嘴:15SST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喷洒角度90/180度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弹伸高度10CM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地埋伸缩喷头壳体:1804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铰接架:1/2”</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阀门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快速取水阀:3/4”全铜材质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阀门箱:PVB6 RND阀箱</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阀门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电磁阀:1200PGA2寸内螺纹接口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检修阀:DN50铜闸阀(安装于电磁阀前端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阀门箱:PVB-JMB</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砖检查井</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水表井:含DN50水表*1、DN50闸阀*2、DN50防污隔断阀*1                                                                         做法参考图集05S502第43页(绿化浇灌）</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阀门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真空破坏器 水平直通形(大气型),见图集12S108-2第39页</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1.土类别：一二类土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2.挖土深度：具体详见图纸</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9</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沟槽、基坑回填方</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1.填方来源：场内回填</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黑体" w:hAnsi="宋体" w:eastAsia="黑体" w:cs="黑体"/>
                <w:i w:val="0"/>
                <w:iCs w:val="0"/>
                <w:color w:val="000000"/>
                <w:sz w:val="18"/>
                <w:szCs w:val="18"/>
                <w:u w:val="none"/>
              </w:rPr>
            </w:pPr>
          </w:p>
        </w:tc>
        <w:tc>
          <w:tcPr>
            <w:tcW w:w="1959"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小计</w:t>
            </w:r>
          </w:p>
        </w:tc>
        <w:tc>
          <w:tcPr>
            <w:tcW w:w="40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FFFF00"/>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五</w:t>
            </w:r>
          </w:p>
        </w:tc>
        <w:tc>
          <w:tcPr>
            <w:tcW w:w="1959" w:type="dxa"/>
            <w:tcBorders>
              <w:top w:val="single" w:color="000000" w:sz="4" w:space="0"/>
              <w:left w:val="single" w:color="000000" w:sz="4" w:space="0"/>
              <w:bottom w:val="single" w:color="000000" w:sz="4" w:space="0"/>
              <w:right w:val="single" w:color="000000" w:sz="4" w:space="0"/>
            </w:tcBorders>
            <w:shd w:val="clear" w:color="auto" w:fill="92D05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室内安装</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（一）</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智能语音</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发射讲解器Bcity-6-313TQ-5</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频率范围 UHF600Mhz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频率响应 20Hz-20KHz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频道数 102频道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发射功率 ≦0.45W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对频方式 手动调频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电池容量 3000mAh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工作电流 400mA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电池续航 约6.5小时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充电时长 约6小时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 L*W*H : 115*55*26mm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 98g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工作距离 约300m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电池类型 锂聚合物电池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充电方式 可用type-c线充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 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 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标准配置 麦克风,挂绳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耳挂式接收器BCT-6-621R-Q</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 621R  Q系列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频率范围 UHF600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频率响应 20Hz-20KHz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频道数 102频道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对频方式 手动调频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充电电压 DC3.5V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信噪比 &gt;-47dB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灵敏度 -95dB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失真度 &lt; 0.5% @1KHZ DEV30KHZ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电池续航 约6小时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充电时长 约2.5小时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 L*W*H : 52*22*14mm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 16g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工作距离 约300m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电池类型 锂聚合物电池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 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 银灰色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标准配置 挂钩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充电器电流 100mAh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充电器电压 5V                                                                                                                                                                                                                                                                  1、内置锂电池独立充电，待机时间6-8小时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2、频道102个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3、无线距离1-300 米</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耳挂式充电箱LQ-50W位充电收纳消毒一体箱</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同时给50个耳挂式接收器，2个发射器充电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充电一体箱: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 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 AC100-240V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 DC5V ⎓ 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使用方法: 按开关键开机, 盒盖后自动消毒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注 : 开机消毒后请勿开盖, 中间需停止消毒, 请先关 接收器集中充电，一次可充50台，自动断电保护。充电绿灯，饱和蓝灯  智能Q芯片控制，2-4小时充饱，绿灯充电，蓝灯充饱。合上盖子3秒后 臭氧和灯一起开始工作，其中臭氧工作15分钟后停止，灯工作60分钟后停止，没有循环，直到下一次开盖</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室外音响</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1.名称：可移动式一体机音响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2.屏幕尺寸：约26吋（含镜面边框对角线66cm）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3.屏幕翻转角度：鸥翼式折叠分体，翻转180°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4.喇叭单元：10吋低音*2+80磁专业号角高音*2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5.额定功率：400W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6.电池：12.8V/24000mAh磷酸铁锂动力电池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7.内存：2G（运存）+16G（内存）+1TB（硬盘）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8.蓝牙版本；V5.3.2.4GH-2.48GHz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9.频响：50HZ-20KHZ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10.失真度：≤0.5%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11.信噪比：≥80dB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12.网络接口：支持2.4G/5G双频WIFI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13.视频系统：安卓+K歌系统（赠送3年K歌会员）</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（二）</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导览系统</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控制机房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定位主机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工业级机柜式机，配置≥8核，≥2.4GHz处理器。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2.内存:≥8GB，内置EMMC储存容量≥128GB+≥256G固态硬盘。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3.具有≥1路HDMI输出接口，具有≥2个USB2.0接口，具有≥2个USB3.0接口。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5.支持音频路由矩阵，≥256×256规格的网络音频路由矩阵。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6.支持定位算法引擎功能，具备UWB定位设备统一管理能力，可通过网络采集基站定位数据，由算法引擎集中处理分析。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7.支持多种定位算法模式，采用包括卡尔曼滤波和最小二乘法在内的多种定位算法，支持零维、一维及二维精准定位。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8.支持MP3、WAV音频文件上传至主机媒体库，可实时解码文件并分发至各音频分区进行播放。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9、为响应国家节能减排政策，参与投标产品生产过程符合国家GB/T 23331-2020或者ISO50001:2018《能源管理体系要求》。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10、为确保产品质量符合项目需求，有效履行合同义务和具备相关履约能力，参与投标产品制造商需通过GB/T 40753-2021或者ISO28000供应链管理体系规范认证。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11、为确保产品制造商能在项目需求周期内完成供货和不会影响到项目验收，参与投标产品制造商需通过GB/T 30146-2023或者ISO22301《安全与韧性-业务连续性管理体系-要求》。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highlight w:val="none"/>
                <w:u w:val="none"/>
                <w:lang w:val="en-US" w:eastAsia="zh-CN" w:bidi="ar"/>
              </w:rPr>
              <w:t>12、为确保投标产品在生产过程中，制造商对有害物质的控制符合节约能源、保护环境及其他国家相关的的政策，参与投标产品厂家需通过《IECQ-QC080000有害物质过程管理体系认证》。</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音频综合管理系统主机嵌入软件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1.软件内嵌于音频综合管理系统主机设备，支撑设备各项基本功能的运行。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2.支持系统设置、定时任务、应急任务、时间设置功能。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3.支持分区/全区广播功能，支持与消防设备联动紧急广播。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4.支持自动锁屏功能。</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7"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智慧语音导览系统管理软件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支持对定位基站的基础参数、信息进行添加、编辑、删除与保存。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2.支持配置SSH远程连接参数，管理员可通过远程终端安全访问系统后台，实现跨设备的系统维护与指令下发。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3.支持脱机模式下的自动讲解任务配置，支持在无网络脱机环境下，创建、编辑、删除自动讲解任务，设置任务触发条件、播放内容与执行时段。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4.支持对GPIO接口设备进行任务配置，可关联导览场景设置设备的触发指令、运行逻辑与联动规则，实现外设与系统的智能协同。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5.支持对U段通信通道参数进行配置与优化。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6.支持在脱机状态下对音频导览媒体资源进行上传、编辑、删除管理。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7.支持在无网络环境下对讲解器设备进行批量绑定、状态监测、参数设置与故障排查。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8.支持导览地图显示，提供地图上传与比例校准功能。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9.支持自定义划分区域，允许用户按需创建椭圆、矩形或多边形的多种形状的电子围栏区域。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10.支持区域讲解任务配置，支持为每个区域创建独立的讲解任务，可设置讲解音频、播放次数、持续时间及播放模式（顺序、循环、随机）。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11.支持定位引擎算法配置，支持配置定位算法模式，包括零维、一维、二维定位，以及单基站/多基站协同定位策略。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12.实时位置与轨迹显示，通过后台客户端实时追踪并可视化讲师当前位置与历史移动轨迹。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13.支持多楼层层组结构配置，有效隔离各楼层定位与通信信号，避免跨层串扰与频率冲突。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14.支持设备实时管控，监控系统内设备（基站、讲解器）的运行状态，包括在线/离线状态、故障告警及电池电量的信息。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15.支持会话状态管理，实时展示当前运行中的讲解会话列表，支持远程调节音量、暂停/停止播放的操作。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16.支持查看系统全量日志，包含任务执行日志、设备运行日志、用户操作日志。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17.支持数据备份与导入，支持对系统配置信息、导览任务数据、媒体资源进行一键备份，生成备份文件；可通过导入备份文件快速恢复系统数据。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18.支持闪避音量设置，支持设置音频闪避规则，当讲解广播触发时，自动降低背景音乐音量；讲解结束后，恢复背景音乐音量。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19.支持分组解算参数设置，支持对多团队、多区域的定位分组参数进行配置。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20.支持地图配置，支持对导览地图进行高精度参数设置，可自定义地图比例尺、长宽尺寸、坐标原点的信息。</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21.因项目涉及到软件产品，为确保采购过程和用户在使用过程中引起知识产权纠纷软件产品厂家需通过《GB/T29490-2023 知识产权管理体系》考核</w:t>
            </w:r>
            <w:r>
              <w:rPr>
                <w:rFonts w:hint="eastAsia" w:ascii="宋体" w:hAnsi="宋体" w:eastAsia="宋体" w:cs="宋体"/>
                <w:i w:val="0"/>
                <w:iCs w:val="0"/>
                <w:color w:val="000000"/>
                <w:kern w:val="0"/>
                <w:sz w:val="18"/>
                <w:szCs w:val="18"/>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台式电脑</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1.处理器：i7处理器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2.内存：16G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3.硬盘：1TB SSD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4.显卡类型：集成显卡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5.系统：Windows 11家庭中文版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6.包含21.45英寸显示器（分辨率：1080P）</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讲解器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导览讲解器</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1.支持数字U段传输技术，语音传输半径≥50米，支持≥48kHz采样率，pi/4-DQPSK调制方式。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2.支持UWB定位技术，导游进入不同展馆时，设备可自动连接对应基站，实现讲解内容无缝切换，定位半径≥30米。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3.支持多种讲话模式，提供PTT讲话模式和MUTE模式，用户可通过PC软件切换。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4.具有智能指示灯，电量、射频、PTT/MUTE指示灯分别显示设备电量、连接状态及讲话模式。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5.支持功率调节，配备高、中、低三档发射功率，用户可根据场景在PC端调节。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6.具有≥1路3.5mm通用麦克风接口，支持短型手持咪头和头戴式麦克风。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7.讲解器内置锂电池供电，≥2小时快速充电，并采用低功耗设计，≥8小时续航。</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高音质对讲话筒嵌入软件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1.软件内嵌于话筒设备，实现话筒广播功能，支撑设备各项基本功能的运行。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2.授权操作管理功能，支持服务器统一配置管理用户及密码。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3.支持单独调节音量。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4.支持对讲、广播功能。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5.支持广播闪避功能。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6.支持远程固件升级。</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导览位置定位设备</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扩声定位基站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1.基于超宽带（UWB）技术，内置天线，覆盖半径≥30m，实现位置感知和定位。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2.基于U段技术，内置≥4个接收通道，实现讲解器音频实时传输和扩声。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3.具备≥2路触发输入接口，具备≥1路RS485接口，具备≥1路TF卡接口，具备≥1路音频输入和输出接口，具备≥1个复位按键，具备≥1路标准RJ45，具备≥1路直流电源供电接口。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4.支持DHCP、TCP、UDP、ICMP、IGMP、ARP标准网络协议。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5.支持吸顶、壁挂安装方式。</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高音质网络终端嵌入软件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1.软件内嵌于控制面板设备，支撑设备各项基本功能的运行。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2.支持本地音源选择、音频通道选择、音量控制功能。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3.支持查看设备信息。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功放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9"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数传专业数字功放</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1.采用网络传输协议，内置≥4路网络传输通道，支持远距离音频传输；集成DSP音频处理功能。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切换音频输入模式：包括混音输入模式、网络音频输入模式、本地音频输入模式；同时具有数模备份（网络优先模式下，优先播放网络音频，当网络音频断开，自动切换为模拟音频）、模数备份两种模式（模拟优先模式下，优先播放模拟音频，当模拟音频断开，自动切换为网络音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3.内置多种工作模式：包括定阻、定压、音频矩阵和桥接，可自由切换以满足不同用户需求；定阻模式支持16欧、8欧、4欧；桥接模式支持16欧、8欧；定压模式支持70V；最低支持4欧负载。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4.集成设备监控状态功能，实时显示各通道工作状态、温度、功率、实时电压、电流、市电电压、市电电流、通道音量、音频输入模式状态。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5.输入灵敏度提供≥2档设置：包括1V/2V。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6.支持多设备级联，可远程监控多台设备使用状态及控制设备。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7.配备智能削峰限幅器，确保功率模块及扬声器系统在安全范围内工作。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8.采用开机软启动设计，防止开机时向电网吸收大电流，避免干扰其他用电设备。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9.具有过压保护、欠压保护、过流保护、直流保护、输出短路保护、温控风扇功能。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集中控制功能，支持软件远程调节音频大小、通道切换、开关机及多设备控制，还可通过网络对接中控系统，实时显示设备使用状态、温度、功率、电压、电流信息，并支持控制功放开关机与调节音量大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11.输出功率：立体声16Ω：≥4×100W；立体声8Ω：≥4×200W；立体声4Ω：≥4×400W；桥接16Ω：≥2×400W；桥接8Ω：≥2×750W；定压70V：≥2×350W。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12.具备设备定位功能。通过PC软件在设备列表中点击定位，主机显示屏会弹出“定位成功”提示。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具有≥3.7英寸IPS电容触控显示屏，支持动态显示开机界面、通道数量、通道实时电平值。支持控制设备静音、调节增益、工作模式（包含切换定阻/定压模式、输入通道切换、矩阵/桥接模式、灵敏度1V/2V切换、音频优先级切换功能）以及查看功放状态（包含通道状态，正常状态与故障状态分别通过不同颜色指示灯标识；实时显示当前输出通道温度、电压、电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触控显示屏可显示设备信息，包含设备IP地址、子网掩码、默认网关、MAC地址、MCU版本及固件版本信息；具有中英文界面切换功能，用户可选择简体中文或English，系统默认为简体中文。支持设置设备息屏时间，提供≥3种无操作息屏时长选项以供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15.集成DSP音频处理功能，具有≥15段参量均衡器、限幅器、高低通滤波器、通道延时功能，通道延时可设置时间等同或宽于0~2000ms；软件可根据现场延时距离自动计算需要的延时时间。</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天花喇叭</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1.喇叭单元：6.5"低音+19mm(3/4")高音同轴扬声器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2.阻抗：≤16Ω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3.频率响应等同或优于100Hzto20kHz@-10dB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4.最大声压级：≥106dB±3dB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5.额定功率≥60W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6.最大功率≥120W</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辅助材料</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插箱、机柜、台架</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42U，600*800*2000，钢化玻璃门</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1.16个千兆网口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2.支持IEEE 802.3 、IEEE 802.3i、IEEE 802.3u、IEEE 802.3ab、IEEE 802.3x等网络标准</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超五类非屏蔽网线</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1.名称：超五类非屏蔽网线</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配管</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1.名称：PVC25</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其他辅材</w:t>
            </w:r>
          </w:p>
        </w:tc>
        <w:tc>
          <w:tcPr>
            <w:tcW w:w="4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其它辅助材料（排插、三极电源插头、水晶头、2芯线缆等）</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jc w:val="center"/>
        </w:trPr>
        <w:tc>
          <w:tcPr>
            <w:tcW w:w="9248"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合计</w:t>
            </w:r>
          </w:p>
        </w:tc>
        <w:tc>
          <w:tcPr>
            <w:tcW w:w="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Pr>
        <w:rPr>
          <w:rFonts w:hint="default"/>
          <w:lang w:val="en-US" w:eastAsia="zh-CN"/>
        </w:rPr>
      </w:pPr>
      <w:r>
        <w:rPr>
          <w:rFonts w:hint="default"/>
          <w:lang w:val="en-US" w:eastAsia="zh-CN"/>
        </w:rPr>
        <w:t>1、投标单位必须自行踏勘现场，结合现场实际合理报价，结算时工程量按实调整，全费用单价不予调整。</w:t>
      </w:r>
    </w:p>
    <w:p>
      <w:pPr>
        <w:rPr>
          <w:rFonts w:hint="default"/>
          <w:lang w:val="en-US" w:eastAsia="zh-CN"/>
        </w:rPr>
      </w:pPr>
      <w:r>
        <w:rPr>
          <w:rFonts w:hint="default"/>
          <w:lang w:val="en-US" w:eastAsia="zh-CN"/>
        </w:rPr>
        <w:t xml:space="preserve">2、本工程投标报价为全费用单价报价。包含但不限于材料费、人工费、机械费、运输费，装卸费，管理费、利润，安全生产措施费、文明施工费、环境保护费、临时设施费、其他大型机械进退场及安拆费等所有措施费，其他项目费，因施工损毁其他建筑等的修复费，增值税以及所有安全费用及扬尘纠纷问题等全部费用在内；如遇特殊原因不能实施的，结算时，承包人应无条件按投标单价在结算总价中予以扣除。                                                                 </w:t>
      </w:r>
    </w:p>
    <w:p>
      <w:pPr>
        <w:rPr>
          <w:rFonts w:hint="default"/>
          <w:lang w:val="en-US" w:eastAsia="zh-CN"/>
        </w:rPr>
      </w:pPr>
      <w:r>
        <w:rPr>
          <w:rFonts w:hint="default"/>
          <w:lang w:val="en-US" w:eastAsia="zh-CN"/>
        </w:rPr>
        <w:t>3、若对清单电子文件中的数据、格式等进行修改，按无效标处理。</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eastAsia" w:ascii="Times New Roman" w:hAnsi="Times New Roman" w:eastAsia="宋体" w:cs="Times New Roman"/>
          <w:szCs w:val="20"/>
        </w:rPr>
      </w:pPr>
      <w:r>
        <w:rPr>
          <w:rFonts w:hint="eastAsia" w:ascii="宋体" w:hAnsi="宋体" w:eastAsia="宋体" w:cs="宋体"/>
          <w:b w:val="0"/>
          <w:bCs/>
          <w:color w:val="000000"/>
          <w:sz w:val="24"/>
          <w:szCs w:val="24"/>
          <w:lang w:val="en-US" w:eastAsia="zh-CN"/>
        </w:rPr>
        <w:t>附件6：</w:t>
      </w:r>
    </w:p>
    <w:p>
      <w:pPr>
        <w:spacing w:line="460" w:lineRule="exact"/>
        <w:jc w:val="center"/>
        <w:rPr>
          <w:rFonts w:hint="eastAsia" w:ascii="Times New Roman" w:hAnsi="Times New Roman" w:eastAsia="新宋体" w:cs="Times New Roman"/>
          <w:sz w:val="30"/>
          <w:szCs w:val="21"/>
          <w:lang w:val="en-US" w:eastAsia="zh-CN" w:bidi="ar-SA"/>
        </w:rPr>
      </w:pPr>
      <w:r>
        <w:rPr>
          <w:rFonts w:hint="eastAsia" w:ascii="宋体" w:hAnsi="宋体" w:eastAsia="宋体" w:cs="宋体"/>
          <w:b/>
          <w:color w:val="000000"/>
          <w:sz w:val="32"/>
          <w:szCs w:val="32"/>
          <w:highlight w:val="none"/>
        </w:rPr>
        <w:t>中小企业声明函（服务）</w:t>
      </w:r>
    </w:p>
    <w:p>
      <w:pPr>
        <w:spacing w:line="360" w:lineRule="auto"/>
        <w:ind w:firstLine="560"/>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本公司郑重声明，根据《政府采购促进中小企业发展管理办法》（财库﹝2020﹞46 号）的规定，本公司（联合体）参加</w:t>
      </w:r>
      <w:r>
        <w:rPr>
          <w:rFonts w:hint="eastAsia" w:ascii="宋体" w:hAnsi="宋体" w:eastAsia="宋体" w:cs="宋体"/>
          <w:color w:val="000000"/>
          <w:sz w:val="28"/>
          <w:szCs w:val="28"/>
          <w:highlight w:val="none"/>
          <w:u w:val="single"/>
          <w:lang w:eastAsia="zh-CN" w:bidi="zh-CN"/>
        </w:rPr>
        <w:t>南通市海门区正余镇人民政府</w:t>
      </w:r>
      <w:r>
        <w:rPr>
          <w:rFonts w:hint="eastAsia" w:ascii="宋体" w:hAnsi="宋体" w:eastAsia="宋体" w:cs="宋体"/>
          <w:color w:val="000000"/>
          <w:sz w:val="28"/>
          <w:szCs w:val="28"/>
          <w:highlight w:val="none"/>
          <w:lang w:bidi="zh-CN"/>
        </w:rPr>
        <w:t>的</w:t>
      </w:r>
      <w:r>
        <w:rPr>
          <w:rFonts w:hint="eastAsia" w:ascii="宋体" w:hAnsi="宋体" w:eastAsia="宋体" w:cs="宋体"/>
          <w:color w:val="000000"/>
          <w:sz w:val="28"/>
          <w:szCs w:val="28"/>
          <w:highlight w:val="none"/>
          <w:u w:val="single"/>
          <w:lang w:eastAsia="zh-CN" w:bidi="zh-CN"/>
        </w:rPr>
        <w:t>南通市海门区正余镇人民政府采购中国工农红军南通海门红军小学校园红色环境提升项目</w:t>
      </w:r>
      <w:r>
        <w:rPr>
          <w:rFonts w:hint="eastAsia" w:ascii="宋体" w:hAnsi="宋体" w:eastAsia="宋体" w:cs="宋体"/>
          <w:color w:val="000000"/>
          <w:sz w:val="28"/>
          <w:szCs w:val="28"/>
          <w:highlight w:val="none"/>
          <w:lang w:bidi="zh-CN"/>
        </w:rPr>
        <w:t>采购活动，服务全部由符合政策要求的中小企业承接。相关企业的具体情况如下：</w:t>
      </w:r>
    </w:p>
    <w:p>
      <w:pPr>
        <w:spacing w:line="360" w:lineRule="auto"/>
        <w:ind w:firstLine="560"/>
        <w:jc w:val="left"/>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u w:val="single"/>
          <w:lang w:val="en-US" w:eastAsia="zh-CN" w:bidi="zh-CN"/>
        </w:rPr>
        <w:t>红色</w:t>
      </w:r>
      <w:r>
        <w:rPr>
          <w:rFonts w:hint="eastAsia" w:ascii="宋体" w:hAnsi="宋体" w:eastAsia="宋体" w:cs="宋体"/>
          <w:color w:val="000000"/>
          <w:sz w:val="28"/>
          <w:szCs w:val="28"/>
          <w:highlight w:val="none"/>
          <w:u w:val="single"/>
          <w:lang w:eastAsia="zh-CN" w:bidi="zh-CN"/>
        </w:rPr>
        <w:t>环境提升</w:t>
      </w:r>
      <w:r>
        <w:rPr>
          <w:rFonts w:hint="eastAsia" w:ascii="宋体" w:hAnsi="宋体" w:eastAsia="宋体" w:cs="宋体"/>
          <w:color w:val="000000"/>
          <w:sz w:val="28"/>
          <w:szCs w:val="28"/>
          <w:highlight w:val="none"/>
          <w:lang w:bidi="zh-CN"/>
        </w:rPr>
        <w:t>，属于</w:t>
      </w:r>
      <w:r>
        <w:rPr>
          <w:rFonts w:hint="eastAsia" w:ascii="宋体" w:hAnsi="宋体" w:cs="宋体"/>
          <w:color w:val="000000"/>
          <w:sz w:val="28"/>
          <w:szCs w:val="28"/>
          <w:u w:val="single"/>
        </w:rPr>
        <w:t>租赁和商务服务业</w:t>
      </w:r>
      <w:r>
        <w:rPr>
          <w:rFonts w:hint="eastAsia" w:ascii="宋体" w:hAnsi="宋体" w:eastAsia="宋体" w:cs="宋体"/>
          <w:color w:val="000000"/>
          <w:sz w:val="28"/>
          <w:szCs w:val="28"/>
          <w:highlight w:val="none"/>
          <w:lang w:bidi="zh-CN"/>
        </w:rPr>
        <w:t>；承建（承接）企业为</w:t>
      </w:r>
      <w:r>
        <w:rPr>
          <w:rFonts w:hint="eastAsia" w:ascii="宋体" w:hAnsi="宋体" w:eastAsia="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u w:val="single"/>
          <w:lang w:bidi="zh-CN"/>
        </w:rPr>
        <w:t>（企业名称）</w:t>
      </w:r>
      <w:r>
        <w:rPr>
          <w:rFonts w:hint="eastAsia" w:ascii="宋体" w:hAnsi="宋体" w:eastAsia="宋体" w:cs="宋体"/>
          <w:color w:val="000000"/>
          <w:sz w:val="28"/>
          <w:szCs w:val="28"/>
          <w:highlight w:val="none"/>
          <w:lang w:bidi="zh-CN"/>
        </w:rPr>
        <w:t>，从业人员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人，属于</w:t>
      </w:r>
      <w:r>
        <w:rPr>
          <w:rFonts w:hint="eastAsia" w:ascii="宋体" w:hAnsi="宋体" w:eastAsia="宋体" w:cs="宋体"/>
          <w:color w:val="000000"/>
          <w:sz w:val="28"/>
          <w:szCs w:val="28"/>
          <w:highlight w:val="none"/>
          <w:u w:val="single"/>
          <w:lang w:val="en-US" w:bidi="zh-CN"/>
        </w:rPr>
        <w:t xml:space="preserve">     </w:t>
      </w:r>
      <w:r>
        <w:rPr>
          <w:rFonts w:hint="eastAsia" w:ascii="宋体" w:hAnsi="宋体" w:eastAsia="宋体" w:cs="宋体"/>
          <w:color w:val="000000"/>
          <w:sz w:val="28"/>
          <w:szCs w:val="28"/>
          <w:highlight w:val="none"/>
          <w:u w:val="single"/>
          <w:lang w:bidi="zh-CN"/>
        </w:rPr>
        <w:t>（中型企业、小型企业、微型企业）</w:t>
      </w:r>
      <w:r>
        <w:rPr>
          <w:rFonts w:hint="eastAsia" w:ascii="宋体" w:hAnsi="宋体" w:eastAsia="宋体" w:cs="宋体"/>
          <w:color w:val="000000"/>
          <w:sz w:val="28"/>
          <w:szCs w:val="28"/>
          <w:highlight w:val="none"/>
          <w:lang w:bidi="zh-CN"/>
        </w:rPr>
        <w:t>；</w:t>
      </w:r>
    </w:p>
    <w:p>
      <w:pPr>
        <w:widowControl/>
        <w:spacing w:line="360" w:lineRule="auto"/>
        <w:ind w:firstLine="560"/>
        <w:jc w:val="left"/>
        <w:rPr>
          <w:rFonts w:hint="eastAsia" w:ascii="宋体" w:hAnsi="宋体" w:eastAsia="宋体" w:cs="宋体"/>
          <w:color w:val="000000"/>
          <w:sz w:val="28"/>
          <w:szCs w:val="28"/>
        </w:rPr>
      </w:pPr>
      <w:r>
        <w:rPr>
          <w:rFonts w:hint="eastAsia" w:ascii="宋体" w:hAnsi="宋体" w:eastAsia="宋体" w:cs="宋体"/>
          <w:color w:val="000000"/>
          <w:sz w:val="28"/>
          <w:szCs w:val="28"/>
        </w:rPr>
        <w:t>以上企业，不属于大企业的分支机构，不存在控股股东为大企业的情形，也不存在与大企业的负责人为同一人的情形。</w:t>
      </w:r>
    </w:p>
    <w:p>
      <w:pPr>
        <w:widowControl/>
        <w:spacing w:line="360" w:lineRule="auto"/>
        <w:ind w:firstLine="560"/>
        <w:jc w:val="left"/>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rPr>
        <w:t xml:space="preserve">本企业对上述声明内容的真实性负责。如有虚假，将依法承担相应责任。 </w:t>
      </w:r>
    </w:p>
    <w:p>
      <w:pPr>
        <w:spacing w:line="300" w:lineRule="auto"/>
        <w:ind w:firstLine="4900"/>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企业名称（盖章）：</w:t>
      </w:r>
    </w:p>
    <w:p>
      <w:pPr>
        <w:spacing w:line="300" w:lineRule="auto"/>
        <w:ind w:firstLine="4900"/>
        <w:outlineLvl w:val="0"/>
        <w:rPr>
          <w:rFonts w:hint="eastAsia" w:ascii="宋体" w:hAnsi="宋体" w:eastAsia="新宋体" w:cs="宋体"/>
          <w:color w:val="000000"/>
          <w:sz w:val="28"/>
          <w:szCs w:val="28"/>
          <w:highlight w:val="none"/>
          <w:lang w:val="en-US" w:eastAsia="zh-CN" w:bidi="zh-CN"/>
        </w:rPr>
      </w:pPr>
      <w:r>
        <w:rPr>
          <w:rFonts w:hint="eastAsia" w:ascii="宋体" w:hAnsi="宋体" w:eastAsia="宋体" w:cs="宋体"/>
          <w:color w:val="000000"/>
          <w:sz w:val="28"/>
          <w:szCs w:val="28"/>
          <w:highlight w:val="none"/>
          <w:lang w:bidi="zh-CN"/>
        </w:rPr>
        <w:t>日期：</w:t>
      </w:r>
    </w:p>
    <w:p>
      <w:pPr>
        <w:rPr>
          <w:rFonts w:hint="eastAsia" w:ascii="宋体" w:hAnsi="宋体" w:eastAsia="宋体" w:cs="宋体"/>
          <w:color w:val="000000"/>
          <w:sz w:val="28"/>
          <w:szCs w:val="28"/>
          <w:highlight w:val="none"/>
          <w:lang w:bidi="zh-CN"/>
        </w:rPr>
      </w:pPr>
    </w:p>
    <w:p>
      <w:pPr>
        <w:pStyle w:val="18"/>
        <w:rPr>
          <w:rFonts w:hint="eastAsia" w:ascii="宋体" w:hAnsi="宋体" w:eastAsia="宋体" w:cs="宋体"/>
          <w:color w:val="000000"/>
          <w:sz w:val="28"/>
          <w:szCs w:val="28"/>
          <w:highlight w:val="none"/>
          <w:lang w:bidi="zh-CN"/>
        </w:rPr>
      </w:pPr>
    </w:p>
    <w:p>
      <w:pPr>
        <w:rPr>
          <w:rFonts w:hint="eastAsia"/>
        </w:rPr>
      </w:pPr>
    </w:p>
    <w:p>
      <w:pPr>
        <w:spacing w:after="120" w:line="360" w:lineRule="auto"/>
        <w:contextualSpacing/>
        <w:rPr>
          <w:rFonts w:hint="default" w:ascii="宋体" w:hAnsi="宋体" w:eastAsia="宋体" w:cs="宋体"/>
          <w:b/>
          <w:sz w:val="24"/>
          <w:szCs w:val="24"/>
          <w:lang w:bidi="zh-CN"/>
        </w:rPr>
      </w:pPr>
      <w:r>
        <w:rPr>
          <w:rFonts w:hint="eastAsia" w:ascii="宋体" w:hAnsi="宋体" w:eastAsia="宋体" w:cs="宋体"/>
          <w:b/>
          <w:sz w:val="24"/>
          <w:szCs w:val="24"/>
          <w:lang w:bidi="zh-CN"/>
        </w:rPr>
        <w:t>注：</w:t>
      </w:r>
      <w:r>
        <w:rPr>
          <w:rFonts w:hint="eastAsia" w:ascii="宋体" w:hAnsi="宋体" w:eastAsia="宋体" w:cs="宋体"/>
          <w:b/>
          <w:sz w:val="24"/>
          <w:szCs w:val="24"/>
          <w:lang w:val="en-US" w:eastAsia="zh-CN" w:bidi="zh-CN"/>
        </w:rPr>
        <w:t>中标</w:t>
      </w:r>
      <w:r>
        <w:rPr>
          <w:rFonts w:hint="eastAsia" w:ascii="宋体" w:hAnsi="宋体" w:eastAsia="宋体" w:cs="宋体"/>
          <w:b/>
          <w:sz w:val="24"/>
          <w:szCs w:val="24"/>
          <w:lang w:bidi="zh-CN"/>
        </w:rPr>
        <w:t>供应商为中小企业的，此声明函将随</w:t>
      </w:r>
      <w:r>
        <w:rPr>
          <w:rFonts w:hint="eastAsia" w:ascii="宋体" w:hAnsi="宋体" w:eastAsia="宋体" w:cs="宋体"/>
          <w:b/>
          <w:sz w:val="24"/>
          <w:szCs w:val="24"/>
          <w:lang w:val="en-US" w:eastAsia="zh-CN" w:bidi="zh-CN"/>
        </w:rPr>
        <w:t>中标</w:t>
      </w:r>
      <w:r>
        <w:rPr>
          <w:rFonts w:hint="eastAsia" w:ascii="宋体" w:hAnsi="宋体" w:eastAsia="宋体" w:cs="宋体"/>
          <w:b/>
          <w:sz w:val="24"/>
          <w:szCs w:val="24"/>
          <w:lang w:bidi="zh-CN"/>
        </w:rPr>
        <w:t>结果同时公告，接受社会监督。供应商按照本办法规定提供声明函内容不实的，属于提供虚假材料谋取中标、成交，依照《中华人民共和国政府采购法》等国家有关规定追究相应责任。</w:t>
      </w:r>
    </w:p>
    <w:p>
      <w:pPr>
        <w:spacing w:after="120" w:line="360" w:lineRule="auto"/>
        <w:ind w:firstLine="480"/>
        <w:contextualSpacing/>
        <w:rPr>
          <w:rFonts w:hint="default" w:ascii="宋体" w:hAnsi="宋体" w:eastAsia="宋体" w:cs="宋体"/>
          <w:b/>
          <w:sz w:val="24"/>
          <w:szCs w:val="24"/>
          <w:lang w:bidi="zh-CN"/>
        </w:rPr>
      </w:pPr>
      <w:r>
        <w:rPr>
          <w:rFonts w:hint="eastAsia" w:ascii="宋体" w:hAnsi="宋体" w:eastAsia="宋体" w:cs="宋体"/>
          <w:b/>
          <w:sz w:val="24"/>
          <w:szCs w:val="24"/>
          <w:lang w:bidi="zh-CN"/>
        </w:rPr>
        <w:t>根据工信部联企业[2011]300号文，关于中小企业划型标准规定：</w:t>
      </w:r>
    </w:p>
    <w:p>
      <w:pPr>
        <w:widowControl/>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default" w:ascii="宋体" w:hAnsi="宋体" w:eastAsia="宋体" w:cs="宋体"/>
          <w:b/>
          <w:sz w:val="24"/>
          <w:szCs w:val="24"/>
          <w:lang w:eastAsia="zh-CN" w:bidi="zh-CN"/>
        </w:rPr>
        <w:t>其他未列明行业</w:t>
      </w:r>
      <w:r>
        <w:rPr>
          <w:rFonts w:hint="eastAsia" w:ascii="宋体" w:hAnsi="宋体" w:eastAsia="宋体" w:cs="宋体"/>
          <w:b/>
          <w:sz w:val="24"/>
          <w:szCs w:val="24"/>
          <w:lang w:val="en-US" w:eastAsia="zh-CN" w:bidi="zh-CN"/>
        </w:rPr>
        <w:t>。从业人员 300 人以下的为中小微型企业。其中，从业人员 100 人及以上的为中型企业;从业人员 10 人及以上的为小型企业;从业人员 10 人以下的为微型企业。</w:t>
      </w:r>
    </w:p>
    <w:p>
      <w:pPr>
        <w:widowControl/>
        <w:jc w:val="left"/>
        <w:rPr>
          <w:rFonts w:hint="eastAsia" w:ascii="宋体" w:hAnsi="宋体" w:eastAsia="宋体" w:cs="宋体"/>
          <w:color w:val="auto"/>
          <w:szCs w:val="21"/>
          <w:highlight w:val="none"/>
          <w:lang w:bidi="ar"/>
        </w:rPr>
      </w:pPr>
    </w:p>
    <w:p>
      <w:pPr>
        <w:jc w:val="both"/>
        <w:rPr>
          <w:rFonts w:hint="eastAsia" w:ascii="宋体" w:hAnsi="宋体" w:eastAsia="宋体" w:cs="宋体"/>
          <w:b w:val="0"/>
          <w:bCs/>
          <w:color w:val="000000"/>
          <w:sz w:val="24"/>
          <w:szCs w:val="24"/>
          <w:lang w:val="en-US" w:eastAsia="zh-CN"/>
        </w:rPr>
      </w:pPr>
    </w:p>
    <w:p>
      <w:pPr>
        <w:rPr>
          <w:rFonts w:hint="eastAsia"/>
          <w:lang w:val="en-US" w:eastAsia="zh-CN"/>
        </w:rPr>
      </w:pP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附件7：</w:t>
      </w:r>
    </w:p>
    <w:p>
      <w:pPr>
        <w:spacing w:line="460" w:lineRule="exact"/>
        <w:jc w:val="both"/>
        <w:rPr>
          <w:rFonts w:hint="eastAsia" w:ascii="宋体" w:hAnsi="宋体" w:eastAsia="宋体" w:cs="宋体"/>
          <w:b/>
          <w:color w:val="000000"/>
          <w:sz w:val="32"/>
          <w:szCs w:val="32"/>
          <w:highlight w:val="none"/>
        </w:rPr>
      </w:pPr>
    </w:p>
    <w:p>
      <w:pPr>
        <w:spacing w:line="460" w:lineRule="exac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残疾人福利性单位声明函</w:t>
      </w:r>
    </w:p>
    <w:p>
      <w:pPr>
        <w:spacing w:line="588"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8"/>
          <w:szCs w:val="28"/>
          <w:highlight w:val="none"/>
          <w:u w:val="single"/>
          <w:lang w:eastAsia="zh-CN"/>
        </w:rPr>
        <w:t>南通市海门区正余镇人民政府</w:t>
      </w:r>
      <w:r>
        <w:rPr>
          <w:rFonts w:hint="eastAsia" w:ascii="宋体" w:hAnsi="宋体" w:eastAsia="宋体" w:cs="宋体"/>
          <w:color w:val="000000"/>
          <w:sz w:val="28"/>
          <w:szCs w:val="28"/>
          <w:highlight w:val="none"/>
        </w:rPr>
        <w:t>的</w:t>
      </w:r>
      <w:r>
        <w:rPr>
          <w:rFonts w:hint="eastAsia" w:ascii="宋体" w:hAnsi="宋体" w:eastAsia="宋体" w:cs="宋体"/>
          <w:color w:val="000000"/>
          <w:sz w:val="28"/>
          <w:szCs w:val="28"/>
          <w:highlight w:val="none"/>
          <w:u w:val="single"/>
          <w:lang w:eastAsia="zh-CN" w:bidi="zh-CN"/>
        </w:rPr>
        <w:t>南通市海门区正余镇人民政府采购中国工农红军南通海门红军小学校园红色环境提升项目</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 xml:space="preserve">项目编号：JSZC-320614-NTWL-G2026-0012  </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采购活动提供本单位制造的货物（由本单位承担工程/提供服务），或者提供其他残疾人福利性单位制造的货物（不包括使用非残疾人福利性单位注册商标的货物）。</w:t>
      </w:r>
    </w:p>
    <w:p>
      <w:pPr>
        <w:spacing w:line="588"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本单位对上述声明的真实性负责。如有虚假，将依法承担相应责任。</w:t>
      </w:r>
    </w:p>
    <w:p>
      <w:pPr>
        <w:spacing w:line="588" w:lineRule="exact"/>
        <w:ind w:firstLine="560"/>
        <w:rPr>
          <w:rFonts w:hint="eastAsia" w:ascii="宋体" w:hAnsi="宋体" w:eastAsia="宋体" w:cs="宋体"/>
          <w:color w:val="000000"/>
          <w:sz w:val="28"/>
          <w:szCs w:val="28"/>
          <w:highlight w:val="none"/>
        </w:rPr>
      </w:pPr>
    </w:p>
    <w:p>
      <w:pPr>
        <w:spacing w:line="300" w:lineRule="auto"/>
        <w:outlineLvl w:val="0"/>
        <w:rPr>
          <w:rFonts w:hint="eastAsia" w:ascii="宋体" w:hAnsi="宋体" w:eastAsia="宋体" w:cs="宋体"/>
          <w:color w:val="000000"/>
          <w:sz w:val="28"/>
          <w:szCs w:val="28"/>
          <w:highlight w:val="none"/>
          <w:lang w:bidi="zh-CN"/>
        </w:rPr>
      </w:pPr>
    </w:p>
    <w:p>
      <w:pPr>
        <w:spacing w:line="300" w:lineRule="auto"/>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注：1、供应商如不提供此声明函，价格将不做相应扣除。</w:t>
      </w:r>
    </w:p>
    <w:p>
      <w:pPr>
        <w:spacing w:line="588" w:lineRule="exact"/>
        <w:ind w:firstLine="560"/>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2、供应商按照本办法规定提供声明函内容不实的，属于提供虚假材料谋取中标、成交，依照《中华人民共和国政府采购法》等国家有关规定追究相应责任。</w:t>
      </w:r>
    </w:p>
    <w:p>
      <w:pPr>
        <w:spacing w:line="588" w:lineRule="exact"/>
        <w:ind w:firstLine="584"/>
        <w:rPr>
          <w:rFonts w:hint="eastAsia" w:ascii="宋体" w:hAnsi="宋体" w:eastAsia="宋体" w:cs="宋体"/>
          <w:color w:val="000000"/>
          <w:spacing w:val="6"/>
          <w:sz w:val="28"/>
          <w:szCs w:val="28"/>
          <w:highlight w:val="none"/>
        </w:rPr>
      </w:pPr>
    </w:p>
    <w:p>
      <w:pPr>
        <w:tabs>
          <w:tab w:val="left" w:pos="4860"/>
        </w:tabs>
        <w:spacing w:line="588" w:lineRule="exact"/>
        <w:ind w:right="1560" w:firstLine="584"/>
        <w:jc w:val="center"/>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p>
    <w:p>
      <w:pPr>
        <w:tabs>
          <w:tab w:val="left" w:pos="4860"/>
        </w:tabs>
        <w:spacing w:line="588" w:lineRule="exact"/>
        <w:ind w:right="1560"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p>
    <w:p>
      <w:pPr>
        <w:ind w:firstLine="420"/>
        <w:rPr>
          <w:rFonts w:hint="eastAsia" w:ascii="宋体" w:hAnsi="宋体" w:eastAsia="宋体" w:cs="宋体"/>
          <w:color w:val="000000"/>
          <w:sz w:val="28"/>
          <w:szCs w:val="28"/>
          <w:highlight w:val="none"/>
        </w:rPr>
      </w:pPr>
    </w:p>
    <w:p>
      <w:pPr>
        <w:spacing w:line="300" w:lineRule="auto"/>
        <w:outlineLvl w:val="0"/>
        <w:rPr>
          <w:rFonts w:hint="eastAsia" w:ascii="宋体" w:hAnsi="宋体" w:eastAsia="宋体" w:cs="宋体"/>
          <w:color w:val="000000"/>
          <w:sz w:val="28"/>
          <w:szCs w:val="28"/>
          <w:highlight w:val="none"/>
        </w:rPr>
      </w:pPr>
    </w:p>
    <w:p>
      <w:pPr>
        <w:widowControl w:val="0"/>
        <w:spacing w:after="120"/>
        <w:jc w:val="both"/>
        <w:rPr>
          <w:rFonts w:hint="eastAsia" w:ascii="宋体" w:hAnsi="宋体" w:eastAsia="宋体" w:cs="宋体"/>
          <w:color w:val="000000"/>
          <w:sz w:val="21"/>
          <w:highlight w:val="none"/>
          <w:lang w:val="en-US" w:eastAsia="zh-CN" w:bidi="ar-SA"/>
        </w:rPr>
      </w:pPr>
    </w:p>
    <w:p>
      <w:pPr>
        <w:rPr>
          <w:rFonts w:hint="eastAsia" w:ascii="宋体" w:hAnsi="宋体" w:eastAsia="宋体" w:cs="宋体"/>
          <w:color w:val="000000"/>
          <w:szCs w:val="20"/>
          <w:highlight w:val="none"/>
        </w:rPr>
      </w:pPr>
    </w:p>
    <w:p>
      <w:pPr>
        <w:jc w:val="both"/>
        <w:rPr>
          <w:rFonts w:hint="eastAsia" w:ascii="宋体" w:hAnsi="宋体" w:eastAsia="宋体" w:cs="宋体"/>
          <w:b w:val="0"/>
          <w:bCs/>
          <w:color w:val="000000"/>
          <w:sz w:val="24"/>
          <w:szCs w:val="24"/>
          <w:lang w:val="en-US" w:eastAsia="zh-CN"/>
        </w:rPr>
      </w:pPr>
    </w:p>
    <w:p>
      <w:pPr>
        <w:jc w:val="both"/>
        <w:rPr>
          <w:rFonts w:hint="eastAsia" w:ascii="宋体" w:hAnsi="宋体" w:eastAsia="宋体" w:cs="宋体"/>
          <w:b w:val="0"/>
          <w:bCs/>
          <w:color w:val="000000"/>
          <w:sz w:val="24"/>
          <w:szCs w:val="24"/>
          <w:lang w:val="en-US" w:eastAsia="zh-CN"/>
        </w:rPr>
      </w:pPr>
    </w:p>
    <w:p>
      <w:pPr>
        <w:pStyle w:val="18"/>
        <w:rPr>
          <w:rFonts w:hint="eastAsia"/>
          <w:lang w:val="en-US" w:eastAsia="zh-CN"/>
        </w:rPr>
      </w:pP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附件8：</w:t>
      </w:r>
    </w:p>
    <w:p>
      <w:pPr>
        <w:spacing w:line="300" w:lineRule="auto"/>
        <w:jc w:val="center"/>
        <w:outlineLvl w:val="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监狱和戒毒企业证明材料</w:t>
      </w:r>
    </w:p>
    <w:p>
      <w:pPr>
        <w:spacing w:line="420" w:lineRule="exact"/>
        <w:ind w:firstLine="495"/>
        <w:rPr>
          <w:rFonts w:hint="eastAsia" w:ascii="宋体" w:hAnsi="宋体" w:eastAsia="宋体" w:cs="宋体"/>
          <w:color w:val="000000"/>
          <w:sz w:val="28"/>
          <w:szCs w:val="28"/>
          <w:highlight w:val="none"/>
        </w:rPr>
      </w:pPr>
    </w:p>
    <w:p>
      <w:pPr>
        <w:spacing w:line="420" w:lineRule="exact"/>
        <w:ind w:firstLine="49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（格式自拟）</w:t>
      </w:r>
    </w:p>
    <w:p>
      <w:pPr>
        <w:spacing w:line="420" w:lineRule="exact"/>
        <w:ind w:firstLine="495"/>
        <w:rPr>
          <w:rFonts w:hint="eastAsia" w:ascii="宋体" w:hAnsi="宋体" w:eastAsia="宋体" w:cs="宋体"/>
          <w:color w:val="000000"/>
          <w:sz w:val="28"/>
          <w:szCs w:val="28"/>
          <w:highlight w:val="none"/>
        </w:rPr>
      </w:pPr>
    </w:p>
    <w:p>
      <w:pPr>
        <w:spacing w:line="420" w:lineRule="exact"/>
        <w:ind w:firstLine="6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00" w:lineRule="auto"/>
        <w:outlineLvl w:val="0"/>
        <w:rPr>
          <w:rFonts w:hint="eastAsia" w:ascii="宋体" w:hAnsi="宋体" w:eastAsia="宋体" w:cs="宋体"/>
          <w:color w:val="000000"/>
          <w:sz w:val="28"/>
          <w:szCs w:val="28"/>
          <w:highlight w:val="none"/>
        </w:rPr>
      </w:pPr>
    </w:p>
    <w:p>
      <w:pPr>
        <w:spacing w:line="300" w:lineRule="auto"/>
        <w:outlineLvl w:val="0"/>
        <w:rPr>
          <w:rFonts w:hint="eastAsia" w:ascii="宋体" w:hAnsi="宋体" w:eastAsia="宋体" w:cs="宋体"/>
          <w:color w:val="000000"/>
          <w:sz w:val="28"/>
          <w:szCs w:val="28"/>
          <w:highlight w:val="none"/>
        </w:rPr>
      </w:pPr>
    </w:p>
    <w:p>
      <w:pPr>
        <w:spacing w:line="300" w:lineRule="auto"/>
        <w:outlineLvl w:val="0"/>
        <w:rPr>
          <w:rFonts w:hint="eastAsia" w:ascii="宋体" w:hAnsi="宋体" w:eastAsia="宋体" w:cs="宋体"/>
          <w:color w:val="000000"/>
          <w:sz w:val="28"/>
          <w:szCs w:val="28"/>
          <w:highlight w:val="none"/>
        </w:rPr>
      </w:pPr>
    </w:p>
    <w:p>
      <w:pPr>
        <w:spacing w:line="300" w:lineRule="auto"/>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注：1、供应商如不提供此声明函，价格将不做相应扣除。</w:t>
      </w:r>
    </w:p>
    <w:p>
      <w:pPr>
        <w:spacing w:line="300" w:lineRule="auto"/>
        <w:ind w:firstLine="560"/>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zh-CN"/>
        </w:rPr>
        <w:t>2、供应商按照本办法规定提供声明函内容不实的，属于提供虚假材料谋取中标、成交，依照《中华人民共和国政府采购法》等国家有关规定追究相应责任。</w:t>
      </w:r>
    </w:p>
    <w:p/>
    <w:sectPr>
      <w:pgSz w:w="11906" w:h="16838"/>
      <w:pgMar w:top="1134" w:right="1800" w:bottom="1134" w:left="113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Align="top"/>
      <w:pBdr>
        <w:between w:val="none" w:color="000000" w:sz="0" w:space="0"/>
      </w:pBdr>
      <w:rPr>
        <w:rFonts w:hint="eastAsia" w:ascii="Times New Roman" w:hAnsi="Times New Roman" w:eastAsia="宋体" w:cs="Times New Roman"/>
        <w:szCs w:val="20"/>
      </w:rPr>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p>
  <w:p>
    <w:pPr>
      <w:rPr>
        <w:rFonts w:hint="eastAsia" w:ascii="Times New Roman" w:hAnsi="Times New Roman" w:eastAsia="宋体" w:cs="Times New Roman"/>
        <w:szCs w:val="20"/>
      </w:rPr>
    </w:pPr>
  </w:p>
  <w:p>
    <w:pPr>
      <w:rPr>
        <w:rFonts w:hint="eastAsia" w:ascii="Times New Roman" w:hAnsi="Times New Roman" w:eastAsia="宋体" w:cs="Times New Roman"/>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hint="default" w:ascii="Times New Roman" w:hAnsi="Times New Roman" w:eastAsia="楷体_GB2312" w:cs="Times New Roman"/>
        <w:i/>
        <w:szCs w:val="20"/>
        <w:u w:val="single"/>
      </w:rPr>
    </w:pPr>
  </w:p>
  <w:p>
    <w:pPr>
      <w:rPr>
        <w:rFonts w:hint="default" w:ascii="Times New Roman" w:hAnsi="Times New Roman" w:eastAsia="楷体_GB2312" w:cs="Times New Roman"/>
        <w:i/>
        <w:szCs w:val="2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28121B8"/>
    <w:multiLevelType w:val="multilevel"/>
    <w:tmpl w:val="128121B8"/>
    <w:lvl w:ilvl="0" w:tentative="0">
      <w:start w:val="1"/>
      <w:numFmt w:val="japaneseCounting"/>
      <w:lvlText w:val="%1、"/>
      <w:lvlJc w:val="left"/>
      <w:pPr>
        <w:ind w:left="960" w:hanging="48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1C9E61BA"/>
    <w:multiLevelType w:val="singleLevel"/>
    <w:tmpl w:val="1C9E61BA"/>
    <w:lvl w:ilvl="0" w:tentative="0">
      <w:start w:val="1"/>
      <w:numFmt w:val="decimal"/>
      <w:lvlText w:val="%1."/>
      <w:lvlJc w:val="left"/>
      <w:pPr>
        <w:tabs>
          <w:tab w:val="left" w:pos="312"/>
        </w:tabs>
      </w:pPr>
    </w:lvl>
  </w:abstractNum>
  <w:abstractNum w:abstractNumId="4">
    <w:nsid w:val="351E174C"/>
    <w:multiLevelType w:val="singleLevel"/>
    <w:tmpl w:val="351E174C"/>
    <w:lvl w:ilvl="0" w:tentative="0">
      <w:start w:val="1"/>
      <w:numFmt w:val="decimal"/>
      <w:suff w:val="nothing"/>
      <w:lvlText w:val="%1、"/>
      <w:lvlJc w:val="left"/>
    </w:lvl>
  </w:abstractNum>
  <w:abstractNum w:abstractNumId="5">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8FF273C"/>
    <w:multiLevelType w:val="singleLevel"/>
    <w:tmpl w:val="68FF273C"/>
    <w:lvl w:ilvl="0" w:tentative="0">
      <w:start w:val="1"/>
      <w:numFmt w:val="decimal"/>
      <w:lvlText w:val="%1."/>
      <w:lvlJc w:val="left"/>
      <w:pPr>
        <w:tabs>
          <w:tab w:val="left" w:pos="312"/>
        </w:tabs>
      </w:pPr>
    </w:lvl>
  </w:abstractNum>
  <w:num w:numId="1">
    <w:abstractNumId w:val="1"/>
  </w:num>
  <w:num w:numId="2">
    <w:abstractNumId w:val="6"/>
  </w:num>
  <w:num w:numId="3">
    <w:abstractNumId w:val="3"/>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hZWY5NTFhY2NmMjkzODY0NDk2ZTRiNjM1MzhiZTUifQ=="/>
  </w:docVars>
  <w:rsids>
    <w:rsidRoot w:val="00000000"/>
    <w:rsid w:val="002957DC"/>
    <w:rsid w:val="0123584C"/>
    <w:rsid w:val="01B85F94"/>
    <w:rsid w:val="01D60B10"/>
    <w:rsid w:val="03195159"/>
    <w:rsid w:val="038A1BB2"/>
    <w:rsid w:val="04477D53"/>
    <w:rsid w:val="06317CEF"/>
    <w:rsid w:val="085D7896"/>
    <w:rsid w:val="09212671"/>
    <w:rsid w:val="09AD2157"/>
    <w:rsid w:val="0A735AA2"/>
    <w:rsid w:val="0AE93662"/>
    <w:rsid w:val="0BBF218B"/>
    <w:rsid w:val="0BEB6314"/>
    <w:rsid w:val="0C8C0749"/>
    <w:rsid w:val="0CD4659C"/>
    <w:rsid w:val="0D3D5EE8"/>
    <w:rsid w:val="0D64008F"/>
    <w:rsid w:val="0D753E10"/>
    <w:rsid w:val="0DE819AF"/>
    <w:rsid w:val="0F0A0BE5"/>
    <w:rsid w:val="107759BB"/>
    <w:rsid w:val="111F5A73"/>
    <w:rsid w:val="140C7B70"/>
    <w:rsid w:val="147F6DE6"/>
    <w:rsid w:val="148D505F"/>
    <w:rsid w:val="14AD74AF"/>
    <w:rsid w:val="153656F6"/>
    <w:rsid w:val="15C85190"/>
    <w:rsid w:val="16481B85"/>
    <w:rsid w:val="16B25250"/>
    <w:rsid w:val="19A30E80"/>
    <w:rsid w:val="19EC448B"/>
    <w:rsid w:val="1AF84D28"/>
    <w:rsid w:val="1C6C7C4F"/>
    <w:rsid w:val="1C8513AC"/>
    <w:rsid w:val="1E0A7720"/>
    <w:rsid w:val="1F02489B"/>
    <w:rsid w:val="1F5E5F75"/>
    <w:rsid w:val="1F9000F9"/>
    <w:rsid w:val="20CC5445"/>
    <w:rsid w:val="21090163"/>
    <w:rsid w:val="21DB3402"/>
    <w:rsid w:val="2234120F"/>
    <w:rsid w:val="231177A3"/>
    <w:rsid w:val="23137077"/>
    <w:rsid w:val="260B672B"/>
    <w:rsid w:val="28665E9B"/>
    <w:rsid w:val="29053906"/>
    <w:rsid w:val="29CE019B"/>
    <w:rsid w:val="2A834AE2"/>
    <w:rsid w:val="2C002162"/>
    <w:rsid w:val="2CC47634"/>
    <w:rsid w:val="2D306A77"/>
    <w:rsid w:val="30D00355"/>
    <w:rsid w:val="30D452BD"/>
    <w:rsid w:val="31DD71CE"/>
    <w:rsid w:val="32D16C7E"/>
    <w:rsid w:val="33833DA5"/>
    <w:rsid w:val="34346E4D"/>
    <w:rsid w:val="34B00E92"/>
    <w:rsid w:val="35AC6110"/>
    <w:rsid w:val="36783969"/>
    <w:rsid w:val="387B14EE"/>
    <w:rsid w:val="39FB251E"/>
    <w:rsid w:val="3B7A5A8D"/>
    <w:rsid w:val="3CF8135F"/>
    <w:rsid w:val="3D3B56F0"/>
    <w:rsid w:val="3EA27293"/>
    <w:rsid w:val="3F5605BF"/>
    <w:rsid w:val="40CF687B"/>
    <w:rsid w:val="425B7C9B"/>
    <w:rsid w:val="438A6A89"/>
    <w:rsid w:val="447F04E4"/>
    <w:rsid w:val="450B1E4C"/>
    <w:rsid w:val="4558258E"/>
    <w:rsid w:val="45F40C9F"/>
    <w:rsid w:val="463B406B"/>
    <w:rsid w:val="46830F9E"/>
    <w:rsid w:val="46FD7572"/>
    <w:rsid w:val="478F466E"/>
    <w:rsid w:val="48A64365"/>
    <w:rsid w:val="491A08B0"/>
    <w:rsid w:val="4B2257F9"/>
    <w:rsid w:val="4C8C73CE"/>
    <w:rsid w:val="4D5325E2"/>
    <w:rsid w:val="4DE72769"/>
    <w:rsid w:val="50A3118B"/>
    <w:rsid w:val="53802713"/>
    <w:rsid w:val="544F3EF5"/>
    <w:rsid w:val="547C7BEB"/>
    <w:rsid w:val="54D2203E"/>
    <w:rsid w:val="57415259"/>
    <w:rsid w:val="57A061D8"/>
    <w:rsid w:val="5B0B62AA"/>
    <w:rsid w:val="5BF40AEC"/>
    <w:rsid w:val="5F08611C"/>
    <w:rsid w:val="5F47780E"/>
    <w:rsid w:val="5FD3729D"/>
    <w:rsid w:val="616F72DB"/>
    <w:rsid w:val="62092E18"/>
    <w:rsid w:val="66754F1F"/>
    <w:rsid w:val="699F29DF"/>
    <w:rsid w:val="6B4355EC"/>
    <w:rsid w:val="6CD72F78"/>
    <w:rsid w:val="6D9D5488"/>
    <w:rsid w:val="6E661D1D"/>
    <w:rsid w:val="6F1C418A"/>
    <w:rsid w:val="701D465E"/>
    <w:rsid w:val="735A1725"/>
    <w:rsid w:val="74E12DCD"/>
    <w:rsid w:val="74F6547D"/>
    <w:rsid w:val="766823AB"/>
    <w:rsid w:val="76C77C84"/>
    <w:rsid w:val="76CE0460"/>
    <w:rsid w:val="77512E3F"/>
    <w:rsid w:val="787E7C64"/>
    <w:rsid w:val="79BA57FC"/>
    <w:rsid w:val="79D73ACF"/>
    <w:rsid w:val="79FC3536"/>
    <w:rsid w:val="7AD26045"/>
    <w:rsid w:val="7B874D57"/>
    <w:rsid w:val="7B9C08C5"/>
    <w:rsid w:val="7BF30969"/>
    <w:rsid w:val="7CEA1D6C"/>
    <w:rsid w:val="7EB02B41"/>
    <w:rsid w:val="7EEA7E01"/>
    <w:rsid w:val="7F58120E"/>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99"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ody Text Indent"/>
    <w:basedOn w:val="1"/>
    <w:next w:val="14"/>
    <w:unhideWhenUsed/>
    <w:qFormat/>
    <w:uiPriority w:val="99"/>
    <w:pPr>
      <w:spacing w:after="120"/>
      <w:ind w:left="420"/>
    </w:pPr>
    <w:rPr>
      <w:szCs w:val="24"/>
    </w:rPr>
  </w:style>
  <w:style w:type="paragraph" w:styleId="14">
    <w:name w:val="envelope return"/>
    <w:basedOn w:val="1"/>
    <w:unhideWhenUsed/>
    <w:qFormat/>
    <w:uiPriority w:val="99"/>
    <w:rPr>
      <w:rFonts w:ascii="Arial" w:hAnsi="Arial"/>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index 3"/>
    <w:basedOn w:val="1"/>
    <w:next w:val="1"/>
    <w:qFormat/>
    <w:uiPriority w:val="99"/>
    <w:pPr>
      <w:ind w:left="40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2"/>
    <w:basedOn w:val="13"/>
    <w:unhideWhenUsed/>
    <w:qFormat/>
    <w:uiPriority w:val="99"/>
    <w:pPr>
      <w:ind w:firstLine="200"/>
    </w:pPr>
  </w:style>
  <w:style w:type="table" w:styleId="34">
    <w:name w:val="Table Grid"/>
    <w:basedOn w:val="3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semiHidden/>
    <w:unhideWhenUsed/>
    <w:qFormat/>
    <w:uiPriority w:val="99"/>
    <w:rPr>
      <w:vertAlign w:val="superscript"/>
    </w:rPr>
  </w:style>
  <w:style w:type="character" w:styleId="37">
    <w:name w:val="Hyperlink"/>
    <w:unhideWhenUsed/>
    <w:qFormat/>
    <w:uiPriority w:val="99"/>
    <w:rPr>
      <w:color w:val="0026E5" w:themeColor="hyperlink"/>
      <w:u w:val="single"/>
      <w14:textFill>
        <w14:solidFill>
          <w14:schemeClr w14:val="hlink"/>
        </w14:solidFill>
      </w14:textFill>
    </w:rPr>
  </w:style>
  <w:style w:type="character" w:styleId="38">
    <w:name w:val="footnote reference"/>
    <w:basedOn w:val="35"/>
    <w:unhideWhenUsed/>
    <w:qFormat/>
    <w:uiPriority w:val="99"/>
    <w:rPr>
      <w:vertAlign w:val="superscript"/>
    </w:rPr>
  </w:style>
  <w:style w:type="paragraph" w:customStyle="1" w:styleId="39">
    <w:name w:val="正文（缩进）"/>
    <w:qFormat/>
    <w:uiPriority w:val="99"/>
    <w:pPr>
      <w:widowControl w:val="0"/>
      <w:ind w:firstLine="480"/>
      <w:jc w:val="both"/>
    </w:pPr>
    <w:rPr>
      <w:rFonts w:hint="default" w:ascii="Times New Roman" w:hAnsi="Times New Roman" w:eastAsia="宋体" w:cs="Times New Roman"/>
      <w:sz w:val="21"/>
      <w:szCs w:val="20"/>
    </w:rPr>
  </w:style>
  <w:style w:type="character" w:customStyle="1" w:styleId="40">
    <w:name w:val="Heading 1 Char"/>
    <w:basedOn w:val="35"/>
    <w:link w:val="2"/>
    <w:qFormat/>
    <w:uiPriority w:val="9"/>
    <w:rPr>
      <w:rFonts w:ascii="Arial" w:hAnsi="Arial" w:eastAsia="Arial" w:cs="Arial"/>
      <w:sz w:val="40"/>
      <w:szCs w:val="40"/>
    </w:rPr>
  </w:style>
  <w:style w:type="character" w:customStyle="1" w:styleId="41">
    <w:name w:val="Heading 2 Char"/>
    <w:basedOn w:val="35"/>
    <w:link w:val="3"/>
    <w:qFormat/>
    <w:uiPriority w:val="9"/>
    <w:rPr>
      <w:rFonts w:ascii="Arial" w:hAnsi="Arial" w:eastAsia="Arial" w:cs="Arial"/>
      <w:sz w:val="34"/>
    </w:rPr>
  </w:style>
  <w:style w:type="character" w:customStyle="1" w:styleId="42">
    <w:name w:val="Heading 3 Char"/>
    <w:basedOn w:val="35"/>
    <w:link w:val="4"/>
    <w:qFormat/>
    <w:uiPriority w:val="9"/>
    <w:rPr>
      <w:rFonts w:ascii="Arial" w:hAnsi="Arial" w:eastAsia="Arial" w:cs="Arial"/>
      <w:sz w:val="30"/>
      <w:szCs w:val="30"/>
    </w:rPr>
  </w:style>
  <w:style w:type="character" w:customStyle="1" w:styleId="43">
    <w:name w:val="Heading 4 Char"/>
    <w:basedOn w:val="35"/>
    <w:link w:val="5"/>
    <w:qFormat/>
    <w:uiPriority w:val="9"/>
    <w:rPr>
      <w:rFonts w:ascii="Arial" w:hAnsi="Arial" w:eastAsia="Arial" w:cs="Arial"/>
      <w:b/>
      <w:bCs/>
      <w:sz w:val="26"/>
      <w:szCs w:val="26"/>
    </w:rPr>
  </w:style>
  <w:style w:type="character" w:customStyle="1" w:styleId="44">
    <w:name w:val="Heading 5 Char"/>
    <w:basedOn w:val="35"/>
    <w:link w:val="6"/>
    <w:qFormat/>
    <w:uiPriority w:val="9"/>
    <w:rPr>
      <w:rFonts w:ascii="Arial" w:hAnsi="Arial" w:eastAsia="Arial" w:cs="Arial"/>
      <w:b/>
      <w:bCs/>
      <w:sz w:val="24"/>
      <w:szCs w:val="24"/>
    </w:rPr>
  </w:style>
  <w:style w:type="character" w:customStyle="1" w:styleId="45">
    <w:name w:val="Heading 6 Char"/>
    <w:basedOn w:val="35"/>
    <w:link w:val="7"/>
    <w:qFormat/>
    <w:uiPriority w:val="9"/>
    <w:rPr>
      <w:rFonts w:ascii="Arial" w:hAnsi="Arial" w:eastAsia="Arial" w:cs="Arial"/>
      <w:b/>
      <w:bCs/>
      <w:sz w:val="22"/>
      <w:szCs w:val="22"/>
    </w:rPr>
  </w:style>
  <w:style w:type="character" w:customStyle="1" w:styleId="46">
    <w:name w:val="Heading 7 Char"/>
    <w:basedOn w:val="35"/>
    <w:link w:val="8"/>
    <w:qFormat/>
    <w:uiPriority w:val="9"/>
    <w:rPr>
      <w:rFonts w:ascii="Arial" w:hAnsi="Arial" w:eastAsia="Arial" w:cs="Arial"/>
      <w:b/>
      <w:bCs/>
      <w:i/>
      <w:iCs/>
      <w:sz w:val="22"/>
      <w:szCs w:val="22"/>
    </w:rPr>
  </w:style>
  <w:style w:type="character" w:customStyle="1" w:styleId="47">
    <w:name w:val="Heading 8 Char"/>
    <w:basedOn w:val="35"/>
    <w:link w:val="9"/>
    <w:qFormat/>
    <w:uiPriority w:val="9"/>
    <w:rPr>
      <w:rFonts w:ascii="Arial" w:hAnsi="Arial" w:eastAsia="Arial" w:cs="Arial"/>
      <w:i/>
      <w:iCs/>
      <w:sz w:val="22"/>
      <w:szCs w:val="22"/>
    </w:rPr>
  </w:style>
  <w:style w:type="character" w:customStyle="1" w:styleId="48">
    <w:name w:val="Heading 9 Char"/>
    <w:basedOn w:val="35"/>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5"/>
    <w:link w:val="31"/>
    <w:qFormat/>
    <w:uiPriority w:val="10"/>
    <w:rPr>
      <w:sz w:val="48"/>
      <w:szCs w:val="48"/>
    </w:rPr>
  </w:style>
  <w:style w:type="character" w:customStyle="1" w:styleId="52">
    <w:name w:val="Subtitle Char"/>
    <w:basedOn w:val="35"/>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5"/>
    <w:link w:val="21"/>
    <w:qFormat/>
    <w:uiPriority w:val="99"/>
  </w:style>
  <w:style w:type="character" w:customStyle="1" w:styleId="58">
    <w:name w:val="Footer Char"/>
    <w:basedOn w:val="35"/>
    <w:link w:val="20"/>
    <w:qFormat/>
    <w:uiPriority w:val="99"/>
  </w:style>
  <w:style w:type="character" w:customStyle="1" w:styleId="59">
    <w:name w:val="Caption Char"/>
    <w:link w:val="20"/>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table" w:customStyle="1" w:styleId="188">
    <w:name w:val="网格型1"/>
    <w:unhideWhenUsed/>
    <w:qFormat/>
    <w:uiPriority w:val="99"/>
    <w:pPr>
      <w:widowControl w:val="0"/>
      <w:jc w:val="both"/>
    </w:pPr>
  </w:style>
  <w:style w:type="table" w:customStyle="1" w:styleId="189">
    <w:name w:val="普通表格1"/>
    <w:semiHidden/>
    <w:qFormat/>
    <w:uiPriority w:val="0"/>
  </w:style>
  <w:style w:type="character" w:customStyle="1" w:styleId="190">
    <w:name w:val="font201"/>
    <w:basedOn w:val="35"/>
    <w:uiPriority w:val="0"/>
    <w:rPr>
      <w:rFonts w:hint="eastAsia" w:ascii="宋体" w:hAnsi="宋体" w:eastAsia="宋体" w:cs="宋体"/>
      <w:color w:val="000000"/>
      <w:sz w:val="24"/>
      <w:szCs w:val="24"/>
      <w:u w:val="none"/>
    </w:rPr>
  </w:style>
  <w:style w:type="character" w:customStyle="1" w:styleId="191">
    <w:name w:val="font221"/>
    <w:basedOn w:val="35"/>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98</Pages>
  <Words>63561</Words>
  <Characters>72179</Characters>
  <TotalTime>96</TotalTime>
  <ScaleCrop>false</ScaleCrop>
  <LinksUpToDate>false</LinksUpToDate>
  <CharactersWithSpaces>74809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2026-04-16T06:07:00Z</dcterms:created>
  <dc:creator>123</dc:creator>
  <cp:lastModifiedBy>Administrator</cp:lastModifiedBy>
  <dcterms:modified xsi:type="dcterms:W3CDTF">2026-07-24T02:15:14Z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7859A38B5DD441FD87EB25AB87EB448D_13</vt:lpwstr>
  </property>
  <property fmtid="{D5CDD505-2E9C-101B-9397-08002B2CF9AE}" pid="4" name="KSOTemplateDocerSaveRecord">
    <vt:lpwstr>eyJoZGlkIjoiOGIwNWQ4NTY3NmU4ZjQ3OTExN2UwZTU0YWU0MTcwZDciLCJ1c2VySWQiOiI3Njc3OTI5OTUifQ==</vt:lpwstr>
  </property>
</Properties>
</file>