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firstLine="641"/>
        <w:jc w:val="left"/>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项目编号：</w:t>
      </w:r>
      <w:r>
        <w:rPr>
          <w:rFonts w:hint="eastAsia" w:ascii="宋体" w:hAnsi="宋体"/>
          <w:b/>
          <w:color w:val="auto"/>
          <w:sz w:val="32"/>
          <w:highlight w:val="none"/>
          <w:lang w:eastAsia="zh-CN"/>
        </w:rPr>
        <w:t xml:space="preserve">JSZC-320500-SZJX-G2026-0045</w:t>
      </w:r>
      <w:r/>
    </w:p>
    <w:p>
      <w:pPr>
        <w:ind w:firstLine="641"/>
        <w:jc w:val="left"/>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采购单位：</w:t>
      </w:r>
      <w:r>
        <w:rPr>
          <w:rFonts w:hint="eastAsia" w:ascii="宋体" w:hAnsi="宋体"/>
          <w:b/>
          <w:color w:val="auto"/>
          <w:sz w:val="32"/>
          <w:highlight w:val="none"/>
          <w:lang w:eastAsia="zh-CN"/>
        </w:rPr>
        <w:t xml:space="preserve">苏州工业职业技术学院</w:t>
      </w:r>
      <w:r/>
    </w:p>
    <w:p>
      <w:pPr>
        <w:ind w:firstLine="641"/>
        <w:jc w:val="left"/>
        <w:spacing w:line="480" w:lineRule="auto"/>
        <w:rPr>
          <w:color w:val="auto"/>
          <w:highlight w:val="none"/>
        </w:rPr>
      </w:pPr>
      <w:r>
        <w:rPr>
          <w:rFonts w:ascii="宋体" w:hAnsi="宋体"/>
          <w:b/>
          <w:color w:val="auto"/>
          <w:sz w:val="32"/>
          <w:highlight w:val="none"/>
        </w:rPr>
        <w:t xml:space="preserve">项目名称：</w:t>
      </w:r>
      <w:r>
        <w:rPr>
          <w:rFonts w:hint="eastAsia" w:ascii="宋体" w:hAnsi="宋体"/>
          <w:b/>
          <w:color w:val="auto"/>
          <w:sz w:val="32"/>
          <w:highlight w:val="none"/>
          <w:lang w:eastAsia="zh-CN"/>
        </w:rPr>
        <w:t xml:space="preserve">苏州工业职业技术学院鸿蒙创新开发实训室</w:t>
      </w:r>
      <w:r/>
    </w:p>
    <w:p>
      <w:pPr>
        <w:ind w:firstLine="641"/>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货物类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865"/>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jc w:val="center"/>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苏州捷信招投标咨询有限公司</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lang w:val="en-US" w:eastAsia="zh-CN"/>
        </w:rPr>
        <w:t xml:space="preserve">6</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7</w:t>
      </w:r>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3" w:bottom="1440" w:left="1083" w:header="567" w:footer="567" w:gutter="0"/>
          <w:pgNumType w:start="1"/>
          <w:cols w:num="1" w:sep="0" w:space="0" w:equalWidth="1"/>
          <w:docGrid w:linePitch="360"/>
        </w:sectPr>
      </w:pPr>
      <w:r>
        <w:rPr>
          <w:rFonts w:ascii="宋体" w:hAnsi="宋体"/>
          <w:color w:val="auto"/>
          <w:sz w:val="48"/>
          <w:highlight w:val="none"/>
        </w:rPr>
      </w:r>
      <w:r/>
    </w:p>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总目录</w:t>
      </w:r>
      <w:r/>
    </w:p>
    <w:p>
      <w:pPr>
        <w:pStyle w:val="874"/>
        <w:ind w:firstLine="0"/>
        <w:jc w:val="left"/>
        <w:spacing w:before="120" w:after="120"/>
        <w:tabs>
          <w:tab w:val="right" w:pos="9856" w:leader="dot"/>
        </w:tabs>
        <w:rPr>
          <w:rStyle w:val="909"/>
          <w:rFonts w:hint="eastAsia" w:ascii="宋体" w:hAnsi="宋体" w:eastAsia="宋体" w:cs="宋体"/>
          <w:bCs/>
          <w:caps/>
          <w:color w:val="auto"/>
          <w:sz w:val="21"/>
          <w:szCs w:val="21"/>
          <w:highlight w:val="none"/>
        </w:rPr>
        <w:outlineLvl w:val="9"/>
      </w:pPr>
      <w:r>
        <w:rPr>
          <w:rFonts w:hint="eastAsia" w:ascii="宋体" w:hAnsi="宋体" w:eastAsia="宋体" w:cs="宋体"/>
          <w:bCs/>
          <w:caps/>
          <w:color w:val="auto"/>
          <w:sz w:val="21"/>
          <w:szCs w:val="21"/>
          <w:highlight w:val="none"/>
        </w:rPr>
      </w:r>
      <w:r/>
    </w:p>
    <w:p>
      <w:pPr>
        <w:pStyle w:val="874"/>
        <w:ind w:firstLine="0"/>
        <w:jc w:val="both"/>
        <w:keepLines w:val="0"/>
        <w:keepNext w:val="0"/>
        <w:pageBreakBefore w:val="0"/>
        <w:spacing w:before="0" w:after="0" w:line="480" w:lineRule="auto"/>
        <w:widowControl/>
        <w:tabs>
          <w:tab w:val="right" w:pos="9746" w:leader="dot"/>
        </w:tabs>
        <w:rPr>
          <w:color w:val="auto"/>
          <w:highlight w:val="none"/>
        </w:rPr>
      </w:pPr>
      <w:r>
        <w:rPr>
          <w:rStyle w:val="909"/>
          <w:rFonts w:hint="eastAsia" w:ascii="宋体" w:hAnsi="宋体" w:eastAsia="宋体" w:cs="宋体"/>
          <w:bCs/>
          <w:caps/>
          <w:color w:val="auto"/>
          <w:sz w:val="21"/>
          <w:szCs w:val="21"/>
          <w:highlight w:val="none"/>
        </w:rPr>
        <w:fldChar w:fldCharType="begin"/>
      </w:r>
      <w:r>
        <w:rPr>
          <w:rStyle w:val="909"/>
          <w:rFonts w:hint="eastAsia" w:ascii="宋体" w:hAnsi="宋体" w:eastAsia="宋体" w:cs="宋体"/>
          <w:bCs/>
          <w:caps/>
          <w:color w:val="auto"/>
          <w:sz w:val="21"/>
          <w:szCs w:val="21"/>
          <w:highlight w:val="none"/>
        </w:rPr>
        <w:instrText xml:space="preserve"> TOC \o "1-1" \h \z \u </w:instrText>
      </w:r>
      <w:r>
        <w:rPr>
          <w:rStyle w:val="909"/>
          <w:rFonts w:hint="eastAsia" w:ascii="宋体" w:hAnsi="宋体" w:eastAsia="宋体" w:cs="宋体"/>
          <w:bCs/>
          <w:caps/>
          <w:color w:val="auto"/>
          <w:sz w:val="21"/>
          <w:szCs w:val="21"/>
          <w:highlight w:val="none"/>
        </w:rPr>
        <w:fldChar w:fldCharType="separate"/>
      </w: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_Toc1034959320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_Toc1034959320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74"/>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_Toc2091234187 </w:instrText>
      </w:r>
      <w:r>
        <w:rPr>
          <w:rFonts w:hint="eastAsia" w:ascii="宋体" w:hAnsi="宋体" w:eastAsia="宋体" w:cs="宋体"/>
          <w:bCs/>
          <w:caps/>
          <w:color w:val="auto"/>
          <w:szCs w:val="21"/>
          <w:highlight w:val="none"/>
        </w:rPr>
        <w:fldChar w:fldCharType="separate"/>
      </w:r>
      <w:r>
        <w:rPr>
          <w:rFonts w:ascii="宋体" w:hAnsi="宋体"/>
          <w:color w:val="auto"/>
          <w:szCs w:val="22"/>
          <w:highlight w:val="none"/>
        </w:rPr>
        <w:t xml:space="preserve">第</w:t>
      </w:r>
      <w:r>
        <w:rPr>
          <w:rFonts w:hint="eastAsia" w:ascii="宋体" w:hAnsi="宋体"/>
          <w:color w:val="auto"/>
          <w:szCs w:val="22"/>
          <w:highlight w:val="none"/>
        </w:rPr>
        <w:t xml:space="preserve">二</w:t>
      </w:r>
      <w:r>
        <w:rPr>
          <w:rFonts w:ascii="宋体" w:hAnsi="宋体"/>
          <w:color w:val="auto"/>
          <w:szCs w:val="22"/>
          <w:highlight w:val="none"/>
        </w:rPr>
        <w:t xml:space="preserve">章  投标人须知</w:t>
      </w:r>
      <w:r>
        <w:rPr>
          <w:color w:val="auto"/>
          <w:highlight w:val="none"/>
        </w:rPr>
        <w:tab/>
      </w:r>
      <w:r>
        <w:rPr>
          <w:color w:val="auto"/>
          <w:highlight w:val="none"/>
        </w:rPr>
        <w:fldChar w:fldCharType="begin"/>
      </w:r>
      <w:r>
        <w:rPr>
          <w:color w:val="auto"/>
          <w:highlight w:val="none"/>
        </w:rPr>
        <w:instrText xml:space="preserve"> PAGEREF _Toc2091234187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74"/>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_Toc1655614107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_Toc1655614107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74"/>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_Toc1514860571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_Toc1514860571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74"/>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_Toc1842981612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第五章 合同及主要条款</w:t>
      </w:r>
      <w:r>
        <w:rPr>
          <w:color w:val="auto"/>
          <w:highlight w:val="none"/>
        </w:rPr>
        <w:tab/>
      </w:r>
      <w:r>
        <w:rPr>
          <w:color w:val="auto"/>
          <w:highlight w:val="none"/>
        </w:rPr>
        <w:fldChar w:fldCharType="begin"/>
      </w:r>
      <w:r>
        <w:rPr>
          <w:color w:val="auto"/>
          <w:highlight w:val="none"/>
        </w:rPr>
        <w:instrText xml:space="preserve"> PAGEREF _Toc1842981612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74"/>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_Toc1835312203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第六章 评标办法和评分标准</w:t>
      </w:r>
      <w:r>
        <w:rPr>
          <w:color w:val="auto"/>
          <w:highlight w:val="none"/>
        </w:rPr>
        <w:tab/>
      </w:r>
      <w:r>
        <w:rPr>
          <w:color w:val="auto"/>
          <w:highlight w:val="none"/>
        </w:rPr>
        <w:fldChar w:fldCharType="begin"/>
      </w:r>
      <w:r>
        <w:rPr>
          <w:color w:val="auto"/>
          <w:highlight w:val="none"/>
        </w:rPr>
        <w:instrText xml:space="preserve"> PAGEREF _Toc1835312203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74"/>
        <w:ind w:firstLine="0"/>
        <w:jc w:val="both"/>
        <w:keepLines w:val="0"/>
        <w:keepNext w:val="0"/>
        <w:pageBreakBefore w:val="0"/>
        <w:spacing w:before="0" w:after="0" w:line="480" w:lineRule="auto"/>
        <w:widowControl/>
        <w:tabs>
          <w:tab w:val="right" w:pos="9856" w:leader="dot"/>
        </w:tabs>
        <w:rPr>
          <w:rFonts w:ascii="宋体" w:hAnsi="宋体"/>
          <w:color w:val="auto"/>
          <w:sz w:val="32"/>
          <w:szCs w:val="32"/>
          <w:highlight w:val="none"/>
        </w:rPr>
        <w:outlineLvl w:val="9"/>
      </w:pPr>
      <w:r>
        <w:rPr>
          <w:rFonts w:hint="eastAsia" w:ascii="宋体" w:hAnsi="宋体" w:eastAsia="宋体" w:cs="宋体"/>
          <w:bCs/>
          <w:caps/>
          <w:color w:val="auto"/>
          <w:szCs w:val="21"/>
          <w:highlight w:val="none"/>
        </w:rPr>
        <w:fldChar w:fldCharType="end"/>
      </w:r>
      <w:r/>
    </w:p>
    <w:p>
      <w:pPr>
        <w:ind w:left="0"/>
        <w:rPr>
          <w:rFonts w:ascii="宋体" w:hAnsi="宋体" w:cs="Times New Roman"/>
          <w:color w:val="auto"/>
          <w:sz w:val="32"/>
          <w:szCs w:val="32"/>
          <w:highlight w:val="none"/>
        </w:rPr>
      </w:pPr>
      <w:r>
        <w:rPr>
          <w:rFonts w:ascii="宋体" w:hAnsi="宋体" w:cs="Times New Roman"/>
          <w:color w:val="auto"/>
          <w:sz w:val="32"/>
          <w:szCs w:val="32"/>
          <w:highlight w:val="none"/>
        </w:rPr>
      </w:r>
      <w:r/>
    </w:p>
    <w:p>
      <w:pPr>
        <w:ind w:left="0"/>
        <w:jc w:val="center"/>
        <w:shd w:val="clear" w:color="auto"/>
        <w:rPr>
          <w:rFonts w:hint="eastAsia" w:ascii="宋体" w:hAnsi="宋体" w:eastAsia="宋体" w:cs="宋体"/>
          <w:b/>
          <w:color w:val="auto"/>
          <w:spacing w:val="20"/>
          <w:sz w:val="21"/>
          <w:szCs w:val="21"/>
          <w:highlight w:val="none"/>
        </w:rPr>
      </w:pPr>
      <w:r>
        <w:rPr>
          <w:rFonts w:ascii="宋体" w:hAnsi="宋体"/>
          <w:color w:val="auto"/>
          <w:highlight w:val="none"/>
        </w:rPr>
        <w:br w:type="page" w:clear="all"/>
      </w:r>
      <w:bookmarkStart w:id="0" w:name="_Toc17003"/>
      <w:r/>
      <w:bookmarkStart w:id="1" w:name="_Toc15681"/>
      <w:r/>
      <w:bookmarkStart w:id="2" w:name="_Toc16121"/>
      <w:r>
        <w:rPr>
          <w:rFonts w:hint="eastAsia" w:ascii="宋体" w:hAnsi="宋体" w:eastAsia="宋体" w:cs="宋体"/>
          <w:b/>
          <w:color w:val="auto"/>
          <w:spacing w:val="20"/>
          <w:sz w:val="28"/>
          <w:szCs w:val="28"/>
          <w:highlight w:val="none"/>
        </w:rPr>
        <w:t xml:space="preserve">前 附 表</w:t>
      </w:r>
      <w:bookmarkEnd w:id="0"/>
      <w:r/>
      <w:bookmarkEnd w:id="1"/>
      <w:r/>
      <w:bookmarkEnd w:id="2"/>
      <w:r/>
      <w:r/>
    </w:p>
    <w:tbl>
      <w:tblPr>
        <w:tblStyle w:val="85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               容</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JSZC-320500-SZJX-G2026-0045</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苏州工业职业技术学院鸿蒙创新开发实训室</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tabs>
                <w:tab w:val="left" w:pos="252"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采购代理机构</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苏州捷信招投标咨询有限公司</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苏州市南园北路118号天和商务大厦6-206</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汪业超、丁亚萍、张瑾</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0512-65200361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苏州工业职业技术学院</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地址：苏州市吴中大道国际教育园致能大道</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详见招标文件第二章</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本项目不收取投标保证金</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九十天（日历日）</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获取招标文件</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自公告发布之日起5个工作日</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投标文件网上</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u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u w:val="none"/>
                <w:lang w:val="en-US" w:eastAsia="zh-CN"/>
              </w:rPr>
              <w:t xml:space="preserve">  8</w:t>
            </w:r>
            <w:r>
              <w:rPr>
                <w:rFonts w:hint="eastAsia" w:ascii="宋体" w:hAnsi="宋体" w:eastAsia="宋体" w:cs="宋体"/>
                <w:color w:val="auto"/>
                <w:sz w:val="21"/>
                <w:szCs w:val="21"/>
                <w:highlight w:val="none"/>
                <w:u w:val="none"/>
              </w:rPr>
              <w:t xml:space="preserve">月</w:t>
            </w:r>
            <w:r>
              <w:rPr>
                <w:rFonts w:hint="eastAsia" w:ascii="宋体" w:hAnsi="宋体" w:eastAsia="宋体" w:cs="宋体"/>
                <w:color w:val="auto"/>
                <w:sz w:val="21"/>
                <w:szCs w:val="21"/>
                <w:highlight w:val="none"/>
                <w:u w:val="none"/>
                <w:lang w:val="en-US" w:eastAsia="zh-CN"/>
              </w:rPr>
              <w:t xml:space="preserve"> 21</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日9点30分（北京时间） </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投标文件必须在截止时间前完成提交（上传），逾期提交（上传）的投标文件恕不接受。</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开标时间</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u w:val="none"/>
              </w:rPr>
              <w:t xml:space="preserve">年</w:t>
            </w:r>
            <w:r>
              <w:rPr>
                <w:rFonts w:hint="eastAsia" w:ascii="宋体" w:hAnsi="宋体" w:cs="宋体"/>
                <w:color w:val="auto"/>
                <w:sz w:val="21"/>
                <w:szCs w:val="21"/>
                <w:highlight w:val="none"/>
                <w:u w:val="none"/>
                <w:lang w:val="en-US" w:eastAsia="zh-CN"/>
              </w:rPr>
              <w:t xml:space="preserve">  8</w:t>
            </w:r>
            <w:r>
              <w:rPr>
                <w:rFonts w:hint="eastAsia" w:ascii="宋体" w:hAnsi="宋体" w:eastAsia="宋体" w:cs="宋体"/>
                <w:color w:val="auto"/>
                <w:sz w:val="21"/>
                <w:szCs w:val="21"/>
                <w:highlight w:val="none"/>
                <w:u w:val="none"/>
              </w:rPr>
              <w:t xml:space="preserve">月</w:t>
            </w:r>
            <w:r>
              <w:rPr>
                <w:rFonts w:hint="eastAsia" w:ascii="宋体" w:hAnsi="宋体" w:eastAsia="宋体" w:cs="宋体"/>
                <w:color w:val="auto"/>
                <w:sz w:val="21"/>
                <w:szCs w:val="21"/>
                <w:highlight w:val="none"/>
                <w:u w:val="none"/>
                <w:lang w:val="en-US" w:eastAsia="zh-CN"/>
              </w:rPr>
              <w:t xml:space="preserve"> 21</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日9点30分（北京时间）</w:t>
            </w:r>
            <w:r>
              <w:rPr>
                <w:rFonts w:hint="eastAsia" w:ascii="宋体" w:hAnsi="宋体" w:eastAsia="宋体" w:cs="宋体"/>
                <w:color w:val="auto"/>
                <w:sz w:val="21"/>
                <w:szCs w:val="21"/>
                <w:highlight w:val="none"/>
              </w:rPr>
              <w:t xml:space="preserve">“苏采云”系统</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本项目为不见面开标项目，开标阶段</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在【供应商解密】环节必须使用 CA证书解密电子投标文件，如在系统规定的解密时间（投标文件提交截止时间后30分钟）内未能完成解密的视为放弃投标。</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评标时间</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u w:val="none"/>
                <w:lang w:val="en-US" w:eastAsia="zh-CN"/>
              </w:rPr>
              <w:t xml:space="preserve"> 8 </w:t>
            </w:r>
            <w:r>
              <w:rPr>
                <w:rFonts w:hint="eastAsia" w:ascii="宋体" w:hAnsi="宋体" w:eastAsia="宋体" w:cs="宋体"/>
                <w:color w:val="auto"/>
                <w:sz w:val="21"/>
                <w:szCs w:val="21"/>
                <w:highlight w:val="none"/>
                <w:u w:val="none"/>
              </w:rPr>
              <w:t xml:space="preserve">月</w:t>
            </w:r>
            <w:r>
              <w:rPr>
                <w:rFonts w:hint="eastAsia" w:ascii="宋体" w:hAnsi="宋体" w:cs="宋体"/>
                <w:color w:val="auto"/>
                <w:sz w:val="21"/>
                <w:szCs w:val="21"/>
                <w:highlight w:val="none"/>
                <w:u w:val="none"/>
                <w:lang w:val="en-US" w:eastAsia="zh-CN"/>
              </w:rPr>
              <w:t xml:space="preserve"> 21 </w:t>
            </w:r>
            <w:r>
              <w:rPr>
                <w:rFonts w:hint="eastAsia" w:ascii="宋体" w:hAnsi="宋体" w:eastAsia="宋体" w:cs="宋体"/>
                <w:color w:val="auto"/>
                <w:sz w:val="21"/>
                <w:szCs w:val="21"/>
                <w:highlight w:val="none"/>
                <w:u w:val="none"/>
              </w:rPr>
              <w:t xml:space="preserve">日9点30分</w:t>
            </w:r>
            <w:r>
              <w:rPr>
                <w:rFonts w:hint="eastAsia" w:ascii="宋体" w:hAnsi="宋体" w:eastAsia="宋体" w:cs="宋体"/>
                <w:color w:val="auto"/>
                <w:sz w:val="21"/>
                <w:szCs w:val="21"/>
                <w:highlight w:val="none"/>
              </w:rPr>
              <w:t xml:space="preserve">（北京时间） </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“苏采云”系统</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本项目采用电子投标文件，投标人按照招标文件要求制作上传电子投标文件，投标人无需提供纸质投标文件。</w:t>
            </w:r>
            <w:r>
              <w:rPr>
                <w:rFonts w:hint="eastAsia" w:ascii="宋体" w:hAnsi="宋体" w:cs="宋体"/>
                <w:color w:val="auto"/>
                <w:sz w:val="21"/>
                <w:szCs w:val="21"/>
                <w:highlight w:val="none"/>
                <w:lang w:val="en-US" w:eastAsia="zh-CN"/>
              </w:rPr>
              <w:t xml:space="preserve">中标人须提供3套纸质文件。</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合同总金额的5%</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3"/>
              <w:ind w:left="0"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确定出中标人后，采购代理机构在法定时间内向中标人发出中标通知书。中标通知书将成为合同的组成部分。</w:t>
            </w:r>
            <w:r/>
          </w:p>
          <w:p>
            <w:pPr>
              <w:pStyle w:val="1223"/>
              <w:ind w:left="0"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出现下列情形之一的，为废标： </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（一）符合专业条件的投标人或者对招标文件作实质响应的投标人不足三家的；（二）出现影响采购公正的违法、违规行为的； </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（三）投标人的报价均超过了采购预算，采购人不能支付的； </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（四）因重大变故，采购任务取消的。</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投标文件属下列情况之一的，在资格性、符合性检查时按照无效投标处理：</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（一）未按照招标文件规定要求签署、盖章的；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（二）不具备招标文件中规定资格要求的；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（三）报价超过招标文件中规定的预算金额或者最高限价的；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（四）投标文件含有采购人不能接受的附加条件的；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（五）机器码检查中，出现不同投标人投标文件机器码一致情形的；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）法</w:t>
            </w:r>
            <w:r>
              <w:rPr>
                <w:rFonts w:hint="eastAsia" w:ascii="宋体" w:hAnsi="宋体" w:eastAsia="宋体" w:cs="宋体"/>
                <w:color w:val="auto"/>
                <w:sz w:val="21"/>
                <w:szCs w:val="21"/>
                <w:highlight w:val="none"/>
              </w:rPr>
              <w:t xml:space="preserve">律、法规和招标文件规定的其他无效情形。</w:t>
            </w:r>
            <w:r/>
          </w:p>
        </w:tc>
      </w:tr>
    </w:tbl>
    <w:p>
      <w:pPr>
        <w:ind w:left="0"/>
        <w:jc w:val="center"/>
        <w:shd w:val="clear" w:color="auto"/>
        <w:rPr>
          <w:rFonts w:hint="eastAsia" w:ascii="宋体" w:hAnsi="宋体" w:eastAsia="宋体" w:cs="宋体"/>
          <w:b/>
          <w:color w:val="auto"/>
          <w:sz w:val="21"/>
          <w:szCs w:val="21"/>
          <w:highlight w:val="none"/>
        </w:rPr>
      </w:pPr>
      <w:r/>
      <w:bookmarkStart w:id="3" w:name="_Toc28592"/>
      <w:r/>
      <w:bookmarkStart w:id="4" w:name="_Toc7166"/>
      <w:r/>
      <w:r/>
    </w:p>
    <w:p>
      <w:pPr>
        <w:ind w:left="0"/>
        <w:jc w:val="center"/>
        <w:rPr>
          <w:rFonts w:ascii="宋体" w:hAnsi="宋体"/>
          <w:b/>
          <w:color w:val="auto"/>
          <w:sz w:val="44"/>
          <w:szCs w:val="22"/>
          <w:highlight w:val="none"/>
        </w:rPr>
      </w:pPr>
      <w:r>
        <w:rPr>
          <w:rFonts w:ascii="宋体" w:hAnsi="宋体"/>
          <w:b/>
          <w:color w:val="auto"/>
          <w:sz w:val="44"/>
          <w:szCs w:val="22"/>
          <w:highlight w:val="none"/>
        </w:rPr>
      </w:r>
      <w:r/>
    </w:p>
    <w:p>
      <w:pPr>
        <w:pStyle w:val="840"/>
        <w:ind w:left="431" w:firstLine="17"/>
        <w:jc w:val="center"/>
        <w:spacing w:before="0" w:after="0" w:line="360" w:lineRule="auto"/>
        <w:rPr>
          <w:rStyle w:val="1119"/>
          <w:rFonts w:ascii="宋体" w:hAnsi="宋体"/>
          <w:color w:val="auto"/>
          <w:highlight w:val="none"/>
        </w:rPr>
      </w:pPr>
      <w:r>
        <w:rPr>
          <w:rFonts w:hint="eastAsia" w:ascii="宋体" w:hAnsi="宋体"/>
          <w:b/>
          <w:color w:val="auto"/>
          <w:sz w:val="44"/>
          <w:szCs w:val="22"/>
          <w:highlight w:val="none"/>
        </w:rPr>
        <w:br w:type="page" w:clear="all"/>
      </w:r>
      <w:bookmarkStart w:id="5" w:name="_Toc1034959320"/>
      <w:r>
        <w:rPr>
          <w:rFonts w:hint="eastAsia" w:ascii="宋体" w:hAnsi="宋体"/>
          <w:b/>
          <w:color w:val="auto"/>
          <w:sz w:val="28"/>
          <w:szCs w:val="28"/>
          <w:highlight w:val="none"/>
        </w:rPr>
        <w:t xml:space="preserve">第一章  投标邀请函</w:t>
      </w:r>
      <w:bookmarkEnd w:id="3"/>
      <w:r/>
      <w:bookmarkEnd w:id="4"/>
      <w:r/>
      <w:bookmarkEnd w:id="5"/>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cs="宋体"/>
          <w:b w:val="0"/>
          <w:bCs/>
          <w:color w:val="auto"/>
          <w:sz w:val="21"/>
          <w:szCs w:val="21"/>
          <w:highlight w:val="none"/>
          <w:u w:val="single"/>
          <w:lang w:eastAsia="zh-CN"/>
        </w:rPr>
        <w:t xml:space="preserve">苏州工业职业技术学院鸿蒙创新开发实训室</w:t>
      </w:r>
      <w:r>
        <w:rPr>
          <w:rFonts w:hint="eastAsia" w:ascii="宋体" w:hAnsi="宋体" w:eastAsia="宋体" w:cs="宋体"/>
          <w:b w:val="0"/>
          <w:bCs/>
          <w:color w:val="auto"/>
          <w:sz w:val="21"/>
          <w:szCs w:val="21"/>
          <w:highlight w:val="none"/>
          <w:u w:val="single"/>
          <w:lang w:eastAsia="zh-CN"/>
        </w:rPr>
        <w:t xml:space="preserve">（项目编号：</w:t>
      </w:r>
      <w:r>
        <w:rPr>
          <w:rFonts w:hint="eastAsia" w:ascii="宋体" w:hAnsi="宋体" w:cs="宋体"/>
          <w:b w:val="0"/>
          <w:bCs/>
          <w:color w:val="auto"/>
          <w:sz w:val="21"/>
          <w:szCs w:val="21"/>
          <w:highlight w:val="none"/>
          <w:u w:val="single"/>
          <w:lang w:eastAsia="zh-CN"/>
        </w:rPr>
        <w:t xml:space="preserve">JSZC-320500-SZJX-G2026-0045</w:t>
      </w:r>
      <w:r>
        <w:rPr>
          <w:rFonts w:hint="eastAsia" w:ascii="宋体" w:hAnsi="宋体" w:eastAsia="宋体" w:cs="宋体"/>
          <w:b w:val="0"/>
          <w:bCs/>
          <w:color w:val="auto"/>
          <w:sz w:val="21"/>
          <w:szCs w:val="21"/>
          <w:highlight w:val="none"/>
          <w:u w:val="single"/>
          <w:lang w:eastAsia="zh-CN"/>
        </w:rPr>
        <w:t xml:space="preserve">号）公开招标项目的潜在供应商应在江苏省政府采购一体化平台“苏采云”系统自行免费下载获取招标文件，并于2026年  8月  21日9</w:t>
      </w:r>
      <w:r>
        <w:rPr>
          <w:rFonts w:hint="eastAsia" w:ascii="宋体" w:hAnsi="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lang w:eastAsia="zh-CN"/>
        </w:rPr>
        <w:t xml:space="preserve">30 （北京时间）前递交投标文件。</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一、项目基本情况 </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1.项目编号：</w:t>
      </w:r>
      <w:r>
        <w:rPr>
          <w:rFonts w:hint="eastAsia" w:ascii="宋体" w:hAnsi="宋体"/>
          <w:color w:val="auto"/>
          <w:sz w:val="21"/>
          <w:szCs w:val="21"/>
          <w:highlight w:val="none"/>
          <w:lang w:eastAsia="zh-CN"/>
        </w:rPr>
        <w:t xml:space="preserve">JSZC-320500-SZJX-G2026-0045</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2.项目名称：</w:t>
      </w:r>
      <w:r>
        <w:rPr>
          <w:rFonts w:hint="eastAsia" w:ascii="宋体" w:hAnsi="宋体"/>
          <w:color w:val="auto"/>
          <w:sz w:val="21"/>
          <w:szCs w:val="21"/>
          <w:highlight w:val="none"/>
          <w:lang w:eastAsia="zh-CN"/>
        </w:rPr>
        <w:t xml:space="preserve">苏州工业职业技术学院鸿蒙创新开发实训室</w:t>
      </w:r>
      <w:r>
        <w:rPr>
          <w:rFonts w:ascii="宋体" w:hAnsi="宋体"/>
          <w:color w:val="auto"/>
          <w:sz w:val="21"/>
          <w:szCs w:val="21"/>
          <w:highlight w:val="none"/>
        </w:rPr>
        <w:t xml:space="preserve">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4.预算金额：</w:t>
      </w:r>
      <w:r>
        <w:rPr>
          <w:rFonts w:hint="eastAsia" w:ascii="宋体" w:hAnsi="宋体"/>
          <w:color w:val="auto"/>
          <w:sz w:val="21"/>
          <w:highlight w:val="none"/>
        </w:rPr>
        <w:t xml:space="preserve">人民币</w:t>
      </w:r>
      <w:r>
        <w:rPr>
          <w:rFonts w:hint="eastAsia" w:ascii="宋体" w:hAnsi="宋体"/>
          <w:color w:val="auto"/>
          <w:sz w:val="21"/>
          <w:highlight w:val="none"/>
          <w:lang w:val="en-US" w:eastAsia="zh-CN"/>
        </w:rPr>
        <w:t xml:space="preserve"> </w:t>
      </w:r>
      <w:r>
        <w:rPr>
          <w:rFonts w:hint="eastAsia" w:ascii="宋体" w:hAnsi="宋体"/>
          <w:color w:val="auto"/>
          <w:sz w:val="21"/>
          <w:highlight w:val="none"/>
          <w:lang w:eastAsia="zh-CN"/>
        </w:rPr>
        <w:t xml:space="preserve">壹佰陆拾捌万叁仟元整（¥1683000.00）</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highlight w:val="none"/>
        </w:rPr>
        <w:t xml:space="preserve">人民币</w:t>
      </w:r>
      <w:r>
        <w:rPr>
          <w:rFonts w:hint="eastAsia" w:ascii="宋体" w:hAnsi="宋体"/>
          <w:color w:val="auto"/>
          <w:sz w:val="21"/>
          <w:highlight w:val="none"/>
          <w:lang w:val="en-US" w:eastAsia="zh-CN"/>
        </w:rPr>
        <w:t xml:space="preserve"> </w:t>
      </w:r>
      <w:r>
        <w:rPr>
          <w:rFonts w:hint="eastAsia" w:ascii="宋体" w:hAnsi="宋体"/>
          <w:color w:val="auto"/>
          <w:sz w:val="21"/>
          <w:highlight w:val="none"/>
          <w:lang w:eastAsia="zh-CN"/>
        </w:rPr>
        <w:t xml:space="preserve">壹佰陆拾捌万叁仟元整（¥1683000.00）</w:t>
      </w:r>
      <w:r>
        <w:rPr>
          <w:rFonts w:ascii="宋体" w:hAnsi="宋体"/>
          <w:color w:val="auto"/>
          <w:sz w:val="21"/>
          <w:szCs w:val="21"/>
          <w:highlight w:val="none"/>
        </w:rPr>
        <w:t xml:space="preserve"> </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6.合同履行期限：</w:t>
      </w:r>
      <w:r>
        <w:rPr>
          <w:rFonts w:hint="eastAsia" w:ascii="Times New Roman" w:hAnsi="Times New Roman"/>
          <w:color w:val="auto"/>
          <w:sz w:val="21"/>
          <w:szCs w:val="21"/>
          <w:highlight w:val="none"/>
          <w:lang w:eastAsia="zh-CN"/>
        </w:rPr>
        <w:t xml:space="preserve">合同签订后，30天内交付并完成安装调试。</w:t>
      </w:r>
      <w:r/>
    </w:p>
    <w:p>
      <w:pPr>
        <w:pStyle w:val="85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7.采购需求：</w:t>
      </w:r>
      <w:r/>
    </w:p>
    <w:tbl>
      <w:tblPr>
        <w:tblStyle w:val="850"/>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1"/>
        <w:gridCol w:w="6354"/>
        <w:gridCol w:w="1201"/>
        <w:gridCol w:w="1202"/>
      </w:tblGrid>
      <w:t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1"/>
                <w:szCs w:val="21"/>
                <w:highlight w:val="none"/>
                <w:lang w:val="en-US" w:eastAsia="zh-CN" w:bidi="ar"/>
              </w:rPr>
              <w:t xml:space="preserve">内容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1"/>
                <w:szCs w:val="21"/>
                <w:highlight w:val="none"/>
                <w:lang w:val="en-US" w:eastAsia="zh-CN" w:bidi="ar"/>
              </w:rPr>
              <w:t xml:space="preserve">数量</w:t>
            </w:r>
            <w:r/>
          </w:p>
        </w:tc>
      </w:tr>
      <w:t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开源鸿蒙全场景应用开发实验平台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26</w:t>
            </w:r>
            <w:r/>
          </w:p>
        </w:tc>
      </w:tr>
      <w:t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人工智能边缘计算平台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r>
      <w:t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智能座舱中控应用系统开发套件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r>
      <w:t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开源鸿蒙车机智能实训小车</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12</w:t>
            </w:r>
            <w:r/>
          </w:p>
        </w:tc>
      </w:tr>
      <w:t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课桌椅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50</w:t>
            </w:r>
            <w:r/>
          </w:p>
        </w:tc>
      </w:tr>
      <w:tr>
        <w:trPr/>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354"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讲台</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r>
    </w:tbl>
    <w:p>
      <w:pPr>
        <w:pStyle w:val="857"/>
        <w:ind w:left="0" w:firstLine="420"/>
        <w:spacing w:line="360" w:lineRule="auto"/>
        <w:rPr>
          <w:rFonts w:hint="eastAsia" w:ascii="宋体" w:hAnsi="宋体" w:eastAsia="宋体" w:cs="宋体"/>
          <w:b w:val="0"/>
          <w:bCs/>
          <w:color w:val="auto"/>
          <w:sz w:val="21"/>
          <w:szCs w:val="21"/>
          <w:highlight w:val="none"/>
          <w:u w:val="none"/>
        </w:rPr>
      </w:pPr>
      <w:r>
        <w:rPr>
          <w:rFonts w:hint="eastAsia" w:ascii="宋体" w:hAnsi="宋体" w:cs="宋体"/>
          <w:b w:val="0"/>
          <w:bCs/>
          <w:color w:val="auto"/>
          <w:sz w:val="21"/>
          <w:szCs w:val="21"/>
          <w:highlight w:val="none"/>
          <w:lang w:val="en-US" w:eastAsia="zh-CN"/>
        </w:rPr>
        <w:t xml:space="preserve">免费质保期：</w:t>
      </w:r>
      <w:r>
        <w:rPr>
          <w:rFonts w:hint="eastAsia" w:ascii="宋体" w:hAnsi="宋体" w:eastAsia="宋体" w:cs="宋体"/>
          <w:b w:val="0"/>
          <w:bCs/>
          <w:color w:val="auto"/>
          <w:sz w:val="21"/>
          <w:szCs w:val="21"/>
          <w:highlight w:val="none"/>
        </w:rPr>
        <w:t xml:space="preserve">自验收合格之日起，应提</w:t>
      </w:r>
      <w:r>
        <w:rPr>
          <w:rFonts w:hint="eastAsia" w:ascii="宋体" w:hAnsi="宋体" w:eastAsia="宋体" w:cs="宋体"/>
          <w:b w:val="0"/>
          <w:bCs/>
          <w:color w:val="auto"/>
          <w:sz w:val="21"/>
          <w:szCs w:val="21"/>
          <w:highlight w:val="none"/>
          <w:u w:val="none"/>
        </w:rPr>
        <w:t xml:space="preserve">供</w:t>
      </w:r>
      <w:r>
        <w:rPr>
          <w:rFonts w:hint="eastAsia" w:ascii="宋体" w:hAnsi="宋体" w:cs="宋体"/>
          <w:b w:val="0"/>
          <w:bCs/>
          <w:color w:val="auto"/>
          <w:sz w:val="21"/>
          <w:szCs w:val="21"/>
          <w:highlight w:val="none"/>
          <w:u w:val="none"/>
          <w:lang w:val="en-US" w:eastAsia="zh-CN"/>
        </w:rPr>
        <w:t xml:space="preserve">3</w:t>
      </w:r>
      <w:r>
        <w:rPr>
          <w:rFonts w:hint="eastAsia" w:ascii="宋体" w:hAnsi="宋体" w:eastAsia="宋体" w:cs="宋体"/>
          <w:b w:val="0"/>
          <w:bCs/>
          <w:color w:val="auto"/>
          <w:sz w:val="21"/>
          <w:szCs w:val="21"/>
          <w:highlight w:val="none"/>
          <w:u w:val="none"/>
        </w:rPr>
        <w:t xml:space="preserve">年</w:t>
      </w:r>
      <w:r>
        <w:rPr>
          <w:rFonts w:hint="eastAsia" w:ascii="宋体" w:hAnsi="宋体" w:cs="宋体"/>
          <w:b w:val="0"/>
          <w:bCs/>
          <w:color w:val="auto"/>
          <w:sz w:val="21"/>
          <w:szCs w:val="21"/>
          <w:highlight w:val="none"/>
          <w:u w:val="none"/>
          <w:lang w:val="en-US" w:eastAsia="zh-CN"/>
        </w:rPr>
        <w:t xml:space="preserve">免费</w:t>
      </w:r>
      <w:r>
        <w:rPr>
          <w:rFonts w:hint="eastAsia" w:ascii="宋体" w:hAnsi="宋体" w:eastAsia="宋体" w:cs="宋体"/>
          <w:b w:val="0"/>
          <w:bCs/>
          <w:color w:val="auto"/>
          <w:sz w:val="21"/>
          <w:szCs w:val="21"/>
          <w:highlight w:val="none"/>
          <w:u w:val="none"/>
        </w:rPr>
        <w:t xml:space="preserve">质量保证期</w:t>
      </w:r>
      <w:r>
        <w:rPr>
          <w:rFonts w:hint="eastAsia" w:ascii="宋体" w:hAnsi="宋体" w:eastAsia="宋体" w:cs="宋体"/>
          <w:b w:val="0"/>
          <w:bCs/>
          <w:color w:val="auto"/>
          <w:sz w:val="21"/>
          <w:szCs w:val="21"/>
          <w:highlight w:val="none"/>
          <w:u w:val="none"/>
        </w:rPr>
        <w:t xml:space="preserve">。</w:t>
      </w:r>
      <w:r/>
    </w:p>
    <w:p>
      <w:pPr>
        <w:pStyle w:val="857"/>
        <w:ind w:left="0" w:firstLine="420"/>
        <w:spacing w:line="360" w:lineRule="auto"/>
        <w:rPr>
          <w:rFonts w:hint="eastAsia" w:ascii="宋体" w:hAnsi="宋体"/>
          <w:color w:val="auto"/>
          <w:sz w:val="21"/>
          <w:szCs w:val="21"/>
          <w:highlight w:val="none"/>
          <w:lang w:eastAsia="zh-CN"/>
        </w:rPr>
      </w:pPr>
      <w:r>
        <w:rPr>
          <w:rFonts w:hint="eastAsia" w:ascii="宋体" w:hAnsi="宋体" w:cs="宋体"/>
          <w:b w:val="0"/>
          <w:bCs/>
          <w:color w:val="auto"/>
          <w:sz w:val="21"/>
          <w:szCs w:val="21"/>
          <w:highlight w:val="none"/>
          <w:u w:val="none"/>
          <w:lang w:val="en-US" w:eastAsia="zh-CN"/>
        </w:rPr>
        <w:t xml:space="preserve">验收标准：按照招标文件及国家标准执行。</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的资格要求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eastAsia="宋体"/>
          <w:b/>
          <w:bCs/>
          <w:color w:val="auto"/>
          <w:sz w:val="21"/>
          <w:highlight w:val="none"/>
        </w:rPr>
        <w:t xml:space="preserve">根据《政府采购促进中小企业发展管理办法》的相关规定，本项目</w:t>
      </w:r>
      <w:r>
        <w:rPr>
          <w:rFonts w:hint="eastAsia" w:ascii="宋体" w:hAnsi="宋体" w:eastAsia="宋体"/>
          <w:b/>
          <w:bCs/>
          <w:color w:val="auto"/>
          <w:sz w:val="21"/>
          <w:highlight w:val="none"/>
          <w:lang w:val="en-US" w:eastAsia="zh-CN"/>
        </w:rPr>
        <w:t xml:space="preserve">非</w:t>
      </w:r>
      <w:r>
        <w:rPr>
          <w:rFonts w:hint="eastAsia" w:ascii="宋体" w:hAnsi="宋体" w:eastAsia="宋体"/>
          <w:b/>
          <w:bCs/>
          <w:color w:val="auto"/>
          <w:sz w:val="21"/>
          <w:highlight w:val="none"/>
        </w:rPr>
        <w:t xml:space="preserve">专门面向中小企业采购</w:t>
      </w:r>
      <w:r>
        <w:rPr>
          <w:rFonts w:hint="eastAsia" w:ascii="宋体" w:hAnsi="宋体"/>
          <w:b/>
          <w:bCs/>
          <w:color w:val="auto"/>
          <w:sz w:val="21"/>
          <w:highlight w:val="none"/>
          <w:lang w:eastAsia="zh-CN"/>
        </w:rPr>
        <w:t xml:space="preserve">，</w:t>
      </w:r>
      <w:r>
        <w:rPr>
          <w:rFonts w:hint="eastAsia" w:ascii="宋体" w:hAnsi="宋体" w:eastAsia="宋体"/>
          <w:b/>
          <w:bCs/>
          <w:color w:val="auto"/>
          <w:sz w:val="21"/>
          <w:highlight w:val="none"/>
        </w:rPr>
        <w:t xml:space="preserve">所属行业为工业</w:t>
      </w:r>
      <w:r>
        <w:rPr>
          <w:rFonts w:hint="eastAsia" w:ascii="宋体" w:hAnsi="宋体" w:eastAsia="宋体"/>
          <w:color w:val="auto"/>
          <w:sz w:val="21"/>
          <w:highlight w:val="none"/>
        </w:rPr>
        <w:t xml:space="preserve">。</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857"/>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2.地点：“苏采云”系统自行下载</w:t>
      </w:r>
      <w:r>
        <w:rPr>
          <w:rFonts w:hint="eastAsia" w:ascii="宋体" w:hAnsi="宋体"/>
          <w:color w:val="auto"/>
          <w:sz w:val="21"/>
          <w:szCs w:val="21"/>
          <w:highlight w:val="none"/>
          <w:lang w:eastAsia="zh-CN"/>
        </w:rPr>
        <w:t xml:space="preserve">招标文件</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3.方式：</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（1）CA证书办理</w:t>
      </w:r>
      <w:r/>
    </w:p>
    <w:p>
      <w:pPr>
        <w:pStyle w:val="857"/>
        <w:ind w:left="0" w:firstLine="42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供应商参与</w:t>
      </w:r>
      <w:r>
        <w:rPr>
          <w:rFonts w:hint="eastAsia" w:ascii="宋体" w:hAnsi="宋体"/>
          <w:color w:val="auto"/>
          <w:sz w:val="21"/>
          <w:szCs w:val="21"/>
          <w:highlight w:val="none"/>
          <w:lang w:eastAsia="zh-CN"/>
        </w:rPr>
        <w:t xml:space="preserve">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57"/>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57"/>
        <w:ind w:left="0" w:firstLine="420"/>
        <w:spacing w:line="360" w:lineRule="auto"/>
        <w:rPr>
          <w:color w:val="auto"/>
          <w:highlight w:val="none"/>
        </w:rPr>
      </w:pPr>
      <w:r>
        <w:rPr>
          <w:rFonts w:hint="eastAsia" w:ascii="宋体" w:hAnsi="宋体"/>
          <w:color w:val="auto"/>
          <w:sz w:val="21"/>
          <w:szCs w:val="21"/>
          <w:highlight w:val="none"/>
          <w:lang w:eastAsia="zh-CN"/>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w:t>
      </w:r>
      <w:r>
        <w:rPr>
          <w:rFonts w:hint="eastAsia" w:ascii="宋体" w:hAnsi="宋体"/>
          <w:b/>
          <w:color w:val="auto"/>
          <w:sz w:val="21"/>
          <w:szCs w:val="21"/>
          <w:highlight w:val="none"/>
          <w:lang w:eastAsia="zh-CN"/>
        </w:rPr>
        <w:t xml:space="preserve">。</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注册咨询：0512-69820854；</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系统使用指导与咨询：联系电话：0512-69820854；智能客服：登录苏采云系统后，联系系统右下方智能客服图标进行咨询。</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1.提交投标文件截止时间：</w:t>
      </w:r>
      <w:r>
        <w:rPr>
          <w:rFonts w:hint="eastAsia" w:ascii="宋体" w:hAnsi="宋体"/>
          <w:color w:val="auto"/>
          <w:sz w:val="21"/>
          <w:szCs w:val="21"/>
          <w:highlight w:val="none"/>
          <w:u w:val="single"/>
          <w:lang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  8</w:t>
      </w:r>
      <w:r>
        <w:rPr>
          <w:rFonts w:hint="eastAsia" w:ascii="宋体" w:hAnsi="宋体"/>
          <w:color w:val="auto"/>
          <w:sz w:val="21"/>
          <w:szCs w:val="21"/>
          <w:highlight w:val="none"/>
          <w:u w:val="single"/>
        </w:rPr>
        <w:t xml:space="preserve">月</w:t>
      </w:r>
      <w:r>
        <w:rPr>
          <w:rFonts w:hint="eastAsia" w:ascii="宋体" w:hAnsi="宋体"/>
          <w:color w:val="auto"/>
          <w:sz w:val="21"/>
          <w:szCs w:val="21"/>
          <w:highlight w:val="none"/>
          <w:u w:val="single"/>
          <w:lang w:val="en-US" w:eastAsia="zh-CN"/>
        </w:rPr>
        <w:t xml:space="preserve">  21</w:t>
      </w:r>
      <w:r>
        <w:rPr>
          <w:rFonts w:hint="eastAsia" w:ascii="宋体" w:hAnsi="宋体"/>
          <w:color w:val="auto"/>
          <w:sz w:val="21"/>
          <w:szCs w:val="21"/>
          <w:highlight w:val="none"/>
          <w:u w:val="single"/>
        </w:rPr>
        <w:t xml:space="preserve">日9点 30 分</w:t>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u w:val="single"/>
          <w:lang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8月</w:t>
      </w:r>
      <w:r>
        <w:rPr>
          <w:rFonts w:hint="eastAsia" w:ascii="宋体" w:hAnsi="宋体"/>
          <w:color w:val="auto"/>
          <w:sz w:val="21"/>
          <w:szCs w:val="21"/>
          <w:highlight w:val="none"/>
          <w:u w:val="single"/>
          <w:lang w:val="en-US" w:eastAsia="zh-CN"/>
        </w:rPr>
        <w:t xml:space="preserve">  21</w:t>
      </w:r>
      <w:r>
        <w:rPr>
          <w:rFonts w:hint="eastAsia" w:ascii="宋体" w:hAnsi="宋体"/>
          <w:color w:val="auto"/>
          <w:sz w:val="21"/>
          <w:szCs w:val="21"/>
          <w:highlight w:val="none"/>
          <w:u w:val="single"/>
        </w:rPr>
        <w:t xml:space="preserve">日 9点 30 分</w:t>
      </w:r>
      <w:r>
        <w:rPr>
          <w:rFonts w:hint="eastAsia" w:ascii="宋体" w:hAnsi="宋体"/>
          <w:color w:val="auto"/>
          <w:sz w:val="21"/>
          <w:szCs w:val="21"/>
          <w:highlight w:val="none"/>
        </w:rPr>
        <w:t xml:space="preserve">（北京时间）；</w:t>
      </w:r>
      <w:r/>
    </w:p>
    <w:p>
      <w:pPr>
        <w:pStyle w:val="857"/>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//jszfcg.jsczt.cn/</w:t>
      </w:r>
      <w:r>
        <w:rPr>
          <w:rFonts w:hint="eastAsia" w:ascii="宋体" w:hAnsi="宋体"/>
          <w:color w:val="auto"/>
          <w:sz w:val="21"/>
          <w:szCs w:val="21"/>
          <w:highlight w:val="none"/>
        </w:rPr>
        <w:t xml:space="preserve">）</w:t>
      </w:r>
      <w:r/>
    </w:p>
    <w:p>
      <w:pPr>
        <w:pStyle w:val="857"/>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应充分考虑到网络环境、网络带宽等风险因素，如因</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自身原因造成的电子投标文件上传不成功由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自行承担全部责任。</w:t>
      </w:r>
      <w:r/>
    </w:p>
    <w:p>
      <w:pPr>
        <w:pStyle w:val="857"/>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5.线上参加开标（开启）会方式：</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在【供应商解密】环节必须使用 CA证书解密电子投标文件，如在系统规定的解密时间（投标文件提交截止时间后30分钟）内未能完成解密的视为放弃投标。</w:t>
      </w:r>
      <w:r/>
    </w:p>
    <w:p>
      <w:pPr>
        <w:pStyle w:val="857"/>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请</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确保电脑、系统及其他设备（视频输入输出设备等）无误，且开标直至项目结束始终保持系统在线状态。</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五、公告期限</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自本公告发布之日起 </w:t>
      </w:r>
      <w:r>
        <w:rPr>
          <w:rFonts w:ascii="宋体" w:hAnsi="宋体"/>
          <w:color w:val="auto"/>
          <w:sz w:val="21"/>
          <w:szCs w:val="21"/>
          <w:highlight w:val="none"/>
        </w:rPr>
        <w:t xml:space="preserve">5</w:t>
      </w:r>
      <w:r>
        <w:rPr>
          <w:rFonts w:hint="eastAsia" w:ascii="宋体" w:hAnsi="宋体"/>
          <w:color w:val="auto"/>
          <w:sz w:val="21"/>
          <w:szCs w:val="21"/>
          <w:highlight w:val="none"/>
        </w:rPr>
        <w:t xml:space="preserve"> 个工作日</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pStyle w:val="857"/>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1、本次采购的有关信息将在江苏省政府采购网、苏州市政府采购网、中国政府采购网上发布；有关该采购项目的澄清、修正及成交等信息亦在以上网站发布，敬请留意。</w:t>
      </w:r>
      <w:r/>
    </w:p>
    <w:p>
      <w:pPr>
        <w:pStyle w:val="857"/>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2、政府采购监督电话：0512-68616651。</w:t>
      </w:r>
      <w:r/>
    </w:p>
    <w:p>
      <w:pPr>
        <w:pStyle w:val="857"/>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在报名、下载、制作</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57"/>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4、如不同</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使用同一台电脑制作的电子投标文件的，双方“文件制作机器码”一致的，则其投标文件将被认定为无效响应。</w:t>
      </w:r>
      <w:r/>
    </w:p>
    <w:p>
      <w:pPr>
        <w:pStyle w:val="857"/>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5、凡为采购项目提供整体设计、规范编制或者项目管理、监理、检测等服务的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，不得再参加本项目的采购活动。</w:t>
      </w:r>
      <w:r/>
    </w:p>
    <w:p>
      <w:pPr>
        <w:pStyle w:val="857"/>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6、根据苏州市财政局《关于深入开展苏州市政府采购合同信用融资业务的通知》相关要求，本项目支持政府采购合同信用融资。</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七、对本次招标提出询问，请按以下方式联系</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苏州工业职业技术学院</w:t>
      </w:r>
      <w:r/>
    </w:p>
    <w:p>
      <w:pPr>
        <w:pStyle w:val="85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地址：苏州市吴中区吴中大道国际教育园致能大道</w:t>
      </w:r>
      <w:r/>
    </w:p>
    <w:p>
      <w:pPr>
        <w:pStyle w:val="857"/>
        <w:ind w:left="0" w:firstLine="42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default" w:ascii="宋体" w:hAnsi="宋体"/>
          <w:color w:val="auto"/>
          <w:sz w:val="21"/>
          <w:szCs w:val="21"/>
          <w:highlight w:val="none"/>
          <w:lang w:val="en-US" w:eastAsia="zh-CN"/>
        </w:rPr>
        <w:t xml:space="preserve">李文俊 </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联系方式：</w:t>
      </w:r>
      <w:r>
        <w:rPr>
          <w:rFonts w:hint="default" w:ascii="宋体" w:hAnsi="宋体"/>
          <w:color w:val="auto"/>
          <w:sz w:val="21"/>
          <w:szCs w:val="21"/>
          <w:highlight w:val="none"/>
          <w:lang w:val="en-US" w:eastAsia="zh-CN"/>
        </w:rPr>
        <w:t xml:space="preserve">19812211107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2.采购代理机构信息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苏州捷信招投标咨询有限公司</w:t>
      </w:r>
      <w:r>
        <w:rPr>
          <w:rFonts w:hint="eastAsia" w:ascii="宋体" w:hAnsi="宋体"/>
          <w:color w:val="auto"/>
          <w:sz w:val="21"/>
          <w:szCs w:val="21"/>
          <w:highlight w:val="none"/>
        </w:rPr>
        <w:t xml:space="preserve">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苏州市南园北路118号天和商务大厦6-206</w:t>
      </w:r>
      <w:r>
        <w:rPr>
          <w:rFonts w:hint="eastAsia" w:ascii="宋体" w:hAnsi="宋体"/>
          <w:color w:val="auto"/>
          <w:sz w:val="21"/>
          <w:szCs w:val="21"/>
          <w:highlight w:val="none"/>
        </w:rPr>
        <w:t xml:space="preserve"> </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w:t>
      </w:r>
      <w:bookmarkStart w:id="6" w:name="OLE_LINK14"/>
      <w:r/>
      <w:bookmarkStart w:id="7" w:name="OLE_LINK13"/>
      <w:r>
        <w:rPr>
          <w:rFonts w:hint="eastAsia" w:ascii="宋体" w:hAnsi="宋体"/>
          <w:color w:val="auto"/>
          <w:sz w:val="21"/>
          <w:szCs w:val="21"/>
          <w:highlight w:val="none"/>
          <w:lang w:eastAsia="zh-CN"/>
        </w:rPr>
        <w:t xml:space="preserve">0512-65200361</w:t>
      </w:r>
      <w:r>
        <w:rPr>
          <w:rFonts w:hint="eastAsia" w:ascii="宋体" w:hAnsi="宋体"/>
          <w:color w:val="auto"/>
          <w:sz w:val="21"/>
          <w:szCs w:val="21"/>
          <w:highlight w:val="none"/>
        </w:rPr>
        <w:t xml:space="preserve"> </w:t>
      </w:r>
      <w:bookmarkEnd w:id="6"/>
      <w:r/>
      <w:bookmarkEnd w:id="7"/>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汪业超、丁亚萍、张瑾</w:t>
      </w:r>
      <w:r>
        <w:rPr>
          <w:rFonts w:hint="eastAsia" w:ascii="宋体" w:hAnsi="宋体"/>
          <w:color w:val="auto"/>
          <w:sz w:val="21"/>
          <w:szCs w:val="21"/>
          <w:highlight w:val="none"/>
        </w:rPr>
        <w:t xml:space="preserve"> </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0512-65200361</w:t>
      </w:r>
      <w:r/>
    </w:p>
    <w:p>
      <w:pPr>
        <w:pStyle w:val="840"/>
        <w:ind w:left="0" w:firstLine="0"/>
        <w:jc w:val="center"/>
        <w:keepLines w:val="0"/>
        <w:keepNext w:val="0"/>
        <w:pageBreakBefore w:val="0"/>
        <w:spacing w:before="0" w:after="0" w:line="360" w:lineRule="auto"/>
        <w:widowControl/>
        <w:rPr>
          <w:rFonts w:ascii="宋体" w:hAnsi="宋体"/>
          <w:b/>
          <w:color w:val="auto"/>
          <w:sz w:val="24"/>
          <w:szCs w:val="24"/>
          <w:highlight w:val="none"/>
        </w:rPr>
      </w:pPr>
      <w:r/>
      <w:bookmarkStart w:id="8" w:name="_Toc6217"/>
      <w:r/>
      <w:bookmarkStart w:id="9" w:name="_Toc2091234187"/>
      <w:r/>
      <w:bookmarkStart w:id="10" w:name="_Toc2412"/>
      <w:r>
        <w:rPr>
          <w:rFonts w:ascii="宋体" w:hAnsi="宋体"/>
          <w:b/>
          <w:color w:val="auto"/>
          <w:sz w:val="24"/>
          <w:szCs w:val="24"/>
          <w:highlight w:val="none"/>
        </w:rPr>
        <w:t xml:space="preserve">第</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章  </w:t>
      </w:r>
      <w:bookmarkStart w:id="11" w:name="投标人须知"/>
      <w:r/>
      <w:bookmarkEnd w:id="11"/>
      <w:r>
        <w:rPr>
          <w:rFonts w:ascii="宋体" w:hAnsi="宋体"/>
          <w:b/>
          <w:color w:val="auto"/>
          <w:sz w:val="24"/>
          <w:szCs w:val="24"/>
          <w:highlight w:val="none"/>
        </w:rPr>
        <w:t xml:space="preserve">投标人须知</w:t>
      </w:r>
      <w:bookmarkEnd w:id="8"/>
      <w:r/>
      <w:bookmarkEnd w:id="9"/>
      <w:r/>
      <w:bookmarkEnd w:id="10"/>
      <w:r/>
      <w:r/>
    </w:p>
    <w:p>
      <w:pPr>
        <w:pStyle w:val="857"/>
        <w:ind w:left="0" w:firstLine="422"/>
        <w:spacing w:line="360" w:lineRule="auto"/>
        <w:rPr>
          <w:rFonts w:ascii="宋体" w:hAnsi="宋体"/>
          <w:b/>
          <w:color w:val="auto"/>
          <w:sz w:val="21"/>
          <w:szCs w:val="21"/>
          <w:highlight w:val="none"/>
        </w:rPr>
      </w:pPr>
      <w:r/>
      <w:bookmarkStart w:id="12" w:name="_Toc20132"/>
      <w:r/>
      <w:bookmarkStart w:id="13" w:name="_Toc13437"/>
      <w:r>
        <w:rPr>
          <w:rFonts w:hint="eastAsia" w:ascii="宋体" w:hAnsi="宋体"/>
          <w:b/>
          <w:color w:val="auto"/>
          <w:sz w:val="21"/>
          <w:szCs w:val="21"/>
          <w:highlight w:val="none"/>
        </w:rPr>
        <w:t xml:space="preserve">一、说明和释义</w:t>
      </w:r>
      <w:bookmarkEnd w:id="12"/>
      <w:r/>
      <w:bookmarkEnd w:id="13"/>
      <w:r/>
      <w:r/>
    </w:p>
    <w:p>
      <w:pPr>
        <w:pStyle w:val="857"/>
        <w:ind w:left="0" w:firstLine="422"/>
        <w:spacing w:line="360" w:lineRule="auto"/>
        <w:rPr>
          <w:rFonts w:ascii="宋体" w:hAnsi="宋体"/>
          <w:b/>
          <w:color w:val="auto"/>
          <w:sz w:val="21"/>
          <w:szCs w:val="21"/>
          <w:highlight w:val="none"/>
        </w:rPr>
      </w:pPr>
      <w:r/>
      <w:bookmarkStart w:id="14" w:name="_Toc9408"/>
      <w:r>
        <w:rPr>
          <w:rFonts w:hint="eastAsia" w:ascii="宋体" w:hAnsi="宋体"/>
          <w:b/>
          <w:color w:val="auto"/>
          <w:sz w:val="21"/>
          <w:szCs w:val="21"/>
          <w:highlight w:val="none"/>
        </w:rPr>
        <w:t xml:space="preserve">1.说明</w:t>
      </w:r>
      <w:bookmarkEnd w:id="14"/>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w:t>
      </w:r>
      <w:r>
        <w:rPr>
          <w:rFonts w:hint="eastAsia" w:ascii="宋体" w:hAnsi="宋体"/>
          <w:color w:val="auto"/>
          <w:sz w:val="21"/>
          <w:szCs w:val="21"/>
          <w:highlight w:val="none"/>
          <w:lang w:eastAsia="zh-CN"/>
        </w:rPr>
        <w:t xml:space="preserve">苏州捷信招投标咨询有限公司</w:t>
      </w:r>
      <w:r>
        <w:rPr>
          <w:rFonts w:hint="eastAsia" w:ascii="宋体" w:hAnsi="宋体"/>
          <w:color w:val="auto"/>
          <w:sz w:val="21"/>
          <w:szCs w:val="21"/>
          <w:highlight w:val="none"/>
        </w:rPr>
        <w:t xml:space="preserve">组织的招标活动。</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w:t>
      </w:r>
      <w:r>
        <w:rPr>
          <w:rFonts w:hint="eastAsia" w:ascii="宋体" w:hAnsi="宋体"/>
          <w:color w:val="auto"/>
          <w:sz w:val="21"/>
          <w:szCs w:val="21"/>
          <w:highlight w:val="none"/>
          <w:lang w:eastAsia="zh-CN"/>
        </w:rPr>
        <w:t xml:space="preserve">苏州捷信招投标咨询有限公司</w:t>
      </w:r>
      <w:r>
        <w:rPr>
          <w:rFonts w:hint="eastAsia" w:ascii="宋体" w:hAnsi="宋体"/>
          <w:color w:val="auto"/>
          <w:sz w:val="21"/>
          <w:szCs w:val="21"/>
          <w:highlight w:val="none"/>
        </w:rPr>
        <w:t xml:space="preserve">。</w:t>
      </w:r>
      <w:r/>
    </w:p>
    <w:p>
      <w:pPr>
        <w:pStyle w:val="857"/>
        <w:ind w:left="0" w:firstLine="422"/>
        <w:spacing w:line="360" w:lineRule="auto"/>
        <w:rPr>
          <w:rFonts w:ascii="宋体" w:hAnsi="宋体"/>
          <w:b/>
          <w:color w:val="auto"/>
          <w:sz w:val="21"/>
          <w:szCs w:val="21"/>
          <w:highlight w:val="none"/>
        </w:rPr>
      </w:pPr>
      <w:r/>
      <w:bookmarkStart w:id="15" w:name="_Toc27555"/>
      <w:r>
        <w:rPr>
          <w:rFonts w:hint="eastAsia" w:ascii="宋体" w:hAnsi="宋体"/>
          <w:b/>
          <w:color w:val="auto"/>
          <w:sz w:val="21"/>
          <w:szCs w:val="21"/>
          <w:highlight w:val="none"/>
        </w:rPr>
        <w:t xml:space="preserve">2.词语释义</w:t>
      </w:r>
      <w:bookmarkEnd w:id="15"/>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投标人（供应商）：指响应招标、参加投标竞争的法人、其他组织或自然人。</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6" w:name="_Toc14976"/>
      <w:r/>
      <w:bookmarkStart w:id="17" w:name="_Toc13350"/>
      <w:r/>
      <w:r/>
    </w:p>
    <w:p>
      <w:pPr>
        <w:pStyle w:val="857"/>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6"/>
      <w:r/>
      <w:bookmarkEnd w:id="17"/>
      <w:r/>
      <w:r/>
    </w:p>
    <w:p>
      <w:pPr>
        <w:pStyle w:val="857"/>
        <w:ind w:left="0" w:firstLine="422"/>
        <w:spacing w:line="36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3.合格投标人的资格条件：</w:t>
      </w:r>
      <w:r>
        <w:rPr>
          <w:rFonts w:hint="eastAsia" w:ascii="宋体" w:hAnsi="宋体"/>
          <w:b/>
          <w:color w:val="auto"/>
          <w:sz w:val="21"/>
          <w:szCs w:val="21"/>
          <w:highlight w:val="none"/>
          <w:lang w:val="en-US" w:eastAsia="zh-CN"/>
        </w:rPr>
        <w:t xml:space="preserve">详见第一章。</w:t>
      </w:r>
      <w:r/>
    </w:p>
    <w:p>
      <w:pPr>
        <w:pStyle w:val="899"/>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899"/>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99"/>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899"/>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57"/>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w:t>
      </w:r>
      <w:r/>
    </w:p>
    <w:p>
      <w:pPr>
        <w:pStyle w:val="857"/>
        <w:ind w:left="0" w:firstLine="422"/>
        <w:spacing w:line="360" w:lineRule="auto"/>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6.联合投标及转包、分包</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进口：</w:t>
      </w:r>
      <w:r/>
    </w:p>
    <w:p>
      <w:pPr>
        <w:pStyle w:val="857"/>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57"/>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8" w:name="_Toc31958"/>
      <w:r/>
      <w:bookmarkStart w:id="19" w:name="_Toc5764"/>
      <w:r/>
      <w:r/>
    </w:p>
    <w:p>
      <w:pPr>
        <w:pStyle w:val="857"/>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8"/>
      <w:r/>
      <w:bookmarkEnd w:id="19"/>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57"/>
        <w:ind w:left="0" w:firstLine="420"/>
        <w:spacing w:line="360" w:lineRule="auto"/>
        <w:rPr>
          <w:rFonts w:ascii="宋体" w:hAnsi="宋体"/>
          <w:color w:val="auto"/>
          <w:sz w:val="21"/>
          <w:szCs w:val="21"/>
          <w:highlight w:val="none"/>
        </w:rPr>
      </w:pPr>
      <w:r/>
      <w:bookmarkStart w:id="20" w:name="_Toc16745"/>
      <w:r/>
      <w:bookmarkStart w:id="21" w:name="_Toc19463"/>
      <w:r>
        <w:rPr>
          <w:rFonts w:hint="eastAsia" w:ascii="宋体" w:hAnsi="宋体"/>
          <w:color w:val="auto"/>
          <w:sz w:val="21"/>
          <w:szCs w:val="21"/>
          <w:highlight w:val="none"/>
        </w:rPr>
        <w:t xml:space="preserve">10.1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在法定质疑期内一次性提出针对同一采购程序环节的质疑，否则不予受理。</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提出质疑应当提交质疑函和必要的证明材料，质疑函应当包括下列内容：</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的姓名或者名称（以提供的营业执照副本复印件为准）、地址、邮编、联系人及联系电话；</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为自然人的，应当由本人签字；</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为法人或者其他组织的，应当由法定代表人、主要负责人，或者其授权代表签字或者盖章，并加盖公章。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57"/>
        <w:ind w:left="0" w:firstLine="422"/>
        <w:spacing w:line="360" w:lineRule="auto"/>
        <w:rPr>
          <w:b/>
          <w:color w:val="auto"/>
          <w:sz w:val="21"/>
          <w:szCs w:val="21"/>
          <w:highlight w:val="none"/>
        </w:rPr>
      </w:pPr>
      <w:r>
        <w:rPr>
          <w:rFonts w:hint="eastAsia"/>
          <w:b/>
          <w:color w:val="auto"/>
          <w:sz w:val="21"/>
          <w:szCs w:val="21"/>
          <w:highlight w:val="none"/>
          <w:lang w:eastAsia="zh-CN"/>
        </w:rPr>
        <w:t xml:space="preserve">投标人</w:t>
      </w:r>
      <w:r>
        <w:rPr>
          <w:rFonts w:hint="eastAsia"/>
          <w:b/>
          <w:color w:val="auto"/>
          <w:sz w:val="21"/>
          <w:szCs w:val="21"/>
          <w:highlight w:val="none"/>
        </w:rPr>
        <w:t xml:space="preserve">提交的质疑函必须按照《政府采购供应商质疑函范本》要求的格式和内容进行填写，质疑函范本下载网址详见链接：</w:t>
      </w:r>
      <w:r>
        <w:rPr>
          <w:rFonts w:ascii="宋体" w:hAnsi="宋体"/>
          <w:b/>
          <w:color w:val="auto"/>
          <w:sz w:val="21"/>
          <w:szCs w:val="21"/>
          <w:highlight w:val="none"/>
        </w:rPr>
        <w:t xml:space="preserve">https</w:t>
      </w:r>
      <w:r>
        <w:rPr>
          <w:rFonts w:hint="eastAsia" w:ascii="宋体" w:hAnsi="宋体"/>
          <w:b/>
          <w:color w:val="auto"/>
          <w:sz w:val="21"/>
          <w:szCs w:val="21"/>
          <w:highlight w:val="none"/>
          <w:lang w:eastAsia="zh-CN"/>
        </w:rPr>
        <w:t xml:space="preserve">：</w:t>
      </w:r>
      <w:r>
        <w:rPr>
          <w:rFonts w:ascii="宋体" w:hAnsi="宋体"/>
          <w:b/>
          <w:color w:val="auto"/>
          <w:sz w:val="21"/>
          <w:szCs w:val="21"/>
          <w:highlight w:val="none"/>
        </w:rPr>
        <w:t xml:space="preserve">//czju.suzhou.gov.cn/zfcg/html/content/20180305093615738.shtml</w:t>
      </w:r>
      <w:r>
        <w:rPr>
          <w:rFonts w:hint="eastAsia" w:ascii="宋体" w:hAnsi="宋体"/>
          <w:color w:val="auto"/>
          <w:sz w:val="21"/>
          <w:szCs w:val="21"/>
          <w:highlight w:val="none"/>
        </w:rPr>
        <w:t xml:space="preserve">。</w:t>
      </w:r>
      <w:r/>
    </w:p>
    <w:p>
      <w:pPr>
        <w:pStyle w:val="857"/>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应当是参与所质疑项目采购活动的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。因此凡是对招标文件提出质疑的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，必须是依法获取招标文件，请将合法获取招标文件的证明材料（即</w:t>
      </w:r>
      <w:r>
        <w:rPr>
          <w:rFonts w:hint="eastAsia" w:ascii="宋体" w:hAnsi="宋体"/>
          <w:b/>
          <w:color w:val="auto"/>
          <w:sz w:val="21"/>
          <w:szCs w:val="21"/>
          <w:highlight w:val="none"/>
        </w:rPr>
        <w:t xml:space="preserve">《投标供应商确认函》</w:t>
      </w:r>
      <w:r>
        <w:rPr>
          <w:rFonts w:hint="eastAsia" w:ascii="宋体" w:hAnsi="宋体"/>
          <w:color w:val="auto"/>
          <w:sz w:val="21"/>
          <w:szCs w:val="21"/>
          <w:highlight w:val="none"/>
        </w:rPr>
        <w:t xml:space="preserve">）与质疑函一起递交，否则不予受理。</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57"/>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质疑联系人：</w:t>
      </w:r>
      <w:r>
        <w:rPr>
          <w:rFonts w:hint="eastAsia" w:ascii="宋体" w:hAnsi="宋体"/>
          <w:color w:val="auto"/>
          <w:sz w:val="21"/>
          <w:szCs w:val="21"/>
          <w:highlight w:val="none"/>
          <w:lang w:val="en-US" w:eastAsia="zh-CN"/>
        </w:rPr>
        <w:t xml:space="preserve">王慧</w:t>
      </w:r>
      <w:r/>
    </w:p>
    <w:p>
      <w:pPr>
        <w:pStyle w:val="857"/>
        <w:ind w:left="0"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联系电话：0</w:t>
      </w:r>
      <w:r>
        <w:rPr>
          <w:rFonts w:ascii="宋体" w:hAnsi="宋体"/>
          <w:color w:val="auto"/>
          <w:sz w:val="21"/>
          <w:szCs w:val="21"/>
          <w:highlight w:val="none"/>
        </w:rPr>
        <w:t xml:space="preserve">512</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65200361</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联系地址：</w:t>
      </w:r>
      <w:r>
        <w:rPr>
          <w:rFonts w:hint="eastAsia" w:ascii="宋体" w:hAnsi="宋体"/>
          <w:color w:val="auto"/>
          <w:sz w:val="21"/>
          <w:szCs w:val="21"/>
          <w:highlight w:val="none"/>
          <w:lang w:eastAsia="zh-CN"/>
        </w:rPr>
        <w:t xml:space="preserve">苏州市南园北路118号天和商务大厦6-206</w:t>
      </w:r>
      <w:r>
        <w:rPr>
          <w:rFonts w:hint="eastAsia" w:ascii="宋体" w:hAnsi="宋体"/>
          <w:color w:val="auto"/>
          <w:sz w:val="21"/>
          <w:szCs w:val="21"/>
          <w:highlight w:val="none"/>
        </w:rPr>
        <w:t xml:space="preserve">。</w:t>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20"/>
      <w:r/>
      <w:bookmarkEnd w:id="21"/>
      <w:r/>
      <w:r/>
    </w:p>
    <w:p>
      <w:pPr>
        <w:pStyle w:val="857"/>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57"/>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57"/>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开标一览表</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公开分项报价</w:t>
      </w:r>
      <w:r/>
    </w:p>
    <w:p>
      <w:pPr>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资格审查文件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（1）具有独立承担民事责任的能力证明。提供包括法人或者其他组织的营业执照等证明文件。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（2）具有良好的商业信誉和健全的财务会计制度证明，提供最近一期（2025年度）经会计师事务所审计的财务报告，其他组织、自然人及成立未满一年的法人应提供银行出具的资信证明</w:t>
      </w:r>
      <w:r>
        <w:rPr>
          <w:rFonts w:hint="eastAsia" w:ascii="宋体" w:hAnsi="宋体" w:cs="宋体"/>
          <w:b/>
          <w:bCs/>
          <w:color w:val="auto"/>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（3）履行合同所必备的设备和专业技术能力的证明材料或承诺。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（5）参加政府采购活动前三年内在经营活动中没有重大违法记录的书面声明函。</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（6）《中小企业声明函》（格式见第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章）。未提供，不享受中小企业扶持政策；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（7）《残疾人福利性单位声明函》（格式见第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章）。未提供，视为非残疾人福利性单位，不视同小微企业，不享受残疾人福利性单位政策；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（8）监狱企业证明文件（格式见第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章），由省级以上监狱管理局、戒毒管理局（含新疆生产建设兵团）出具。未提供视为非监狱企业，不视同小微企业，不享受监狱企业政策。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以上（1）—（5）项是资格审查要求必须提供的材料，如为专门面向中小企业的项目还必须提供（6）或（7）或（8）项资料，否则投标无效。</w:t>
      </w:r>
      <w:r>
        <w:rPr>
          <w:rFonts w:hint="eastAsia" w:ascii="宋体" w:hAnsi="宋体" w:eastAsia="宋体" w:cs="宋体"/>
          <w:color w:val="auto"/>
          <w:sz w:val="21"/>
          <w:szCs w:val="21"/>
          <w:highlight w:val="none"/>
        </w:rPr>
        <w:t xml:space="preserve">非专门面向中小企业的项目如提供</w:t>
      </w:r>
      <w:r>
        <w:rPr>
          <w:rFonts w:hint="eastAsia" w:ascii="宋体" w:hAnsi="宋体" w:eastAsia="宋体" w:cs="宋体"/>
          <w:color w:val="auto"/>
          <w:sz w:val="21"/>
          <w:szCs w:val="21"/>
          <w:highlight w:val="none"/>
          <w:u w:val="single"/>
        </w:rPr>
        <w:t xml:space="preserve">资格证明文件中（6）或（7）或（8）</w:t>
      </w:r>
      <w:r>
        <w:rPr>
          <w:rFonts w:hint="eastAsia" w:ascii="宋体" w:hAnsi="宋体" w:eastAsia="宋体" w:cs="宋体"/>
          <w:color w:val="auto"/>
          <w:sz w:val="21"/>
          <w:szCs w:val="21"/>
          <w:highlight w:val="none"/>
        </w:rPr>
        <w:t xml:space="preserve">项材料，将按照评定成交标准享受价格评审优惠政策。</w:t>
      </w:r>
      <w:r/>
    </w:p>
    <w:p>
      <w:pPr>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符合性审查文件</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法定代表人身份证复印件；</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法定代表人授权委托书及授权委托人身份证复印件（如有授权，格式见第三章）；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关于资格文件的声明函；</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投标函（格式见第三章）；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投标人基本情况表（格式见第三章）；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技术服务、商务偏离表、投标保证承诺书（格式见第三章）；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作业人员配备一览表；</w:t>
      </w:r>
      <w:r/>
    </w:p>
    <w:p>
      <w:pPr>
        <w:pStyle w:val="1355"/>
        <w:ind w:left="0" w:firstLine="420"/>
        <w:keepLines w:val="0"/>
        <w:keepNext w:val="0"/>
        <w:pageBreakBefore w:val="0"/>
        <w:spacing w:line="360" w:lineRule="auto"/>
        <w:widowControl/>
        <w:tabs>
          <w:tab w:val="left" w:pos="851" w:leader="none"/>
        </w:tabs>
        <w:rPr>
          <w:rFonts w:hint="eastAsia" w:ascii="宋体" w:hAnsi="宋体"/>
          <w:color w:val="auto"/>
          <w:sz w:val="21"/>
          <w:szCs w:val="21"/>
          <w:highlight w:val="none"/>
        </w:rPr>
      </w:pPr>
      <w:r>
        <w:rPr>
          <w:rFonts w:hint="eastAsia" w:ascii="宋体" w:hAnsi="宋体"/>
          <w:b/>
          <w:bCs/>
          <w:color w:val="auto"/>
          <w:sz w:val="21"/>
          <w:szCs w:val="21"/>
          <w:highlight w:val="none"/>
          <w:u w:val="single"/>
        </w:rPr>
        <w:t xml:space="preserve">以上（1）－（</w:t>
      </w:r>
      <w:r>
        <w:rPr>
          <w:rFonts w:hint="eastAsia" w:ascii="宋体" w:hAnsi="宋体"/>
          <w:b/>
          <w:bCs/>
          <w:color w:val="auto"/>
          <w:sz w:val="21"/>
          <w:szCs w:val="21"/>
          <w:highlight w:val="none"/>
          <w:u w:val="single"/>
          <w:lang w:val="en-US" w:eastAsia="zh-CN"/>
        </w:rPr>
        <w:t xml:space="preserve">7</w:t>
      </w:r>
      <w:r>
        <w:rPr>
          <w:rFonts w:hint="eastAsia" w:ascii="宋体" w:hAnsi="宋体"/>
          <w:b/>
          <w:bCs/>
          <w:color w:val="auto"/>
          <w:sz w:val="21"/>
          <w:szCs w:val="21"/>
          <w:highlight w:val="none"/>
          <w:u w:val="single"/>
        </w:rPr>
        <w:t xml:space="preserve">）为符合性审查必须提供的资料，否则投标无效。 </w:t>
      </w:r>
      <w:r/>
    </w:p>
    <w:p>
      <w:pPr>
        <w:ind w:left="0" w:firstLine="420"/>
        <w:keepLines w:val="0"/>
        <w:keepNext w:val="0"/>
        <w:pageBreakBefore w:val="0"/>
        <w:spacing w:line="360" w:lineRule="auto"/>
        <w:widowControl/>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综合评审文件（</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根据评分标准制作）</w:t>
      </w:r>
      <w:r/>
    </w:p>
    <w:p>
      <w:pPr>
        <w:pStyle w:val="1223"/>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所需材料详见第六章评分标准。与本次采购相关的其他证明材料；</w:t>
      </w:r>
      <w:r/>
    </w:p>
    <w:p>
      <w:pPr>
        <w:pStyle w:val="1223"/>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pStyle w:val="1310"/>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b w:val="0"/>
          <w:bCs w:val="0"/>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3</w:t>
      </w:r>
      <w:r>
        <w:rPr>
          <w:rFonts w:hint="eastAsia" w:ascii="宋体" w:hAnsi="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关于符合本国产品标准的声明函</w:t>
      </w:r>
      <w:r>
        <w:rPr>
          <w:rFonts w:hint="eastAsia" w:ascii="宋体" w:hAnsi="宋体" w:eastAsia="宋体" w:cs="宋体"/>
          <w:b w:val="0"/>
          <w:bCs w:val="0"/>
          <w:color w:val="auto"/>
          <w:sz w:val="21"/>
          <w:szCs w:val="21"/>
          <w:highlight w:val="none"/>
          <w:lang w:eastAsia="zh-CN"/>
        </w:rPr>
        <w:t xml:space="preserve">；</w:t>
      </w:r>
      <w:r/>
    </w:p>
    <w:p>
      <w:pPr>
        <w:pStyle w:val="1223"/>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其他可以证明投标人资质、服务质量的证书、文件等相关资料。</w:t>
      </w:r>
      <w:r/>
    </w:p>
    <w:p>
      <w:pPr>
        <w:pStyle w:val="1223"/>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为资格审查要求提供的材料，是作为对</w:t>
      </w:r>
      <w:r>
        <w:rPr>
          <w:rFonts w:hint="eastAsia" w:ascii="宋体" w:hAnsi="宋体" w:cs="宋体"/>
          <w:b/>
          <w:bCs/>
          <w:color w:val="auto"/>
          <w:sz w:val="21"/>
          <w:szCs w:val="21"/>
          <w:highlight w:val="none"/>
          <w:lang w:eastAsia="zh-CN"/>
        </w:rPr>
        <w:t xml:space="preserve">投标人</w:t>
      </w:r>
      <w:r>
        <w:rPr>
          <w:rFonts w:hint="eastAsia" w:ascii="宋体" w:hAnsi="宋体" w:cs="宋体"/>
          <w:b/>
          <w:bCs/>
          <w:color w:val="auto"/>
          <w:sz w:val="21"/>
          <w:szCs w:val="21"/>
          <w:highlight w:val="none"/>
        </w:rPr>
        <w:t xml:space="preserve">资格审查、质疑身份认定的依据，投标人必须提供并加盖电子公章。否则，投标文件将被认定为不符合资格审查要求。</w:t>
      </w:r>
      <w:r/>
    </w:p>
    <w:p>
      <w:pPr>
        <w:pStyle w:val="1223"/>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223"/>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（3）“1</w:t>
      </w:r>
      <w:r>
        <w:rPr>
          <w:rFonts w:ascii="宋体" w:hAnsi="宋体"/>
          <w:b/>
          <w:color w:val="auto"/>
          <w:sz w:val="21"/>
          <w:szCs w:val="21"/>
          <w:highlight w:val="none"/>
        </w:rPr>
        <w:t xml:space="preserve">4.</w:t>
      </w:r>
      <w:r>
        <w:rPr>
          <w:rFonts w:hint="eastAsia" w:ascii="宋体" w:hAnsi="宋体"/>
          <w:b/>
          <w:color w:val="auto"/>
          <w:sz w:val="21"/>
          <w:szCs w:val="21"/>
          <w:highlight w:val="none"/>
          <w:lang w:val="en-US" w:eastAsia="zh-CN"/>
        </w:rPr>
        <w:t xml:space="preserve">3</w:t>
      </w:r>
      <w:r>
        <w:rPr>
          <w:rFonts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w:t>
      </w:r>
      <w:r>
        <w:rPr>
          <w:rFonts w:hint="eastAsia" w:ascii="宋体" w:hAnsi="宋体"/>
          <w:b/>
          <w:color w:val="auto"/>
          <w:sz w:val="21"/>
          <w:szCs w:val="21"/>
          <w:highlight w:val="none"/>
        </w:rPr>
        <w:t xml:space="preserve">中不得出现投标总报价。</w:t>
      </w:r>
      <w:r>
        <w:rPr>
          <w:rFonts w:hint="eastAsia" w:ascii="宋体" w:hAnsi="宋体"/>
          <w:b/>
          <w:color w:val="auto"/>
          <w:sz w:val="21"/>
          <w:szCs w:val="21"/>
          <w:highlight w:val="none"/>
          <w:lang w:val="en-US" w:eastAsia="zh-CN"/>
        </w:rPr>
        <w:t xml:space="preserve">14.5中</w:t>
      </w:r>
      <w:r>
        <w:rPr>
          <w:rFonts w:hint="eastAsia" w:ascii="宋体" w:hAnsi="宋体"/>
          <w:color w:val="auto"/>
          <w:sz w:val="21"/>
          <w:szCs w:val="21"/>
          <w:highlight w:val="none"/>
        </w:rPr>
        <w:t xml:space="preserve">投标人所提交的资料的完整与否，将直接影响投标人的评分。</w:t>
      </w:r>
      <w:r/>
    </w:p>
    <w:p>
      <w:pPr>
        <w:pStyle w:val="1223"/>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w:t>
      </w:r>
      <w:r/>
    </w:p>
    <w:p>
      <w:pPr>
        <w:pStyle w:val="1223"/>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（5）开评标过程中如有问题采购代理机构工作人员会及时通过《投标供应商确认函》留存的手机号与</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联系。请</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确保该手机号通讯畅通，否则导致的不利后果由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6.2</w:t>
      </w:r>
      <w:r>
        <w:rPr>
          <w:rFonts w:hint="eastAsia" w:ascii="宋体" w:hAnsi="宋体" w:cs="宋体"/>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一项投标内容只允许一个报价，招标人不接受任何有选择性的投标报价。</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最低的报价或最高的折扣率不能作为中标的保证。</w:t>
      </w:r>
      <w:r/>
    </w:p>
    <w:p>
      <w:pPr>
        <w:pStyle w:val="1223"/>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223"/>
        <w:ind w:left="0" w:firstLine="428"/>
        <w:spacing w:line="360" w:lineRule="auto"/>
        <w:rPr>
          <w:rFonts w:ascii="宋体" w:hAnsi="宋体"/>
          <w:b/>
          <w:color w:val="auto"/>
          <w:sz w:val="21"/>
          <w:szCs w:val="21"/>
          <w:highlight w:val="none"/>
          <w:lang w:val="en-US"/>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w:t>
      </w:r>
      <w:r>
        <w:rPr>
          <w:rFonts w:hint="eastAsia" w:eastAsia="宋体" w:asciiTheme="minorEastAsia" w:hAnsi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2" w:name="_Toc25608"/>
      <w:r/>
      <w:bookmarkStart w:id="23" w:name="_Toc31150"/>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.1投标人应当在投标截止时间前制作并上传电子投标文件。</w:t>
      </w:r>
      <w:r/>
    </w:p>
    <w:p>
      <w:pPr>
        <w:pStyle w:val="857"/>
        <w:ind w:left="0" w:firstLine="420"/>
        <w:spacing w:line="360" w:lineRule="auto"/>
        <w:rPr>
          <w:rFonts w:hint="eastAsia" w:ascii="宋体" w:hAnsi="宋体" w:eastAsia="宋体"/>
          <w:b/>
          <w:color w:val="auto"/>
          <w:sz w:val="21"/>
          <w:szCs w:val="21"/>
          <w:highlight w:val="none"/>
          <w:lang w:eastAsia="zh-CN"/>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rPr>
          <w:rFonts w:hint="eastAsia" w:eastAsia="宋体" w:asciiTheme="minorEastAsia" w:hAnsiTheme="minorEastAsia"/>
          <w:b/>
          <w:color w:val="auto"/>
          <w:sz w:val="21"/>
          <w:szCs w:val="21"/>
          <w:highlight w:val="none"/>
          <w:lang w:eastAsia="zh-CN"/>
        </w:rPr>
        <w:t xml:space="preserve">。</w:t>
      </w:r>
      <w:r/>
    </w:p>
    <w:p>
      <w:pPr>
        <w:pStyle w:val="1223"/>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w:t>
      </w:r>
      <w:bookmarkStart w:id="24" w:name="_Toc29371"/>
      <w:r/>
      <w:bookmarkStart w:id="25" w:name="_Toc22837"/>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23"/>
        <w:ind w:left="0" w:firstLine="420"/>
        <w:spacing w:line="360" w:lineRule="auto"/>
        <w:rPr>
          <w:rFonts w:ascii="宋体" w:hAnsi="宋体" w:cs="宋体"/>
          <w:b/>
          <w:bCs/>
          <w:color w:val="auto"/>
          <w:sz w:val="21"/>
          <w:szCs w:val="21"/>
          <w:highlight w:val="none"/>
        </w:rPr>
      </w:pPr>
      <w:r>
        <w:rPr>
          <w:rFonts w:hint="eastAsia" w:ascii="宋体" w:hAnsi="宋体"/>
          <w:b/>
          <w:bCs/>
          <w:color w:val="auto"/>
          <w:sz w:val="21"/>
          <w:szCs w:val="21"/>
          <w:highlight w:val="none"/>
        </w:rPr>
        <w:t xml:space="preserve">六、开标和评标</w:t>
      </w:r>
      <w:bookmarkEnd w:id="24"/>
      <w:r/>
      <w:bookmarkEnd w:id="25"/>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进行信用查询：</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223"/>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lang w:eastAsia="zh-CN"/>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3"/>
        <w:ind w:left="0" w:firstLine="422"/>
        <w:spacing w:line="360" w:lineRule="auto"/>
        <w:rPr>
          <w:rFonts w:ascii="宋体" w:hAnsi="宋体" w:cs="宋体"/>
          <w:b/>
          <w:color w:val="auto"/>
          <w:sz w:val="21"/>
          <w:szCs w:val="21"/>
          <w:highlight w:val="none"/>
        </w:rPr>
      </w:pPr>
      <w:r/>
      <w:bookmarkStart w:id="26" w:name="OLE_LINK11"/>
      <w:r/>
      <w:bookmarkStart w:id="27" w:name="OLE_LINK20"/>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.4异常低价投标审查</w:t>
      </w:r>
      <w:bookmarkEnd w:id="26"/>
      <w:bookmarkEnd w:id="27"/>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根据财政部《关于推动解决政府采购异常低价问题的通知》（财库〔2026〕2号）规定，实施政府采购异常低价审查：</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（1）评审过程中出现下列情形之一的，评审委员会应当启动异常低价投标（响应）审查程序：</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③投标（响应）报价低于采购项目最高限价45%的，即投标（响应）报价〈采购项目最高限价×45%；</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④评审委员会基于专业判断，认为供应商报价过低，有可能影响产品质量或者不能诚信履约的其他情形。</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1223"/>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其中，属于第③项情形，供应商已随投标（响应）文件一并提交相关书面说明及必要的证明材料的，在评审现场可不再重复提交。</w:t>
      </w:r>
      <w:r/>
    </w:p>
    <w:p>
      <w:pPr>
        <w:pStyle w:val="1223"/>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223"/>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应随时保持系统在线，如因</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自身原因未在规定时间内提交澄清确认资料的，导致的不利后果由</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自行承担。</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223"/>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rPr>
          <w:rFonts w:hint="eastAsia" w:ascii="宋体" w:hAnsi="宋体" w:cs="宋体"/>
          <w:color w:val="auto"/>
          <w:sz w:val="21"/>
          <w:szCs w:val="21"/>
          <w:highlight w:val="none"/>
          <w:lang w:eastAsia="zh-CN"/>
        </w:rPr>
        <w:t xml:space="preserve">：</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223"/>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）法律、法规和招标文件规定的其他无效情形。</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或者对招标文件作实质投标的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.1.4因重大变故，采购任务取消的；</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223"/>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8" w:name="_Toc18442"/>
      <w:r/>
      <w:bookmarkStart w:id="29" w:name="_Toc19501"/>
      <w:r/>
      <w:r/>
    </w:p>
    <w:p>
      <w:pPr>
        <w:pStyle w:val="1223"/>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8"/>
      <w:r/>
      <w:bookmarkEnd w:id="29"/>
      <w:r/>
      <w:r/>
    </w:p>
    <w:p>
      <w:pPr>
        <w:pStyle w:val="1223"/>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2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223"/>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223"/>
        <w:ind w:left="0"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223"/>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3"/>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30" w:name="_Toc8186"/>
      <w:r/>
      <w:bookmarkStart w:id="31" w:name="_Toc21029"/>
      <w:r/>
      <w:r/>
    </w:p>
    <w:p>
      <w:pPr>
        <w:pStyle w:val="1223"/>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30"/>
      <w:r/>
      <w:bookmarkEnd w:id="31"/>
      <w:r/>
      <w:r/>
    </w:p>
    <w:p>
      <w:pPr>
        <w:pStyle w:val="122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35.1</w:t>
      </w:r>
      <w:r>
        <w:rPr>
          <w:rFonts w:hint="eastAsia" w:ascii="宋体" w:hAnsi="宋体" w:eastAsia="宋体" w:cs="宋体"/>
          <w:bCs/>
          <w:color w:val="auto"/>
          <w:sz w:val="21"/>
          <w:szCs w:val="21"/>
          <w:highlight w:val="none"/>
          <w:lang w:val="en-US" w:eastAsia="zh-CN" w:bidi="ar"/>
        </w:rPr>
        <w:t xml:space="preserve">因本次项目预算中已包含中标服务费，故本项目中标服务费由中标单位支付。本项目中标服务费为¥</w:t>
      </w:r>
      <w:r>
        <w:rPr>
          <w:rFonts w:hint="eastAsia" w:ascii="宋体" w:hAnsi="宋体" w:cs="宋体"/>
          <w:bCs/>
          <w:color w:val="auto"/>
          <w:sz w:val="21"/>
          <w:szCs w:val="21"/>
          <w:highlight w:val="none"/>
          <w:lang w:val="en-US" w:eastAsia="zh-CN" w:bidi="ar"/>
        </w:rPr>
        <w:t xml:space="preserve">21010.40</w:t>
      </w:r>
      <w:r>
        <w:rPr>
          <w:rFonts w:hint="eastAsia" w:ascii="宋体" w:hAnsi="宋体" w:eastAsia="宋体" w:cs="宋体"/>
          <w:bCs/>
          <w:color w:val="auto"/>
          <w:sz w:val="21"/>
          <w:szCs w:val="21"/>
          <w:highlight w:val="none"/>
          <w:lang w:val="en-US" w:eastAsia="zh-CN" w:bidi="ar"/>
        </w:rPr>
        <w:t xml:space="preserve">。</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35.2</w:t>
      </w:r>
      <w:r>
        <w:rPr>
          <w:rFonts w:hint="eastAsia" w:ascii="宋体" w:hAnsi="宋体" w:eastAsia="宋体" w:cs="宋体"/>
          <w:bCs/>
          <w:color w:val="auto"/>
          <w:sz w:val="21"/>
          <w:szCs w:val="21"/>
          <w:highlight w:val="none"/>
          <w:lang w:val="en-US" w:eastAsia="zh-CN" w:bidi="ar"/>
        </w:rPr>
        <w:t xml:space="preserve">中标服务费账户名：苏州捷信招投标咨询有限公司，账号：543058195260，开户银行：中国银行苏州南园支行</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请中标单位将公司开票信息以Word文档格式发送至邮箱：szjiexin2011@163.com。中标供应商凭已缴纳代理服务费的银行回单至代理机构领取成交通知书、合同。</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35.3</w:t>
      </w:r>
      <w:r>
        <w:rPr>
          <w:rFonts w:hint="eastAsia" w:ascii="宋体" w:hAnsi="宋体" w:eastAsia="宋体" w:cs="宋体"/>
          <w:bCs/>
          <w:color w:val="auto"/>
          <w:sz w:val="21"/>
          <w:szCs w:val="21"/>
          <w:highlight w:val="none"/>
          <w:lang w:val="en-US" w:eastAsia="zh-CN" w:bidi="ar"/>
        </w:rPr>
        <w:t xml:space="preserve">本项目专家评审费用由招标单位支付。</w:t>
      </w:r>
      <w:r/>
    </w:p>
    <w:p>
      <w:pPr>
        <w:ind w:left="0" w:right="0" w:firstLine="518"/>
        <w:jc w:val="both"/>
        <w:keepLines w:val="0"/>
        <w:keepNext w:val="0"/>
        <w:spacing w:before="0" w:beforeAutospacing="0" w:after="0" w:afterAutospacing="0" w:line="360" w:lineRule="auto"/>
        <w:widowControl w:val="off"/>
        <w:rPr>
          <w:rFonts w:hint="eastAsia" w:ascii="宋体" w:hAnsi="宋体" w:cs="宋体"/>
          <w:b/>
          <w:color w:val="auto"/>
          <w:sz w:val="21"/>
          <w:szCs w:val="21"/>
          <w:highlight w:val="none"/>
          <w:lang w:val="en-US"/>
        </w:rPr>
        <w:suppressLineNumbers w:val="0"/>
      </w:pPr>
      <w:r>
        <w:rPr>
          <w:rFonts w:hint="eastAsia" w:ascii="宋体" w:hAnsi="宋体" w:cs="宋体"/>
          <w:bCs/>
          <w:color w:val="auto"/>
          <w:sz w:val="21"/>
          <w:szCs w:val="21"/>
          <w:highlight w:val="none"/>
          <w:lang w:val="en-US" w:eastAsia="zh-CN" w:bidi="ar"/>
        </w:rPr>
        <w:t xml:space="preserve">35.4</w:t>
      </w:r>
      <w:r>
        <w:rPr>
          <w:rFonts w:hint="eastAsia" w:ascii="宋体" w:hAnsi="宋体" w:eastAsia="宋体" w:cs="宋体"/>
          <w:bCs/>
          <w:color w:val="auto"/>
          <w:sz w:val="21"/>
          <w:szCs w:val="21"/>
          <w:highlight w:val="none"/>
          <w:lang w:val="en-US" w:eastAsia="zh-CN" w:bidi="ar"/>
        </w:rPr>
        <w:t xml:space="preserve">中标人如果未按上述规定缴纳中标服务费，采购代理机构将保留诉讼的权利。</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1223"/>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1223"/>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1223"/>
        <w:ind w:left="0" w:firstLine="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40"/>
        <w:ind w:left="0" w:firstLine="0"/>
        <w:jc w:val="center"/>
        <w:keepLines w:val="0"/>
        <w:keepNext w:val="0"/>
        <w:pageBreakBefore w:val="0"/>
        <w:spacing w:before="0" w:after="0" w:line="360" w:lineRule="auto"/>
        <w:widowControl/>
        <w:rPr>
          <w:rFonts w:ascii="宋体" w:hAnsi="宋体"/>
          <w:color w:val="auto"/>
          <w:sz w:val="21"/>
          <w:szCs w:val="21"/>
          <w:highlight w:val="none"/>
          <w:lang w:val="zh-CN"/>
        </w:rPr>
      </w:pPr>
      <w:r/>
      <w:bookmarkStart w:id="32" w:name="_Toc7264"/>
      <w:r/>
      <w:bookmarkStart w:id="33" w:name="_Toc24711"/>
      <w:r>
        <w:rPr>
          <w:rFonts w:hint="eastAsia" w:ascii="宋体" w:hAnsi="宋体"/>
          <w:b/>
          <w:color w:val="auto"/>
          <w:sz w:val="44"/>
          <w:szCs w:val="22"/>
          <w:highlight w:val="none"/>
        </w:rPr>
        <w:br w:type="page" w:clear="all"/>
      </w:r>
      <w:bookmarkStart w:id="34" w:name="_Toc1655614107"/>
      <w:r>
        <w:rPr>
          <w:rFonts w:hint="eastAsia" w:ascii="宋体" w:hAnsi="宋体"/>
          <w:b/>
          <w:color w:val="auto"/>
          <w:sz w:val="44"/>
          <w:szCs w:val="22"/>
          <w:highlight w:val="none"/>
        </w:rPr>
        <w:t xml:space="preserve">第三章  </w:t>
      </w:r>
      <w:bookmarkStart w:id="35" w:name="投标文件格式"/>
      <w:r/>
      <w:bookmarkEnd w:id="35"/>
      <w:r>
        <w:rPr>
          <w:rFonts w:hint="eastAsia" w:ascii="宋体" w:hAnsi="宋体"/>
          <w:b/>
          <w:color w:val="auto"/>
          <w:sz w:val="44"/>
          <w:szCs w:val="22"/>
          <w:highlight w:val="none"/>
        </w:rPr>
        <w:t xml:space="preserve">投标文件格式</w:t>
      </w:r>
      <w:bookmarkEnd w:id="32"/>
      <w:r/>
      <w:bookmarkEnd w:id="33"/>
      <w:r/>
      <w:bookmarkEnd w:id="34"/>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23"/>
        <w:ind w:left="0" w:firstLine="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spacing w:line="360" w:lineRule="auto"/>
        <w:rPr>
          <w:rFonts w:ascii="宋体" w:hAnsi="宋体"/>
          <w:b/>
          <w:color w:val="auto"/>
          <w:sz w:val="21"/>
          <w:szCs w:val="21"/>
          <w:highlight w:val="none"/>
        </w:rPr>
        <w:outlineLvl w:val="0"/>
      </w:pPr>
      <w:r/>
      <w:bookmarkStart w:id="36" w:name="_Toc17036"/>
      <w:r/>
      <w:bookmarkStart w:id="37" w:name="_Toc105397779"/>
      <w:r/>
      <w:bookmarkStart w:id="38" w:name="_Toc960682170"/>
      <w:r/>
      <w:bookmarkStart w:id="39" w:name="_Toc71810480"/>
      <w:r/>
      <w:bookmarkStart w:id="40" w:name="_Toc3821"/>
      <w:r>
        <w:rPr>
          <w:rFonts w:hint="eastAsia" w:ascii="宋体" w:hAnsi="宋体"/>
          <w:b/>
          <w:color w:val="auto"/>
          <w:sz w:val="21"/>
          <w:szCs w:val="21"/>
          <w:highlight w:val="none"/>
        </w:rPr>
        <w:t xml:space="preserve">附件1.投标函</w:t>
      </w:r>
      <w:bookmarkEnd w:id="36"/>
      <w:r/>
      <w:bookmarkEnd w:id="37"/>
      <w:r/>
      <w:bookmarkEnd w:id="38"/>
      <w:r/>
      <w:bookmarkEnd w:id="39"/>
      <w:r/>
      <w:bookmarkEnd w:id="40"/>
      <w:r/>
      <w:r/>
    </w:p>
    <w:p>
      <w:pPr>
        <w:ind w:left="0" w:firstLine="0"/>
        <w:jc w:val="center"/>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firstLine="0"/>
        <w:keepLines w:val="0"/>
        <w:keepNext w:val="0"/>
        <w:pageBreakBefore w:val="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苏州捷信招投标咨询有限公司</w:t>
      </w:r>
      <w:r/>
    </w:p>
    <w:p>
      <w:pPr>
        <w:pStyle w:val="899"/>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我方全面研究了</w:t>
      </w:r>
      <w:r>
        <w:rPr>
          <w:rFonts w:hint="default" w:ascii="宋体" w:hAnsi="宋体" w:eastAsia="宋体" w:cs="宋体"/>
          <w:b w:val="0"/>
          <w:bCs w:val="0"/>
          <w:color w:val="auto"/>
          <w:sz w:val="21"/>
          <w:szCs w:val="21"/>
          <w:highlight w:val="none"/>
          <w:u w:val="singl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项目招标文件，决定参加贵单位组织项目编号为</w:t>
      </w:r>
      <w:r>
        <w:rPr>
          <w:rFonts w:hint="default" w:ascii="宋体" w:hAnsi="宋体" w:eastAsia="宋体" w:cs="宋体"/>
          <w:b w:val="0"/>
          <w:bCs w:val="0"/>
          <w:color w:val="auto"/>
          <w:sz w:val="21"/>
          <w:szCs w:val="21"/>
          <w:highlight w:val="none"/>
          <w:u w:val="singl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号投标。</w:t>
      </w:r>
      <w:r/>
    </w:p>
    <w:p>
      <w:pPr>
        <w:pStyle w:val="899"/>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rPr>
          <w:rFonts w:hint="default" w:ascii="Courier New" w:hAnsi="Courier New" w:eastAsia="宋体" w:cs="Courier New"/>
          <w:b w:val="0"/>
          <w:bCs w:val="0"/>
          <w:color w:val="auto"/>
          <w:sz w:val="21"/>
          <w:szCs w:val="21"/>
          <w:highlight w:val="none"/>
          <w:lang w:val="en-US" w:eastAsia="zh-CN" w:bidi="ar"/>
        </w:rPr>
        <w:t xml:space="preserve">我方自愿按照招标文件规定的各项要求向采购人提供所需服务。</w:t>
      </w:r>
      <w:r/>
    </w:p>
    <w:p>
      <w:pPr>
        <w:pStyle w:val="899"/>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rPr>
          <w:rFonts w:hint="default" w:ascii="Courier New" w:hAnsi="Courier New" w:eastAsia="宋体" w:cs="Courier New"/>
          <w:b w:val="0"/>
          <w:bCs w:val="0"/>
          <w:color w:val="auto"/>
          <w:sz w:val="21"/>
          <w:szCs w:val="21"/>
          <w:highlight w:val="none"/>
          <w:lang w:val="en-US" w:eastAsia="zh-CN" w:bidi="ar"/>
        </w:rPr>
        <w:t xml:space="preserve">一旦我方中标，我们将严格履行招标文件中规定的每一项要求，按期、按质、按量履行合同的义务。</w:t>
      </w:r>
      <w:r/>
    </w:p>
    <w:p>
      <w:pPr>
        <w:pStyle w:val="1406"/>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default" w:ascii="Courier New" w:hAnsi="Courier New" w:cs="Courier New"/>
          <w:color w:val="auto"/>
          <w:sz w:val="21"/>
          <w:szCs w:val="21"/>
          <w:highlight w:val="none"/>
        </w:rPr>
        <w:t xml:space="preserve">我们已详细审查全部招标文件，包括更正文件（如有），对招标文件及更正公告（如有）无任何异议。我们完全理解并同意放弃对这方面有不明及误解的权力。</w:t>
      </w:r>
      <w:r/>
    </w:p>
    <w:p>
      <w:pPr>
        <w:pStyle w:val="1406"/>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default" w:ascii="Courier New" w:hAnsi="Courier New" w:cs="Courier New"/>
          <w:color w:val="auto"/>
          <w:sz w:val="21"/>
          <w:szCs w:val="21"/>
          <w:highlight w:val="none"/>
        </w:rPr>
        <w:t xml:space="preserve">我们同意按招标文件中的规定，本投标书的有效期限为自投标截止之日起</w:t>
      </w:r>
      <w:r>
        <w:rPr>
          <w:rFonts w:hint="default" w:ascii="宋体" w:hAnsi="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90 </w:t>
      </w:r>
      <w:r>
        <w:rPr>
          <w:rFonts w:hint="default" w:ascii="Courier New" w:hAnsi="Courier New" w:cs="Courier New"/>
          <w:color w:val="auto"/>
          <w:sz w:val="21"/>
          <w:szCs w:val="21"/>
          <w:highlight w:val="none"/>
        </w:rPr>
        <w:t xml:space="preserve">天。</w:t>
      </w:r>
      <w:r/>
    </w:p>
    <w:p>
      <w:pPr>
        <w:pStyle w:val="1406"/>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default" w:ascii="Courier New" w:hAnsi="Courier New" w:cs="Courier New"/>
          <w:color w:val="auto"/>
          <w:sz w:val="21"/>
          <w:szCs w:val="21"/>
          <w:highlight w:val="none"/>
        </w:rPr>
        <w:t xml:space="preserve">我们愿意提供招标采购单位在招标文件中要求的所有资料。</w:t>
      </w:r>
      <w:r/>
    </w:p>
    <w:p>
      <w:pPr>
        <w:pStyle w:val="1406"/>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default" w:ascii="Courier New" w:hAnsi="Courier New" w:cs="Courier New"/>
          <w:color w:val="auto"/>
          <w:sz w:val="21"/>
          <w:szCs w:val="21"/>
          <w:highlight w:val="none"/>
        </w:rPr>
        <w:t xml:space="preserve">我们愿意遵守招标公告及招标文件中所列的收费标准。</w:t>
      </w:r>
      <w:r/>
    </w:p>
    <w:p>
      <w:pPr>
        <w:pStyle w:val="1406"/>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default" w:ascii="Courier New" w:hAnsi="Courier New" w:cs="Courier New"/>
          <w:color w:val="auto"/>
          <w:sz w:val="21"/>
          <w:szCs w:val="21"/>
          <w:highlight w:val="none"/>
        </w:rPr>
        <w:t xml:space="preserve">我们承诺该项投标在开标后的全过程中保持有效，不作任何更改和变动。</w:t>
      </w:r>
      <w:r/>
    </w:p>
    <w:p>
      <w:pPr>
        <w:pStyle w:val="899"/>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8.</w:t>
      </w:r>
      <w:r>
        <w:rPr>
          <w:rFonts w:hint="default" w:ascii="Courier New" w:hAnsi="Courier New" w:eastAsia="宋体" w:cs="Courier New"/>
          <w:b w:val="0"/>
          <w:bCs w:val="0"/>
          <w:color w:val="auto"/>
          <w:sz w:val="21"/>
          <w:szCs w:val="21"/>
          <w:highlight w:val="none"/>
          <w:lang w:val="en-US" w:eastAsia="zh-CN" w:bidi="ar"/>
        </w:rPr>
        <w:t xml:space="preserve">我方愿意提供贵单位可能另外要求的，与投标有关的文件资料，并保证我方已提供和将要提供的文件资料是真实、准确的。</w:t>
      </w:r>
      <w:r/>
    </w:p>
    <w:p>
      <w:pPr>
        <w:pStyle w:val="1406"/>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default" w:ascii="Courier New" w:hAnsi="Courier New" w:cs="Courier New"/>
          <w:color w:val="auto"/>
          <w:sz w:val="21"/>
          <w:szCs w:val="21"/>
          <w:highlight w:val="none"/>
        </w:rPr>
        <w:t xml:space="preserve">供应商与其他单位存在控股、管理关系情况表</w:t>
      </w:r>
      <w:r/>
    </w:p>
    <w:tbl>
      <w:tblPr>
        <w:tblStyle w:val="850"/>
        <w:tblW w:w="4998" w:type="pct"/>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59"/>
        <w:gridCol w:w="4199"/>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供应商与其他单位存在控股、管理关系的单位名称</w:t>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控股、管理关系情况说明</w:t>
            </w:r>
            <w:r/>
          </w:p>
        </w:tc>
      </w:tr>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bl>
    <w:p>
      <w:pPr>
        <w:pStyle w:val="899"/>
        <w:ind w:left="0" w:right="0" w:firstLine="420"/>
        <w:jc w:val="both"/>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 </w:t>
      </w:r>
      <w:r/>
    </w:p>
    <w:p>
      <w:pPr>
        <w:pStyle w:val="899"/>
        <w:ind w:left="0" w:right="0" w:firstLine="420"/>
        <w:jc w:val="both"/>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Courier New" w:hAnsi="Courier New" w:eastAsia="宋体" w:cs="Courier New"/>
          <w:color w:val="auto"/>
          <w:sz w:val="21"/>
          <w:szCs w:val="21"/>
          <w:highlight w:val="none"/>
          <w:lang w:val="en-US" w:eastAsia="zh-CN" w:bidi="ar"/>
        </w:rPr>
        <w:t xml:space="preserve">所有有关招标文件的函电，请按下列地址联系：</w:t>
      </w:r>
      <w:r/>
    </w:p>
    <w:p>
      <w:pPr>
        <w:pStyle w:val="899"/>
        <w:ind w:left="480" w:right="0" w:firstLine="527"/>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eastAsia" w:ascii="Courier New" w:hAnsi="Courier New" w:cs="Courier New"/>
          <w:b/>
          <w:bCs/>
          <w:color w:val="auto"/>
          <w:sz w:val="21"/>
          <w:szCs w:val="21"/>
          <w:highlight w:val="none"/>
          <w:lang w:val="en-US" w:eastAsia="zh-CN" w:bidi="ar"/>
        </w:rPr>
        <w:t xml:space="preserve">投标</w:t>
      </w:r>
      <w:r>
        <w:rPr>
          <w:rFonts w:hint="default" w:ascii="Courier New" w:hAnsi="Courier New" w:eastAsia="宋体" w:cs="Courier New"/>
          <w:b/>
          <w:bCs/>
          <w:color w:val="auto"/>
          <w:sz w:val="21"/>
          <w:szCs w:val="21"/>
          <w:highlight w:val="none"/>
          <w:lang w:val="en-US" w:eastAsia="zh-CN" w:bidi="ar"/>
        </w:rPr>
        <w:t xml:space="preserve">单位名称（加盖</w:t>
      </w:r>
      <w:r>
        <w:rPr>
          <w:rFonts w:hint="eastAsia" w:ascii="宋体" w:hAnsi="宋体" w:eastAsia="宋体" w:cs="宋体"/>
          <w:b/>
          <w:bCs/>
          <w:color w:val="auto"/>
          <w:sz w:val="21"/>
          <w:szCs w:val="21"/>
          <w:highlight w:val="none"/>
          <w:lang w:val="en-US" w:eastAsia="zh-CN" w:bidi="ar"/>
        </w:rPr>
        <w:t xml:space="preserve">CA</w:t>
      </w:r>
      <w:r>
        <w:rPr>
          <w:rFonts w:hint="default" w:ascii="Courier New" w:hAnsi="Courier New" w:eastAsia="宋体" w:cs="Courier New"/>
          <w:b/>
          <w:bCs/>
          <w:color w:val="auto"/>
          <w:sz w:val="21"/>
          <w:szCs w:val="21"/>
          <w:highlight w:val="none"/>
          <w:lang w:val="en-US" w:eastAsia="zh-CN" w:bidi="ar"/>
        </w:rPr>
        <w:t xml:space="preserve">电子公章）</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联系人：</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地址：</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邮政编码：</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联系电话：</w:t>
      </w:r>
      <w:r>
        <w:rPr>
          <w:rFonts w:hint="default" w:ascii="宋体" w:hAnsi="宋体" w:eastAsia="宋体" w:cs="宋体"/>
          <w:b w:val="0"/>
          <w:bCs w:val="0"/>
          <w:color w:val="auto"/>
          <w:sz w:val="21"/>
          <w:szCs w:val="21"/>
          <w:highlight w:val="none"/>
          <w:lang w:val="en-US" w:eastAsia="zh-CN" w:bidi="ar"/>
        </w:rPr>
        <w:t xml:space="preserve">                        </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邮箱：</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开户名称：</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开户银行：</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银行账号：</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宋体" w:hAnsi="宋体" w:eastAsia="宋体" w:cs="宋体"/>
          <w:b w:val="0"/>
          <w:bCs w:val="0"/>
          <w:color w:val="auto"/>
          <w:sz w:val="21"/>
          <w:szCs w:val="21"/>
          <w:highlight w:val="none"/>
          <w:lang w:val="en-US" w:eastAsia="zh-CN" w:bidi="ar"/>
        </w:rPr>
        <w:t xml:space="preserve"> </w:t>
      </w:r>
      <w:r/>
    </w:p>
    <w:p>
      <w:pPr>
        <w:pStyle w:val="899"/>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bCs/>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日期：</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年</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月</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日</w:t>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41" w:name="_Toc1403173044"/>
      <w:r/>
      <w:bookmarkStart w:id="42" w:name="_Toc105397780"/>
      <w:r/>
      <w:bookmarkStart w:id="43" w:name="_Toc71810481"/>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41"/>
      <w:r/>
      <w:bookmarkEnd w:id="42"/>
      <w:r/>
      <w:bookmarkEnd w:id="43"/>
      <w:r/>
      <w:r/>
    </w:p>
    <w:p>
      <w:pPr>
        <w:rPr>
          <w:rFonts w:ascii="宋体" w:hAnsi="宋体"/>
          <w:color w:val="auto"/>
          <w:sz w:val="21"/>
          <w:szCs w:val="21"/>
          <w:highlight w:val="none"/>
        </w:rPr>
      </w:pPr>
      <w:r>
        <w:rPr>
          <w:rFonts w:ascii="宋体" w:hAnsi="宋体"/>
          <w:color w:val="auto"/>
          <w:sz w:val="21"/>
          <w:szCs w:val="21"/>
          <w:highlight w:val="none"/>
        </w:rPr>
      </w:r>
      <w:r/>
    </w:p>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851"/>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bl>
      <w:tblPr>
        <w:tblStyle w:val="850"/>
        <w:tblW w:w="9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01"/>
        <w:gridCol w:w="8359"/>
      </w:tblGrid>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项目名称</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项目编号</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投标总价</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人民币大写：              元（小写：      元）</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合同履行期限</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是否小微企业： □小型       □微型    □否</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是否残疾人或监狱企业：□小型       □微型     □否</w:t>
            </w:r>
            <w:r/>
          </w:p>
        </w:tc>
      </w:tr>
    </w:tbl>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851"/>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left="0"/>
        <w:jc w:val="left"/>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投标单位名称（加盖CA电子公章）</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w:t>
      </w:r>
      <w:bookmarkStart w:id="44" w:name="NF"/>
      <w:r/>
      <w:bookmarkEnd w:id="44"/>
      <w:r>
        <w:rPr>
          <w:rFonts w:hint="eastAsia" w:ascii="宋体" w:hAnsi="宋体"/>
          <w:color w:val="auto"/>
          <w:sz w:val="21"/>
          <w:szCs w:val="21"/>
          <w:highlight w:val="none"/>
        </w:rPr>
        <w:t xml:space="preserve"> 年 </w:t>
      </w:r>
      <w:bookmarkStart w:id="45" w:name="YF"/>
      <w:r/>
      <w:bookmarkEnd w:id="45"/>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bookmarkStart w:id="46" w:name="RI"/>
      <w:r/>
      <w:bookmarkEnd w:id="46"/>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spacing w:line="440" w:lineRule="exact"/>
        <w:rPr>
          <w:rFonts w:ascii="宋体" w:hAnsi="宋体"/>
          <w:b/>
          <w:color w:val="auto"/>
          <w:sz w:val="21"/>
          <w:szCs w:val="21"/>
          <w:highlight w:val="none"/>
        </w:rPr>
      </w:pPr>
      <w:r/>
      <w:bookmarkStart w:id="47" w:name="_Toc241"/>
      <w:r/>
      <w:bookmarkStart w:id="48" w:name="_Toc7945"/>
      <w:r/>
      <w:bookmarkStart w:id="49" w:name="_Toc71810482"/>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865"/>
        <w:rPr>
          <w:color w:val="auto"/>
          <w:highlight w:val="none"/>
        </w:rPr>
      </w:pPr>
      <w:r>
        <w:rPr>
          <w:color w:val="auto"/>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851"/>
        <w:rPr>
          <w:color w:val="auto"/>
          <w:highlight w:val="none"/>
        </w:rPr>
      </w:pPr>
      <w:r>
        <w:rPr>
          <w:color w:val="auto"/>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851"/>
        <w:rPr>
          <w:rFonts w:ascii="宋体" w:hAnsi="宋体"/>
          <w:b/>
          <w:color w:val="auto"/>
          <w:sz w:val="21"/>
          <w:szCs w:val="21"/>
          <w:highlight w:val="none"/>
        </w:rPr>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pStyle w:val="851"/>
        <w:rPr>
          <w:color w:val="auto"/>
          <w:highlight w:val="none"/>
        </w:rPr>
      </w:pPr>
      <w:r>
        <w:rPr>
          <w:color w:val="auto"/>
          <w:highlight w:val="none"/>
        </w:rPr>
      </w:r>
      <w:r/>
    </w:p>
    <w:p>
      <w:pPr>
        <w:ind w:left="0"/>
        <w:rPr>
          <w:rFonts w:ascii="宋体" w:hAnsi="宋体"/>
          <w:b/>
          <w:color w:val="auto"/>
          <w:sz w:val="21"/>
          <w:szCs w:val="21"/>
          <w:highlight w:val="none"/>
        </w:rPr>
        <w:outlineLvl w:val="0"/>
      </w:pPr>
      <w:r/>
      <w:bookmarkStart w:id="50" w:name="_Toc105397781"/>
      <w:r/>
      <w:bookmarkStart w:id="51" w:name="_Toc1611422801"/>
      <w:r>
        <w:rPr>
          <w:rFonts w:ascii="宋体" w:hAnsi="宋体"/>
          <w:b/>
          <w:color w:val="auto"/>
          <w:sz w:val="21"/>
          <w:szCs w:val="21"/>
          <w:highlight w:val="none"/>
        </w:rPr>
        <w:t xml:space="preserve">附件3</w:t>
      </w:r>
      <w:bookmarkEnd w:id="47"/>
      <w:r/>
      <w:bookmarkEnd w:id="48"/>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公开分项报价</w:t>
      </w:r>
      <w:bookmarkEnd w:id="49"/>
      <w:r/>
      <w:bookmarkEnd w:id="50"/>
      <w:r/>
      <w:bookmarkEnd w:id="5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公开分项报价</w:t>
      </w:r>
      <w:r/>
    </w:p>
    <w:p>
      <w:pPr>
        <w:pStyle w:val="865"/>
        <w:ind w:firstLine="0"/>
        <w:jc w:val="right"/>
        <w:rPr>
          <w:rFonts w:ascii="宋体" w:hAnsi="宋体"/>
          <w:color w:val="auto"/>
          <w:sz w:val="21"/>
          <w:szCs w:val="21"/>
          <w:highlight w:val="none"/>
        </w:rPr>
      </w:pPr>
      <w:r>
        <w:rPr>
          <w:rFonts w:hint="eastAsia" w:ascii="宋体" w:hAnsi="宋体"/>
          <w:color w:val="auto"/>
          <w:sz w:val="21"/>
          <w:szCs w:val="21"/>
          <w:highlight w:val="none"/>
        </w:rPr>
        <w:t xml:space="preserve">单位：元（人民币）</w:t>
      </w:r>
      <w:r/>
    </w:p>
    <w:tbl>
      <w:tblPr>
        <w:tblStyle w:val="850"/>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42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合计</w:t>
            </w:r>
            <w:r>
              <w:rPr>
                <w:rFonts w:hint="eastAsia" w:ascii="宋体" w:hAnsi="宋体" w:eastAsia="宋体" w:cs="宋体"/>
                <w:color w:val="auto"/>
                <w:sz w:val="21"/>
                <w:szCs w:val="21"/>
                <w:highlight w:val="none"/>
              </w:rPr>
              <w:t xml:space="preserve">：              元（大写：                 ）</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p>
        </w:tc>
      </w:tr>
    </w:tbl>
    <w:p>
      <w:pPr>
        <w:pStyle w:val="866"/>
        <w:ind w:left="0" w:firstLine="0"/>
        <w:rPr>
          <w:color w:val="auto"/>
          <w:highlight w:val="none"/>
        </w:rPr>
      </w:pPr>
      <w:r>
        <w:rPr>
          <w:color w:val="auto"/>
          <w:highlight w:val="none"/>
        </w:rPr>
      </w:r>
      <w:r/>
    </w:p>
    <w:p>
      <w:pPr>
        <w:rPr>
          <w:color w:val="auto"/>
          <w:highlight w:val="none"/>
        </w:rPr>
      </w:pPr>
      <w:r>
        <w:rPr>
          <w:color w:val="auto"/>
          <w:highlight w:val="none"/>
        </w:rPr>
      </w:r>
      <w:r/>
    </w:p>
    <w:p>
      <w:pPr>
        <w:ind w:left="0" w:firstLine="588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投标单位名称（加盖CA电子公章）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66"/>
        <w:rPr>
          <w:color w:val="auto"/>
          <w:highlight w:val="none"/>
        </w:rPr>
      </w:pPr>
      <w:r>
        <w:rPr>
          <w:color w:val="auto"/>
          <w:highlight w:val="none"/>
        </w:rPr>
      </w:r>
      <w:r/>
    </w:p>
    <w:p>
      <w:pPr>
        <w:rPr>
          <w:color w:val="auto"/>
          <w:highlight w:val="none"/>
        </w:rPr>
      </w:pPr>
      <w:r>
        <w:rPr>
          <w:color w:val="auto"/>
          <w:highlight w:val="none"/>
        </w:rPr>
      </w:r>
      <w:r/>
    </w:p>
    <w:p>
      <w:pPr>
        <w:pStyle w:val="1407"/>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注：1.请投标单位按照上述格式分析投标总报价，本项投标总报价需与开标一览表投标总报价一致。</w:t>
      </w:r>
      <w:r/>
    </w:p>
    <w:p>
      <w:pPr>
        <w:pStyle w:val="1407"/>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总报价应包括产品供货、辅助材料、备品备件、运输、仓储、发货、送货、安装、调试、人工、机械、装卸、培训、保险、运费、各种税费、劳保、专利技术及质保、代理费（中标服务费）等完成本次项目所需的一切费用。</w:t>
      </w:r>
      <w:r/>
    </w:p>
    <w:p>
      <w:pPr>
        <w:pStyle w:val="902"/>
        <w:ind w:left="400" w:firstLine="400"/>
        <w:rPr>
          <w:color w:val="auto"/>
          <w:highlight w:val="none"/>
        </w:rPr>
      </w:pPr>
      <w:r>
        <w:rPr>
          <w:color w:val="auto"/>
          <w:highlight w:val="none"/>
        </w:rPr>
      </w:r>
      <w:r/>
    </w:p>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rPr>
          <w:rFonts w:ascii="宋体" w:hAnsi="宋体"/>
          <w:color w:val="auto"/>
          <w:sz w:val="21"/>
          <w:szCs w:val="21"/>
          <w:highlight w:val="none"/>
        </w:rPr>
        <w:outlineLvl w:val="0"/>
      </w:pPr>
      <w:r>
        <w:rPr>
          <w:rFonts w:ascii="宋体" w:hAnsi="宋体"/>
          <w:b/>
          <w:color w:val="auto"/>
          <w:sz w:val="21"/>
          <w:szCs w:val="21"/>
          <w:highlight w:val="none"/>
        </w:rPr>
        <w:br w:type="page" w:clear="all"/>
      </w:r>
      <w:bookmarkStart w:id="52" w:name="_Toc105397782"/>
      <w:r/>
      <w:bookmarkStart w:id="53" w:name="_Toc71810483"/>
      <w:r/>
      <w:bookmarkStart w:id="54" w:name="_Toc1266744090"/>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52"/>
      <w:r/>
      <w:bookmarkEnd w:id="53"/>
      <w:r/>
      <w:bookmarkEnd w:id="54"/>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65"/>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55" w:name="_Toc15044272"/>
      <w:r/>
      <w:bookmarkStart w:id="56" w:name="_Toc19621"/>
      <w:r/>
      <w:bookmarkStart w:id="57" w:name="_Toc71810484"/>
      <w:r/>
      <w:bookmarkStart w:id="58" w:name="_Toc105397783"/>
      <w:r/>
      <w:bookmarkStart w:id="59" w:name="_Toc21574"/>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55"/>
      <w:r/>
      <w:bookmarkEnd w:id="56"/>
      <w:r/>
      <w:bookmarkEnd w:id="57"/>
      <w:r/>
      <w:bookmarkEnd w:id="58"/>
      <w:r/>
      <w:bookmarkEnd w:id="59"/>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中小企业声明函（货物）</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苏州捷信招投标咨询有限公司</w:t>
      </w:r>
      <w:r>
        <w:rPr>
          <w:rFonts w:hint="eastAsia" w:ascii="宋体" w:hAnsi="宋体"/>
          <w:color w:val="auto"/>
          <w:sz w:val="21"/>
          <w:szCs w:val="21"/>
          <w:highlight w:val="none"/>
          <w:u w:val="single"/>
        </w:rPr>
        <w:t xml:space="preserve">：</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lang w:eastAsia="zh-CN"/>
        </w:rPr>
        <w:t xml:space="preserve">苏州工业职业技术学院</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lang w:eastAsia="zh-CN"/>
        </w:rPr>
        <w:t xml:space="preserve">苏州工业职业技术学院鸿蒙创新开发实训室</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11"/>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pStyle w:val="865"/>
        <w:rPr>
          <w:color w:val="auto"/>
          <w:highlight w:val="none"/>
        </w:rPr>
      </w:pPr>
      <w:r>
        <w:rPr>
          <w:color w:val="auto"/>
          <w:highlight w:val="none"/>
        </w:rPr>
      </w:r>
      <w:r/>
    </w:p>
    <w:p>
      <w:pPr>
        <w:ind w:firstLine="441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right="2500" w:firstLine="441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60"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lang w:val="zh-CN"/>
        </w:rPr>
      </w:pPr>
      <w:r>
        <w:rPr>
          <w:rFonts w:ascii="宋体" w:hAnsi="宋体" w:cs="Times New Roman"/>
          <w:color w:val="auto"/>
          <w:highlight w:val="none"/>
          <w:lang w:val="zh-CN"/>
        </w:rPr>
      </w:r>
      <w:r/>
    </w:p>
    <w:p>
      <w:pPr>
        <w:pStyle w:val="865"/>
        <w:rPr>
          <w:rFonts w:ascii="宋体" w:hAnsi="宋体"/>
          <w:color w:val="auto"/>
          <w:highlight w:val="none"/>
          <w:lang w:val="zh-CN"/>
        </w:rPr>
      </w:pPr>
      <w:r>
        <w:rPr>
          <w:rFonts w:ascii="宋体" w:hAnsi="宋体"/>
          <w:color w:val="auto"/>
          <w:highlight w:val="none"/>
          <w:lang w:val="zh-CN"/>
        </w:rPr>
      </w:r>
      <w:r/>
    </w:p>
    <w:p>
      <w:pPr>
        <w:rPr>
          <w:color w:val="auto"/>
          <w:highlight w:val="none"/>
          <w:lang w:val="zh-CN"/>
        </w:rPr>
      </w:pPr>
      <w:r>
        <w:rPr>
          <w:color w:val="auto"/>
          <w:highlight w:val="none"/>
          <w:lang w:val="zh-CN"/>
        </w:rPr>
      </w:r>
      <w:r/>
    </w:p>
    <w:p>
      <w:pPr>
        <w:ind w:left="0"/>
        <w:jc w:val="left"/>
        <w:rPr>
          <w:rFonts w:ascii="宋体" w:hAnsi="宋体"/>
          <w:b/>
          <w:bCs/>
          <w:color w:val="auto"/>
          <w:sz w:val="21"/>
          <w:szCs w:val="21"/>
          <w:highlight w:val="none"/>
        </w:rPr>
        <w:outlineLvl w:val="0"/>
      </w:pPr>
      <w:r/>
      <w:bookmarkStart w:id="61" w:name="_Toc105397784"/>
      <w:r/>
      <w:bookmarkStart w:id="62" w:name="_Toc1593492805"/>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60"/>
      <w:r/>
      <w:bookmarkEnd w:id="61"/>
      <w:r/>
      <w:bookmarkEnd w:id="62"/>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63" w:name="_Toc32206"/>
      <w:r/>
      <w:bookmarkStart w:id="64" w:name="_Toc15378"/>
      <w:r/>
      <w:bookmarkStart w:id="65" w:name="_Toc3869"/>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63"/>
      <w:r/>
      <w:bookmarkEnd w:id="64"/>
      <w:r/>
      <w:bookmarkEnd w:id="65"/>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40"/>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pStyle w:val="902"/>
        <w:ind w:left="0" w:firstLine="0"/>
        <w:rPr>
          <w:rFonts w:ascii="宋体" w:hAnsi="宋体" w:cs="Arial"/>
          <w:b/>
          <w:color w:val="auto"/>
          <w:highlight w:val="none"/>
          <w:shd w:val="clear" w:color="auto" w:fill="ffffff"/>
        </w:rPr>
      </w:pPr>
      <w:r>
        <w:rPr>
          <w:rFonts w:hint="eastAsia" w:ascii="宋体" w:hAnsi="宋体"/>
          <w:b/>
          <w:color w:val="auto"/>
          <w:highlight w:val="none"/>
          <w:lang w:val="zh-CN"/>
        </w:rPr>
        <w:t xml:space="preserve">备注：1.</w:t>
      </w:r>
      <w:r>
        <w:rPr>
          <w:rFonts w:hint="eastAsia" w:ascii="宋体" w:hAnsi="宋体" w:cs="Arial"/>
          <w:b/>
          <w:color w:val="auto"/>
          <w:highlight w:val="none"/>
          <w:shd w:val="clear" w:color="auto" w:fill="ffffff"/>
        </w:rPr>
        <w:t xml:space="preserve">享受政府采购支持政策的残疾人福利性单位应当同时满足以下条件：</w:t>
      </w:r>
      <w:r/>
    </w:p>
    <w:p>
      <w:pPr>
        <w:pStyle w:val="902"/>
        <w:ind w:left="0" w:firstLine="400"/>
        <w:rPr>
          <w:rFonts w:ascii="宋体" w:hAnsi="宋体" w:cs="Arial"/>
          <w:color w:val="auto"/>
          <w:highlight w:val="none"/>
          <w:shd w:val="clear" w:color="auto" w:fill="ffffff"/>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1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①</w:t>
      </w:r>
      <w:r>
        <w:rPr>
          <w:rFonts w:hint="eastAsia" w:ascii="宋体" w:hAnsi="宋体"/>
          <w:color w:val="auto"/>
          <w:highlight w:val="none"/>
          <w:lang w:val="zh-CN"/>
        </w:rPr>
        <w:fldChar w:fldCharType="end"/>
      </w:r>
      <w:r>
        <w:rPr>
          <w:rFonts w:hint="eastAsia" w:ascii="宋体" w:hAnsi="宋体"/>
          <w:color w:val="auto"/>
          <w:highlight w:val="none"/>
          <w:lang w:val="zh-CN"/>
        </w:rPr>
        <w:t xml:space="preserve">安置的残疾人占本单位在职职工人数的比例不低于25%（含25%），并且安置的残疾人人数不少于10人（含10人）；</w:t>
      </w:r>
      <w:r/>
    </w:p>
    <w:p>
      <w:pPr>
        <w:pStyle w:val="902"/>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2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②</w:t>
      </w:r>
      <w:r>
        <w:rPr>
          <w:rFonts w:hint="eastAsia" w:ascii="宋体" w:hAnsi="宋体"/>
          <w:color w:val="auto"/>
          <w:highlight w:val="none"/>
          <w:lang w:val="zh-CN"/>
        </w:rPr>
        <w:fldChar w:fldCharType="end"/>
      </w:r>
      <w:r>
        <w:rPr>
          <w:rFonts w:hint="eastAsia" w:ascii="宋体" w:hAnsi="宋体"/>
          <w:color w:val="auto"/>
          <w:highlight w:val="none"/>
          <w:lang w:val="zh-CN"/>
        </w:rPr>
        <w:t xml:space="preserve">依法与安置的每位残疾人签订了一年以上（含一年）的劳动合同或服务协议；</w:t>
      </w:r>
      <w:r/>
    </w:p>
    <w:p>
      <w:pPr>
        <w:pStyle w:val="902"/>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3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③</w:t>
      </w:r>
      <w:r>
        <w:rPr>
          <w:rFonts w:hint="eastAsia" w:ascii="宋体" w:hAnsi="宋体"/>
          <w:color w:val="auto"/>
          <w:highlight w:val="none"/>
          <w:lang w:val="zh-CN"/>
        </w:rPr>
        <w:fldChar w:fldCharType="end"/>
      </w:r>
      <w:r>
        <w:rPr>
          <w:rFonts w:hint="eastAsia" w:ascii="宋体" w:hAnsi="宋体"/>
          <w:color w:val="auto"/>
          <w:highlight w:val="none"/>
          <w:lang w:val="zh-CN"/>
        </w:rPr>
        <w:t xml:space="preserve">为安置的每位残疾人按月足额缴纳了基本养老保险、基本医疗保险、失业保险、工伤保险和生育保险等社会保险费；</w:t>
      </w:r>
      <w:r/>
    </w:p>
    <w:p>
      <w:pPr>
        <w:pStyle w:val="902"/>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4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④</w:t>
      </w:r>
      <w:r>
        <w:rPr>
          <w:rFonts w:hint="eastAsia" w:ascii="宋体" w:hAnsi="宋体"/>
          <w:color w:val="auto"/>
          <w:highlight w:val="none"/>
          <w:lang w:val="zh-CN"/>
        </w:rPr>
        <w:fldChar w:fldCharType="end"/>
      </w:r>
      <w:r>
        <w:rPr>
          <w:rFonts w:hint="eastAsia" w:ascii="宋体" w:hAnsi="宋体"/>
          <w:color w:val="auto"/>
          <w:highlight w:val="none"/>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5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⑤</w:t>
      </w:r>
      <w:r>
        <w:rPr>
          <w:rFonts w:hint="eastAsia" w:ascii="宋体" w:hAnsi="宋体"/>
          <w:color w:val="auto"/>
          <w:highlight w:val="none"/>
          <w:lang w:val="zh-CN"/>
        </w:rPr>
        <w:fldChar w:fldCharType="end"/>
      </w:r>
      <w:r>
        <w:rPr>
          <w:rFonts w:hint="eastAsia" w:ascii="宋体" w:hAnsi="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ascii="宋体" w:hAnsi="宋体"/>
          <w:color w:val="auto"/>
          <w:highlight w:val="none"/>
          <w:lang w:val="zh-CN"/>
        </w:rPr>
      </w:pPr>
      <w:r>
        <w:rPr>
          <w:rFonts w:hint="eastAsia" w:ascii="宋体" w:hAnsi="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ascii="宋体" w:hAnsi="宋体"/>
          <w:b/>
          <w:color w:val="auto"/>
          <w:highlight w:val="none"/>
          <w:lang w:val="zh-CN"/>
        </w:rPr>
      </w:pPr>
      <w:r>
        <w:rPr>
          <w:rFonts w:hint="eastAsia" w:ascii="宋体" w:hAnsi="宋体"/>
          <w:b/>
          <w:color w:val="auto"/>
          <w:highlight w:val="none"/>
          <w:lang w:val="zh-CN"/>
        </w:rPr>
        <w:t xml:space="preserve">2.中标单位为残疾人福利性单位的，《残疾人福利性单位声明函》将随中标结果同时公告。</w:t>
      </w:r>
      <w:r/>
    </w:p>
    <w:p>
      <w:pPr>
        <w:pStyle w:val="902"/>
        <w:ind w:left="0" w:firstLine="402"/>
        <w:rPr>
          <w:rFonts w:ascii="宋体" w:hAnsi="宋体"/>
          <w:b/>
          <w:color w:val="auto"/>
          <w:highlight w:val="none"/>
          <w:lang w:val="zh-CN"/>
        </w:rPr>
      </w:pPr>
      <w:r>
        <w:rPr>
          <w:rFonts w:hint="eastAsia" w:ascii="宋体" w:hAnsi="宋体"/>
          <w:b/>
          <w:color w:val="auto"/>
          <w:highlight w:val="none"/>
          <w:lang w:val="zh-CN"/>
        </w:rPr>
        <w:t xml:space="preserve">3.投标人提供的《残疾人福利性单位声明函》与事实不符的，依照《政府采购法》第七十七条第一款的规定追究法律责任。</w:t>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66" w:name="_Toc71810487"/>
      <w:r/>
      <w:bookmarkStart w:id="67" w:name="_Toc105397785"/>
      <w:r/>
      <w:bookmarkStart w:id="68" w:name="_Toc565011898"/>
      <w:r>
        <w:rPr>
          <w:rFonts w:ascii="宋体" w:hAnsi="宋体"/>
          <w:b/>
          <w:color w:val="auto"/>
          <w:sz w:val="21"/>
          <w:szCs w:val="21"/>
          <w:highlight w:val="none"/>
        </w:rPr>
        <w:t xml:space="preserve">附件7</w:t>
      </w:r>
      <w:r>
        <w:rPr>
          <w:rFonts w:hint="eastAsia" w:ascii="宋体" w:hAnsi="宋体"/>
          <w:b/>
          <w:color w:val="auto"/>
          <w:sz w:val="21"/>
          <w:szCs w:val="21"/>
          <w:highlight w:val="none"/>
        </w:rPr>
        <w:t xml:space="preserve">.</w:t>
      </w:r>
      <w:bookmarkEnd w:id="66"/>
      <w:r>
        <w:rPr>
          <w:rFonts w:hint="eastAsia" w:ascii="宋体" w:hAnsi="宋体"/>
          <w:color w:val="auto"/>
          <w:highlight w:val="none"/>
        </w:rPr>
        <w:t xml:space="preserve"> </w:t>
      </w:r>
      <w:bookmarkEnd w:id="67"/>
      <w:r>
        <w:rPr>
          <w:rFonts w:hint="eastAsia" w:ascii="宋体" w:hAnsi="宋体"/>
          <w:b/>
          <w:color w:val="auto"/>
          <w:sz w:val="21"/>
          <w:szCs w:val="21"/>
          <w:highlight w:val="none"/>
        </w:rPr>
        <w:t xml:space="preserve">投标货物和服务数量、品牌规格、性能、交货期说明表</w:t>
      </w:r>
      <w:bookmarkEnd w:id="68"/>
      <w:r/>
      <w:r/>
    </w:p>
    <w:p>
      <w:pPr>
        <w:ind w:left="0"/>
        <w:jc w:val="center"/>
        <w:spacing w:before="100" w:beforeAutospacing="1" w:after="100" w:afterAutospacing="1" w:line="480" w:lineRule="auto"/>
        <w:rPr>
          <w:rFonts w:ascii="宋体" w:hAnsi="宋体"/>
          <w:b/>
          <w:color w:val="auto"/>
          <w:sz w:val="21"/>
          <w:szCs w:val="21"/>
          <w:highlight w:val="none"/>
        </w:rPr>
      </w:pPr>
      <w:r/>
      <w:bookmarkStart w:id="69" w:name="_Toc27138"/>
      <w:r/>
      <w:bookmarkStart w:id="70" w:name="_Toc31973"/>
      <w:r>
        <w:rPr>
          <w:rFonts w:hint="eastAsia" w:ascii="宋体" w:hAnsi="宋体"/>
          <w:b/>
          <w:color w:val="auto"/>
          <w:sz w:val="21"/>
          <w:szCs w:val="21"/>
          <w:highlight w:val="none"/>
        </w:rPr>
        <w:t xml:space="preserve">投标货物和服务数量、品牌规格、性能、交货期说明表</w:t>
      </w:r>
      <w:r/>
    </w:p>
    <w:tbl>
      <w:tblPr>
        <w:tblStyle w:val="850"/>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bl>
    <w:p>
      <w:pPr>
        <w:ind w:left="0"/>
        <w:jc w:val="left"/>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865"/>
        <w:rPr>
          <w:rFonts w:ascii="宋体" w:hAnsi="宋体" w:cs="宋体"/>
          <w:color w:val="auto"/>
          <w:sz w:val="21"/>
          <w:szCs w:val="21"/>
          <w:highlight w:val="none"/>
        </w:rPr>
      </w:pPr>
      <w:r>
        <w:rPr>
          <w:rFonts w:ascii="宋体" w:hAnsi="宋体" w:cs="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5"/>
        <w:rPr>
          <w:rFonts w:ascii="宋体" w:hAnsi="宋体"/>
          <w:color w:val="auto"/>
          <w:highlight w:val="none"/>
        </w:rPr>
      </w:pPr>
      <w:r>
        <w:rPr>
          <w:rFonts w:ascii="宋体" w:hAnsi="宋体"/>
          <w:color w:val="auto"/>
          <w:highlight w:val="none"/>
        </w:rPr>
      </w:r>
      <w:r/>
    </w:p>
    <w:p>
      <w:pPr>
        <w:pStyle w:val="857"/>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pStyle w:val="865"/>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66"/>
        <w:rPr>
          <w:color w:val="auto"/>
          <w:highlight w:val="none"/>
        </w:rPr>
      </w:pPr>
      <w:r>
        <w:rPr>
          <w:color w:val="auto"/>
          <w:highlight w:val="none"/>
        </w:rPr>
      </w:r>
      <w:r/>
    </w:p>
    <w:p>
      <w:pPr>
        <w:rPr>
          <w:color w:val="auto"/>
          <w:highlight w:val="none"/>
        </w:rPr>
      </w:pPr>
      <w:r>
        <w:rPr>
          <w:color w:val="auto"/>
          <w:highlight w:val="none"/>
        </w:rPr>
      </w:r>
      <w:r/>
    </w:p>
    <w:p>
      <w:pPr>
        <w:pStyle w:val="865"/>
        <w:ind w:firstLine="0"/>
        <w:rPr>
          <w:rFonts w:ascii="宋体" w:hAnsi="宋体"/>
          <w:color w:val="auto"/>
          <w:highlight w:val="none"/>
        </w:rPr>
      </w:pPr>
      <w:r>
        <w:rPr>
          <w:rFonts w:ascii="宋体" w:hAnsi="宋体"/>
          <w:color w:val="auto"/>
          <w:highlight w:val="none"/>
        </w:rPr>
      </w:r>
      <w:r/>
    </w:p>
    <w:p>
      <w:pPr>
        <w:pStyle w:val="857"/>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outlineLvl w:val="0"/>
      </w:pPr>
      <w:r/>
      <w:bookmarkStart w:id="71" w:name="_Toc105397786"/>
      <w:r/>
      <w:bookmarkStart w:id="72" w:name="_Toc2129766299"/>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w:t>
      </w:r>
      <w:bookmarkEnd w:id="71"/>
      <w:r>
        <w:rPr>
          <w:rFonts w:hint="eastAsia"/>
          <w:color w:val="auto"/>
          <w:highlight w:val="none"/>
        </w:rPr>
        <w:t xml:space="preserve"> </w:t>
      </w:r>
      <w:r>
        <w:rPr>
          <w:rFonts w:hint="eastAsia" w:ascii="宋体" w:hAnsi="宋体"/>
          <w:b/>
          <w:color w:val="auto"/>
          <w:sz w:val="21"/>
          <w:szCs w:val="21"/>
          <w:highlight w:val="none"/>
        </w:rPr>
        <w:t xml:space="preserve">技术</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偏离表</w:t>
      </w:r>
      <w:bookmarkEnd w:id="72"/>
      <w:r/>
      <w:r/>
    </w:p>
    <w:p>
      <w:pPr>
        <w:ind w:left="0"/>
        <w:jc w:val="center"/>
        <w:spacing w:before="100" w:beforeAutospacing="1" w:after="100" w:afterAutospacing="1" w:line="48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技术服务</w:t>
      </w:r>
      <w:r>
        <w:rPr>
          <w:rFonts w:hint="eastAsia" w:ascii="宋体" w:hAnsi="宋体"/>
          <w:b/>
          <w:color w:val="auto"/>
          <w:sz w:val="21"/>
          <w:szCs w:val="21"/>
          <w:highlight w:val="none"/>
          <w:lang w:val="en-US" w:eastAsia="zh-CN"/>
        </w:rPr>
        <w:t xml:space="preserve">偏离表</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bl>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rPr>
          <w:rFonts w:ascii="宋体" w:hAnsi="宋体"/>
          <w:b/>
          <w:color w:val="auto"/>
          <w:sz w:val="21"/>
          <w:szCs w:val="21"/>
          <w:highlight w:val="none"/>
        </w:rPr>
        <w:outlineLvl w:val="0"/>
      </w:pPr>
      <w:r/>
      <w:bookmarkStart w:id="73" w:name="_Toc724759097"/>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商务偏离表</w:t>
      </w:r>
      <w:bookmarkEnd w:id="7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商务偏离表</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vAlign w:val="center"/>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备注</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bl>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w:t>
      </w:r>
      <w:r>
        <w:rPr>
          <w:rFonts w:hint="eastAsia" w:ascii="宋体" w:hAnsi="宋体"/>
          <w:color w:val="auto"/>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bookmarkStart w:id="74" w:name="_Toc71810489"/>
      <w:r/>
      <w:bookmarkStart w:id="75" w:name="_Toc105397787"/>
      <w:r>
        <w:rPr>
          <w:rFonts w:ascii="宋体" w:hAnsi="宋体"/>
          <w:b/>
          <w:color w:val="auto"/>
          <w:sz w:val="21"/>
          <w:szCs w:val="21"/>
          <w:highlight w:val="none"/>
        </w:rPr>
        <w:br w:type="page" w:clear="all"/>
      </w:r>
      <w:bookmarkStart w:id="76" w:name="_Toc498897495"/>
      <w:r>
        <w:rPr>
          <w:rFonts w:ascii="宋体" w:hAnsi="宋体"/>
          <w:b/>
          <w:color w:val="auto"/>
          <w:sz w:val="21"/>
          <w:szCs w:val="21"/>
          <w:highlight w:val="none"/>
        </w:rPr>
        <w:t xml:space="preserve">附件10</w:t>
      </w:r>
      <w:r>
        <w:rPr>
          <w:rFonts w:hint="eastAsia" w:ascii="宋体" w:hAnsi="宋体"/>
          <w:b/>
          <w:color w:val="auto"/>
          <w:sz w:val="21"/>
          <w:szCs w:val="21"/>
          <w:highlight w:val="none"/>
        </w:rPr>
        <w:t xml:space="preserve">.相关业绩一览表</w:t>
      </w:r>
      <w:bookmarkEnd w:id="74"/>
      <w:r/>
      <w:bookmarkEnd w:id="75"/>
      <w:r/>
      <w:bookmarkEnd w:id="76"/>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85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6"/>
        <w:gridCol w:w="2078"/>
        <w:gridCol w:w="2078"/>
        <w:gridCol w:w="2475"/>
        <w:gridCol w:w="1881"/>
      </w:tblGrid>
      <w:tr>
        <w:trPr>
          <w:cantSplit/>
          <w:jc w:val="center"/>
          <w:trHeight w:val="740"/>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序号</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项目名称</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hint="eastAsia" w:ascii="宋体" w:hAnsi="宋体" w:cs="Times New Roman"/>
                <w:color w:val="auto"/>
                <w:sz w:val="21"/>
                <w:szCs w:val="21"/>
                <w:highlight w:val="none"/>
              </w:rPr>
              <w:t xml:space="preserve">合同金额</w:t>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备注</w:t>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1</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2</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3</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4</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5</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bl>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firstLine="84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65"/>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pStyle w:val="866"/>
        <w:rPr>
          <w:color w:val="auto"/>
          <w:highlight w:val="none"/>
        </w:rPr>
      </w:pPr>
      <w:r>
        <w:rPr>
          <w:color w:val="auto"/>
          <w:highlight w:val="none"/>
        </w:rPr>
      </w:r>
      <w:r/>
    </w:p>
    <w:p>
      <w:pPr>
        <w:rPr>
          <w:color w:val="auto"/>
          <w:highlight w:val="none"/>
        </w:rPr>
      </w:pPr>
      <w:r>
        <w:rPr>
          <w:color w:val="auto"/>
          <w:highlight w:val="none"/>
        </w:rPr>
      </w:r>
      <w:r/>
    </w:p>
    <w:p>
      <w:pPr>
        <w:pStyle w:val="866"/>
        <w:rPr>
          <w:color w:val="auto"/>
          <w:highlight w:val="none"/>
        </w:rPr>
      </w:pPr>
      <w:r>
        <w:rPr>
          <w:color w:val="auto"/>
          <w:highlight w:val="none"/>
        </w:rPr>
      </w:r>
      <w:r/>
    </w:p>
    <w:p>
      <w:pPr>
        <w:rPr>
          <w:color w:val="auto"/>
          <w:highlight w:val="none"/>
        </w:rPr>
      </w:pPr>
      <w:r>
        <w:rPr>
          <w:color w:val="auto"/>
          <w:highlight w:val="none"/>
        </w:rPr>
      </w:r>
      <w:r/>
    </w:p>
    <w:p>
      <w:pPr>
        <w:pStyle w:val="866"/>
        <w:rPr>
          <w:color w:val="auto"/>
          <w:highlight w:val="none"/>
        </w:rPr>
      </w:pPr>
      <w:r>
        <w:rPr>
          <w:color w:val="auto"/>
          <w:highlight w:val="none"/>
        </w:rPr>
      </w:r>
      <w:r/>
    </w:p>
    <w:p>
      <w:pPr>
        <w:pStyle w:val="866"/>
        <w:rPr>
          <w:color w:val="auto"/>
          <w:highlight w:val="none"/>
        </w:rPr>
      </w:pPr>
      <w:r>
        <w:rPr>
          <w:color w:val="auto"/>
          <w:highlight w:val="none"/>
        </w:rPr>
      </w:r>
      <w:r/>
    </w:p>
    <w:p>
      <w:pPr>
        <w:pStyle w:val="857"/>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pStyle w:val="866"/>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pStyle w:val="866"/>
        <w:rPr>
          <w:rFonts w:ascii="宋体" w:hAnsi="宋体" w:cs="Times New Roman"/>
          <w:color w:val="auto"/>
          <w:highlight w:val="none"/>
        </w:rPr>
      </w:pPr>
      <w:r>
        <w:rPr>
          <w:rFonts w:ascii="宋体" w:hAnsi="宋体" w:cs="Times New Roman"/>
          <w:color w:val="auto"/>
          <w:highlight w:val="none"/>
        </w:rPr>
      </w:r>
      <w:bookmarkEnd w:id="69"/>
      <w:bookmarkEnd w:id="70"/>
      <w:r/>
    </w:p>
    <w:p>
      <w:pPr>
        <w:rPr>
          <w:color w:val="auto"/>
          <w:highlight w:val="none"/>
        </w:rPr>
      </w:pPr>
      <w:r>
        <w:rPr>
          <w:color w:val="auto"/>
          <w:highlight w:val="none"/>
        </w:rPr>
      </w:r>
      <w:r/>
    </w:p>
    <w:p>
      <w:pPr>
        <w:rPr>
          <w:rFonts w:ascii="宋体" w:hAnsi="宋体"/>
          <w:color w:val="auto"/>
          <w:highlight w:val="none"/>
        </w:rPr>
      </w:pPr>
      <w:r/>
      <w:bookmarkStart w:id="77" w:name="_Toc71810490"/>
      <w:r>
        <w:rPr>
          <w:rFonts w:ascii="宋体" w:hAnsi="宋体"/>
          <w:color w:val="auto"/>
          <w:highlight w:val="none"/>
        </w:rPr>
        <w:t xml:space="preserve"> </w:t>
      </w:r>
      <w:r/>
    </w:p>
    <w:p>
      <w:pPr>
        <w:pStyle w:val="857"/>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outlineLvl w:val="0"/>
      </w:pPr>
      <w:r/>
      <w:bookmarkStart w:id="78" w:name="_Toc105397789"/>
      <w:r/>
      <w:bookmarkStart w:id="79" w:name="_Toc1194040577"/>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77"/>
      <w:r/>
      <w:bookmarkEnd w:id="78"/>
      <w:r/>
      <w:bookmarkEnd w:id="79"/>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苏州捷信招投标咨询有限公司</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firstLine="0"/>
        <w:jc w:val="left"/>
        <w:spacing w:line="360" w:lineRule="auto"/>
        <w:rPr>
          <w:rFonts w:ascii="宋体" w:hAnsi="宋体"/>
          <w:b/>
          <w:color w:val="auto"/>
          <w:sz w:val="21"/>
          <w:szCs w:val="21"/>
          <w:highlight w:val="none"/>
        </w:rPr>
      </w:pPr>
      <w:r>
        <w:rPr>
          <w:rFonts w:ascii="宋体" w:hAnsi="宋体"/>
          <w:color w:val="auto"/>
          <w:sz w:val="21"/>
          <w:szCs w:val="21"/>
          <w:highlight w:val="none"/>
        </w:rPr>
        <w:br w:type="page" w:clear="all"/>
      </w:r>
      <w:bookmarkStart w:id="80" w:name="_Toc5296424"/>
      <w:r>
        <w:rPr>
          <w:rFonts w:ascii="宋体" w:hAnsi="宋体"/>
          <w:b/>
          <w:color w:val="auto"/>
          <w:sz w:val="21"/>
          <w:szCs w:val="21"/>
          <w:highlight w:val="none"/>
        </w:rPr>
        <w:t xml:space="preserve">附件12</w:t>
      </w:r>
      <w:r>
        <w:rPr>
          <w:rFonts w:hint="eastAsia" w:ascii="宋体" w:hAnsi="宋体"/>
          <w:b/>
          <w:color w:val="auto"/>
          <w:sz w:val="21"/>
          <w:szCs w:val="21"/>
          <w:highlight w:val="none"/>
        </w:rPr>
        <w:t xml:space="preserve">.</w:t>
      </w:r>
      <w:bookmarkEnd w:id="80"/>
      <w:r/>
      <w:r/>
    </w:p>
    <w:p>
      <w:pPr>
        <w:ind w:left="0"/>
        <w:rPr>
          <w:rFonts w:ascii="Times New Roman" w:hAnsi="Times New Roman" w:cs="Times New Roman"/>
          <w:color w:val="auto"/>
          <w:highlight w:val="none"/>
          <w:lang w:val="zh-CN"/>
        </w:rPr>
      </w:pPr>
      <w:r>
        <w:rPr>
          <w:rFonts w:ascii="Times New Roman" w:hAnsi="Times New Roman" w:cs="Times New Roman"/>
          <w:color w:val="auto"/>
          <w:highlight w:val="none"/>
          <w:lang w:val="zh-CN"/>
        </w:rPr>
      </w:r>
      <w:r/>
    </w:p>
    <w:p>
      <w:pPr>
        <w:pStyle w:val="1310"/>
        <w:ind w:left="0" w:right="0" w:firstLine="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关于符合本国产品标准的声明函</w:t>
      </w:r>
      <w:r/>
    </w:p>
    <w:p>
      <w:pPr>
        <w:pStyle w:val="1310"/>
        <w:ind w:left="0" w:firstLine="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1310"/>
        <w:ind w:left="0" w:firstLine="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1310"/>
        <w:ind w:left="0" w:firstLine="480"/>
        <w:keepLines w:val="0"/>
        <w:keepNext w:val="0"/>
        <w:spacing w:before="0" w:beforeAutospacing="0" w:after="0" w:afterAutospacing="0" w:line="360" w:lineRule="auto"/>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310"/>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strike/>
          <w:color w:val="auto"/>
          <w:sz w:val="21"/>
          <w:szCs w:val="21"/>
          <w:highlight w:val="none"/>
          <w:u w:val="single"/>
          <w:shd w:val="clear" w:color="auto" w:fill="ffffff"/>
        </w:rPr>
        <w:t xml:space="preserve">（规定比例）</w:t>
      </w:r>
      <w:r>
        <w:rPr>
          <w:rFonts w:hint="eastAsia" w:ascii="宋体" w:hAnsi="宋体" w:eastAsia="宋体" w:cs="宋体"/>
          <w:strike/>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（关键工序）</w:t>
      </w:r>
      <w:r>
        <w:rPr>
          <w:rFonts w:hint="eastAsia" w:ascii="宋体" w:hAnsi="宋体" w:eastAsia="宋体" w:cs="宋体"/>
          <w:strike/>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1310"/>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strike/>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1310"/>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w:t>
      </w:r>
      <w:r/>
    </w:p>
    <w:p>
      <w:pPr>
        <w:pStyle w:val="1310"/>
        <w:ind w:left="0" w:firstLine="420"/>
        <w:keepLines w:val="0"/>
        <w:keepNext w:val="0"/>
        <w:spacing w:before="30" w:beforeAutospacing="0" w:after="3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1310"/>
        <w:keepLines w:val="0"/>
        <w:keepNext w:val="0"/>
        <w:spacing w:before="30" w:beforeAutospacing="0" w:after="3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1310"/>
        <w:ind w:left="0" w:right="480" w:firstLine="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公司（单位）名称（盖章）：</w:t>
      </w:r>
      <w:r/>
    </w:p>
    <w:p>
      <w:pPr>
        <w:pStyle w:val="1310"/>
        <w:ind w:left="0" w:firstLine="0"/>
        <w:jc w:val="both"/>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日期</w:t>
      </w:r>
      <w:r>
        <w:rPr>
          <w:rFonts w:hint="eastAsia" w:ascii="宋体" w:hAnsi="宋体" w:cs="宋体"/>
          <w:color w:val="auto"/>
          <w:sz w:val="21"/>
          <w:szCs w:val="21"/>
          <w:highlight w:val="none"/>
          <w:shd w:val="clear" w:color="auto" w:fill="ffffff"/>
          <w:lang w:eastAsia="zh-CN"/>
        </w:rPr>
        <w:t xml:space="preserve">：</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年</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月</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日</w:t>
      </w:r>
      <w:r/>
    </w:p>
    <w:p>
      <w:pPr>
        <w:pStyle w:val="1310"/>
        <w:keepLines w:val="0"/>
        <w:keepNext w:val="0"/>
        <w:spacing w:before="30" w:beforeAutospacing="0" w:after="3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__________________</w:t>
      </w:r>
      <w:r/>
    </w:p>
    <w:p>
      <w:pPr>
        <w:pStyle w:val="1310"/>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1310"/>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1310"/>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1310"/>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1310"/>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1310"/>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6.用斜线划除的地方无需填写。</w:t>
      </w:r>
      <w:r/>
    </w:p>
    <w:p>
      <w:pPr>
        <w:pStyle w:val="1310"/>
        <w:ind w:left="0" w:firstLine="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867"/>
        <w:rPr>
          <w:color w:val="auto"/>
          <w:highlight w:val="none"/>
          <w:lang w:val="zh-CN"/>
        </w:rPr>
      </w:pPr>
      <w:r>
        <w:rPr>
          <w:color w:val="auto"/>
          <w:highlight w:val="none"/>
          <w:lang w:val="zh-CN"/>
        </w:rPr>
      </w:r>
      <w:r/>
    </w:p>
    <w:p>
      <w:pPr>
        <w:pStyle w:val="867"/>
        <w:rPr>
          <w:color w:val="auto"/>
          <w:highlight w:val="none"/>
          <w:lang w:val="zh-CN"/>
        </w:rPr>
      </w:pPr>
      <w:r>
        <w:rPr>
          <w:color w:val="auto"/>
          <w:highlight w:val="none"/>
          <w:lang w:val="zh-CN"/>
        </w:rPr>
      </w:r>
      <w:r/>
    </w:p>
    <w:p>
      <w:pPr>
        <w:pStyle w:val="867"/>
        <w:rPr>
          <w:color w:val="auto"/>
          <w:highlight w:val="none"/>
          <w:lang w:val="zh-CN"/>
        </w:rPr>
      </w:pPr>
      <w:r>
        <w:rPr>
          <w:color w:val="auto"/>
          <w:highlight w:val="none"/>
          <w:lang w:val="zh-CN"/>
        </w:rPr>
      </w:r>
      <w:r/>
    </w:p>
    <w:p>
      <w:pPr>
        <w:pStyle w:val="867"/>
        <w:rPr>
          <w:color w:val="auto"/>
          <w:highlight w:val="none"/>
          <w:lang w:val="zh-CN"/>
        </w:rPr>
      </w:pPr>
      <w:r>
        <w:rPr>
          <w:color w:val="auto"/>
          <w:highlight w:val="none"/>
          <w:lang w:val="zh-CN"/>
        </w:rPr>
      </w:r>
      <w:r/>
    </w:p>
    <w:p>
      <w:pPr>
        <w:pStyle w:val="867"/>
        <w:rPr>
          <w:color w:val="auto"/>
          <w:highlight w:val="none"/>
          <w:lang w:val="zh-CN"/>
        </w:rPr>
      </w:pPr>
      <w:r>
        <w:rPr>
          <w:color w:val="auto"/>
          <w:highlight w:val="none"/>
          <w:lang w:val="zh-CN"/>
        </w:rPr>
      </w:r>
      <w:r/>
    </w:p>
    <w:p>
      <w:pPr>
        <w:pStyle w:val="867"/>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66"/>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302"/>
        <w:numPr>
          <w:ilvl w:val="0"/>
          <w:numId w:val="0"/>
        </w:numPr>
        <w:spacing w:line="360" w:lineRule="auto"/>
        <w:rPr>
          <w:rFonts w:hAnsi="宋体" w:eastAsia="宋体" w:cs="宋体"/>
          <w:b/>
          <w:bCs/>
          <w:color w:val="auto"/>
          <w:sz w:val="21"/>
          <w:szCs w:val="21"/>
          <w:highlight w:val="none"/>
        </w:rPr>
      </w:pPr>
      <w:r/>
      <w:bookmarkStart w:id="81" w:name="_Toc970168641"/>
      <w:r>
        <w:rPr>
          <w:rFonts w:hint="eastAsia" w:hAnsi="宋体" w:eastAsia="宋体" w:cs="宋体"/>
          <w:b/>
          <w:bCs/>
          <w:color w:val="auto"/>
          <w:sz w:val="21"/>
          <w:szCs w:val="21"/>
          <w:highlight w:val="none"/>
          <w:lang w:val="en-US" w:eastAsia="zh-CN"/>
        </w:rPr>
        <w:t xml:space="preserve">附件13、</w:t>
      </w:r>
      <w:r>
        <w:rPr>
          <w:rFonts w:hint="eastAsia" w:hAnsi="宋体" w:eastAsia="宋体" w:cs="宋体"/>
          <w:b/>
          <w:bCs/>
          <w:color w:val="auto"/>
          <w:sz w:val="21"/>
          <w:szCs w:val="21"/>
          <w:highlight w:val="none"/>
        </w:rPr>
        <w:t xml:space="preserve">投标保证承诺书</w:t>
      </w:r>
      <w:bookmarkEnd w:id="81"/>
      <w:r/>
      <w:r/>
    </w:p>
    <w:p>
      <w:pPr>
        <w:pStyle w:val="1302"/>
        <w:ind w:left="0" w:firstLine="0"/>
        <w:jc w:val="center"/>
        <w:spacing w:line="360" w:lineRule="auto"/>
        <w:rPr>
          <w:rFonts w:hAnsi="宋体" w:eastAsia="宋体" w:cs="宋体"/>
          <w:b/>
          <w:bCs/>
          <w:color w:val="auto"/>
          <w:sz w:val="21"/>
          <w:szCs w:val="21"/>
          <w:highlight w:val="none"/>
        </w:rPr>
      </w:pPr>
      <w:r/>
      <w:bookmarkStart w:id="82" w:name="_Toc1928501263"/>
      <w:r>
        <w:rPr>
          <w:rFonts w:hint="eastAsia" w:hAnsi="宋体" w:eastAsia="宋体" w:cs="宋体"/>
          <w:b/>
          <w:bCs/>
          <w:color w:val="auto"/>
          <w:sz w:val="21"/>
          <w:szCs w:val="21"/>
          <w:highlight w:val="none"/>
        </w:rPr>
        <w:t xml:space="preserve">投标保证承诺书</w:t>
      </w:r>
      <w:bookmarkEnd w:id="82"/>
      <w:r/>
      <w:r/>
    </w:p>
    <w:p>
      <w:pPr>
        <w:pStyle w:val="1302"/>
        <w:jc w:val="center"/>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302"/>
        <w:ind w:left="0" w:firstLine="0"/>
        <w:spacing w:line="360" w:lineRule="auto"/>
        <w:rPr>
          <w:rFonts w:hAnsi="宋体" w:eastAsia="宋体" w:cs="宋体"/>
          <w:color w:val="auto"/>
          <w:sz w:val="21"/>
          <w:szCs w:val="21"/>
          <w:highlight w:val="none"/>
        </w:rPr>
      </w:pPr>
      <w:r/>
      <w:bookmarkStart w:id="83" w:name="_Toc350043070"/>
      <w:r>
        <w:rPr>
          <w:rFonts w:hint="eastAsia" w:hAnsi="宋体" w:eastAsia="宋体" w:cs="宋体"/>
          <w:color w:val="auto"/>
          <w:sz w:val="21"/>
          <w:szCs w:val="21"/>
          <w:highlight w:val="none"/>
        </w:rPr>
        <w:t xml:space="preserve">苏州捷信招投标咨询有限公司：</w:t>
      </w:r>
      <w:bookmarkEnd w:id="83"/>
      <w:r/>
      <w:r/>
    </w:p>
    <w:p>
      <w:pPr>
        <w:pStyle w:val="1302"/>
        <w:ind w:firstLine="480"/>
        <w:spacing w:line="360" w:lineRule="auto"/>
        <w:rPr>
          <w:rFonts w:hAnsi="宋体" w:eastAsia="宋体" w:cs="宋体"/>
          <w:color w:val="auto"/>
          <w:sz w:val="21"/>
          <w:szCs w:val="21"/>
          <w:highlight w:val="none"/>
        </w:rPr>
      </w:pPr>
      <w:r/>
      <w:bookmarkStart w:id="84" w:name="_Toc1216168357"/>
      <w:r>
        <w:rPr>
          <w:rFonts w:hint="eastAsia" w:hAnsi="宋体" w:eastAsia="宋体" w:cs="宋体"/>
          <w:color w:val="auto"/>
          <w:sz w:val="21"/>
          <w:szCs w:val="21"/>
          <w:highlight w:val="none"/>
        </w:rPr>
        <w:t xml:space="preserve">我（单位/本人，以下统称我单位）自愿参加项目编号</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号的投标，并做出如下承诺：</w:t>
      </w:r>
      <w:bookmarkEnd w:id="84"/>
      <w:r/>
      <w:r/>
    </w:p>
    <w:p>
      <w:pPr>
        <w:pStyle w:val="1302"/>
        <w:ind w:firstLine="480"/>
        <w:spacing w:line="360" w:lineRule="auto"/>
        <w:rPr>
          <w:rFonts w:hAnsi="宋体" w:eastAsia="宋体" w:cs="宋体"/>
          <w:color w:val="auto"/>
          <w:sz w:val="21"/>
          <w:szCs w:val="21"/>
          <w:highlight w:val="none"/>
        </w:rPr>
      </w:pPr>
      <w:r/>
      <w:bookmarkStart w:id="85" w:name="_Toc392223953"/>
      <w:r>
        <w:rPr>
          <w:rFonts w:hint="eastAsia" w:hAnsi="宋体" w:eastAsia="宋体" w:cs="宋体"/>
          <w:color w:val="auto"/>
          <w:sz w:val="21"/>
          <w:szCs w:val="21"/>
          <w:highlight w:val="none"/>
        </w:rPr>
        <w:t xml:space="preserve">1、除不可抗力外，我单位如果发生以下行为，将在行为发生的10个工作日内，向贵方（或采购人）支付本</w:t>
      </w:r>
      <w:r>
        <w:rPr>
          <w:rFonts w:hint="eastAsia" w:hAnsi="宋体" w:eastAsia="宋体" w:cs="宋体"/>
          <w:color w:val="auto"/>
          <w:sz w:val="21"/>
          <w:szCs w:val="21"/>
          <w:highlight w:val="none"/>
          <w:lang w:eastAsia="zh-CN"/>
        </w:rPr>
        <w:t xml:space="preserve">招标文件</w:t>
      </w:r>
      <w:r>
        <w:rPr>
          <w:rFonts w:hint="eastAsia" w:hAnsi="宋体" w:eastAsia="宋体" w:cs="宋体"/>
          <w:color w:val="auto"/>
          <w:sz w:val="21"/>
          <w:szCs w:val="21"/>
          <w:highlight w:val="none"/>
        </w:rPr>
        <w:t xml:space="preserve">公布的预算金额（或最高限价）的2％作为违约赔偿金（数量不确定的单价采购按壹万元计）。</w:t>
      </w:r>
      <w:bookmarkEnd w:id="85"/>
      <w:r/>
      <w:r/>
    </w:p>
    <w:p>
      <w:pPr>
        <w:pStyle w:val="1302"/>
        <w:ind w:firstLine="480"/>
        <w:spacing w:line="360" w:lineRule="auto"/>
        <w:rPr>
          <w:rFonts w:hAnsi="宋体" w:eastAsia="宋体" w:cs="宋体"/>
          <w:color w:val="auto"/>
          <w:sz w:val="21"/>
          <w:szCs w:val="21"/>
          <w:highlight w:val="none"/>
        </w:rPr>
      </w:pPr>
      <w:r/>
      <w:bookmarkStart w:id="86" w:name="_Toc1480665428"/>
      <w:r>
        <w:rPr>
          <w:rFonts w:hint="eastAsia" w:hAnsi="宋体" w:eastAsia="宋体" w:cs="宋体"/>
          <w:color w:val="auto"/>
          <w:sz w:val="21"/>
          <w:szCs w:val="21"/>
          <w:highlight w:val="none"/>
        </w:rPr>
        <w:t xml:space="preserve">（1）自投标截止时间至本项目发布中标公告为止，撤销投标；</w:t>
      </w:r>
      <w:bookmarkEnd w:id="86"/>
      <w:r/>
      <w:r/>
    </w:p>
    <w:p>
      <w:pPr>
        <w:pStyle w:val="1302"/>
        <w:ind w:firstLine="480"/>
        <w:spacing w:line="360" w:lineRule="auto"/>
        <w:rPr>
          <w:rFonts w:hAnsi="宋体" w:eastAsia="宋体" w:cs="宋体"/>
          <w:color w:val="auto"/>
          <w:sz w:val="21"/>
          <w:szCs w:val="21"/>
          <w:highlight w:val="none"/>
        </w:rPr>
      </w:pPr>
      <w:r/>
      <w:bookmarkStart w:id="87" w:name="_Toc503346960"/>
      <w:r>
        <w:rPr>
          <w:rFonts w:hint="eastAsia" w:hAnsi="宋体" w:eastAsia="宋体" w:cs="宋体"/>
          <w:color w:val="auto"/>
          <w:sz w:val="21"/>
          <w:szCs w:val="21"/>
          <w:highlight w:val="none"/>
        </w:rPr>
        <w:t xml:space="preserve">（2）中标后不依法与采购人签订合同；</w:t>
      </w:r>
      <w:bookmarkEnd w:id="87"/>
      <w:r/>
      <w:r/>
    </w:p>
    <w:p>
      <w:pPr>
        <w:pStyle w:val="1302"/>
        <w:ind w:firstLine="480"/>
        <w:spacing w:line="360" w:lineRule="auto"/>
        <w:rPr>
          <w:rFonts w:hAnsi="宋体" w:eastAsia="宋体" w:cs="宋体"/>
          <w:color w:val="auto"/>
          <w:sz w:val="21"/>
          <w:szCs w:val="21"/>
          <w:highlight w:val="none"/>
        </w:rPr>
      </w:pPr>
      <w:r/>
      <w:bookmarkStart w:id="88" w:name="_Toc814271187"/>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3）中标后不按本</w:t>
      </w:r>
      <w:r>
        <w:rPr>
          <w:rFonts w:hint="eastAsia" w:hAnsi="宋体" w:eastAsia="宋体" w:cs="宋体"/>
          <w:color w:val="auto"/>
          <w:sz w:val="21"/>
          <w:szCs w:val="21"/>
          <w:highlight w:val="none"/>
          <w:lang w:eastAsia="zh-CN"/>
        </w:rPr>
        <w:t xml:space="preserve">招标文件</w:t>
      </w:r>
      <w:r>
        <w:rPr>
          <w:rFonts w:hint="eastAsia" w:hAnsi="宋体" w:eastAsia="宋体" w:cs="宋体"/>
          <w:color w:val="auto"/>
          <w:sz w:val="21"/>
          <w:szCs w:val="21"/>
          <w:highlight w:val="none"/>
        </w:rPr>
        <w:t xml:space="preserve">规定向采购人提交履约保证金；</w:t>
      </w:r>
      <w:bookmarkEnd w:id="88"/>
      <w:r/>
      <w:r/>
    </w:p>
    <w:p>
      <w:pPr>
        <w:pStyle w:val="1302"/>
        <w:ind w:firstLine="480"/>
        <w:spacing w:line="360" w:lineRule="auto"/>
        <w:rPr>
          <w:rFonts w:hAnsi="宋体" w:eastAsia="宋体" w:cs="宋体"/>
          <w:color w:val="auto"/>
          <w:sz w:val="21"/>
          <w:szCs w:val="21"/>
          <w:highlight w:val="none"/>
        </w:rPr>
      </w:pPr>
      <w:r/>
      <w:bookmarkStart w:id="89" w:name="_Toc1690041225"/>
      <w:r>
        <w:rPr>
          <w:rFonts w:hint="eastAsia" w:hAnsi="宋体" w:eastAsia="宋体" w:cs="宋体"/>
          <w:color w:val="auto"/>
          <w:sz w:val="21"/>
          <w:szCs w:val="21"/>
          <w:highlight w:val="none"/>
        </w:rPr>
        <w:t xml:space="preserve">（4）中标后不按本</w:t>
      </w:r>
      <w:r>
        <w:rPr>
          <w:rFonts w:hint="eastAsia" w:hAnsi="宋体" w:eastAsia="宋体" w:cs="宋体"/>
          <w:color w:val="auto"/>
          <w:sz w:val="21"/>
          <w:szCs w:val="21"/>
          <w:highlight w:val="none"/>
          <w:lang w:eastAsia="zh-CN"/>
        </w:rPr>
        <w:t xml:space="preserve">招标文件</w:t>
      </w:r>
      <w:r>
        <w:rPr>
          <w:rFonts w:hint="eastAsia" w:hAnsi="宋体" w:eastAsia="宋体" w:cs="宋体"/>
          <w:color w:val="auto"/>
          <w:sz w:val="21"/>
          <w:szCs w:val="21"/>
          <w:highlight w:val="none"/>
        </w:rPr>
        <w:t xml:space="preserve">规定向贵方缴纳采购代理费。</w:t>
      </w:r>
      <w:bookmarkEnd w:id="89"/>
      <w:r/>
      <w:r/>
    </w:p>
    <w:p>
      <w:pPr>
        <w:pStyle w:val="1302"/>
        <w:ind w:firstLine="480"/>
        <w:spacing w:line="360" w:lineRule="auto"/>
        <w:rPr>
          <w:rFonts w:hAnsi="宋体" w:eastAsia="宋体" w:cs="宋体"/>
          <w:color w:val="auto"/>
          <w:sz w:val="21"/>
          <w:szCs w:val="21"/>
          <w:highlight w:val="none"/>
        </w:rPr>
      </w:pPr>
      <w:r/>
      <w:bookmarkStart w:id="90" w:name="_Toc1904153353"/>
      <w:r>
        <w:rPr>
          <w:rFonts w:hint="eastAsia" w:hAnsi="宋体" w:eastAsia="宋体" w:cs="宋体"/>
          <w:color w:val="auto"/>
          <w:sz w:val="21"/>
          <w:szCs w:val="21"/>
          <w:highlight w:val="none"/>
        </w:rPr>
        <w:t xml:space="preserve">2、我单位知晓上述行为的法律后果，承认本承诺书作为贵方（或采购人）要求我单位履行违约赔偿义务的依据作用。</w:t>
      </w:r>
      <w:bookmarkEnd w:id="90"/>
      <w:r/>
      <w:r/>
    </w:p>
    <w:p>
      <w:pPr>
        <w:pStyle w:val="1302"/>
        <w:ind w:firstLine="480"/>
        <w:spacing w:line="360" w:lineRule="auto"/>
        <w:rPr>
          <w:rFonts w:hAnsi="宋体" w:eastAsia="宋体" w:cs="宋体"/>
          <w:color w:val="auto"/>
          <w:sz w:val="21"/>
          <w:szCs w:val="21"/>
          <w:highlight w:val="none"/>
        </w:rPr>
      </w:pPr>
      <w:r/>
      <w:bookmarkStart w:id="91" w:name="_Toc1304096277"/>
      <w:r>
        <w:rPr>
          <w:rFonts w:hint="eastAsia" w:hAnsi="宋体" w:eastAsia="宋体" w:cs="宋体"/>
          <w:color w:val="auto"/>
          <w:sz w:val="21"/>
          <w:szCs w:val="21"/>
          <w:highlight w:val="none"/>
        </w:rPr>
        <w:t xml:space="preserve">地址：                                 电话：</w:t>
      </w:r>
      <w:bookmarkEnd w:id="91"/>
      <w:r/>
      <w:r/>
    </w:p>
    <w:p>
      <w:pPr>
        <w:pStyle w:val="1302"/>
        <w:ind w:firstLine="480"/>
        <w:spacing w:line="360" w:lineRule="auto"/>
        <w:rPr>
          <w:rFonts w:hAnsi="宋体" w:eastAsia="宋体" w:cs="宋体"/>
          <w:color w:val="auto"/>
          <w:sz w:val="21"/>
          <w:szCs w:val="21"/>
          <w:highlight w:val="none"/>
        </w:rPr>
      </w:pPr>
      <w:r/>
      <w:bookmarkStart w:id="92" w:name="_Toc728026257"/>
      <w:r>
        <w:rPr>
          <w:rFonts w:hint="eastAsia" w:hAnsi="宋体" w:eastAsia="宋体" w:cs="宋体"/>
          <w:color w:val="auto"/>
          <w:sz w:val="21"/>
          <w:szCs w:val="21"/>
          <w:highlight w:val="none"/>
        </w:rPr>
        <w:t xml:space="preserve">传真：                                 邮编：</w:t>
      </w:r>
      <w:bookmarkEnd w:id="92"/>
      <w:r/>
      <w:r/>
    </w:p>
    <w:p>
      <w:pPr>
        <w:pStyle w:val="1302"/>
        <w:ind w:firstLine="480"/>
        <w:spacing w:line="360" w:lineRule="auto"/>
        <w:rPr>
          <w:rFonts w:hAnsi="宋体" w:eastAsia="宋体" w:cs="宋体"/>
          <w:color w:val="auto"/>
          <w:sz w:val="21"/>
          <w:szCs w:val="21"/>
          <w:highlight w:val="none"/>
        </w:rPr>
      </w:pPr>
      <w:r/>
      <w:bookmarkStart w:id="93" w:name="_Toc1722964440"/>
      <w:r>
        <w:rPr>
          <w:rFonts w:hint="eastAsia" w:hAnsi="宋体" w:eastAsia="宋体" w:cs="宋体"/>
          <w:color w:val="auto"/>
          <w:sz w:val="21"/>
          <w:szCs w:val="21"/>
          <w:highlight w:val="none"/>
        </w:rPr>
        <w:t xml:space="preserve">电子邮件：</w:t>
      </w:r>
      <w:bookmarkEnd w:id="93"/>
      <w:r/>
      <w:r/>
    </w:p>
    <w:p>
      <w:pPr>
        <w:pStyle w:val="1302"/>
        <w:ind w:firstLine="480"/>
        <w:spacing w:line="360" w:lineRule="auto"/>
        <w:rPr>
          <w:rFonts w:hAnsi="宋体" w:eastAsia="宋体" w:cs="宋体"/>
          <w:color w:val="auto"/>
          <w:sz w:val="21"/>
          <w:szCs w:val="21"/>
          <w:highlight w:val="none"/>
        </w:rPr>
      </w:pPr>
      <w:r/>
      <w:bookmarkStart w:id="94" w:name="_Toc1193846932"/>
      <w:r>
        <w:rPr>
          <w:rFonts w:hint="eastAsia" w:hAnsi="宋体" w:eastAsia="宋体" w:cs="宋体"/>
          <w:color w:val="auto"/>
          <w:sz w:val="21"/>
          <w:szCs w:val="21"/>
          <w:highlight w:val="none"/>
        </w:rPr>
        <w:t xml:space="preserve">投标单位名称（加盖CA电子公章）：</w:t>
      </w:r>
      <w:bookmarkEnd w:id="94"/>
      <w:r/>
      <w:r/>
    </w:p>
    <w:p>
      <w:pPr>
        <w:pStyle w:val="1302"/>
        <w:ind w:firstLine="480"/>
        <w:spacing w:line="360" w:lineRule="auto"/>
        <w:rPr>
          <w:rFonts w:hAnsi="宋体" w:eastAsia="宋体" w:cs="宋体"/>
          <w:color w:val="auto"/>
          <w:sz w:val="21"/>
          <w:szCs w:val="21"/>
          <w:highlight w:val="none"/>
        </w:rPr>
      </w:pPr>
      <w:r/>
      <w:bookmarkStart w:id="95" w:name="_Toc1045672203"/>
      <w:r>
        <w:rPr>
          <w:rFonts w:hint="eastAsia" w:hAnsi="宋体" w:eastAsia="宋体" w:cs="宋体"/>
          <w:color w:val="auto"/>
          <w:sz w:val="21"/>
          <w:szCs w:val="21"/>
          <w:highlight w:val="none"/>
        </w:rPr>
        <w:t xml:space="preserve">法定代表人和代理人（签字或盖章）：</w:t>
      </w:r>
      <w:bookmarkEnd w:id="95"/>
      <w:r/>
      <w:r/>
    </w:p>
    <w:p>
      <w:pPr>
        <w:pStyle w:val="1302"/>
        <w:ind w:firstLine="480"/>
        <w:spacing w:line="360" w:lineRule="auto"/>
        <w:rPr>
          <w:rFonts w:hint="eastAsia" w:hAnsi="宋体" w:eastAsia="宋体" w:cs="宋体"/>
          <w:color w:val="auto"/>
          <w:sz w:val="21"/>
          <w:szCs w:val="21"/>
          <w:highlight w:val="none"/>
        </w:rPr>
      </w:pPr>
      <w:r/>
      <w:bookmarkStart w:id="96" w:name="_Toc1754032420"/>
      <w:r>
        <w:rPr>
          <w:rFonts w:hint="eastAsia" w:hAnsi="宋体" w:eastAsia="宋体" w:cs="宋体"/>
          <w:color w:val="auto"/>
          <w:sz w:val="21"/>
          <w:szCs w:val="21"/>
          <w:highlight w:val="none"/>
        </w:rPr>
        <w:t xml:space="preserve">日期：     年     月     日</w:t>
      </w:r>
      <w:bookmarkEnd w:id="96"/>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302"/>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rPr>
          <w:color w:val="auto"/>
          <w:highlight w:val="none"/>
          <w:lang w:val="zh-CN"/>
        </w:rPr>
      </w:pPr>
      <w:r>
        <w:rPr>
          <w:color w:val="auto"/>
          <w:highlight w:val="none"/>
          <w:lang w:val="zh-CN"/>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CN"/>
        </w:rPr>
        <w:t xml:space="preserve">附件14、</w:t>
      </w:r>
      <w:r>
        <w:rPr>
          <w:rFonts w:hint="eastAsia" w:ascii="宋体" w:hAnsi="宋体" w:eastAsia="宋体" w:cs="宋体"/>
          <w:b/>
          <w:bCs w:val="0"/>
          <w:color w:val="auto"/>
          <w:sz w:val="21"/>
          <w:szCs w:val="21"/>
          <w:highlight w:val="none"/>
          <w:vertAlign w:val="baseline"/>
          <w:lang w:val="en-US" w:eastAsia="zh-CN" w:bidi="ar"/>
        </w:rPr>
        <w:t xml:space="preserve">投标人一般情况表</w:t>
      </w:r>
      <w:r/>
    </w:p>
    <w:p>
      <w:pPr>
        <w:ind w:left="0" w:firstLine="0"/>
        <w:rPr>
          <w:rFonts w:hint="eastAsia"/>
          <w:color w:val="auto"/>
          <w:highlight w:val="none"/>
          <w:lang w:val="en-US" w:eastAsia="zh-CN"/>
        </w:rPr>
      </w:pPr>
      <w:r>
        <w:rPr>
          <w:rFonts w:hint="eastAsia"/>
          <w:color w:val="auto"/>
          <w:highlight w:val="none"/>
          <w:lang w:val="en-US" w:eastAsia="zh-CN"/>
        </w:rPr>
      </w:r>
      <w:r/>
    </w:p>
    <w:p>
      <w:pPr>
        <w:ind w:left="0" w:right="0"/>
        <w:jc w:val="center"/>
        <w:keepLines w:val="0"/>
        <w:keepNext w:val="0"/>
        <w:spacing w:before="0" w:beforeAutospacing="0" w:after="0" w:afterAutospacing="0" w:line="360" w:lineRule="auto"/>
        <w:widowControl w:val="off"/>
        <w:rPr>
          <w:rFonts w:hint="default" w:ascii="Times New Roman" w:hAnsi="Times New Roman" w:cs="Times New Roman"/>
          <w:b/>
          <w:bCs w:val="0"/>
          <w:color w:val="auto"/>
          <w:sz w:val="21"/>
          <w:szCs w:val="21"/>
          <w:highlight w:val="none"/>
          <w:vertAlign w:val="baseline"/>
        </w:rPr>
        <w:suppressLineNumbers w:val="0"/>
      </w:pPr>
      <w:r>
        <w:rPr>
          <w:rFonts w:hint="eastAsia" w:ascii="宋体" w:hAnsi="宋体" w:eastAsia="宋体" w:cs="宋体"/>
          <w:b/>
          <w:bCs w:val="0"/>
          <w:color w:val="auto"/>
          <w:sz w:val="21"/>
          <w:szCs w:val="21"/>
          <w:highlight w:val="none"/>
          <w:vertAlign w:val="baseline"/>
          <w:lang w:val="en-US" w:eastAsia="zh-CN" w:bidi="ar"/>
        </w:rPr>
        <w:t xml:space="preserve">投标人一般情况表</w:t>
      </w:r>
      <w:r/>
    </w:p>
    <w:p>
      <w:pPr>
        <w:pStyle w:val="899"/>
        <w:ind w:left="0" w:right="0" w:firstLine="0"/>
        <w:jc w:val="left"/>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单位名称（盖章）</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7"/>
        <w:gridCol w:w="1737"/>
        <w:gridCol w:w="2056"/>
        <w:gridCol w:w="2474"/>
      </w:tblGrid>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单位全称</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单位地址</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法定代表人（负责人）</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主要业务</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eastAsia="楷体_GB2312"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资质情况</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营业执照编号</w:t>
            </w:r>
            <w:r/>
          </w:p>
        </w:tc>
        <w:tc>
          <w:tcPr>
            <w:tcBorders>
              <w:top w:val="single" w:color="auto" w:sz="4" w:space="0"/>
              <w:left w:val="single" w:color="auto" w:sz="4" w:space="0"/>
              <w:bottom w:val="single" w:color="auto" w:sz="4" w:space="0"/>
              <w:right w:val="single" w:color="auto" w:sz="4" w:space="0"/>
            </w:tcBorders>
            <w:tcW w:w="173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成立日期</w:t>
            </w:r>
            <w:r/>
          </w:p>
        </w:tc>
        <w:tc>
          <w:tcPr>
            <w:tcBorders>
              <w:top w:val="single" w:color="auto" w:sz="4" w:space="0"/>
              <w:left w:val="single" w:color="auto" w:sz="4" w:space="0"/>
              <w:bottom w:val="single" w:color="auto" w:sz="4" w:space="0"/>
              <w:right w:val="single" w:color="auto" w:sz="4" w:space="0"/>
            </w:tcBorders>
            <w:tcW w:w="2474"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cantSplit/>
          <w:jc w:val="center"/>
          <w:trHeight w:val="632"/>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cs="Times New Roman"/>
                <w:color w:val="auto"/>
                <w:spacing w:val="-12"/>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资产净值（万元）</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Height w:val="619"/>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行政负责人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姓名：职务：职称：</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姓名：职务：职称：</w:t>
            </w:r>
            <w:r/>
          </w:p>
        </w:tc>
      </w:tr>
      <w:tr>
        <w:trPr>
          <w:jc w:val="center"/>
          <w:trHeight w:val="950"/>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联系方式</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地址：邮编：电话：</w:t>
            </w:r>
            <w:r/>
          </w:p>
          <w:p>
            <w:pPr>
              <w:ind w:left="0" w:right="0"/>
              <w:jc w:val="both"/>
              <w:keepLines w:val="0"/>
              <w:keepNext w:val="0"/>
              <w:spacing w:before="0" w:beforeAutospacing="0" w:after="0" w:afterAutospacing="0" w:line="4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传真：</w:t>
            </w:r>
            <w:r>
              <w:rPr>
                <w:rFonts w:hint="default" w:ascii="Times New Roman" w:hAnsi="Times New Roman" w:eastAsia="楷体_GB2312" w:cs="Times New Roman"/>
                <w:color w:val="auto"/>
                <w:sz w:val="21"/>
                <w:szCs w:val="21"/>
                <w:highlight w:val="none"/>
                <w:lang w:val="en-US" w:eastAsia="zh-CN" w:bidi="ar"/>
              </w:rPr>
              <w:t xml:space="preserve">E-mail</w:t>
            </w:r>
            <w:r>
              <w:rPr>
                <w:rFonts w:hint="eastAsia" w:ascii="宋体" w:hAnsi="宋体" w:eastAsia="宋体" w:cs="宋体"/>
                <w:color w:val="auto"/>
                <w:sz w:val="21"/>
                <w:szCs w:val="21"/>
                <w:highlight w:val="none"/>
                <w:lang w:val="en-US" w:eastAsia="zh-CN" w:bidi="ar"/>
              </w:rPr>
              <w:t xml:space="preserve">：  联系人：</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开户银行</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户名：开户行：</w:t>
            </w:r>
            <w:r>
              <w:rPr>
                <w:rFonts w:hint="default" w:ascii="Times New Roman" w:hAnsi="Times New Roman" w:eastAsia="楷体_GB2312"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账号：</w:t>
            </w:r>
            <w:r/>
          </w:p>
        </w:tc>
      </w:tr>
      <w:tr>
        <w:trPr>
          <w:jc w:val="center"/>
          <w:trHeight w:val="588"/>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资金情况</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固定资产：（万元）</w:t>
            </w:r>
            <w:r>
              <w:rPr>
                <w:rFonts w:hint="default" w:ascii="Times New Roman" w:hAnsi="Times New Roman" w:eastAsia="楷体_GB2312"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流动资产：（万元）</w:t>
            </w:r>
            <w:r/>
          </w:p>
        </w:tc>
      </w:tr>
      <w:tr>
        <w:trPr>
          <w:cantSplit/>
          <w:jc w:val="center"/>
          <w:trHeight w:val="2630"/>
        </w:trPr>
        <w:tc>
          <w:tcPr>
            <w:gridSpan w:val="4"/>
            <w:tcBorders>
              <w:top w:val="single" w:color="auto" w:sz="4" w:space="0"/>
              <w:left w:val="single" w:color="auto" w:sz="4" w:space="0"/>
              <w:bottom w:val="single" w:color="auto" w:sz="4" w:space="0"/>
              <w:right w:val="single" w:color="auto" w:sz="4" w:space="0"/>
            </w:tcBorders>
            <w:tcW w:w="9464"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其它说明：</w:t>
            </w:r>
            <w:r/>
          </w:p>
        </w:tc>
      </w:tr>
    </w:tbl>
    <w:p>
      <w:pPr>
        <w:pStyle w:val="899"/>
        <w:ind w:left="0" w:right="0" w:firstLine="0"/>
        <w:jc w:val="left"/>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lang w:val="en-US" w:eastAsia="zh-CN" w:bidi="ar"/>
        </w:rPr>
        <w:t xml:space="preserve"> </w:t>
      </w:r>
      <w:r/>
    </w:p>
    <w:p>
      <w:pPr>
        <w:ind w:left="0" w:right="0" w:firstLine="420"/>
        <w:jc w:val="both"/>
        <w:keepLines w:val="0"/>
        <w:keepNext w:val="0"/>
        <w:spacing w:before="120" w:beforeAutospacing="0" w:after="0" w:afterAutospacing="0"/>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注：本表后附相关资质证书（如有）、营业执照等复印件。</w:t>
      </w:r>
      <w:r/>
    </w:p>
    <w:p>
      <w:pPr>
        <w:ind w:left="0" w:right="0" w:firstLine="420"/>
        <w:jc w:val="both"/>
        <w:keepLines w:val="0"/>
        <w:keepNext w:val="0"/>
        <w:spacing w:before="120" w:beforeAutospacing="0" w:after="0" w:afterAutospacing="0"/>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r>
      <w:r/>
    </w:p>
    <w:p>
      <w:pPr>
        <w:ind w:left="0" w:right="0" w:firstLine="420"/>
        <w:jc w:val="both"/>
        <w:keepLines w:val="0"/>
        <w:keepNext w:val="0"/>
        <w:spacing w:before="120" w:beforeAutospacing="0" w:after="0" w:afterAutospacing="0"/>
        <w:widowControl w:val="off"/>
        <w:rPr>
          <w:rFonts w:hint="default" w:ascii="宋体" w:hAnsi="宋体" w:eastAsia="宋体" w:cs="宋体"/>
          <w:bCs/>
          <w:color w:val="auto"/>
          <w:sz w:val="21"/>
          <w:szCs w:val="21"/>
          <w:highlight w:val="none"/>
          <w:lang w:val="en-US" w:eastAsia="zh-CN" w:bidi="ar"/>
        </w:rPr>
        <w:suppressLineNumbers w:val="0"/>
      </w:pPr>
      <w:r>
        <w:rPr>
          <w:rFonts w:hint="default" w:ascii="宋体" w:hAnsi="宋体" w:eastAsia="宋体" w:cs="宋体"/>
          <w:bCs/>
          <w:color w:val="auto"/>
          <w:sz w:val="21"/>
          <w:szCs w:val="21"/>
          <w:highlight w:val="none"/>
          <w:lang w:val="en-US" w:eastAsia="zh-CN" w:bidi="ar"/>
        </w:rPr>
      </w:r>
      <w:r/>
    </w:p>
    <w:p>
      <w:pPr>
        <w:ind w:left="0" w:firstLine="0"/>
        <w:rPr>
          <w:rFonts w:hint="default"/>
          <w:color w:val="auto"/>
          <w:highlight w:val="none"/>
          <w:lang w:val="en-US" w:eastAsia="zh-CN"/>
        </w:rPr>
      </w:pPr>
      <w:r>
        <w:rPr>
          <w:rFonts w:hint="default"/>
          <w:color w:val="auto"/>
          <w:highlight w:val="none"/>
          <w:lang w:val="en-US" w:eastAsia="zh-CN"/>
        </w:rPr>
      </w:r>
      <w:r/>
    </w:p>
    <w:p>
      <w:pPr>
        <w:pStyle w:val="840"/>
        <w:ind w:left="0" w:firstLine="0"/>
        <w:jc w:val="center"/>
        <w:keepLines w:val="0"/>
        <w:keepNext w:val="0"/>
        <w:pageBreakBefore w:val="0"/>
        <w:spacing w:before="0" w:after="0" w:line="360" w:lineRule="auto"/>
        <w:widowControl/>
        <w:rPr>
          <w:rFonts w:hint="eastAsia" w:ascii="宋体" w:hAnsi="宋体" w:eastAsia="宋体"/>
          <w:b/>
          <w:color w:val="auto"/>
          <w:sz w:val="28"/>
          <w:szCs w:val="28"/>
          <w:highlight w:val="none"/>
          <w:lang w:eastAsia="zh-CN"/>
        </w:rPr>
      </w:pPr>
      <w:r/>
      <w:bookmarkStart w:id="97" w:name="_Toc23660"/>
      <w:r/>
      <w:bookmarkStart w:id="98" w:name="_Toc4098"/>
      <w:r/>
      <w:bookmarkStart w:id="99" w:name="_Toc1514860571"/>
      <w:r>
        <w:rPr>
          <w:rFonts w:hint="eastAsia" w:ascii="宋体" w:hAnsi="宋体"/>
          <w:b/>
          <w:color w:val="auto"/>
          <w:sz w:val="28"/>
          <w:szCs w:val="28"/>
          <w:highlight w:val="none"/>
        </w:rPr>
        <w:t xml:space="preserve">第四章  </w:t>
      </w:r>
      <w:bookmarkEnd w:id="97"/>
      <w:r/>
      <w:bookmarkEnd w:id="98"/>
      <w:r/>
      <w:bookmarkEnd w:id="99"/>
      <w:r/>
      <w:bookmarkStart w:id="100" w:name="招标书"/>
      <w:r/>
      <w:bookmarkEnd w:id="100"/>
      <w:r>
        <w:rPr>
          <w:rFonts w:hint="eastAsia" w:ascii="宋体" w:hAnsi="宋体"/>
          <w:b/>
          <w:color w:val="auto"/>
          <w:sz w:val="28"/>
          <w:szCs w:val="28"/>
          <w:highlight w:val="none"/>
          <w:lang w:val="en-US" w:eastAsia="zh-CN"/>
        </w:rPr>
        <w:t xml:space="preserve">采购内容</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eastAsia="zh-CN"/>
        </w:rPr>
        <w:t xml:space="preserve">苏州捷信招投标咨询有限公司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苏州工业职业技术学院</w:t>
      </w:r>
      <w:r>
        <w:rPr>
          <w:rFonts w:hint="eastAsia" w:ascii="宋体" w:hAnsi="宋体"/>
          <w:color w:val="auto"/>
          <w:sz w:val="21"/>
          <w:szCs w:val="21"/>
          <w:highlight w:val="none"/>
          <w:u w:val="single"/>
        </w:rPr>
        <w:t xml:space="preserve">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苏州工业职业技术学院鸿蒙创新开发实训室</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lang w:eastAsia="zh-CN"/>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一、项目编号：</w:t>
      </w:r>
      <w:r>
        <w:rPr>
          <w:rFonts w:hint="eastAsia" w:ascii="宋体" w:hAnsi="宋体"/>
          <w:color w:val="auto"/>
          <w:sz w:val="21"/>
          <w:highlight w:val="none"/>
          <w:lang w:eastAsia="zh-CN"/>
        </w:rPr>
        <w:t xml:space="preserve">JSZC-320500-SZJX-G2026-0045</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二、项目名称：</w:t>
      </w:r>
      <w:r>
        <w:rPr>
          <w:rFonts w:hint="eastAsia" w:ascii="宋体" w:hAnsi="宋体"/>
          <w:color w:val="auto"/>
          <w:sz w:val="21"/>
          <w:highlight w:val="none"/>
          <w:lang w:eastAsia="zh-CN"/>
        </w:rPr>
        <w:t xml:space="preserve">苏州工业职业技术学院鸿蒙创新开发实训室</w:t>
      </w:r>
      <w:r/>
    </w:p>
    <w:p>
      <w:pPr>
        <w:ind w:left="0" w:firstLine="420"/>
        <w:spacing w:line="360" w:lineRule="auto"/>
        <w:tabs>
          <w:tab w:val="left" w:pos="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三、预算金额：人民币</w:t>
      </w:r>
      <w:r>
        <w:rPr>
          <w:rFonts w:hint="eastAsia" w:ascii="宋体" w:hAnsi="宋体"/>
          <w:color w:val="auto"/>
          <w:sz w:val="21"/>
          <w:highlight w:val="none"/>
          <w:lang w:val="en-US" w:eastAsia="zh-CN"/>
        </w:rPr>
        <w:t xml:space="preserve"> </w:t>
      </w:r>
      <w:r>
        <w:rPr>
          <w:rFonts w:hint="eastAsia" w:ascii="宋体" w:hAnsi="宋体"/>
          <w:color w:val="auto"/>
          <w:sz w:val="21"/>
          <w:highlight w:val="none"/>
          <w:lang w:eastAsia="zh-CN"/>
        </w:rPr>
        <w:t xml:space="preserve">壹佰陆拾捌万叁仟元整（¥1683000.00）</w:t>
      </w:r>
      <w:r/>
    </w:p>
    <w:p>
      <w:pPr>
        <w:ind w:left="0" w:firstLine="420"/>
        <w:spacing w:line="360" w:lineRule="auto"/>
        <w:tabs>
          <w:tab w:val="left" w:pos="42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四、最高限价：人民币</w:t>
      </w:r>
      <w:r>
        <w:rPr>
          <w:rFonts w:hint="eastAsia" w:ascii="宋体" w:hAnsi="宋体"/>
          <w:color w:val="auto"/>
          <w:sz w:val="21"/>
          <w:highlight w:val="none"/>
          <w:lang w:val="en-US" w:eastAsia="zh-CN"/>
        </w:rPr>
        <w:t xml:space="preserve"> </w:t>
      </w:r>
      <w:r>
        <w:rPr>
          <w:rFonts w:hint="eastAsia" w:ascii="宋体" w:hAnsi="宋体"/>
          <w:color w:val="auto"/>
          <w:sz w:val="21"/>
          <w:highlight w:val="none"/>
          <w:lang w:eastAsia="zh-CN"/>
        </w:rPr>
        <w:t xml:space="preserve">壹佰陆拾捌万叁仟元整（¥1683000.00）</w:t>
      </w:r>
      <w:r/>
    </w:p>
    <w:p>
      <w:pPr>
        <w:ind w:left="0" w:firstLine="420"/>
        <w:spacing w:line="360" w:lineRule="auto"/>
        <w:tabs>
          <w:tab w:val="left" w:pos="42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五、合同履行期限：</w:t>
      </w:r>
      <w:r>
        <w:rPr>
          <w:rFonts w:hint="eastAsia" w:ascii="Times New Roman" w:hAnsi="Times New Roman"/>
          <w:color w:val="auto"/>
          <w:sz w:val="21"/>
          <w:szCs w:val="21"/>
          <w:highlight w:val="none"/>
          <w:lang w:eastAsia="zh-CN"/>
        </w:rPr>
        <w:t xml:space="preserve">合同签订后，30天内交付并完成安装调试。</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六、招标内容：</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40"/>
        <w:gridCol w:w="7080"/>
        <w:gridCol w:w="560"/>
        <w:gridCol w:w="680"/>
      </w:tblGrid>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b/>
                <w:bCs/>
                <w:color w:val="auto"/>
                <w:sz w:val="21"/>
                <w:szCs w:val="21"/>
                <w:highlight w:val="none"/>
              </w:rPr>
              <w:suppressLineNumbers w:val="0"/>
            </w:pPr>
            <w:r>
              <w:rPr>
                <w:rFonts w:hint="eastAsia"/>
                <w:b/>
                <w:bCs/>
                <w:color w:val="auto"/>
                <w:sz w:val="21"/>
                <w:szCs w:val="21"/>
                <w:highlight w:val="none"/>
              </w:rPr>
              <w:t xml:space="preserve">序号</w:t>
            </w:r>
            <w:r/>
          </w:p>
        </w:tc>
        <w:tc>
          <w:tcPr>
            <w:tcW w:w="640"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内容</w:t>
            </w:r>
            <w:r/>
          </w:p>
        </w:tc>
        <w:tc>
          <w:tcPr>
            <w:tcW w:w="70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技术参数要求</w:t>
            </w:r>
            <w:r/>
          </w:p>
        </w:tc>
        <w:tc>
          <w:tcPr>
            <w:tcW w:w="56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b/>
                <w:bCs/>
                <w:color w:val="auto"/>
                <w:sz w:val="21"/>
                <w:szCs w:val="21"/>
                <w:highlight w:val="none"/>
              </w:rPr>
              <w:suppressLineNumbers w:val="0"/>
            </w:pPr>
            <w:r>
              <w:rPr>
                <w:rFonts w:hint="eastAsia"/>
                <w:b/>
                <w:bCs/>
                <w:color w:val="auto"/>
                <w:sz w:val="21"/>
                <w:szCs w:val="21"/>
                <w:highlight w:val="none"/>
              </w:rPr>
              <w:t xml:space="preserve">单位</w:t>
            </w:r>
            <w:r/>
          </w:p>
        </w:tc>
        <w:tc>
          <w:tcPr>
            <w:tcW w:w="680" w:type="dxa"/>
            <w:vAlign w:val="center"/>
            <w:textDirection w:val="lrTb"/>
            <w:noWrap w:val="false"/>
          </w:tcPr>
          <w:p>
            <w:pPr>
              <w:ind w:left="0" w:right="0"/>
              <w:jc w:val="left"/>
              <w:keepLines w:val="0"/>
              <w:keepNext w:val="0"/>
              <w:pageBreakBefore w:val="0"/>
              <w:spacing w:before="0" w:beforeAutospacing="0" w:after="0" w:afterAutospacing="0"/>
              <w:widowControl/>
              <w:rPr>
                <w:rFonts w:ascii="宋体" w:hAnsi="宋体" w:cs="宋体"/>
                <w:b/>
                <w:bCs/>
                <w:color w:val="auto"/>
                <w:sz w:val="21"/>
                <w:szCs w:val="21"/>
                <w:highlight w:val="none"/>
              </w:rPr>
              <w:suppressLineNumbers w:val="0"/>
            </w:pPr>
            <w:r>
              <w:rPr>
                <w:rFonts w:hint="eastAsia"/>
                <w:b/>
                <w:bCs/>
                <w:color w:val="auto"/>
                <w:sz w:val="21"/>
                <w:szCs w:val="21"/>
                <w:highlight w:val="none"/>
              </w:rPr>
              <w:t xml:space="preserve">数量</w:t>
            </w:r>
            <w:r/>
          </w:p>
        </w:tc>
      </w:tr>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1</w:t>
            </w:r>
            <w:r/>
          </w:p>
        </w:tc>
        <w:tc>
          <w:tcPr>
            <w:tcW w:w="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开源鸿蒙全场景应用开发实验平台</w:t>
            </w:r>
            <w:r/>
          </w:p>
        </w:tc>
        <w:tc>
          <w:tcPr>
            <w:tcW w:w="7080" w:type="dxa"/>
            <w:vAlign w:val="center"/>
            <w:textDirection w:val="lrTb"/>
            <w:noWrap w:val="false"/>
          </w:tcPr>
          <w:p>
            <w:pPr>
              <w:numPr>
                <w:ilvl w:val="0"/>
                <w:numId w:val="1"/>
              </w:numPr>
              <w:ind w:left="0" w:right="0"/>
              <w:jc w:val="left"/>
              <w:keepLines w:val="0"/>
              <w:keepNext w:val="0"/>
              <w:pageBreakBefore w:val="0"/>
              <w:spacing w:before="0" w:beforeAutospacing="0" w:after="0" w:afterAutospacing="0" w:line="240" w:lineRule="auto"/>
              <w:widowControl/>
              <w:rPr>
                <w:rFonts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基于多内核设计的全场景分布式国产操作系统的IOT实验箱</w:t>
            </w:r>
            <w:r>
              <w:rPr>
                <w:rFonts w:ascii="宋体" w:hAnsi="宋体" w:eastAsia="宋体"/>
                <w:color w:val="auto"/>
                <w:sz w:val="20"/>
                <w:szCs w:val="20"/>
                <w:highlight w:val="none"/>
              </w:rPr>
              <w:br/>
            </w:r>
            <w:r>
              <w:rPr>
                <w:rFonts w:ascii="宋体" w:hAnsi="宋体" w:eastAsia="宋体"/>
                <w:color w:val="auto"/>
                <w:sz w:val="20"/>
                <w:szCs w:val="20"/>
                <w:highlight w:val="none"/>
              </w:rPr>
              <w:t xml:space="preserve">（1）包含≥3个轻量级国产操作系统的瘦设备核心板；</w:t>
            </w:r>
            <w:r>
              <w:rPr>
                <w:rFonts w:ascii="宋体" w:hAnsi="宋体" w:eastAsia="宋体"/>
                <w:color w:val="auto"/>
                <w:sz w:val="20"/>
                <w:szCs w:val="20"/>
                <w:highlight w:val="none"/>
              </w:rPr>
              <w:br/>
            </w:r>
            <w:r>
              <w:rPr>
                <w:rFonts w:ascii="宋体" w:hAnsi="宋体" w:eastAsia="宋体"/>
                <w:color w:val="auto"/>
                <w:sz w:val="20"/>
                <w:szCs w:val="20"/>
                <w:highlight w:val="none"/>
              </w:rPr>
              <w:t xml:space="preserve">（2）≥1个国产操作系统的标准富设备核心板；</w:t>
            </w:r>
            <w:r>
              <w:rPr>
                <w:rFonts w:ascii="宋体" w:hAnsi="宋体" w:eastAsia="宋体"/>
                <w:color w:val="auto"/>
                <w:sz w:val="20"/>
                <w:szCs w:val="20"/>
                <w:highlight w:val="none"/>
              </w:rPr>
              <w:br/>
            </w:r>
            <w:r>
              <w:rPr>
                <w:rFonts w:ascii="宋体" w:hAnsi="宋体" w:eastAsia="宋体"/>
                <w:color w:val="auto"/>
                <w:sz w:val="20"/>
                <w:szCs w:val="20"/>
                <w:highlight w:val="none"/>
              </w:rPr>
              <w:t xml:space="preserve">（3）≥17个物联网传感器/执行器模块。</w:t>
            </w:r>
            <w:r>
              <w:rPr>
                <w:rFonts w:ascii="宋体" w:hAnsi="宋体" w:eastAsia="宋体"/>
                <w:color w:val="auto"/>
                <w:sz w:val="20"/>
                <w:szCs w:val="20"/>
                <w:highlight w:val="none"/>
              </w:rPr>
              <w:br/>
            </w:r>
            <w:r>
              <w:rPr>
                <w:rFonts w:ascii="宋体" w:hAnsi="宋体" w:eastAsia="宋体"/>
                <w:color w:val="auto"/>
                <w:sz w:val="20"/>
                <w:szCs w:val="20"/>
                <w:highlight w:val="none"/>
              </w:rPr>
              <w:t xml:space="preserve">2、实验箱支持技术包括不限于OpenHarmony的应用开发以及设备开发，ArkTS、ArkUI，Socket（TCP，UDP），MQTT，HTTP。</w:t>
            </w:r>
            <w:r>
              <w:rPr>
                <w:rFonts w:ascii="宋体" w:hAnsi="宋体" w:eastAsia="宋体"/>
                <w:color w:val="auto"/>
                <w:sz w:val="20"/>
                <w:szCs w:val="20"/>
                <w:highlight w:val="none"/>
              </w:rPr>
              <w:br/>
            </w:r>
            <w:r>
              <w:rPr>
                <w:rFonts w:ascii="宋体" w:hAnsi="宋体" w:eastAsia="宋体"/>
                <w:color w:val="auto"/>
                <w:sz w:val="20"/>
                <w:szCs w:val="20"/>
                <w:highlight w:val="none"/>
              </w:rPr>
              <w:t xml:space="preserve">3、物联网模块支持搭积木方式的拼接，使用磁吸插槽，各个模块之间可以进行磁吸联接，同时提供多个香蕉头，方便接线形式进行实验，并加入防短路设计。</w:t>
            </w:r>
            <w:r/>
          </w:p>
          <w:p>
            <w:pPr>
              <w:numPr>
                <w:ilvl w:val="0"/>
                <w:numId w:val="0"/>
              </w:numPr>
              <w:ind w:right="0"/>
              <w:jc w:val="left"/>
              <w:keepLines w:val="0"/>
              <w:keepNext w:val="0"/>
              <w:pageBreakBefore w:val="0"/>
              <w:spacing w:before="0" w:beforeAutospacing="0" w:after="0" w:afterAutospacing="0" w:line="240" w:lineRule="auto"/>
              <w:widowControl/>
              <w:rPr>
                <w:rFonts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4、瘦设备核心板：主控芯片≥160MHz、≥280K RAM、≥2MB Flash、支持WiFi。</w:t>
            </w:r>
            <w:r>
              <w:rPr>
                <w:rFonts w:ascii="宋体" w:hAnsi="宋体" w:eastAsia="宋体"/>
                <w:color w:val="auto"/>
                <w:sz w:val="20"/>
                <w:szCs w:val="20"/>
                <w:highlight w:val="none"/>
              </w:rPr>
              <w:br/>
            </w:r>
            <w:r>
              <w:rPr>
                <w:rFonts w:ascii="宋体" w:hAnsi="宋体" w:eastAsia="宋体"/>
                <w:color w:val="auto"/>
                <w:sz w:val="20"/>
                <w:szCs w:val="20"/>
                <w:highlight w:val="none"/>
              </w:rPr>
              <w:t xml:space="preserve">5、ARM架构标准富设备核心板</w:t>
            </w:r>
            <w:r>
              <w:rPr>
                <w:rFonts w:ascii="宋体" w:hAnsi="宋体" w:eastAsia="宋体"/>
                <w:color w:val="auto"/>
                <w:sz w:val="20"/>
                <w:szCs w:val="20"/>
                <w:highlight w:val="none"/>
              </w:rPr>
              <w:br/>
            </w:r>
            <w:r>
              <w:rPr>
                <w:rFonts w:ascii="宋体" w:hAnsi="宋体" w:eastAsia="宋体"/>
                <w:color w:val="auto"/>
                <w:sz w:val="20"/>
                <w:szCs w:val="20"/>
                <w:highlight w:val="none"/>
              </w:rPr>
              <w:t xml:space="preserve">（1）内置国产处理器，使用ARM 架构；支持OpenHarmony、Android系统，可进行灵活配置。</w:t>
            </w:r>
            <w:r>
              <w:rPr>
                <w:rFonts w:ascii="宋体" w:hAnsi="宋体" w:eastAsia="宋体"/>
                <w:color w:val="auto"/>
                <w:sz w:val="20"/>
                <w:szCs w:val="20"/>
                <w:highlight w:val="none"/>
              </w:rPr>
              <w:br/>
            </w:r>
            <w:r>
              <w:rPr>
                <w:rFonts w:ascii="宋体" w:hAnsi="宋体" w:eastAsia="宋体"/>
                <w:color w:val="auto"/>
                <w:sz w:val="20"/>
                <w:szCs w:val="20"/>
                <w:highlight w:val="none"/>
              </w:rPr>
              <w:t xml:space="preserve">（2）Soc：Cortex-A55，核心≥4核、主频≥2.0GHz、内存≥2GB、存储空间≥32GB；</w:t>
            </w:r>
            <w:r>
              <w:rPr>
                <w:rFonts w:ascii="宋体" w:hAnsi="宋体" w:eastAsia="宋体"/>
                <w:color w:val="auto"/>
                <w:sz w:val="20"/>
                <w:szCs w:val="20"/>
                <w:highlight w:val="none"/>
              </w:rPr>
              <w:br/>
            </w:r>
            <w:r>
              <w:rPr>
                <w:rFonts w:ascii="宋体" w:hAnsi="宋体" w:eastAsia="宋体"/>
                <w:color w:val="auto"/>
                <w:sz w:val="20"/>
                <w:szCs w:val="20"/>
                <w:highlight w:val="none"/>
              </w:rPr>
              <w:t xml:space="preserve">（3）算力：≥1Tops；</w:t>
            </w:r>
            <w:r>
              <w:rPr>
                <w:rFonts w:ascii="宋体" w:hAnsi="宋体" w:eastAsia="宋体"/>
                <w:color w:val="auto"/>
                <w:sz w:val="20"/>
                <w:szCs w:val="20"/>
                <w:highlight w:val="none"/>
              </w:rPr>
              <w:br/>
            </w:r>
            <w:r>
              <w:rPr>
                <w:rFonts w:ascii="宋体" w:hAnsi="宋体" w:eastAsia="宋体"/>
                <w:color w:val="auto"/>
                <w:sz w:val="20"/>
                <w:szCs w:val="20"/>
                <w:highlight w:val="none"/>
              </w:rPr>
              <w:t xml:space="preserve">▲（4）USB2.0 Host≥1个；USB3.0 Host≥1个；USB3.0OTG≥1个；HDMI≥1个；eDP≥1个；以太网接口≥2个；支持WiFi和蓝牙；</w:t>
            </w:r>
            <w:r/>
          </w:p>
          <w:p>
            <w:pPr>
              <w:numPr>
                <w:ilvl w:val="0"/>
                <w:numId w:val="0"/>
              </w:numPr>
              <w:ind w:right="0"/>
              <w:jc w:val="left"/>
              <w:keepLines w:val="0"/>
              <w:keepNext w:val="0"/>
              <w:pageBreakBefore w:val="0"/>
              <w:spacing w:before="0" w:beforeAutospacing="0" w:after="0" w:afterAutospacing="0" w:line="240" w:lineRule="auto"/>
              <w:widowControl/>
              <w:rPr>
                <w:rFonts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（5）支持运行OpenHarmony 6.1 Release及以上版本；</w:t>
            </w:r>
            <w:r/>
          </w:p>
          <w:p>
            <w:pPr>
              <w:numPr>
                <w:ilvl w:val="0"/>
                <w:numId w:val="0"/>
              </w:numPr>
              <w:ind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eastAsia="zh-CN"/>
              </w:rPr>
              <w:suppressLineNumbers w:val="0"/>
            </w:pPr>
            <w:r>
              <w:rPr>
                <w:rFonts w:ascii="宋体" w:hAnsi="宋体" w:eastAsia="宋体"/>
                <w:color w:val="auto"/>
                <w:sz w:val="20"/>
                <w:szCs w:val="20"/>
                <w:highlight w:val="none"/>
              </w:rPr>
              <w:t xml:space="preserve">（6）OpenHarmony操作系统上支持安卓组件兼容框架，需支持在OpenHarmony操作系统上安装安卓APP</w:t>
            </w:r>
            <w:r>
              <w:rPr>
                <w:rFonts w:hint="eastAsia" w:ascii="宋体" w:hAnsi="宋体"/>
                <w:color w:val="auto"/>
                <w:sz w:val="20"/>
                <w:szCs w:val="20"/>
                <w:highlight w:val="none"/>
                <w:lang w:eastAsia="zh-CN"/>
              </w:rPr>
              <w:t xml:space="preserve">，</w:t>
            </w:r>
            <w:r>
              <w:rPr>
                <w:rFonts w:hint="default" w:ascii="Times New Roman" w:hAnsi="Times New Roman" w:eastAsia="宋体" w:cs="Times New Roman"/>
                <w:color w:val="auto"/>
                <w:sz w:val="20"/>
                <w:szCs w:val="20"/>
                <w:highlight w:val="none"/>
              </w:rPr>
              <w:t xml:space="preserve">提供在本开发套件上安装安卓APK文件（Android应用程序包</w:t>
            </w:r>
            <w:r>
              <w:rPr>
                <w:rFonts w:hint="eastAsia" w:ascii="Times New Roman" w:hAnsi="Times New Roman" w:cs="Times New Roman"/>
                <w:color w:val="auto"/>
                <w:sz w:val="20"/>
                <w:szCs w:val="20"/>
                <w:highlight w:val="none"/>
                <w:lang w:eastAsia="zh-CN"/>
              </w:rPr>
              <w:t xml:space="preserve">）。</w:t>
            </w:r>
            <w:r/>
          </w:p>
          <w:p>
            <w:pPr>
              <w:numPr>
                <w:ilvl w:val="0"/>
                <w:numId w:val="0"/>
              </w:numPr>
              <w:ind w:right="0"/>
              <w:jc w:val="left"/>
              <w:keepLines w:val="0"/>
              <w:keepNext w:val="0"/>
              <w:pageBreakBefore w:val="0"/>
              <w:spacing w:before="0" w:beforeAutospacing="0" w:after="0" w:afterAutospacing="0" w:line="240" w:lineRule="auto"/>
              <w:widowControl/>
              <w:rPr>
                <w:rFonts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▲（7）所投产品须兼容OpenHarmony操作系统，符合OpenHarmony产品兼容性规范文档（PCS）要求，支持在OpenHarmony官方兼容性测评平台可查询验证。</w:t>
            </w:r>
            <w:r>
              <w:rPr>
                <w:rFonts w:ascii="宋体" w:hAnsi="宋体" w:eastAsia="宋体"/>
                <w:b/>
                <w:bCs/>
                <w:color w:val="auto"/>
                <w:sz w:val="20"/>
                <w:szCs w:val="20"/>
                <w:highlight w:val="none"/>
              </w:rPr>
              <w:t xml:space="preserve">【投标时提供产品兼容OpenHarmony的技术证明材料（含OpenHarmony生态产品兼容性证书等），</w:t>
            </w:r>
            <w:r>
              <w:rPr>
                <w:rFonts w:hint="eastAsia" w:ascii="宋体" w:hAnsi="宋体"/>
                <w:b/>
                <w:bCs/>
                <w:color w:val="auto"/>
                <w:sz w:val="20"/>
                <w:szCs w:val="20"/>
                <w:highlight w:val="none"/>
                <w:lang w:val="en-US" w:eastAsia="zh-CN"/>
              </w:rPr>
              <w:t xml:space="preserve">中标后会</w:t>
            </w:r>
            <w:r>
              <w:rPr>
                <w:rFonts w:ascii="宋体" w:hAnsi="宋体" w:eastAsia="宋体"/>
                <w:b/>
                <w:bCs/>
                <w:color w:val="auto"/>
                <w:sz w:val="20"/>
                <w:szCs w:val="20"/>
                <w:highlight w:val="none"/>
              </w:rPr>
              <w:t xml:space="preserve">通过官方渠道（</w:t>
            </w:r>
            <w:r>
              <w:rPr>
                <w:color w:val="auto"/>
                <w:sz w:val="20"/>
                <w:szCs w:val="20"/>
                <w:highlight w:val="none"/>
              </w:rPr>
              <w:fldChar w:fldCharType="begin"/>
            </w:r>
            <w:r>
              <w:rPr>
                <w:color w:val="auto"/>
                <w:sz w:val="20"/>
                <w:szCs w:val="20"/>
                <w:highlight w:val="none"/>
              </w:rPr>
              <w:instrText xml:space="preserve">HYPERLINK "https://www.openharmony.cn/testResult"</w:instrText>
            </w:r>
            <w:r>
              <w:rPr>
                <w:rFonts w:hint="eastAsia"/>
                <w:color w:val="auto"/>
                <w:sz w:val="20"/>
                <w:szCs w:val="20"/>
                <w:highlight w:val="none"/>
              </w:rPr>
              <w:fldChar w:fldCharType="separate"/>
            </w:r>
            <w:r>
              <w:rPr>
                <w:rFonts w:ascii="宋体" w:hAnsi="宋体" w:eastAsia="宋体"/>
                <w:b/>
                <w:bCs/>
                <w:color w:val="auto"/>
                <w:sz w:val="20"/>
                <w:szCs w:val="20"/>
                <w:highlight w:val="none"/>
              </w:rPr>
              <w:t xml:space="preserve">https</w:t>
            </w:r>
            <w:r>
              <w:rPr>
                <w:rFonts w:hint="eastAsia" w:ascii="宋体" w:hAnsi="宋体"/>
                <w:b/>
                <w:bCs/>
                <w:color w:val="auto"/>
                <w:sz w:val="20"/>
                <w:szCs w:val="20"/>
                <w:highlight w:val="none"/>
                <w:lang w:eastAsia="zh-CN"/>
              </w:rPr>
              <w:t xml:space="preserve">：</w:t>
            </w:r>
            <w:r>
              <w:rPr>
                <w:rFonts w:ascii="宋体" w:hAnsi="宋体" w:eastAsia="宋体"/>
                <w:b/>
                <w:bCs/>
                <w:color w:val="auto"/>
                <w:sz w:val="20"/>
                <w:szCs w:val="20"/>
                <w:highlight w:val="none"/>
              </w:rPr>
              <w:t xml:space="preserve">//www.openharmony.cn/testResult</w:t>
            </w:r>
            <w:r>
              <w:rPr>
                <w:color w:val="auto"/>
                <w:sz w:val="20"/>
                <w:szCs w:val="20"/>
                <w:highlight w:val="none"/>
              </w:rPr>
              <w:fldChar w:fldCharType="end"/>
            </w:r>
            <w:r>
              <w:rPr>
                <w:rFonts w:ascii="宋体" w:hAnsi="宋体" w:eastAsia="宋体"/>
                <w:b/>
                <w:bCs/>
                <w:color w:val="auto"/>
                <w:sz w:val="20"/>
                <w:szCs w:val="20"/>
                <w:highlight w:val="none"/>
              </w:rPr>
              <w:t xml:space="preserve">）核实】</w:t>
            </w:r>
            <w:r>
              <w:rPr>
                <w:rFonts w:ascii="宋体" w:hAnsi="宋体" w:eastAsia="宋体"/>
                <w:color w:val="auto"/>
                <w:sz w:val="20"/>
                <w:szCs w:val="20"/>
                <w:highlight w:val="none"/>
              </w:rPr>
              <w:br/>
            </w:r>
            <w:r>
              <w:rPr>
                <w:rFonts w:ascii="宋体" w:hAnsi="宋体" w:eastAsia="宋体"/>
                <w:color w:val="auto"/>
                <w:sz w:val="20"/>
                <w:szCs w:val="20"/>
                <w:highlight w:val="none"/>
              </w:rPr>
              <w:t xml:space="preserve">6、AIoT母板：≥1个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（1）主板插槽≥3 个，提供5V 供电接口、J-link 下载接口、CC-debug 下载接口；</w:t>
            </w:r>
            <w:r>
              <w:rPr>
                <w:rFonts w:ascii="宋体" w:hAnsi="宋体" w:eastAsia="宋体"/>
                <w:color w:val="auto"/>
                <w:sz w:val="20"/>
                <w:szCs w:val="20"/>
                <w:highlight w:val="none"/>
              </w:rPr>
              <w:br/>
            </w:r>
            <w:r>
              <w:rPr>
                <w:rFonts w:ascii="宋体" w:hAnsi="宋体" w:eastAsia="宋体"/>
                <w:color w:val="auto"/>
                <w:sz w:val="20"/>
                <w:szCs w:val="20"/>
                <w:highlight w:val="none"/>
              </w:rPr>
              <w:t xml:space="preserve">（2）提供静电保护芯片，防止静电击穿，提供防短路、过流保护；配有TX、RX 通信指示灯；</w:t>
            </w:r>
            <w:r>
              <w:rPr>
                <w:rFonts w:ascii="宋体" w:hAnsi="宋体" w:eastAsia="宋体"/>
                <w:color w:val="auto"/>
                <w:sz w:val="20"/>
                <w:szCs w:val="20"/>
                <w:highlight w:val="none"/>
              </w:rPr>
              <w:br/>
            </w:r>
            <w:r>
              <w:rPr>
                <w:rFonts w:ascii="宋体" w:hAnsi="宋体" w:eastAsia="宋体"/>
                <w:color w:val="auto"/>
                <w:sz w:val="20"/>
                <w:szCs w:val="20"/>
                <w:highlight w:val="none"/>
              </w:rPr>
              <w:t xml:space="preserve">（3）总输出、输入口为TYPE-B 型接口；配有1 根USB线，主要用于通信和供电；</w:t>
            </w:r>
            <w:r>
              <w:rPr>
                <w:rFonts w:ascii="宋体" w:hAnsi="宋体" w:eastAsia="宋体"/>
                <w:color w:val="auto"/>
                <w:sz w:val="20"/>
                <w:szCs w:val="20"/>
                <w:highlight w:val="none"/>
              </w:rPr>
              <w:br/>
            </w:r>
            <w:r>
              <w:rPr>
                <w:rFonts w:ascii="宋体" w:hAnsi="宋体" w:eastAsia="宋体"/>
                <w:color w:val="auto"/>
                <w:sz w:val="20"/>
                <w:szCs w:val="20"/>
                <w:highlight w:val="none"/>
              </w:rPr>
              <w:t xml:space="preserve">（4）配有串口切换键，可实现不同插槽的串口切换需求；配有电源开关键，实现整体的电源供电管理。。</w:t>
            </w:r>
            <w:r>
              <w:rPr>
                <w:rFonts w:ascii="宋体" w:hAnsi="宋体" w:eastAsia="宋体"/>
                <w:color w:val="auto"/>
                <w:sz w:val="20"/>
                <w:szCs w:val="20"/>
                <w:highlight w:val="none"/>
              </w:rPr>
              <w:br/>
            </w:r>
            <w:r>
              <w:rPr>
                <w:rFonts w:ascii="宋体" w:hAnsi="宋体" w:eastAsia="宋体"/>
                <w:color w:val="auto"/>
                <w:sz w:val="20"/>
                <w:szCs w:val="20"/>
                <w:highlight w:val="none"/>
              </w:rPr>
              <w:t xml:space="preserve">7、传感器/执行器模块</w:t>
            </w:r>
            <w:r>
              <w:rPr>
                <w:rFonts w:ascii="宋体" w:hAnsi="宋体" w:eastAsia="宋体"/>
                <w:color w:val="auto"/>
                <w:sz w:val="20"/>
                <w:szCs w:val="20"/>
                <w:highlight w:val="none"/>
              </w:rPr>
              <w:br/>
            </w:r>
            <w:r>
              <w:rPr>
                <w:rFonts w:ascii="宋体" w:hAnsi="宋体" w:eastAsia="宋体"/>
                <w:color w:val="auto"/>
                <w:sz w:val="20"/>
                <w:szCs w:val="20"/>
                <w:highlight w:val="none"/>
              </w:rPr>
              <w:t xml:space="preserve">（1）交通灯板：≥1个，包含 LED灯≥3个，按键≥1个；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（2）OLED显示板：≥1个，显示屏尺寸≥0.96英寸，按键≥2个；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（3）炫彩灯板：≥1块，包含三色LED≥1颗，红外传感器≥1个，光敏电阻≥1个；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（4）环境检测板：≥1块，包含温湿度传感器≥1个，蜂鸣器≥1个，可燃气体传感器≥1个；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（5）水位传感器：≥1个；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（6）火焰传感器：≥1个；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（7）门锁执行器：≥1个；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（8）窗帘执行器：≥1个；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（9）风扇执行器：≥1个；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（10）语音控制板：≥1个；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（11）水温传感器：≥1个；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（12）PM2.5传感器：≥1个；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（13）土壤湿度传感器：≥1个；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（14）PH值传感器：≥1个；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（15）风速采集传感器：≥1个；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（16）雨雪传感器：≥1个；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（17）水泵执行器：≥1个；</w:t>
            </w:r>
            <w:r>
              <w:rPr>
                <w:rFonts w:ascii="宋体" w:hAnsi="宋体" w:eastAsia="宋体"/>
                <w:color w:val="auto"/>
                <w:sz w:val="20"/>
                <w:szCs w:val="20"/>
                <w:highlight w:val="none"/>
              </w:rPr>
              <w:br/>
            </w:r>
            <w:r>
              <w:rPr>
                <w:rFonts w:ascii="宋体" w:hAnsi="宋体" w:eastAsia="宋体"/>
                <w:color w:val="auto"/>
                <w:sz w:val="20"/>
                <w:szCs w:val="20"/>
                <w:highlight w:val="none"/>
              </w:rPr>
              <w:t xml:space="preserve">8、迷你交换机：≥1个。</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9、智能传感器仿真系统</w:t>
            </w:r>
            <w:r/>
          </w:p>
          <w:p>
            <w:pPr>
              <w:ind w:left="0" w:right="0"/>
              <w:jc w:val="left"/>
              <w:keepLines w:val="0"/>
              <w:keepNext w:val="0"/>
              <w:pageBreakBefore w:val="0"/>
              <w:spacing w:before="0" w:beforeAutospacing="0" w:after="0" w:afterAutospacing="0" w:line="240" w:lineRule="auto"/>
              <w:widowControl/>
              <w:rPr>
                <w:rFonts w:hint="default"/>
                <w:color w:val="auto"/>
                <w:sz w:val="20"/>
                <w:szCs w:val="20"/>
                <w:highlight w:val="none"/>
                <w:lang w:val="en-US" w:eastAsia="zh-CN"/>
              </w:rPr>
              <w:suppressLineNumbers w:val="0"/>
            </w:pPr>
            <w:r>
              <w:rPr>
                <w:rFonts w:hint="default"/>
                <w:color w:val="auto"/>
                <w:sz w:val="20"/>
                <w:szCs w:val="20"/>
                <w:highlight w:val="none"/>
                <w:lang w:val="en-US" w:eastAsia="zh-CN"/>
              </w:rPr>
              <w:t xml:space="preserve">该系统支持多种智能传感器（包括温湿度、烟雾、红外、压力、位移、扭矩、超声、激光测距等）的仿真教学，可在PC或Android终端上进行数据采集与动</w:t>
            </w:r>
            <w:r/>
          </w:p>
          <w:p>
            <w:pPr>
              <w:ind w:left="0" w:right="0"/>
              <w:jc w:val="left"/>
              <w:keepLines w:val="0"/>
              <w:keepNext w:val="0"/>
              <w:pageBreakBefore w:val="0"/>
              <w:spacing w:before="0" w:beforeAutospacing="0" w:after="0" w:afterAutospacing="0" w:line="240" w:lineRule="auto"/>
              <w:widowControl/>
              <w:rPr>
                <w:rFonts w:hint="default"/>
                <w:color w:val="auto"/>
                <w:sz w:val="20"/>
                <w:szCs w:val="20"/>
                <w:highlight w:val="none"/>
                <w:lang w:val="en-US" w:eastAsia="zh-CN"/>
              </w:rPr>
              <w:suppressLineNumbers w:val="0"/>
            </w:pPr>
            <w:r>
              <w:rPr>
                <w:rFonts w:hint="default"/>
                <w:color w:val="auto"/>
                <w:sz w:val="20"/>
                <w:szCs w:val="20"/>
                <w:highlight w:val="none"/>
                <w:lang w:val="en-US" w:eastAsia="zh-CN"/>
              </w:rPr>
              <w:t xml:space="preserve">态图表展示实验。</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1）系统要求</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1.1</w:t>
            </w:r>
            <w:r>
              <w:rPr>
                <w:rFonts w:hint="default" w:ascii="宋体" w:hAnsi="宋体" w:eastAsia="宋体"/>
                <w:color w:val="auto"/>
                <w:sz w:val="20"/>
                <w:szCs w:val="20"/>
                <w:highlight w:val="none"/>
                <w:lang w:val="en-US" w:eastAsia="zh-CN"/>
              </w:rPr>
              <w:t xml:space="preserve">系统支持运行在Android 4.0以上操作系统上；</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1.2</w:t>
            </w:r>
            <w:r>
              <w:rPr>
                <w:rFonts w:hint="default" w:ascii="宋体" w:hAnsi="宋体" w:eastAsia="宋体"/>
                <w:color w:val="auto"/>
                <w:sz w:val="20"/>
                <w:szCs w:val="20"/>
                <w:highlight w:val="none"/>
                <w:lang w:val="en-US" w:eastAsia="zh-CN"/>
              </w:rPr>
              <w:t xml:space="preserve">系统能够对不少于25种智能传感器进行仿真，包括但不限于：</w:t>
            </w:r>
            <w:r>
              <w:rPr>
                <w:rFonts w:hint="eastAsia" w:ascii="宋体" w:hAnsi="宋体" w:eastAsia="宋体"/>
                <w:color w:val="auto"/>
                <w:sz w:val="20"/>
                <w:szCs w:val="20"/>
                <w:highlight w:val="none"/>
                <w:lang w:val="en-US" w:eastAsia="zh-CN"/>
              </w:rPr>
              <w:t xml:space="preserve">空气温湿度传感器、烟雾传感器、震动传感器、红外传感器、门磁报警器、大气压力传感器、PM2.5传感器、角度传感器、位移传感器、扭矩传感器、拉力压力传感器、超声液位传感器、转速传感器、激光测距传感器、热偶传感器、火焰传感器、液化石油气传感器、声音传感器、光敏电阻传感器、红外反射开关传感器、电感式接近开关传感器、电容式接近开关传感器、光电旋转编码器</w:t>
            </w:r>
            <w:r>
              <w:rPr>
                <w:rFonts w:hint="default" w:ascii="宋体" w:hAnsi="宋体" w:eastAsia="宋体"/>
                <w:color w:val="auto"/>
                <w:sz w:val="20"/>
                <w:szCs w:val="20"/>
                <w:highlight w:val="none"/>
                <w:lang w:val="en-US" w:eastAsia="zh-CN"/>
              </w:rPr>
              <w:t xml:space="preserve">；</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1.3</w:t>
            </w:r>
            <w:r>
              <w:rPr>
                <w:rFonts w:hint="default" w:ascii="宋体" w:hAnsi="宋体" w:eastAsia="宋体"/>
                <w:color w:val="auto"/>
                <w:sz w:val="20"/>
                <w:szCs w:val="20"/>
                <w:highlight w:val="none"/>
                <w:lang w:val="en-US" w:eastAsia="zh-CN"/>
              </w:rPr>
              <w:t xml:space="preserve">软件可通过数据接口操作仿真系统中的传感器，仿真设备具有与真实传感器一致的数据输出格式。</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2）功能要求</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color w:val="auto"/>
                <w:sz w:val="20"/>
                <w:szCs w:val="20"/>
                <w:highlight w:val="none"/>
                <w:lang w:val="en-US" w:eastAsia="zh-CN"/>
              </w:rPr>
              <w:t xml:space="preserve">2.1</w:t>
            </w:r>
            <w:r>
              <w:rPr>
                <w:rFonts w:hint="default" w:ascii="宋体" w:hAnsi="宋体" w:eastAsia="宋体"/>
                <w:color w:val="auto"/>
                <w:sz w:val="20"/>
                <w:szCs w:val="20"/>
                <w:highlight w:val="none"/>
                <w:lang w:val="en-US" w:eastAsia="zh-CN"/>
              </w:rPr>
              <w:t xml:space="preserve">具有注册功能，需要师生添加相关信息进行注册；</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color w:val="auto"/>
                <w:sz w:val="20"/>
                <w:szCs w:val="20"/>
                <w:highlight w:val="none"/>
                <w:lang w:val="en-US" w:eastAsia="zh-CN"/>
              </w:rPr>
              <w:t xml:space="preserve">2.2</w:t>
            </w:r>
            <w:r>
              <w:rPr>
                <w:rFonts w:hint="default" w:ascii="宋体" w:hAnsi="宋体" w:eastAsia="宋体"/>
                <w:color w:val="auto"/>
                <w:sz w:val="20"/>
                <w:szCs w:val="20"/>
                <w:highlight w:val="none"/>
                <w:lang w:val="en-US" w:eastAsia="zh-CN"/>
              </w:rPr>
              <w:t xml:space="preserve">具有模板导入功能，可将综合应用拓扑模板导入；</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color w:val="auto"/>
                <w:sz w:val="20"/>
                <w:szCs w:val="20"/>
                <w:highlight w:val="none"/>
                <w:lang w:val="en-US" w:eastAsia="zh-CN"/>
              </w:rPr>
              <w:t xml:space="preserve">2.3</w:t>
            </w:r>
            <w:r>
              <w:rPr>
                <w:rFonts w:hint="default" w:ascii="宋体" w:hAnsi="宋体" w:eastAsia="宋体"/>
                <w:color w:val="auto"/>
                <w:sz w:val="20"/>
                <w:szCs w:val="20"/>
                <w:highlight w:val="none"/>
                <w:lang w:val="en-US" w:eastAsia="zh-CN"/>
              </w:rPr>
              <w:t xml:space="preserve">具有内置基础程序功能，可完成传感器数据读取、参数设置等基本实验；</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2.4</w:t>
            </w:r>
            <w:r>
              <w:rPr>
                <w:rFonts w:hint="default" w:ascii="宋体" w:hAnsi="宋体" w:eastAsia="宋体"/>
                <w:color w:val="auto"/>
                <w:sz w:val="20"/>
                <w:szCs w:val="20"/>
                <w:highlight w:val="none"/>
                <w:lang w:val="en-US" w:eastAsia="zh-CN"/>
              </w:rPr>
              <w:t xml:space="preserve">具有传感器数据动态图表展示功能；</w:t>
            </w:r>
            <w:r/>
          </w:p>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2.5</w:t>
            </w:r>
            <w:r>
              <w:rPr>
                <w:rFonts w:hint="default" w:ascii="宋体" w:hAnsi="宋体" w:eastAsia="宋体"/>
                <w:color w:val="auto"/>
                <w:sz w:val="20"/>
                <w:szCs w:val="20"/>
                <w:highlight w:val="none"/>
                <w:lang w:val="en-US" w:eastAsia="zh-CN"/>
              </w:rPr>
              <w:t xml:space="preserve">具有定值、随机</w:t>
            </w:r>
            <w:r>
              <w:rPr>
                <w:rFonts w:hint="eastAsia" w:ascii="宋体" w:hAnsi="宋体" w:eastAsia="宋体"/>
                <w:color w:val="auto"/>
                <w:sz w:val="20"/>
                <w:szCs w:val="20"/>
                <w:highlight w:val="none"/>
                <w:lang w:val="en-US" w:eastAsia="zh-CN"/>
              </w:rPr>
              <w:t xml:space="preserve">/自动</w:t>
            </w:r>
            <w:r>
              <w:rPr>
                <w:rFonts w:hint="default" w:ascii="宋体" w:hAnsi="宋体" w:eastAsia="宋体"/>
                <w:color w:val="auto"/>
                <w:sz w:val="20"/>
                <w:szCs w:val="20"/>
                <w:highlight w:val="none"/>
                <w:lang w:val="en-US" w:eastAsia="zh-CN"/>
              </w:rPr>
              <w:t xml:space="preserve">、循环三种方式为传感器提供测试数据</w:t>
            </w:r>
            <w:r>
              <w:rPr>
                <w:rFonts w:hint="eastAsia" w:ascii="宋体" w:hAnsi="宋体"/>
                <w:color w:val="auto"/>
                <w:sz w:val="20"/>
                <w:szCs w:val="20"/>
                <w:highlight w:val="none"/>
                <w:lang w:val="en-US" w:eastAsia="zh-CN"/>
              </w:rPr>
              <w:t xml:space="preserve">，投标文件中</w:t>
            </w:r>
            <w:r>
              <w:rPr>
                <w:rFonts w:hint="eastAsia" w:ascii="宋体" w:hAnsi="宋体" w:eastAsia="宋体"/>
                <w:color w:val="auto"/>
                <w:sz w:val="20"/>
                <w:szCs w:val="20"/>
                <w:highlight w:val="none"/>
                <w:lang w:val="en-US" w:eastAsia="zh-CN"/>
              </w:rPr>
              <w:t xml:space="preserve">提供说明资料</w:t>
            </w:r>
            <w:r/>
          </w:p>
          <w:p>
            <w:pPr>
              <w:ind w:left="0" w:right="0"/>
              <w:jc w:val="left"/>
              <w:keepLines w:val="0"/>
              <w:keepNext w:val="0"/>
              <w:pageBreakBefore w:val="0"/>
              <w:spacing w:before="0" w:beforeAutospacing="0" w:after="0" w:afterAutospacing="0" w:line="240" w:lineRule="auto"/>
              <w:widowControl/>
              <w:rPr>
                <w:rFonts w:hint="default"/>
                <w:color w:val="auto"/>
                <w:sz w:val="20"/>
                <w:szCs w:val="20"/>
                <w:highlight w:val="none"/>
                <w:lang w:val="en-US" w:eastAsia="zh-CN"/>
              </w:rPr>
              <w:suppressLineNumbers w:val="0"/>
            </w:pPr>
            <w:r>
              <w:rPr>
                <w:rFonts w:hint="eastAsia" w:ascii="宋体" w:hAnsi="宋体"/>
                <w:color w:val="auto"/>
                <w:sz w:val="20"/>
                <w:szCs w:val="20"/>
                <w:highlight w:val="none"/>
                <w:lang w:val="en-US" w:eastAsia="zh-CN"/>
              </w:rPr>
              <w:t xml:space="preserve">2.6</w:t>
            </w:r>
            <w:r>
              <w:rPr>
                <w:rFonts w:hint="default" w:ascii="宋体" w:hAnsi="宋体" w:eastAsia="宋体"/>
                <w:color w:val="auto"/>
                <w:sz w:val="20"/>
                <w:szCs w:val="20"/>
                <w:highlight w:val="none"/>
                <w:lang w:val="en-US" w:eastAsia="zh-CN"/>
              </w:rPr>
              <w:t xml:space="preserve">具有仿真设备操作日志记录功能。</w:t>
            </w:r>
            <w:r/>
          </w:p>
        </w:tc>
        <w:tc>
          <w:tcPr>
            <w:tcW w:w="56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1"/>
                <w:szCs w:val="24"/>
                <w:highlight w:val="none"/>
                <w:lang w:val="en-US" w:eastAsia="zh-CN" w:bidi="ar-SA"/>
              </w:rPr>
              <w:suppressLineNumbers w:val="0"/>
            </w:pPr>
            <w:r>
              <w:rPr>
                <w:rFonts w:hint="eastAsia" w:ascii="宋体" w:hAnsi="宋体" w:eastAsia="宋体"/>
                <w:color w:val="auto"/>
                <w:sz w:val="21"/>
                <w:szCs w:val="24"/>
                <w:highlight w:val="none"/>
                <w:lang w:val="en-US" w:eastAsia="zh-CN" w:bidi="ar-SA"/>
              </w:rPr>
              <w:t xml:space="preserve">套</w:t>
            </w:r>
            <w:r/>
          </w:p>
        </w:tc>
        <w:tc>
          <w:tcPr>
            <w:tcW w:w="6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26</w:t>
            </w:r>
            <w:r/>
          </w:p>
        </w:tc>
      </w:tr>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2</w:t>
            </w:r>
            <w:r/>
          </w:p>
        </w:tc>
        <w:tc>
          <w:tcPr>
            <w:tcW w:w="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人工智能边缘计算平台</w:t>
            </w:r>
            <w:r/>
          </w:p>
        </w:tc>
        <w:tc>
          <w:tcPr>
            <w:tcW w:w="70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一、总体需求：</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▲1、本平台</w:t>
            </w:r>
            <w:r>
              <w:rPr>
                <w:rFonts w:hint="eastAsia" w:ascii="宋体" w:hAnsi="宋体" w:eastAsia="宋体"/>
                <w:color w:val="auto"/>
                <w:sz w:val="20"/>
                <w:szCs w:val="20"/>
                <w:highlight w:val="none"/>
                <w:lang w:val="en-US" w:eastAsia="zh-CN"/>
              </w:rPr>
              <w:t xml:space="preserve">需</w:t>
            </w:r>
            <w:r>
              <w:rPr>
                <w:rFonts w:hint="eastAsia" w:ascii="宋体" w:hAnsi="宋体" w:eastAsia="宋体"/>
                <w:color w:val="auto"/>
                <w:sz w:val="20"/>
                <w:szCs w:val="20"/>
                <w:highlight w:val="none"/>
              </w:rPr>
              <w:t xml:space="preserve">融合先进的多模态大模型智能体，并配备一系列场景化实体组件，包括人工智能边缘计算平台（RK3588）、多轴机械臂、微型输送带、工业相机、以及智能传感器场景板等</w:t>
            </w:r>
            <w:r>
              <w:rPr>
                <w:rFonts w:hint="eastAsia" w:ascii="宋体" w:hAnsi="宋体" w:eastAsia="宋体"/>
                <w:b/>
                <w:bCs/>
                <w:color w:val="auto"/>
                <w:sz w:val="20"/>
                <w:szCs w:val="20"/>
                <w:highlight w:val="none"/>
              </w:rPr>
              <w:t xml:space="preserve">。</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2、平台支持用户快速构速构建智慧工厂、智能分拣、智慧交通、智能家居、智能餐饮等多种应用场景。</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3、平台内置了丰富的案例资源，包括但不限于MobileNet、Fcn_Resnet、Resnet、Openpose、Unet、Retinaface、Yolov8pose、Yolov11等热门模型。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二、硬件技术参数</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ascii="宋体" w:hAnsi="宋体" w:eastAsia="宋体"/>
                <w:color w:val="auto"/>
                <w:sz w:val="20"/>
                <w:szCs w:val="20"/>
                <w:highlight w:val="none"/>
              </w:rPr>
              <w:t xml:space="preserve">▲</w:t>
            </w:r>
            <w:r>
              <w:rPr>
                <w:rFonts w:hint="eastAsia" w:ascii="宋体" w:hAnsi="宋体" w:eastAsia="宋体" w:cs="宋体"/>
                <w:color w:val="auto"/>
                <w:sz w:val="20"/>
                <w:szCs w:val="20"/>
                <w:highlight w:val="none"/>
              </w:rPr>
              <w:t xml:space="preserve">1、人工智能边缘计算平台：</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CPU</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采用国产八核及以上处理器，其中包含4核心处理器（主频≥2.0GHz）和4核心处理器（主频≥1.7GHz）存储器：≥8GB RAM，≥于64GB 高速eMMC，满足边缘计算多任务处理、高算力运算要求。</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存储器：不低于8GB RAM，不低于64GB 高速eMMC</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NPU</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不低于 6TOPs算力, 支持 INT4/INT8/INT16/FP16</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外设资源：不少于1 路 USB 3.0接口、不少于1路全功能的USB-C接口、不少于2路 USB2.0接口、不少于2 路HDMI output接口、不少于1 路 HDMI input接口、不少于2路2.5G网口、3.5mm音频接口、microSD插座、1路debug调试接口等。</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2、多轴机械臂：单总线舵机驱动，不少于5自由度，可完成大模型机械臂自动点餐实验。可通过板载功能按键手动控制，支持上下左右四方向控制。同时板载扩展接口，可连接PC端上位机软件，实现自动化控制。板载海思WS63模组，支持星闪低功耗接入技术Sparklink Low Energy（SLE）。支持通过星闪远程控制机械臂运动。</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3、下沉式微型输送机：12V直流电机。板载调速旋钮，支持无极调速。板载仪器面板，可显示输送机工作状态。支持python代码控制输送机启停，更方便扩展实验。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4、板载7寸80键标准键盘，带旋钮锁。</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5、工业相机：有效像素500万像素，对焦方式自动对焦，USB2.0接口，提供可伸缩安装支架，可垂直安装在实验平台上。</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6、液晶显示屏：上盖集成，不小于17英寸，分辨率不低于1920*1080。</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7、智能传感器单元：</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数量≥5块，至少包括智能安防、智能交通、智能医疗、智能家居、智慧农业等场景板，具有</w:t>
            </w:r>
            <w:r>
              <w:rPr>
                <w:rFonts w:hint="eastAsia" w:ascii="宋体" w:hAnsi="宋体" w:eastAsia="宋体"/>
                <w:color w:val="auto"/>
                <w:sz w:val="20"/>
                <w:szCs w:val="20"/>
                <w:highlight w:val="none"/>
              </w:rPr>
              <w:t xml:space="preserve">磁吸式插槽，与实验箱磁吸吸合安装，方便学生自由搭配多种场景，快速编组实验。传感器类型至少包括超声波测距传感器、声音检测传感器、三轴加速度传感器、心率血氧传感器、红外对管、蜂鸣器、OLED屏、摇杆按键、4位数码管、继电器、电位器、5个多彩LED、手势传感器、舵机、光敏传感器、控制按键、空气质量传感器、温湿度传感器、调光LED、颜色识别传感器。每个场景板板载Type-C USB接口，可用于程序的下载及调试。要求本地支持使用Python语言和图形化编程工具快速进行传感器应用开发，包括传感器信息采集及执行器的控制。</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w:t>
            </w:r>
            <w:r>
              <w:rPr>
                <w:rFonts w:hint="eastAsia" w:ascii="宋体" w:hAnsi="宋体" w:eastAsia="宋体"/>
                <w:color w:val="auto"/>
                <w:sz w:val="20"/>
                <w:szCs w:val="20"/>
                <w:highlight w:val="none"/>
              </w:rPr>
              <w:t xml:space="preserve">8、其他：板载车规级保险盒（可更换保险丝）、“急停”按钮、“机械臂电源”按钮、“输送机电源”按钮、“一键复位”按钮、输送机仪表盘、板载旋转锁、输送机调速旋钮（可以无极控制输送机转速）、机械臂控制按键（本地控制机械臂移动）。</w:t>
            </w:r>
            <w:r/>
          </w:p>
          <w:p>
            <w:pPr>
              <w:numPr>
                <w:ilvl w:val="0"/>
                <w:numId w:val="2"/>
              </w:numPr>
              <w:ind w:left="0" w:right="0"/>
              <w:jc w:val="left"/>
              <w:keepLines w:val="0"/>
              <w:keepNext w:val="0"/>
              <w:pageBreakBefore w:val="0"/>
              <w:spacing w:before="0" w:beforeAutospacing="0" w:after="0" w:afterAutospacing="0" w:line="240" w:lineRule="auto"/>
              <w:shd w:val="clear" w:color="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实验箱箱体：实验平台应以单个实验箱形式交付，平台硬件应全部位于实验箱内部，开箱即用，无需重新接线，无需重新安装，无需占用其他额外空间。上盖集成液晶显示屏幕，下盖固定安装实验所需硬件和收纳放置配套电源适配器、线材、配件等设备。</w:t>
            </w:r>
            <w:r/>
          </w:p>
          <w:p>
            <w:pPr>
              <w:numPr>
                <w:ilvl w:val="0"/>
                <w:numId w:val="2"/>
              </w:num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三、软件规格参数要求</w:t>
            </w:r>
            <w:r/>
          </w:p>
          <w:p>
            <w:pPr>
              <w:numPr>
                <w:ilvl w:val="0"/>
                <w:numId w:val="2"/>
              </w:numPr>
              <w:ind w:left="0" w:right="0"/>
              <w:jc w:val="left"/>
              <w:keepLines w:val="0"/>
              <w:keepNext w:val="0"/>
              <w:pageBreakBefore w:val="0"/>
              <w:spacing w:before="0" w:beforeAutospacing="0" w:after="0" w:afterAutospacing="0" w:line="240" w:lineRule="auto"/>
              <w:shd w:val="clear" w:color="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操作系统：debian11（Linux）、Android，支持SD卡快速离线切换系统，方便教学管理；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四、实验教学课程资源</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平台提供成套教学资源，用户可以按照学期长度和实际教学情况安排教学，须配备实验指导书，实验指导书可以提供10～18周、每周2～6节课的教学实验需要。包含但不限于以下知识实验课程：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1、</w:t>
            </w:r>
            <w:r>
              <w:rPr>
                <w:rFonts w:hint="eastAsia" w:ascii="宋体" w:hAnsi="宋体" w:eastAsia="宋体"/>
                <w:color w:val="auto"/>
                <w:sz w:val="20"/>
                <w:szCs w:val="20"/>
                <w:highlight w:val="none"/>
              </w:rPr>
              <w:t xml:space="preserve">支持人工智能基础实验，至少包括但不限于以下内容：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1）</w:t>
            </w:r>
            <w:r>
              <w:rPr>
                <w:rFonts w:hint="eastAsia" w:ascii="宋体" w:hAnsi="宋体" w:eastAsia="宋体"/>
                <w:color w:val="auto"/>
                <w:sz w:val="20"/>
                <w:szCs w:val="20"/>
                <w:highlight w:val="none"/>
              </w:rPr>
              <w:t xml:space="preserve">神经网络中的基本概念：线性反向传播实验、非线性反向传播实验、梯度下降实验、损失函数实验。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2）</w:t>
            </w:r>
            <w:r>
              <w:rPr>
                <w:rFonts w:hint="eastAsia" w:ascii="宋体" w:hAnsi="宋体" w:eastAsia="宋体"/>
                <w:color w:val="auto"/>
                <w:sz w:val="20"/>
                <w:szCs w:val="20"/>
                <w:highlight w:val="none"/>
              </w:rPr>
              <w:t xml:space="preserve">神经网络之回归问题：单变量线性回归、多变量线性回归。</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3）</w:t>
            </w:r>
            <w:r>
              <w:rPr>
                <w:rFonts w:hint="eastAsia" w:ascii="宋体" w:hAnsi="宋体" w:eastAsia="宋体"/>
                <w:color w:val="auto"/>
                <w:sz w:val="20"/>
                <w:szCs w:val="20"/>
                <w:highlight w:val="none"/>
              </w:rPr>
              <w:t xml:space="preserve">神经网络之分类问题：线性二分类、线性多分类、神经网络非线性二分类、神经网络非线性多分类。</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4）</w:t>
            </w:r>
            <w:r>
              <w:rPr>
                <w:rFonts w:hint="eastAsia" w:ascii="宋体" w:hAnsi="宋体" w:eastAsia="宋体"/>
                <w:color w:val="auto"/>
                <w:sz w:val="20"/>
                <w:szCs w:val="20"/>
                <w:highlight w:val="none"/>
              </w:rPr>
              <w:t xml:space="preserve">神经网络模型的推理与部署：测试训练结果实验、查看模型文件实验、ONNX模型文件制作实验、模型部署和测试实验。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5）</w:t>
            </w:r>
            <w:r>
              <w:rPr>
                <w:rFonts w:hint="eastAsia" w:ascii="宋体" w:hAnsi="宋体" w:eastAsia="宋体"/>
                <w:color w:val="auto"/>
                <w:sz w:val="20"/>
                <w:szCs w:val="20"/>
                <w:highlight w:val="none"/>
              </w:rPr>
              <w:t xml:space="preserve">深度神经网络：神经网络回归测试实验、神经网络二分类测试实验、神经网络多分类测试实验。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6）</w:t>
            </w:r>
            <w:r>
              <w:rPr>
                <w:rFonts w:hint="eastAsia" w:ascii="宋体" w:hAnsi="宋体" w:eastAsia="宋体"/>
                <w:color w:val="auto"/>
                <w:sz w:val="20"/>
                <w:szCs w:val="20"/>
                <w:highlight w:val="none"/>
              </w:rPr>
              <w:t xml:space="preserve">卷积神经网络：卷积的前向计算实验、卷积的反向传播实验、池化的前向计算与反向传播实验、MNIST分类实验、Fashion-MNIST分类实验。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7）</w:t>
            </w:r>
            <w:r>
              <w:rPr>
                <w:rFonts w:hint="eastAsia" w:ascii="宋体" w:hAnsi="宋体" w:eastAsia="宋体"/>
                <w:color w:val="auto"/>
                <w:sz w:val="20"/>
                <w:szCs w:val="20"/>
                <w:highlight w:val="none"/>
              </w:rPr>
              <w:t xml:space="preserve">循环神经网络：通用的循环神经网络模型实验网络、两个时间步的循环神经网络实验、四个时间步的循环神经网络、不定长时序的循环神经网络实验、深度循环神经网络、双向循环神经网络、高级循环神经网络。</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2、</w:t>
            </w:r>
            <w:r>
              <w:rPr>
                <w:rFonts w:hint="eastAsia" w:ascii="宋体" w:hAnsi="宋体" w:eastAsia="宋体"/>
                <w:color w:val="auto"/>
                <w:sz w:val="20"/>
                <w:szCs w:val="20"/>
                <w:highlight w:val="none"/>
              </w:rPr>
              <w:t xml:space="preserve">支持人工智能视觉实验，至少包括但不限于以下内容：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1）</w:t>
            </w:r>
            <w:r>
              <w:rPr>
                <w:rFonts w:hint="eastAsia" w:ascii="宋体" w:hAnsi="宋体" w:eastAsia="宋体"/>
                <w:color w:val="auto"/>
                <w:sz w:val="20"/>
                <w:szCs w:val="20"/>
                <w:highlight w:val="none"/>
              </w:rPr>
              <w:t xml:space="preserve">基于OpenCV的图像基础</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图像基础操作、图像色彩空间转换、图像展示策略、图形和文字的绘制、图像阈值处理、图像直方图、形态学操作、图像滤波去噪、图像梯度变换、Canny边缘检测、图像的轮廓检测与绘制、霍夫变换、模板匹配；</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2）</w:t>
            </w:r>
            <w:r>
              <w:rPr>
                <w:rFonts w:hint="eastAsia" w:ascii="宋体" w:hAnsi="宋体" w:eastAsia="宋体"/>
                <w:color w:val="auto"/>
                <w:sz w:val="20"/>
                <w:szCs w:val="20"/>
                <w:highlight w:val="none"/>
              </w:rPr>
              <w:t xml:space="preserve">基于OpenCV的图像应用：二维码或条形码识别、汉字检测、数字切割、数字匹配、手势虚拟拖拽、答题卡判分、OpenCV内置级联分类器、多目标追踪；</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传统机器学习视觉：传统机器学习理论概述、KNN手写字识别、SVM手写字识别；</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3）</w:t>
            </w:r>
            <w:r>
              <w:rPr>
                <w:rFonts w:hint="eastAsia" w:ascii="宋体" w:hAnsi="宋体" w:eastAsia="宋体"/>
                <w:color w:val="auto"/>
                <w:sz w:val="20"/>
                <w:szCs w:val="20"/>
                <w:highlight w:val="none"/>
              </w:rPr>
              <w:t xml:space="preserve">深度学习视觉基础：深度学习基础知识概述、计算机视觉的应用场景、深度学习框架介绍、手写字识别；</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4）</w:t>
            </w:r>
            <w:r>
              <w:rPr>
                <w:rFonts w:hint="eastAsia" w:ascii="宋体" w:hAnsi="宋体" w:eastAsia="宋体"/>
                <w:color w:val="auto"/>
                <w:sz w:val="20"/>
                <w:szCs w:val="20"/>
                <w:highlight w:val="none"/>
              </w:rPr>
              <w:t xml:space="preserve">嵌入式深度学习视觉基础：嵌入式深度学习基础、相关硬件介绍、移动端推理框架、RKNN介绍；</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5）</w:t>
            </w:r>
            <w:r>
              <w:rPr>
                <w:rFonts w:hint="eastAsia" w:ascii="宋体" w:hAnsi="宋体" w:eastAsia="宋体"/>
                <w:color w:val="auto"/>
                <w:sz w:val="20"/>
                <w:szCs w:val="20"/>
                <w:highlight w:val="none"/>
              </w:rPr>
              <w:t xml:space="preserve">基于RKNN的嵌入式深度学习开发：嵌入式AI整体流程介绍、数据采集、数据标注、模型训练、测试并导出ONNX模型、模型转换、模型推理；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6）</w:t>
            </w:r>
            <w:r>
              <w:rPr>
                <w:rFonts w:hint="eastAsia" w:ascii="宋体" w:hAnsi="宋体" w:eastAsia="宋体"/>
                <w:color w:val="auto"/>
                <w:sz w:val="20"/>
                <w:szCs w:val="20"/>
                <w:highlight w:val="none"/>
              </w:rPr>
              <w:t xml:space="preserve">嵌入式深度学习视觉应用： OpenPose人体姿态估计、YoloP车道检测、Retinaface人脸关键点检测、YOLOv3目标识别、YOLOv8目标识别；</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7）</w:t>
            </w:r>
            <w:r>
              <w:rPr>
                <w:rFonts w:hint="eastAsia" w:ascii="宋体" w:hAnsi="宋体" w:eastAsia="宋体"/>
                <w:color w:val="auto"/>
                <w:sz w:val="20"/>
                <w:szCs w:val="20"/>
                <w:highlight w:val="none"/>
              </w:rPr>
              <w:t xml:space="preserve">云端视觉应用</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图像识别、文字识别、人体分析；</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8）</w:t>
            </w:r>
            <w:r>
              <w:rPr>
                <w:rFonts w:hint="eastAsia" w:ascii="宋体" w:hAnsi="宋体" w:eastAsia="宋体"/>
                <w:color w:val="auto"/>
                <w:sz w:val="20"/>
                <w:szCs w:val="20"/>
                <w:highlight w:val="none"/>
              </w:rPr>
              <w:t xml:space="preserve">大模型部署-RKLLM：RKLLM工具链介绍、模型转换、板端部署。</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3、</w:t>
            </w:r>
            <w:r>
              <w:rPr>
                <w:rFonts w:hint="eastAsia" w:ascii="宋体" w:hAnsi="宋体" w:eastAsia="宋体"/>
                <w:color w:val="auto"/>
                <w:sz w:val="20"/>
                <w:szCs w:val="20"/>
                <w:highlight w:val="none"/>
              </w:rPr>
              <w:t xml:space="preserve">支持人工智能综合实训课程，至少包括但不限于以下内容：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w:t>
            </w:r>
            <w:r>
              <w:rPr>
                <w:rFonts w:hint="eastAsia" w:ascii="宋体" w:hAnsi="宋体" w:eastAsia="宋体"/>
                <w:color w:val="auto"/>
                <w:sz w:val="20"/>
                <w:szCs w:val="20"/>
                <w:highlight w:val="none"/>
                <w:lang w:val="en-US" w:eastAsia="zh-CN"/>
              </w:rPr>
              <w:t xml:space="preserve">1）</w:t>
            </w:r>
            <w:r>
              <w:rPr>
                <w:rFonts w:hint="eastAsia" w:ascii="宋体" w:hAnsi="宋体" w:eastAsia="宋体"/>
                <w:color w:val="auto"/>
                <w:sz w:val="20"/>
                <w:szCs w:val="20"/>
                <w:highlight w:val="none"/>
              </w:rPr>
              <w:t xml:space="preserve">该课程须提供讲义、完整源码、AI数据集、模型文件、精剪课程视频（总时长不少于800分钟），课程至少包括但不限于如下内容：Android开发环境配置、Android基本控件、布局的知识讲解以及基本案例实现、 数据库基本知识的讲解以及基本案例实现、管理系统的功能模块实现、管理系统的功能模块实现、AI开发环境配置、模型训练场景以及目标检测算法的基本使用、目标检测到关键点检测以及关键点检测算法的数据标注、模型训练以及精度分析、关键点检测算法的导出和部署流程以及算法解析。</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4、</w:t>
            </w:r>
            <w:r>
              <w:rPr>
                <w:rFonts w:hint="eastAsia" w:ascii="宋体" w:hAnsi="宋体" w:eastAsia="宋体"/>
                <w:color w:val="auto"/>
                <w:sz w:val="20"/>
                <w:szCs w:val="20"/>
                <w:highlight w:val="none"/>
              </w:rPr>
              <w:t xml:space="preserve">支持python传感器实验，至少包括但不限于以下内容：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python基础实验、python超声波测距传感器实验、python声音检</w:t>
            </w:r>
            <w:r>
              <w:rPr>
                <w:rFonts w:hint="eastAsia" w:ascii="宋体" w:hAnsi="宋体" w:eastAsia="宋体"/>
                <w:color w:val="auto"/>
                <w:sz w:val="20"/>
                <w:szCs w:val="20"/>
                <w:highlight w:val="none"/>
              </w:rPr>
              <w:t xml:space="preserve">测传感器、python三轴加速度传感器实验、python心率血氧传感器实验、python红外对管实验、python蜂鸣器实验、python OLED屏实验、python摇杆按键实验、python4位数码管实验、python继电器实验、python电位器实验、python多彩LED实验、python手势传感器实验、python舵机实验、python光敏传感器实验、python控制按键实验、python空气质量传感器实验、python温湿度传感器实验、python调光LED实验、python颜色识别传感器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5、</w:t>
            </w:r>
            <w:r>
              <w:rPr>
                <w:rFonts w:hint="eastAsia" w:ascii="宋体" w:hAnsi="宋体" w:eastAsia="宋体"/>
                <w:color w:val="auto"/>
                <w:sz w:val="20"/>
                <w:szCs w:val="20"/>
                <w:highlight w:val="none"/>
              </w:rPr>
              <w:t xml:space="preserve">支持机械臂实验，至少包括但不限于以下内容：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1）</w:t>
            </w:r>
            <w:r>
              <w:rPr>
                <w:rFonts w:hint="eastAsia" w:ascii="宋体" w:hAnsi="宋体" w:eastAsia="宋体"/>
                <w:color w:val="auto"/>
                <w:sz w:val="20"/>
                <w:szCs w:val="20"/>
                <w:highlight w:val="none"/>
              </w:rPr>
              <w:t xml:space="preserve">机械臂的组成和介绍：总线伺服舵机、夹爪、机械臂；</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2）</w:t>
            </w:r>
            <w:r>
              <w:rPr>
                <w:rFonts w:hint="eastAsia" w:ascii="宋体" w:hAnsi="宋体" w:eastAsia="宋体"/>
                <w:color w:val="auto"/>
                <w:sz w:val="20"/>
                <w:szCs w:val="20"/>
                <w:highlight w:val="none"/>
              </w:rPr>
              <w:t xml:space="preserve">机械臂控制：机械臂代码控制原理、总线舵机控制python SDK、机械臂控制工具代码、机械臂控制python SDK；</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3）</w:t>
            </w:r>
            <w:r>
              <w:rPr>
                <w:rFonts w:hint="eastAsia" w:ascii="宋体" w:hAnsi="宋体" w:eastAsia="宋体"/>
                <w:color w:val="auto"/>
                <w:sz w:val="20"/>
                <w:szCs w:val="20"/>
                <w:highlight w:val="none"/>
              </w:rPr>
              <w:t xml:space="preserve">相机标定：相机标定介绍、相机标定实现、相机标定代码解析；</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4）</w:t>
            </w:r>
            <w:r>
              <w:rPr>
                <w:rFonts w:hint="eastAsia" w:ascii="宋体" w:hAnsi="宋体" w:eastAsia="宋体"/>
                <w:color w:val="auto"/>
                <w:sz w:val="20"/>
                <w:szCs w:val="20"/>
                <w:highlight w:val="none"/>
              </w:rPr>
              <w:t xml:space="preserve">机械臂基础应用开发：机械臂手眼标定、像素坐标空间转换、机械臂坐标空间转换、机械臂综合实验；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5）</w:t>
            </w:r>
            <w:r>
              <w:rPr>
                <w:rFonts w:hint="eastAsia" w:ascii="宋体" w:hAnsi="宋体" w:eastAsia="宋体"/>
                <w:color w:val="auto"/>
                <w:sz w:val="20"/>
                <w:szCs w:val="20"/>
                <w:highlight w:val="none"/>
              </w:rPr>
              <w:t xml:space="preserve">多进程视觉抓取：基于HSV的色块抓取、基于YOLOv8的色块抓取；</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color w:val="auto"/>
                <w:sz w:val="20"/>
                <w:szCs w:val="20"/>
                <w:highlight w:val="none"/>
                <w:lang w:val="en-US" w:eastAsia="zh-CN"/>
              </w:rPr>
              <w:t xml:space="preserve">6）</w:t>
            </w:r>
            <w:r>
              <w:rPr>
                <w:rFonts w:hint="eastAsia" w:ascii="宋体" w:hAnsi="宋体" w:eastAsia="宋体"/>
                <w:color w:val="auto"/>
                <w:sz w:val="20"/>
                <w:szCs w:val="20"/>
                <w:highlight w:val="none"/>
              </w:rPr>
              <w:t xml:space="preserve">语音多模态大模型抓取：语音识别、语音合成、多模态大模型、提示词工程、运行测试；</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rPr>
              <w:suppressLineNumbers w:val="0"/>
            </w:pPr>
            <w:r>
              <w:rPr>
                <w:rFonts w:hint="eastAsia" w:ascii="宋体" w:hAnsi="宋体" w:eastAsia="宋体"/>
                <w:color w:val="auto"/>
                <w:sz w:val="20"/>
                <w:szCs w:val="20"/>
                <w:highlight w:val="none"/>
                <w:lang w:val="en-US" w:eastAsia="zh-CN"/>
              </w:rPr>
              <w:t xml:space="preserve">7）为保障</w:t>
            </w:r>
            <w:r>
              <w:rPr>
                <w:rFonts w:hint="eastAsia" w:ascii="宋体" w:hAnsi="宋体" w:eastAsia="宋体"/>
                <w:color w:val="auto"/>
                <w:sz w:val="20"/>
                <w:szCs w:val="20"/>
                <w:highlight w:val="none"/>
              </w:rPr>
              <w:t xml:space="preserve">培训效果</w:t>
            </w:r>
            <w:r>
              <w:rPr>
                <w:rFonts w:hint="eastAsia" w:ascii="宋体" w:hAnsi="宋体" w:eastAsia="宋体"/>
                <w:color w:val="auto"/>
                <w:sz w:val="20"/>
                <w:szCs w:val="20"/>
                <w:highlight w:val="none"/>
                <w:lang w:val="en-US" w:eastAsia="zh-CN"/>
              </w:rPr>
              <w:t xml:space="preserve">及后期专业发展的优化</w:t>
            </w:r>
            <w:r>
              <w:rPr>
                <w:rFonts w:hint="eastAsia" w:ascii="宋体" w:hAnsi="宋体"/>
                <w:color w:val="auto"/>
                <w:sz w:val="20"/>
                <w:szCs w:val="20"/>
                <w:highlight w:val="none"/>
                <w:lang w:val="en-US" w:eastAsia="zh-CN"/>
              </w:rPr>
              <w:t xml:space="preserve">，</w:t>
            </w:r>
            <w:r>
              <w:rPr>
                <w:rFonts w:hint="eastAsia" w:ascii="宋体" w:hAnsi="宋体" w:eastAsia="宋体"/>
                <w:color w:val="auto"/>
                <w:sz w:val="20"/>
                <w:szCs w:val="20"/>
                <w:highlight w:val="none"/>
                <w:lang w:val="en-US" w:eastAsia="zh-CN"/>
              </w:rPr>
              <w:t xml:space="preserve">需提供原厂培训承诺书并加盖</w:t>
            </w:r>
            <w:r>
              <w:rPr>
                <w:rFonts w:hint="eastAsia" w:ascii="宋体" w:hAnsi="宋体"/>
                <w:color w:val="auto"/>
                <w:sz w:val="20"/>
                <w:szCs w:val="20"/>
                <w:highlight w:val="none"/>
                <w:lang w:val="en-US" w:eastAsia="zh-CN"/>
              </w:rPr>
              <w:t xml:space="preserve">原厂</w:t>
            </w:r>
            <w:r>
              <w:rPr>
                <w:rFonts w:hint="eastAsia" w:ascii="宋体" w:hAnsi="宋体" w:eastAsia="宋体"/>
                <w:color w:val="auto"/>
                <w:sz w:val="20"/>
                <w:szCs w:val="20"/>
                <w:highlight w:val="none"/>
                <w:lang w:val="en-US" w:eastAsia="zh-CN"/>
              </w:rPr>
              <w:t xml:space="preserve">公章。</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6、</w:t>
            </w:r>
            <w:r>
              <w:rPr>
                <w:rFonts w:hint="eastAsia" w:ascii="宋体" w:hAnsi="宋体" w:eastAsia="宋体"/>
                <w:color w:val="auto"/>
                <w:sz w:val="20"/>
                <w:szCs w:val="20"/>
                <w:highlight w:val="none"/>
              </w:rPr>
              <w:t xml:space="preserve">支持AI综合实验，至少包括但不限于以下内容：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1）</w:t>
            </w:r>
            <w:r>
              <w:rPr>
                <w:rFonts w:hint="eastAsia" w:ascii="宋体" w:hAnsi="宋体" w:eastAsia="宋体"/>
                <w:color w:val="auto"/>
                <w:sz w:val="20"/>
                <w:szCs w:val="20"/>
                <w:highlight w:val="none"/>
              </w:rPr>
              <w:t xml:space="preserve">智慧工厂：输送机启停控制、超声波测距传感器实时采集、红外传感器实时采集、蜂鸣器控制、工业相机检测物体坐标、机械臂抓取搬运、基于传感器的颜色识别等</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2）</w:t>
            </w:r>
            <w:r>
              <w:rPr>
                <w:rFonts w:hint="eastAsia" w:ascii="宋体" w:hAnsi="宋体" w:eastAsia="宋体"/>
                <w:color w:val="auto"/>
                <w:sz w:val="20"/>
                <w:szCs w:val="20"/>
                <w:highlight w:val="none"/>
              </w:rPr>
              <w:t xml:space="preserve">多模态大模型机械臂实验：语音识别、大模型语音交互、大模型目标检测、坐标定位、大模型规划机械臂路径、大模型控制机械臂等</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3）</w:t>
            </w:r>
            <w:r>
              <w:rPr>
                <w:rFonts w:hint="eastAsia" w:ascii="宋体" w:hAnsi="宋体" w:eastAsia="宋体"/>
                <w:color w:val="auto"/>
                <w:sz w:val="20"/>
                <w:szCs w:val="20"/>
                <w:highlight w:val="none"/>
              </w:rPr>
              <w:t xml:space="preserve">智能家居：语音识别与家居控制、手势识别与家居控制、火情检测、入侵检测、跌倒检测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4）</w:t>
            </w:r>
            <w:r>
              <w:rPr>
                <w:rFonts w:hint="eastAsia" w:ascii="宋体" w:hAnsi="宋体" w:eastAsia="宋体"/>
                <w:color w:val="auto"/>
                <w:sz w:val="20"/>
                <w:szCs w:val="20"/>
                <w:highlight w:val="none"/>
              </w:rPr>
              <w:t xml:space="preserve">智慧工地：安全帽检测、反光衣检测、火情检测、着装规范检测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5）</w:t>
            </w:r>
            <w:r>
              <w:rPr>
                <w:rFonts w:hint="eastAsia" w:ascii="宋体" w:hAnsi="宋体" w:eastAsia="宋体"/>
                <w:color w:val="auto"/>
                <w:sz w:val="20"/>
                <w:szCs w:val="20"/>
                <w:highlight w:val="none"/>
              </w:rPr>
              <w:t xml:space="preserve">智慧门禁：密码解锁、声纹识别解锁、人脸识别解锁、信息注册、信息管理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6）</w:t>
            </w:r>
            <w:r>
              <w:rPr>
                <w:rFonts w:hint="eastAsia" w:ascii="宋体" w:hAnsi="宋体" w:eastAsia="宋体"/>
                <w:color w:val="auto"/>
                <w:sz w:val="20"/>
                <w:szCs w:val="20"/>
                <w:highlight w:val="none"/>
              </w:rPr>
              <w:t xml:space="preserve">智慧交通：基于目标跟踪的车流量检测、车速检测、车距检测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lang w:val="en-US" w:eastAsia="zh-CN"/>
              </w:rPr>
              <w:t xml:space="preserve">7）</w:t>
            </w:r>
            <w:r>
              <w:rPr>
                <w:rFonts w:hint="eastAsia" w:ascii="宋体" w:hAnsi="宋体" w:eastAsia="宋体"/>
                <w:color w:val="auto"/>
                <w:sz w:val="20"/>
                <w:szCs w:val="20"/>
                <w:highlight w:val="none"/>
              </w:rPr>
              <w:t xml:space="preserve">智慧停车场：车牌识别、车型检测、停车场空位检测、数据管理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8）</w:t>
            </w:r>
            <w:r>
              <w:rPr>
                <w:rFonts w:hint="eastAsia" w:ascii="宋体" w:hAnsi="宋体" w:eastAsia="宋体"/>
                <w:color w:val="auto"/>
                <w:sz w:val="20"/>
                <w:szCs w:val="20"/>
                <w:highlight w:val="none"/>
              </w:rPr>
              <w:t xml:space="preserve">趣味AI：趣味明星脸、基于自然语言的目标检测</w:t>
            </w:r>
            <w:r/>
          </w:p>
        </w:tc>
        <w:tc>
          <w:tcPr>
            <w:tcW w:w="56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1"/>
                <w:szCs w:val="24"/>
                <w:highlight w:val="none"/>
                <w:lang w:val="en-US" w:eastAsia="zh-CN" w:bidi="ar-SA"/>
              </w:rPr>
              <w:t xml:space="preserve">套</w:t>
            </w:r>
            <w:r/>
          </w:p>
        </w:tc>
        <w:tc>
          <w:tcPr>
            <w:tcW w:w="6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4</w:t>
            </w:r>
            <w:r/>
          </w:p>
        </w:tc>
      </w:tr>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3</w:t>
            </w:r>
            <w:r/>
          </w:p>
        </w:tc>
        <w:tc>
          <w:tcPr>
            <w:tcW w:w="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智能座舱中控应用系统开发套件</w:t>
            </w:r>
            <w:r/>
          </w:p>
        </w:tc>
        <w:tc>
          <w:tcPr>
            <w:tcW w:w="7080" w:type="dxa"/>
            <w:vAlign w:val="center"/>
            <w:textDirection w:val="lrTb"/>
            <w:noWrap w:val="false"/>
          </w:tcPr>
          <w:p>
            <w:pPr>
              <w:numPr>
                <w:ilvl w:val="0"/>
                <w:numId w:val="3"/>
              </w:numPr>
              <w:ind w:left="0" w:right="0"/>
              <w:jc w:val="left"/>
              <w:keepLines w:val="0"/>
              <w:keepNext w:val="0"/>
              <w:pageBreakBefore w:val="0"/>
              <w:spacing w:before="0" w:beforeAutospacing="0" w:after="0" w:afterAutospacing="0" w:line="240" w:lineRule="auto"/>
              <w:widowControl/>
              <w:rPr>
                <w:rFonts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整体参数</w:t>
            </w:r>
            <w:r>
              <w:rPr>
                <w:rFonts w:ascii="宋体" w:hAnsi="宋体" w:eastAsia="宋体"/>
                <w:color w:val="auto"/>
                <w:sz w:val="20"/>
                <w:szCs w:val="20"/>
                <w:highlight w:val="none"/>
              </w:rPr>
              <w:br/>
            </w:r>
            <w:r>
              <w:rPr>
                <w:rFonts w:ascii="宋体" w:hAnsi="宋体" w:eastAsia="宋体"/>
                <w:color w:val="auto"/>
                <w:sz w:val="20"/>
                <w:szCs w:val="20"/>
                <w:highlight w:val="none"/>
              </w:rPr>
              <w:t xml:space="preserve">（1）实训台按汽车中控台样式进行设计；</w:t>
            </w:r>
            <w:r>
              <w:rPr>
                <w:rFonts w:ascii="宋体" w:hAnsi="宋体" w:eastAsia="宋体"/>
                <w:color w:val="auto"/>
                <w:sz w:val="20"/>
                <w:szCs w:val="20"/>
                <w:highlight w:val="none"/>
              </w:rPr>
              <w:br/>
            </w:r>
            <w:r>
              <w:rPr>
                <w:rFonts w:ascii="宋体" w:hAnsi="宋体" w:eastAsia="宋体"/>
                <w:color w:val="auto"/>
                <w:sz w:val="20"/>
                <w:szCs w:val="20"/>
                <w:highlight w:val="none"/>
              </w:rPr>
              <w:t xml:space="preserve">（2）使用DC 12V电源供电。</w:t>
            </w:r>
            <w:r>
              <w:rPr>
                <w:rFonts w:ascii="宋体" w:hAnsi="宋体" w:eastAsia="宋体"/>
                <w:color w:val="auto"/>
                <w:sz w:val="20"/>
                <w:szCs w:val="20"/>
                <w:highlight w:val="none"/>
              </w:rPr>
              <w:br/>
            </w:r>
            <w:r>
              <w:rPr>
                <w:rFonts w:ascii="宋体" w:hAnsi="宋体" w:eastAsia="宋体"/>
                <w:color w:val="auto"/>
                <w:sz w:val="20"/>
                <w:szCs w:val="20"/>
                <w:highlight w:val="none"/>
              </w:rPr>
              <w:t xml:space="preserve">2、仪表盘</w:t>
            </w:r>
            <w:r>
              <w:rPr>
                <w:rFonts w:ascii="宋体" w:hAnsi="宋体" w:eastAsia="宋体"/>
                <w:color w:val="auto"/>
                <w:sz w:val="20"/>
                <w:szCs w:val="20"/>
                <w:highlight w:val="none"/>
              </w:rPr>
              <w:br/>
            </w:r>
            <w:r>
              <w:rPr>
                <w:rFonts w:ascii="宋体" w:hAnsi="宋体" w:eastAsia="宋体"/>
                <w:color w:val="auto"/>
                <w:sz w:val="20"/>
                <w:szCs w:val="20"/>
                <w:highlight w:val="none"/>
              </w:rPr>
              <w:t xml:space="preserve">（1）内置国产处理器，使用ARM架构；核心：≧4核，主频：≧2.0GHz、内存：≧2GB、存储空间：≥32GB；支持OpenHarmony标准系统，支持多系统；NPU算力：≧1Tops；包含USB2.0 Host ≧1个；包含USB3.0 Host ≧1个；包含USB3.0OTG ≧1个；支持HDMI、eDP接口；支持4K 60fps H.265/H.264/VP9视频解码，支持支持WiFi和蓝牙；</w:t>
            </w:r>
            <w:r>
              <w:rPr>
                <w:rFonts w:ascii="宋体" w:hAnsi="宋体" w:eastAsia="宋体"/>
                <w:color w:val="auto"/>
                <w:sz w:val="20"/>
                <w:szCs w:val="20"/>
                <w:highlight w:val="none"/>
              </w:rPr>
              <w:br/>
            </w:r>
            <w:r>
              <w:rPr>
                <w:rFonts w:ascii="宋体" w:hAnsi="宋体" w:eastAsia="宋体"/>
                <w:color w:val="auto"/>
                <w:sz w:val="20"/>
                <w:szCs w:val="20"/>
                <w:highlight w:val="none"/>
              </w:rPr>
              <w:t xml:space="preserve">▲（2）支持OpenHarmony操作系统，获得OpenHarmony操作系统兼容性认证证书；</w:t>
            </w:r>
            <w:r>
              <w:rPr>
                <w:rFonts w:ascii="宋体" w:hAnsi="宋体" w:eastAsia="宋体"/>
                <w:b/>
                <w:bCs/>
                <w:color w:val="auto"/>
                <w:sz w:val="20"/>
                <w:szCs w:val="20"/>
                <w:highlight w:val="none"/>
              </w:rPr>
              <w:t xml:space="preserve">【需提供加盖</w:t>
            </w:r>
            <w:r>
              <w:rPr>
                <w:rFonts w:hint="eastAsia" w:ascii="宋体" w:hAnsi="宋体"/>
                <w:b/>
                <w:bCs/>
                <w:color w:val="auto"/>
                <w:sz w:val="20"/>
                <w:szCs w:val="20"/>
                <w:highlight w:val="none"/>
                <w:lang w:val="en-US" w:eastAsia="zh-CN"/>
              </w:rPr>
              <w:t xml:space="preserve">原厂</w:t>
            </w:r>
            <w:r>
              <w:rPr>
                <w:rFonts w:ascii="宋体" w:hAnsi="宋体" w:eastAsia="宋体"/>
                <w:b/>
                <w:bCs/>
                <w:color w:val="auto"/>
                <w:sz w:val="20"/>
                <w:szCs w:val="20"/>
                <w:highlight w:val="none"/>
              </w:rPr>
              <w:t xml:space="preserve">公章的国产标准系统兼容性认证证书】</w:t>
            </w:r>
            <w:r>
              <w:rPr>
                <w:rFonts w:ascii="宋体" w:hAnsi="宋体" w:eastAsia="宋体"/>
                <w:color w:val="auto"/>
                <w:sz w:val="20"/>
                <w:szCs w:val="20"/>
                <w:highlight w:val="none"/>
              </w:rPr>
              <w:br/>
            </w:r>
            <w:r>
              <w:rPr>
                <w:rFonts w:ascii="宋体" w:hAnsi="宋体" w:eastAsia="宋体"/>
                <w:color w:val="auto"/>
                <w:sz w:val="20"/>
                <w:szCs w:val="20"/>
                <w:highlight w:val="none"/>
              </w:rPr>
              <w:t xml:space="preserve">（3）屏幕尺寸：≧10.1英寸；</w:t>
            </w:r>
            <w:r>
              <w:rPr>
                <w:rFonts w:ascii="宋体" w:hAnsi="宋体" w:eastAsia="宋体"/>
                <w:color w:val="auto"/>
                <w:sz w:val="20"/>
                <w:szCs w:val="20"/>
                <w:highlight w:val="none"/>
              </w:rPr>
              <w:br/>
            </w:r>
            <w:r>
              <w:rPr>
                <w:rFonts w:ascii="宋体" w:hAnsi="宋体" w:eastAsia="宋体"/>
                <w:color w:val="auto"/>
                <w:sz w:val="20"/>
                <w:szCs w:val="20"/>
                <w:highlight w:val="none"/>
              </w:rPr>
              <w:t xml:space="preserve">（4）仪表盘程序运行在OpenHarmony操作系统上；</w:t>
            </w:r>
            <w:r>
              <w:rPr>
                <w:rFonts w:ascii="宋体" w:hAnsi="宋体" w:eastAsia="宋体"/>
                <w:color w:val="auto"/>
                <w:sz w:val="20"/>
                <w:szCs w:val="20"/>
                <w:highlight w:val="none"/>
              </w:rPr>
              <w:br/>
            </w:r>
            <w:r>
              <w:rPr>
                <w:rFonts w:ascii="宋体" w:hAnsi="宋体" w:eastAsia="宋体"/>
                <w:color w:val="auto"/>
                <w:sz w:val="20"/>
                <w:szCs w:val="20"/>
                <w:highlight w:val="none"/>
              </w:rPr>
              <w:t xml:space="preserve">（5）具备模拟展示行驶速度信息和转速信息；</w:t>
            </w:r>
            <w:r>
              <w:rPr>
                <w:rFonts w:ascii="宋体" w:hAnsi="宋体" w:eastAsia="宋体"/>
                <w:color w:val="auto"/>
                <w:sz w:val="20"/>
                <w:szCs w:val="20"/>
                <w:highlight w:val="none"/>
              </w:rPr>
              <w:br/>
            </w:r>
            <w:r>
              <w:rPr>
                <w:rFonts w:ascii="宋体" w:hAnsi="宋体" w:eastAsia="宋体"/>
                <w:color w:val="auto"/>
                <w:sz w:val="20"/>
                <w:szCs w:val="20"/>
                <w:highlight w:val="none"/>
              </w:rPr>
              <w:t xml:space="preserve">（6）具备模拟展示档位信息；</w:t>
            </w:r>
            <w:r>
              <w:rPr>
                <w:rFonts w:ascii="宋体" w:hAnsi="宋体" w:eastAsia="宋体"/>
                <w:color w:val="auto"/>
                <w:sz w:val="20"/>
                <w:szCs w:val="20"/>
                <w:highlight w:val="none"/>
              </w:rPr>
              <w:br/>
            </w:r>
            <w:r>
              <w:rPr>
                <w:rFonts w:ascii="宋体" w:hAnsi="宋体" w:eastAsia="宋体"/>
                <w:color w:val="auto"/>
                <w:sz w:val="20"/>
                <w:szCs w:val="20"/>
                <w:highlight w:val="none"/>
              </w:rPr>
              <w:t xml:space="preserve">（7）具备模拟展示左右转向灯状态、近/远光灯状态、示廓灯信息、安全带预警信息。</w:t>
            </w:r>
            <w:r>
              <w:rPr>
                <w:rFonts w:ascii="宋体" w:hAnsi="宋体" w:eastAsia="宋体"/>
                <w:color w:val="auto"/>
                <w:sz w:val="20"/>
                <w:szCs w:val="20"/>
                <w:highlight w:val="none"/>
              </w:rPr>
              <w:br/>
            </w:r>
            <w:r>
              <w:rPr>
                <w:rFonts w:ascii="宋体" w:hAnsi="宋体" w:eastAsia="宋体"/>
                <w:color w:val="auto"/>
                <w:sz w:val="20"/>
                <w:szCs w:val="20"/>
                <w:highlight w:val="none"/>
              </w:rPr>
              <w:t xml:space="preserve">（8）需基于 OpenHarmony 操作系统深度开发，系统层提供状态指示灯、油门、刹车等状态检测的 ArkTS 接口，并且能通过串口调试助手完成数据模拟演示。</w:t>
            </w:r>
            <w:r>
              <w:rPr>
                <w:rFonts w:ascii="宋体" w:hAnsi="宋体" w:eastAsia="宋体"/>
                <w:color w:val="auto"/>
                <w:sz w:val="20"/>
                <w:szCs w:val="20"/>
                <w:highlight w:val="none"/>
              </w:rPr>
              <w:br/>
            </w:r>
            <w:r>
              <w:rPr>
                <w:rFonts w:ascii="宋体" w:hAnsi="宋体" w:eastAsia="宋体"/>
                <w:color w:val="auto"/>
                <w:sz w:val="20"/>
                <w:szCs w:val="20"/>
                <w:highlight w:val="none"/>
              </w:rPr>
              <w:t xml:space="preserve">3、车机系统</w:t>
            </w:r>
            <w:r>
              <w:rPr>
                <w:rFonts w:ascii="宋体" w:hAnsi="宋体" w:eastAsia="宋体"/>
                <w:color w:val="auto"/>
                <w:sz w:val="20"/>
                <w:szCs w:val="20"/>
                <w:highlight w:val="none"/>
              </w:rPr>
              <w:br/>
            </w:r>
            <w:r>
              <w:rPr>
                <w:rFonts w:ascii="宋体" w:hAnsi="宋体" w:eastAsia="宋体"/>
                <w:color w:val="auto"/>
                <w:sz w:val="20"/>
                <w:szCs w:val="20"/>
                <w:highlight w:val="none"/>
              </w:rPr>
              <w:t xml:space="preserve">（1）内置国产处理器，使用ARM架构；核心：≧4核，主频：≧2.0GHz、内存：≧2GB、存储空间：≧32GB；支持OpenHarmony标准系统，支持多系统；NPU算力：≧1Tops；包含USB2.0 Host ≧1个；包含USB3.0 Host ≧1个；包含USB3.0OTG ≧1个；支持HDMI、eDP接口；支持4K 60fps H.265/H.264/VP9视频解码，支持支持WiFi和蓝牙；</w:t>
            </w:r>
            <w:r>
              <w:rPr>
                <w:rFonts w:ascii="宋体" w:hAnsi="宋体" w:eastAsia="宋体"/>
                <w:color w:val="auto"/>
                <w:sz w:val="20"/>
                <w:szCs w:val="20"/>
                <w:highlight w:val="none"/>
              </w:rPr>
              <w:br/>
            </w:r>
            <w:r>
              <w:rPr>
                <w:rFonts w:ascii="宋体" w:hAnsi="宋体" w:eastAsia="宋体"/>
                <w:color w:val="auto"/>
                <w:sz w:val="20"/>
                <w:szCs w:val="20"/>
                <w:highlight w:val="none"/>
              </w:rPr>
              <w:t xml:space="preserve">▲（2）支持OpenHarmony操作系统，获得OpenHarmony操作系统兼容性认证证书；</w:t>
            </w:r>
            <w:r>
              <w:rPr>
                <w:rFonts w:ascii="宋体" w:hAnsi="宋体" w:eastAsia="宋体"/>
                <w:b/>
                <w:bCs/>
                <w:color w:val="auto"/>
                <w:sz w:val="20"/>
                <w:szCs w:val="20"/>
                <w:highlight w:val="none"/>
              </w:rPr>
              <w:t xml:space="preserve">【需提供加盖</w:t>
            </w:r>
            <w:r>
              <w:rPr>
                <w:rFonts w:hint="eastAsia" w:ascii="宋体" w:hAnsi="宋体"/>
                <w:b/>
                <w:bCs/>
                <w:color w:val="auto"/>
                <w:sz w:val="20"/>
                <w:szCs w:val="20"/>
                <w:highlight w:val="none"/>
                <w:lang w:val="en-US" w:eastAsia="zh-CN"/>
              </w:rPr>
              <w:t xml:space="preserve">原</w:t>
            </w:r>
            <w:r>
              <w:rPr>
                <w:rFonts w:ascii="宋体" w:hAnsi="宋体" w:eastAsia="宋体"/>
                <w:b/>
                <w:bCs/>
                <w:color w:val="auto"/>
                <w:sz w:val="20"/>
                <w:szCs w:val="20"/>
                <w:highlight w:val="none"/>
              </w:rPr>
              <w:t xml:space="preserve">厂公章的国产标准系统兼容性认证证书】</w:t>
            </w:r>
            <w:r>
              <w:rPr>
                <w:rFonts w:ascii="宋体" w:hAnsi="宋体" w:eastAsia="宋体"/>
                <w:color w:val="auto"/>
                <w:sz w:val="20"/>
                <w:szCs w:val="20"/>
                <w:highlight w:val="none"/>
              </w:rPr>
              <w:br/>
            </w:r>
            <w:r>
              <w:rPr>
                <w:rFonts w:ascii="宋体" w:hAnsi="宋体" w:eastAsia="宋体"/>
                <w:color w:val="auto"/>
                <w:sz w:val="20"/>
                <w:szCs w:val="20"/>
                <w:highlight w:val="none"/>
              </w:rPr>
              <w:t xml:space="preserve">（3）屏幕尺寸：≧10.1英寸；</w:t>
            </w:r>
            <w:r>
              <w:rPr>
                <w:rFonts w:ascii="宋体" w:hAnsi="宋体" w:eastAsia="宋体"/>
                <w:color w:val="auto"/>
                <w:sz w:val="20"/>
                <w:szCs w:val="20"/>
                <w:highlight w:val="none"/>
              </w:rPr>
              <w:br/>
            </w:r>
            <w:r>
              <w:rPr>
                <w:rFonts w:ascii="宋体" w:hAnsi="宋体" w:eastAsia="宋体"/>
                <w:color w:val="auto"/>
                <w:sz w:val="20"/>
                <w:szCs w:val="20"/>
                <w:highlight w:val="none"/>
              </w:rPr>
              <w:t xml:space="preserve">（4）车机系统模块运行在OpenHarmony操作系统上；</w:t>
            </w:r>
            <w:r>
              <w:rPr>
                <w:rFonts w:ascii="宋体" w:hAnsi="宋体" w:eastAsia="宋体"/>
                <w:color w:val="auto"/>
                <w:sz w:val="20"/>
                <w:szCs w:val="20"/>
                <w:highlight w:val="none"/>
              </w:rPr>
              <w:br/>
            </w:r>
            <w:r>
              <w:rPr>
                <w:rFonts w:ascii="宋体" w:hAnsi="宋体" w:eastAsia="宋体"/>
                <w:color w:val="auto"/>
                <w:sz w:val="20"/>
                <w:szCs w:val="20"/>
                <w:highlight w:val="none"/>
              </w:rPr>
              <w:t xml:space="preserve">（5）支持开机后直接显示车机系统桌面，桌面支持展示车辆车门开启/关闭状态，提供空调、音乐、视频、车辆设置等入口；</w:t>
            </w:r>
            <w:r/>
          </w:p>
          <w:p>
            <w:pPr>
              <w:numPr>
                <w:ilvl w:val="0"/>
                <w:numId w:val="0"/>
              </w:numPr>
              <w:ind w:right="0"/>
              <w:jc w:val="left"/>
              <w:keepLines w:val="0"/>
              <w:keepNext w:val="0"/>
              <w:pageBreakBefore w:val="0"/>
              <w:spacing w:before="0" w:beforeAutospacing="0" w:after="0" w:afterAutospacing="0" w:line="240" w:lineRule="auto"/>
              <w:widowControl/>
              <w:rPr>
                <w:rFonts w:ascii="宋体" w:hAnsi="宋体" w:eastAsia="宋体"/>
                <w:color w:val="auto"/>
                <w:sz w:val="20"/>
                <w:szCs w:val="20"/>
                <w:highlight w:val="none"/>
              </w:rPr>
              <w:suppressLineNumbers w:val="0"/>
            </w:pPr>
            <w:r>
              <w:rPr>
                <w:rFonts w:ascii="宋体" w:hAnsi="宋体" w:eastAsia="宋体"/>
                <w:color w:val="auto"/>
                <w:sz w:val="20"/>
                <w:szCs w:val="20"/>
                <w:highlight w:val="none"/>
              </w:rPr>
              <w:t xml:space="preserve">（6）系统具备音乐播放器功能，支持播放本地音乐和网络音乐，支持音乐的分布式播放；</w:t>
            </w:r>
            <w:r/>
          </w:p>
          <w:p>
            <w:pPr>
              <w:numPr>
                <w:ilvl w:val="0"/>
                <w:numId w:val="0"/>
              </w:numPr>
              <w:ind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bidi="ar-SA"/>
              </w:rPr>
              <w:suppressLineNumbers w:val="0"/>
            </w:pPr>
            <w:r>
              <w:rPr>
                <w:rFonts w:ascii="宋体" w:hAnsi="宋体" w:eastAsia="宋体"/>
                <w:color w:val="auto"/>
                <w:sz w:val="20"/>
                <w:szCs w:val="20"/>
                <w:highlight w:val="none"/>
              </w:rPr>
              <w:t xml:space="preserve">（7）系统具备视频播放器功能，支持播放本地视频和网络视频，同时支持视频的分布式播放；</w:t>
            </w:r>
            <w:r>
              <w:rPr>
                <w:rFonts w:ascii="宋体" w:hAnsi="宋体" w:eastAsia="宋体"/>
                <w:color w:val="auto"/>
                <w:sz w:val="20"/>
                <w:szCs w:val="20"/>
                <w:highlight w:val="none"/>
              </w:rPr>
              <w:br/>
            </w:r>
            <w:r>
              <w:rPr>
                <w:rFonts w:ascii="宋体" w:hAnsi="宋体" w:eastAsia="宋体"/>
                <w:color w:val="auto"/>
                <w:sz w:val="20"/>
                <w:szCs w:val="20"/>
                <w:highlight w:val="none"/>
              </w:rPr>
              <w:t xml:space="preserve">（8）系统配置外置摄像头视频接入倒车影像，在车辆档位切换至R档时，开启倒车影像；</w:t>
            </w:r>
            <w:r>
              <w:rPr>
                <w:rFonts w:ascii="宋体" w:hAnsi="宋体" w:eastAsia="宋体"/>
                <w:color w:val="auto"/>
                <w:sz w:val="20"/>
                <w:szCs w:val="20"/>
                <w:highlight w:val="none"/>
              </w:rPr>
              <w:br/>
            </w:r>
            <w:r>
              <w:rPr>
                <w:rFonts w:ascii="宋体" w:hAnsi="宋体" w:eastAsia="宋体"/>
                <w:color w:val="auto"/>
                <w:sz w:val="20"/>
                <w:szCs w:val="20"/>
                <w:highlight w:val="none"/>
              </w:rPr>
              <w:t xml:space="preserve">（9）系统支持查看和模拟控制空调开关状态、空调风速，可查看空调温度；</w:t>
            </w:r>
            <w:r>
              <w:rPr>
                <w:rFonts w:ascii="宋体" w:hAnsi="宋体" w:eastAsia="宋体"/>
                <w:color w:val="auto"/>
                <w:sz w:val="20"/>
                <w:szCs w:val="20"/>
                <w:highlight w:val="none"/>
              </w:rPr>
              <w:br/>
            </w:r>
            <w:r>
              <w:rPr>
                <w:rFonts w:ascii="宋体" w:hAnsi="宋体" w:eastAsia="宋体"/>
                <w:color w:val="auto"/>
                <w:sz w:val="20"/>
                <w:szCs w:val="20"/>
                <w:highlight w:val="none"/>
              </w:rPr>
              <w:t xml:space="preserve">（10）系统支持通过车机系统主页车模动态查看车门的打开与关闭状态。</w:t>
            </w:r>
            <w:r>
              <w:rPr>
                <w:rFonts w:ascii="宋体" w:hAnsi="宋体" w:eastAsia="宋体"/>
                <w:color w:val="auto"/>
                <w:sz w:val="20"/>
                <w:szCs w:val="20"/>
                <w:highlight w:val="none"/>
              </w:rPr>
              <w:br/>
            </w:r>
            <w:r>
              <w:rPr>
                <w:rFonts w:ascii="宋体" w:hAnsi="宋体" w:eastAsia="宋体"/>
                <w:color w:val="auto"/>
                <w:sz w:val="20"/>
                <w:szCs w:val="20"/>
                <w:highlight w:val="none"/>
              </w:rPr>
              <w:t xml:space="preserve">（11）支持基于 OpenHarmony 操作系统深度定制，提供车门车窗等状态检测的 ArkTS 接口，并且能通过串口调试助手完成数据模拟演示。</w:t>
            </w:r>
            <w:r>
              <w:rPr>
                <w:rFonts w:ascii="宋体" w:hAnsi="宋体" w:eastAsia="宋体"/>
                <w:color w:val="auto"/>
                <w:sz w:val="20"/>
                <w:szCs w:val="20"/>
                <w:highlight w:val="none"/>
              </w:rPr>
              <w:br/>
            </w:r>
            <w:r>
              <w:rPr>
                <w:rFonts w:ascii="宋体" w:hAnsi="宋体" w:eastAsia="宋体"/>
                <w:color w:val="auto"/>
                <w:sz w:val="20"/>
                <w:szCs w:val="20"/>
                <w:highlight w:val="none"/>
              </w:rPr>
              <w:t xml:space="preserve">4、AI计算单元组件</w:t>
            </w:r>
            <w:r>
              <w:rPr>
                <w:rFonts w:ascii="宋体" w:hAnsi="宋体" w:eastAsia="宋体"/>
                <w:color w:val="auto"/>
                <w:sz w:val="20"/>
                <w:szCs w:val="20"/>
                <w:highlight w:val="none"/>
              </w:rPr>
              <w:br/>
            </w:r>
            <w:r>
              <w:rPr>
                <w:rFonts w:ascii="宋体" w:hAnsi="宋体" w:eastAsia="宋体"/>
                <w:color w:val="auto"/>
                <w:sz w:val="20"/>
                <w:szCs w:val="20"/>
                <w:highlight w:val="none"/>
              </w:rPr>
              <w:t xml:space="preserve">（1）CPU：≧4 core*1.0GHz；</w:t>
            </w:r>
            <w:r>
              <w:rPr>
                <w:rFonts w:ascii="宋体" w:hAnsi="宋体" w:eastAsia="宋体"/>
                <w:color w:val="auto"/>
                <w:sz w:val="20"/>
                <w:szCs w:val="20"/>
                <w:highlight w:val="none"/>
              </w:rPr>
              <w:br/>
            </w:r>
            <w:r>
              <w:rPr>
                <w:rFonts w:ascii="宋体" w:hAnsi="宋体" w:eastAsia="宋体"/>
                <w:color w:val="auto"/>
                <w:sz w:val="20"/>
                <w:szCs w:val="20"/>
                <w:highlight w:val="none"/>
              </w:rPr>
              <w:t xml:space="preserve">（2）AI算力：≧8 TOPS INT8；</w:t>
            </w:r>
            <w:r>
              <w:rPr>
                <w:rFonts w:ascii="宋体" w:hAnsi="宋体" w:eastAsia="宋体"/>
                <w:color w:val="auto"/>
                <w:sz w:val="20"/>
                <w:szCs w:val="20"/>
                <w:highlight w:val="none"/>
              </w:rPr>
              <w:br/>
            </w:r>
            <w:r>
              <w:rPr>
                <w:rFonts w:ascii="宋体" w:hAnsi="宋体" w:eastAsia="宋体"/>
                <w:color w:val="auto"/>
                <w:sz w:val="20"/>
                <w:szCs w:val="20"/>
                <w:highlight w:val="none"/>
              </w:rPr>
              <w:t xml:space="preserve">（3）内存：≧LPDDR4X，4GB；</w:t>
            </w:r>
            <w:r>
              <w:rPr>
                <w:rFonts w:ascii="宋体" w:hAnsi="宋体" w:eastAsia="宋体"/>
                <w:color w:val="auto"/>
                <w:sz w:val="20"/>
                <w:szCs w:val="20"/>
                <w:highlight w:val="none"/>
              </w:rPr>
              <w:br/>
            </w:r>
            <w:r>
              <w:rPr>
                <w:rFonts w:ascii="宋体" w:hAnsi="宋体" w:eastAsia="宋体"/>
                <w:color w:val="auto"/>
                <w:sz w:val="20"/>
                <w:szCs w:val="20"/>
                <w:highlight w:val="none"/>
              </w:rPr>
              <w:t xml:space="preserve">（4）USB接口：≧1USB Type-C，≧2USB 3.0 Type-A；</w:t>
            </w:r>
            <w:r>
              <w:rPr>
                <w:rFonts w:ascii="宋体" w:hAnsi="宋体" w:eastAsia="宋体"/>
                <w:color w:val="auto"/>
                <w:sz w:val="20"/>
                <w:szCs w:val="20"/>
                <w:highlight w:val="none"/>
              </w:rPr>
              <w:br/>
            </w:r>
            <w:r>
              <w:rPr>
                <w:rFonts w:ascii="宋体" w:hAnsi="宋体" w:eastAsia="宋体"/>
                <w:color w:val="auto"/>
                <w:sz w:val="20"/>
                <w:szCs w:val="20"/>
                <w:highlight w:val="none"/>
              </w:rPr>
              <w:t xml:space="preserve">（5）具备驾驶员疲劳驾驶检测、手势识别，支持二次开发、模型参数调优</w:t>
            </w:r>
            <w:r>
              <w:rPr>
                <w:rFonts w:hint="eastAsia" w:ascii="宋体" w:hAnsi="宋体" w:eastAsia="宋体"/>
                <w:color w:val="auto"/>
                <w:sz w:val="20"/>
                <w:szCs w:val="20"/>
                <w:highlight w:val="none"/>
                <w:lang w:eastAsia="zh-CN"/>
              </w:rPr>
              <w:t xml:space="preserve">。</w:t>
            </w:r>
            <w:r>
              <w:rPr>
                <w:rFonts w:ascii="宋体" w:hAnsi="宋体" w:eastAsia="宋体"/>
                <w:color w:val="auto"/>
                <w:sz w:val="20"/>
                <w:szCs w:val="20"/>
                <w:highlight w:val="none"/>
              </w:rPr>
              <w:br/>
            </w:r>
            <w:r>
              <w:rPr>
                <w:rFonts w:ascii="宋体" w:hAnsi="宋体" w:eastAsia="宋体"/>
                <w:color w:val="auto"/>
                <w:sz w:val="20"/>
                <w:szCs w:val="20"/>
                <w:highlight w:val="none"/>
              </w:rPr>
              <w:t xml:space="preserve">5、物联网模块</w:t>
            </w:r>
            <w:r>
              <w:rPr>
                <w:rFonts w:ascii="宋体" w:hAnsi="宋体" w:eastAsia="宋体"/>
                <w:color w:val="auto"/>
                <w:sz w:val="20"/>
                <w:szCs w:val="20"/>
                <w:highlight w:val="none"/>
              </w:rPr>
              <w:br/>
            </w:r>
            <w:r>
              <w:rPr>
                <w:rFonts w:ascii="宋体" w:hAnsi="宋体" w:eastAsia="宋体"/>
                <w:color w:val="auto"/>
                <w:sz w:val="20"/>
                <w:szCs w:val="20"/>
                <w:highlight w:val="none"/>
              </w:rPr>
              <w:t xml:space="preserve">（1）使用国产M4系列芯片，内核：带有FPU的ARM® 32位的Cortex® -M4 CPU AT32F403A；</w:t>
            </w:r>
            <w:r>
              <w:rPr>
                <w:rFonts w:ascii="宋体" w:hAnsi="宋体" w:eastAsia="宋体"/>
                <w:color w:val="auto"/>
                <w:sz w:val="20"/>
                <w:szCs w:val="20"/>
                <w:highlight w:val="none"/>
              </w:rPr>
              <w:br/>
            </w:r>
            <w:r>
              <w:rPr>
                <w:rFonts w:ascii="宋体" w:hAnsi="宋体" w:eastAsia="宋体"/>
                <w:color w:val="auto"/>
                <w:sz w:val="20"/>
                <w:szCs w:val="20"/>
                <w:highlight w:val="none"/>
              </w:rPr>
              <w:t xml:space="preserve">（2）最高工作频率：240 MHz，存储器：不低于1024 K字节的内部闪存存储器</w:t>
            </w:r>
            <w:r>
              <w:rPr>
                <w:rFonts w:ascii="宋体" w:hAnsi="宋体" w:eastAsia="宋体"/>
                <w:color w:val="auto"/>
                <w:sz w:val="20"/>
                <w:szCs w:val="20"/>
                <w:highlight w:val="none"/>
              </w:rPr>
              <w:br/>
            </w:r>
            <w:r>
              <w:rPr>
                <w:rFonts w:ascii="宋体" w:hAnsi="宋体" w:eastAsia="宋体"/>
                <w:color w:val="auto"/>
                <w:sz w:val="20"/>
                <w:szCs w:val="20"/>
                <w:highlight w:val="none"/>
              </w:rPr>
              <w:t xml:space="preserve">（3）获得国产标准系统兼容性认证证书。</w:t>
            </w:r>
            <w:r>
              <w:rPr>
                <w:rFonts w:ascii="宋体" w:hAnsi="宋体" w:eastAsia="宋体"/>
                <w:color w:val="auto"/>
                <w:sz w:val="20"/>
                <w:szCs w:val="20"/>
                <w:highlight w:val="none"/>
              </w:rPr>
              <w:br/>
            </w:r>
            <w:r>
              <w:rPr>
                <w:rFonts w:ascii="宋体" w:hAnsi="宋体" w:eastAsia="宋体"/>
                <w:color w:val="auto"/>
                <w:sz w:val="20"/>
                <w:szCs w:val="20"/>
                <w:highlight w:val="none"/>
              </w:rPr>
              <w:t xml:space="preserve">（4）需具备呼吸灯灯组、烟雾传感器、温湿度传感器，传感器集成在一块PCB板卡上；</w:t>
            </w:r>
            <w:r>
              <w:rPr>
                <w:rFonts w:ascii="宋体" w:hAnsi="宋体" w:eastAsia="宋体"/>
                <w:color w:val="auto"/>
                <w:sz w:val="20"/>
                <w:szCs w:val="20"/>
                <w:highlight w:val="none"/>
              </w:rPr>
              <w:br/>
            </w:r>
            <w:r>
              <w:rPr>
                <w:rFonts w:ascii="宋体" w:hAnsi="宋体" w:eastAsia="宋体"/>
                <w:color w:val="auto"/>
                <w:sz w:val="20"/>
                <w:szCs w:val="20"/>
                <w:highlight w:val="none"/>
              </w:rPr>
              <w:t xml:space="preserve">（5）需支持Type-C作为物联网模块烧录口，具备模式拨动开关，调整物联网模块为烧录模式/工作模式。</w:t>
            </w:r>
            <w:r>
              <w:rPr>
                <w:rFonts w:ascii="宋体" w:hAnsi="宋体" w:eastAsia="宋体"/>
                <w:color w:val="auto"/>
                <w:sz w:val="20"/>
                <w:szCs w:val="20"/>
                <w:highlight w:val="none"/>
              </w:rPr>
              <w:br/>
            </w:r>
            <w:r>
              <w:rPr>
                <w:rFonts w:ascii="宋体" w:hAnsi="宋体" w:eastAsia="宋体"/>
                <w:color w:val="auto"/>
                <w:sz w:val="20"/>
                <w:szCs w:val="20"/>
                <w:highlight w:val="none"/>
              </w:rPr>
              <w:t xml:space="preserve">6、汽车模型</w:t>
            </w:r>
            <w:r>
              <w:rPr>
                <w:rFonts w:ascii="宋体" w:hAnsi="宋体" w:eastAsia="宋体"/>
                <w:color w:val="auto"/>
                <w:sz w:val="20"/>
                <w:szCs w:val="20"/>
                <w:highlight w:val="none"/>
              </w:rPr>
              <w:br/>
            </w:r>
            <w:r>
              <w:rPr>
                <w:rFonts w:ascii="宋体" w:hAnsi="宋体" w:eastAsia="宋体"/>
                <w:color w:val="auto"/>
                <w:sz w:val="20"/>
                <w:szCs w:val="20"/>
                <w:highlight w:val="none"/>
              </w:rPr>
              <w:t xml:space="preserve">（1）材质：ABS塑料、电子原件</w:t>
            </w:r>
            <w:r>
              <w:rPr>
                <w:rFonts w:ascii="宋体" w:hAnsi="宋体" w:eastAsia="宋体"/>
                <w:color w:val="auto"/>
                <w:sz w:val="20"/>
                <w:szCs w:val="20"/>
                <w:highlight w:val="none"/>
              </w:rPr>
              <w:br/>
            </w:r>
            <w:r>
              <w:rPr>
                <w:rFonts w:ascii="宋体" w:hAnsi="宋体" w:eastAsia="宋体"/>
                <w:color w:val="auto"/>
                <w:sz w:val="20"/>
                <w:szCs w:val="20"/>
                <w:highlight w:val="none"/>
              </w:rPr>
              <w:t xml:space="preserve">（2）产品尺寸：不小于</w:t>
            </w:r>
            <w:r>
              <w:rPr>
                <w:rFonts w:hint="eastAsia" w:ascii="宋体" w:hAnsi="宋体"/>
                <w:color w:val="auto"/>
                <w:sz w:val="20"/>
                <w:szCs w:val="20"/>
                <w:highlight w:val="none"/>
                <w:lang w:val="en-US" w:eastAsia="zh-CN"/>
              </w:rPr>
              <w:t xml:space="preserve">长</w:t>
            </w:r>
            <w:r>
              <w:rPr>
                <w:rFonts w:ascii="宋体" w:hAnsi="宋体" w:eastAsia="宋体"/>
                <w:color w:val="auto"/>
                <w:sz w:val="20"/>
                <w:szCs w:val="20"/>
                <w:highlight w:val="none"/>
              </w:rPr>
              <w:t xml:space="preserve">32.5cm</w:t>
            </w:r>
            <w:r>
              <w:rPr>
                <w:rFonts w:hint="eastAsia" w:ascii="宋体" w:hAnsi="宋体"/>
                <w:color w:val="auto"/>
                <w:sz w:val="20"/>
                <w:szCs w:val="20"/>
                <w:highlight w:val="none"/>
                <w:lang w:val="en-US" w:eastAsia="zh-CN"/>
              </w:rPr>
              <w:t xml:space="preserve">宽</w:t>
            </w:r>
            <w:r>
              <w:rPr>
                <w:rFonts w:ascii="宋体" w:hAnsi="宋体" w:eastAsia="宋体"/>
                <w:color w:val="auto"/>
                <w:sz w:val="20"/>
                <w:szCs w:val="20"/>
                <w:highlight w:val="none"/>
              </w:rPr>
              <w:t xml:space="preserve">13.5cm</w:t>
            </w:r>
            <w:r>
              <w:rPr>
                <w:rFonts w:hint="eastAsia" w:ascii="宋体" w:hAnsi="宋体"/>
                <w:color w:val="auto"/>
                <w:sz w:val="20"/>
                <w:szCs w:val="20"/>
                <w:highlight w:val="none"/>
                <w:lang w:val="en-US" w:eastAsia="zh-CN"/>
              </w:rPr>
              <w:t xml:space="preserve">高</w:t>
            </w:r>
            <w:r>
              <w:rPr>
                <w:rFonts w:ascii="宋体" w:hAnsi="宋体" w:eastAsia="宋体"/>
                <w:color w:val="auto"/>
                <w:sz w:val="20"/>
                <w:szCs w:val="20"/>
                <w:highlight w:val="none"/>
              </w:rPr>
              <w:t xml:space="preserve">7cm</w:t>
            </w:r>
            <w:r>
              <w:rPr>
                <w:rFonts w:ascii="宋体" w:hAnsi="宋体" w:eastAsia="宋体"/>
                <w:color w:val="auto"/>
                <w:sz w:val="20"/>
                <w:szCs w:val="20"/>
                <w:highlight w:val="none"/>
              </w:rPr>
              <w:br/>
            </w:r>
            <w:r>
              <w:rPr>
                <w:rFonts w:ascii="宋体" w:hAnsi="宋体" w:eastAsia="宋体"/>
                <w:color w:val="auto"/>
                <w:sz w:val="20"/>
                <w:szCs w:val="20"/>
                <w:highlight w:val="none"/>
              </w:rPr>
              <w:t xml:space="preserve">（3）汽车模型核心计算单元：使用RISC-V架构，处理器最大工作频率：不小于160MHz；SoC：WLAN工作频段：2.4GHz；SRAM：≥352KB，Flash：≥2MB；ROM：≥288KB。</w:t>
            </w:r>
            <w:r>
              <w:rPr>
                <w:rFonts w:ascii="宋体" w:hAnsi="宋体" w:eastAsia="宋体"/>
                <w:color w:val="auto"/>
                <w:sz w:val="20"/>
                <w:szCs w:val="20"/>
                <w:highlight w:val="none"/>
              </w:rPr>
              <w:br/>
            </w:r>
            <w:r>
              <w:rPr>
                <w:rFonts w:ascii="宋体" w:hAnsi="宋体" w:eastAsia="宋体"/>
                <w:color w:val="auto"/>
                <w:sz w:val="20"/>
                <w:szCs w:val="20"/>
                <w:highlight w:val="none"/>
              </w:rPr>
              <w:t xml:space="preserve">（4）支持车辆灯光控制、车门控制、车辆前进/后退/左转/右转控制。</w:t>
            </w:r>
            <w:r/>
          </w:p>
        </w:tc>
        <w:tc>
          <w:tcPr>
            <w:tcW w:w="56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1"/>
                <w:szCs w:val="24"/>
                <w:highlight w:val="none"/>
                <w:lang w:val="en-US" w:eastAsia="zh-CN" w:bidi="ar-SA"/>
              </w:rPr>
              <w:suppressLineNumbers w:val="0"/>
            </w:pPr>
            <w:r>
              <w:rPr>
                <w:rFonts w:hint="eastAsia" w:ascii="宋体" w:hAnsi="宋体" w:eastAsia="宋体"/>
                <w:color w:val="auto"/>
                <w:sz w:val="21"/>
                <w:szCs w:val="24"/>
                <w:highlight w:val="none"/>
                <w:lang w:val="en-US" w:eastAsia="zh-CN" w:bidi="ar-SA"/>
              </w:rPr>
              <w:t xml:space="preserve">套</w:t>
            </w:r>
            <w:r/>
          </w:p>
        </w:tc>
        <w:tc>
          <w:tcPr>
            <w:tcW w:w="6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1</w:t>
            </w:r>
            <w:r/>
          </w:p>
        </w:tc>
      </w:tr>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4</w:t>
            </w:r>
            <w:r/>
          </w:p>
        </w:tc>
        <w:tc>
          <w:tcPr>
            <w:tcW w:w="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开源鸿蒙车机智能实训小车</w:t>
            </w:r>
            <w:r/>
          </w:p>
        </w:tc>
        <w:tc>
          <w:tcPr>
            <w:tcW w:w="70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一、硬件参数</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1.微处理器</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64位不低于1.5GHz四核+VideoCode VI@500MHz</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2.AI</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≥200GFLOPs</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3.操作系统</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Linux操作系统</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4.编程语言</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Python</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5.摄像头云台自由度</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二自由度，上下左右各180度</w:t>
            </w:r>
            <w:r/>
          </w:p>
          <w:p>
            <w:pPr>
              <w:ind w:left="0" w:right="0"/>
              <w:jc w:val="left"/>
              <w:keepLines w:val="0"/>
              <w:keepNext w:val="0"/>
              <w:pageBreakBefore w:val="0"/>
              <w:spacing w:before="0" w:beforeAutospacing="0" w:after="0" w:afterAutospacing="0" w:line="240" w:lineRule="auto"/>
              <w:widowControl/>
              <w:rPr>
                <w:rFonts w:hint="eastAsia" w:ascii="宋体" w:hAnsi="宋体"/>
                <w:color w:val="auto"/>
                <w:sz w:val="20"/>
                <w:szCs w:val="20"/>
                <w:highlight w:val="none"/>
                <w:lang w:eastAsia="zh-CN"/>
              </w:rPr>
              <w:suppressLineNumbers w:val="0"/>
            </w:pPr>
            <w:r>
              <w:rPr>
                <w:rFonts w:hint="eastAsia" w:ascii="宋体" w:hAnsi="宋体"/>
                <w:color w:val="auto"/>
                <w:sz w:val="20"/>
                <w:szCs w:val="20"/>
                <w:highlight w:val="none"/>
                <w:lang w:eastAsia="zh-CN"/>
              </w:rPr>
              <w:t xml:space="preserve">6.输入：广角摄像头、红外避障传感器*2、红外接收头、超声波测距传感器、四路循迹传感器、IC接口*2</w:t>
            </w:r>
            <w:r/>
          </w:p>
          <w:p>
            <w:pPr>
              <w:ind w:left="0" w:right="0"/>
              <w:jc w:val="left"/>
              <w:keepLines w:val="0"/>
              <w:keepNext w:val="0"/>
              <w:pageBreakBefore w:val="0"/>
              <w:spacing w:before="0" w:beforeAutospacing="0" w:after="0" w:afterAutospacing="0" w:line="240" w:lineRule="auto"/>
              <w:widowControl/>
              <w:rPr>
                <w:rFonts w:hint="eastAsia" w:ascii="宋体" w:hAnsi="宋体"/>
                <w:color w:val="auto"/>
                <w:sz w:val="20"/>
                <w:szCs w:val="20"/>
                <w:highlight w:val="none"/>
                <w:lang w:eastAsia="zh-CN"/>
              </w:rPr>
              <w:suppressLineNumbers w:val="0"/>
            </w:pPr>
            <w:r>
              <w:rPr>
                <w:rFonts w:hint="eastAsia" w:ascii="宋体" w:hAnsi="宋体"/>
                <w:color w:val="auto"/>
                <w:sz w:val="20"/>
                <w:szCs w:val="20"/>
                <w:highlight w:val="none"/>
                <w:lang w:eastAsia="zh-CN"/>
              </w:rPr>
              <w:t xml:space="preserve">7.输出：无源蜂鸣器、2路PWM舵机、4路TT直流电机</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8.电源方案</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12.6V动力电池组</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9.续航时间</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不低于180分钟</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10.电源接口</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DC接口</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11.遥控方式</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手机APP、PC电脑、红外遥控器</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12.通信方式</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WiFi网络、红外遥控通信</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13.电路安全保护</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反接保护，过流保护，低压保护，短路保护</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14.车体材料</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环氧玻璃纤维板</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15.电机参数</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减速比1</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48，6V碳刷TT电机</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16.组装后尺寸不大于</w:t>
            </w:r>
            <w:r>
              <w:rPr>
                <w:rFonts w:hint="eastAsia" w:ascii="宋体" w:hAnsi="宋体"/>
                <w:color w:val="auto"/>
                <w:sz w:val="20"/>
                <w:szCs w:val="20"/>
                <w:highlight w:val="none"/>
                <w:lang w:eastAsia="zh-CN"/>
              </w:rPr>
              <w:t xml:space="preserve">：</w:t>
            </w:r>
            <w:r>
              <w:rPr>
                <w:rFonts w:hint="eastAsia" w:ascii="宋体" w:hAnsi="宋体" w:eastAsia="宋体"/>
                <w:color w:val="auto"/>
                <w:sz w:val="20"/>
                <w:szCs w:val="20"/>
                <w:highlight w:val="none"/>
              </w:rPr>
              <w:t xml:space="preserve">240*160*150mm</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二、配套资料</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1、组装教程：包括小车机械装配、电路接线、传感器校准等全流程实操指导</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2、遥控操作：包括鸿蒙应用遥控、红外遥控小车相关文档、多模式遥控实操演示快速上手视频</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3、开发前准备：包括WiFi配置、磁盘扩容、电池安全规范、开发环境初始化全流程指导</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4、OpenCV 基础课程：包括图像读取/写入/质量调整、像素操作等入门基础；缩放、剪切、平移、镜像、旋转、透视变换等几何变换；灰度处理、二值化、边缘检测、图形/文字绘制、机器学习等进阶应用</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5、硬件控制教程：包括蜂鸣器、电机、舵机、LED、红外遥控等基础驱动；超声波测距/避障、红外避障、四路循迹等传感器应用；超声波+红外融合避障、巡线、画地为牢等场景实验</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6、AI 视觉教程：包括结合小车场景的目标检测、路径识别、自主导航等 AI 视觉算法应用</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bidi="ar-SA"/>
              </w:rPr>
              <w:suppressLineNumbers w:val="0"/>
            </w:pPr>
            <w:r>
              <w:rPr>
                <w:rFonts w:hint="eastAsia" w:ascii="宋体" w:hAnsi="宋体" w:eastAsia="宋体"/>
                <w:color w:val="auto"/>
                <w:sz w:val="20"/>
                <w:szCs w:val="20"/>
                <w:highlight w:val="none"/>
              </w:rPr>
              <w:t xml:space="preserve">7、鸿蒙遥控应用开发资源：包括鸿蒙遥控应用开发入门文档、API接口手册、开发环境搭建教程；鸿蒙应用与小车硬件通信调试指南、故障排查手册；配套开发源码、demo示例及开发实战案例，助力快速实现鸿蒙遥控应用定制开发。</w:t>
            </w:r>
            <w:r/>
          </w:p>
        </w:tc>
        <w:tc>
          <w:tcPr>
            <w:tcW w:w="56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1"/>
                <w:szCs w:val="24"/>
                <w:highlight w:val="none"/>
                <w:lang w:val="en-US" w:eastAsia="zh-CN" w:bidi="ar-SA"/>
              </w:rPr>
              <w:suppressLineNumbers w:val="0"/>
            </w:pPr>
            <w:r>
              <w:rPr>
                <w:rFonts w:hint="eastAsia" w:ascii="宋体" w:hAnsi="宋体" w:eastAsia="宋体"/>
                <w:color w:val="auto"/>
                <w:sz w:val="21"/>
                <w:szCs w:val="24"/>
                <w:highlight w:val="none"/>
                <w:lang w:val="en-US" w:eastAsia="zh-CN" w:bidi="ar-SA"/>
              </w:rPr>
              <w:t xml:space="preserve">套</w:t>
            </w:r>
            <w:r/>
          </w:p>
        </w:tc>
        <w:tc>
          <w:tcPr>
            <w:tcW w:w="6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12</w:t>
            </w:r>
            <w:r/>
          </w:p>
        </w:tc>
      </w:tr>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5</w:t>
            </w:r>
            <w:r/>
          </w:p>
        </w:tc>
        <w:tc>
          <w:tcPr>
            <w:tcW w:w="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课桌椅</w:t>
            </w:r>
            <w:r/>
          </w:p>
        </w:tc>
        <w:tc>
          <w:tcPr>
            <w:tcW w:w="70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eastAsia="zh-CN"/>
              </w:rPr>
              <w:suppressLineNumbers w:val="0"/>
            </w:pPr>
            <w:r>
              <w:rPr>
                <w:rFonts w:hint="eastAsia" w:ascii="宋体" w:hAnsi="宋体" w:eastAsia="宋体"/>
                <w:color w:val="auto"/>
                <w:sz w:val="20"/>
                <w:szCs w:val="20"/>
                <w:highlight w:val="none"/>
              </w:rPr>
              <w:t xml:space="preserve">1.钢架桌尺寸：≥1.2m×0.6m×0.75m</w:t>
            </w:r>
            <w:r>
              <w:rPr>
                <w:rFonts w:hint="eastAsia" w:ascii="宋体" w:hAnsi="宋体"/>
                <w:color w:val="auto"/>
                <w:sz w:val="20"/>
                <w:szCs w:val="20"/>
                <w:highlight w:val="none"/>
                <w:lang w:eastAsia="zh-CN"/>
              </w:rPr>
              <w:t xml:space="preserve">；</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2.桌面材质：≥18mm厚El级环保三聚氨肢板：</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3.框架材质：方钢管焊接框架：</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4.脚垫材质：橡胶脚垫：</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eastAsia="zh-CN"/>
              </w:rPr>
              <w:suppressLineNumbers w:val="0"/>
            </w:pPr>
            <w:r>
              <w:rPr>
                <w:rFonts w:hint="eastAsia" w:ascii="宋体" w:hAnsi="宋体" w:eastAsia="宋体"/>
                <w:color w:val="auto"/>
                <w:sz w:val="20"/>
                <w:szCs w:val="20"/>
                <w:highlight w:val="none"/>
              </w:rPr>
              <w:t xml:space="preserve">5.环保性能：甲醒释放量≤1.5mg/L</w:t>
            </w:r>
            <w:r>
              <w:rPr>
                <w:rFonts w:hint="eastAsia" w:ascii="宋体" w:hAnsi="宋体"/>
                <w:color w:val="auto"/>
                <w:sz w:val="20"/>
                <w:szCs w:val="20"/>
                <w:highlight w:val="none"/>
                <w:lang w:eastAsia="zh-CN"/>
              </w:rPr>
              <w:t xml:space="preserve">；</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bidi="ar-SA"/>
              </w:rPr>
              <w:suppressLineNumbers w:val="0"/>
            </w:pPr>
            <w:r>
              <w:rPr>
                <w:rFonts w:hint="eastAsia" w:ascii="宋体" w:hAnsi="宋体" w:eastAsia="宋体"/>
                <w:color w:val="auto"/>
                <w:sz w:val="20"/>
                <w:szCs w:val="20"/>
                <w:highlight w:val="none"/>
              </w:rPr>
              <w:t xml:space="preserve">6.配套椅子：配备l把：</w:t>
            </w:r>
            <w:r/>
          </w:p>
        </w:tc>
        <w:tc>
          <w:tcPr>
            <w:tcW w:w="56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1"/>
                <w:szCs w:val="24"/>
                <w:highlight w:val="none"/>
                <w:lang w:val="en-US" w:eastAsia="zh-CN" w:bidi="ar-SA"/>
              </w:rPr>
              <w:suppressLineNumbers w:val="0"/>
            </w:pPr>
            <w:r>
              <w:rPr>
                <w:rFonts w:hint="eastAsia" w:ascii="宋体" w:hAnsi="宋体" w:eastAsia="宋体"/>
                <w:color w:val="auto"/>
                <w:sz w:val="21"/>
                <w:szCs w:val="24"/>
                <w:highlight w:val="none"/>
                <w:lang w:val="en-US" w:eastAsia="zh-CN" w:bidi="ar-SA"/>
              </w:rPr>
              <w:t xml:space="preserve">套</w:t>
            </w:r>
            <w:r/>
          </w:p>
        </w:tc>
        <w:tc>
          <w:tcPr>
            <w:tcW w:w="6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50</w:t>
            </w:r>
            <w:r/>
          </w:p>
        </w:tc>
      </w:tr>
      <w:tr>
        <w:trPr>
          <w:jc w:val="center"/>
        </w:trPr>
        <w:tc>
          <w:tcPr>
            <w:tcW w:w="82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6</w:t>
            </w:r>
            <w:r/>
          </w:p>
        </w:tc>
        <w:tc>
          <w:tcPr>
            <w:tcW w:w="64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rPr>
              <w:t xml:space="preserve">讲台</w:t>
            </w:r>
            <w:r/>
          </w:p>
        </w:tc>
        <w:tc>
          <w:tcPr>
            <w:tcW w:w="70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1.尺寸：≥100×700×900mm（钢木结合款）；</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2.台面：El级工聚氨肢板，表面防火、耐磨，边缘PVC封边；</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3.框架：钢木结合结构，称重≥</w:t>
            </w:r>
            <w:r>
              <w:rPr>
                <w:rFonts w:hint="eastAsia" w:ascii="宋体" w:hAnsi="宋体"/>
                <w:color w:val="auto"/>
                <w:sz w:val="20"/>
                <w:szCs w:val="20"/>
                <w:highlight w:val="none"/>
                <w:lang w:val="en-US" w:eastAsia="zh-CN"/>
              </w:rPr>
              <w:t xml:space="preserve">100</w:t>
            </w:r>
            <w:r>
              <w:rPr>
                <w:rFonts w:hint="eastAsia" w:ascii="宋体" w:hAnsi="宋体" w:eastAsia="宋体"/>
                <w:color w:val="auto"/>
                <w:sz w:val="20"/>
                <w:szCs w:val="20"/>
                <w:highlight w:val="none"/>
              </w:rPr>
              <w:t xml:space="preserve">kg；</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4.五金件：隐藏式拉手设计，避免突出锐角；</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5.储物空间：包含≥1个抽屉，可存放教案、文具；</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rPr>
              <w:suppressLineNumbers w:val="0"/>
            </w:pPr>
            <w:r>
              <w:rPr>
                <w:rFonts w:hint="eastAsia" w:ascii="宋体" w:hAnsi="宋体" w:eastAsia="宋体"/>
                <w:color w:val="auto"/>
                <w:sz w:val="20"/>
                <w:szCs w:val="20"/>
                <w:highlight w:val="none"/>
              </w:rPr>
              <w:t xml:space="preserve">6.设备支持：标配电源接口、 USB接口2个及网络接口；</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0"/>
                <w:szCs w:val="20"/>
                <w:highlight w:val="none"/>
                <w:lang w:val="en-US" w:eastAsia="zh-CN" w:bidi="ar-SA"/>
              </w:rPr>
              <w:suppressLineNumbers w:val="0"/>
            </w:pPr>
            <w:r>
              <w:rPr>
                <w:rFonts w:hint="eastAsia" w:ascii="宋体" w:hAnsi="宋体" w:eastAsia="宋体"/>
                <w:color w:val="auto"/>
                <w:sz w:val="20"/>
                <w:szCs w:val="20"/>
                <w:highlight w:val="none"/>
              </w:rPr>
              <w:t xml:space="preserve">7.人体工学：台面圆弧边缘设计，防碰撞；</w:t>
            </w:r>
            <w:r/>
          </w:p>
        </w:tc>
        <w:tc>
          <w:tcPr>
            <w:tcW w:w="56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olor w:val="auto"/>
                <w:sz w:val="21"/>
                <w:szCs w:val="24"/>
                <w:highlight w:val="none"/>
                <w:lang w:val="en-US" w:eastAsia="zh-CN" w:bidi="ar-SA"/>
              </w:rPr>
              <w:suppressLineNumbers w:val="0"/>
            </w:pPr>
            <w:r>
              <w:rPr>
                <w:rFonts w:hint="eastAsia" w:ascii="宋体" w:hAnsi="宋体" w:eastAsia="宋体"/>
                <w:color w:val="auto"/>
                <w:sz w:val="21"/>
                <w:szCs w:val="24"/>
                <w:highlight w:val="none"/>
                <w:lang w:val="en-US" w:eastAsia="zh-CN" w:bidi="ar-SA"/>
              </w:rPr>
              <w:t xml:space="preserve">套</w:t>
            </w:r>
            <w:r/>
          </w:p>
        </w:tc>
        <w:tc>
          <w:tcPr>
            <w:tcW w:w="68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olor w:val="auto"/>
                <w:sz w:val="21"/>
                <w:szCs w:val="24"/>
                <w:highlight w:val="none"/>
                <w:lang w:val="en-US" w:eastAsia="zh-CN" w:bidi="ar-SA"/>
              </w:rPr>
              <w:suppressLineNumbers w:val="0"/>
            </w:pPr>
            <w:r>
              <w:rPr>
                <w:rFonts w:hint="eastAsia" w:ascii="宋体" w:hAnsi="宋体" w:eastAsia="宋体"/>
                <w:color w:val="auto"/>
                <w:sz w:val="20"/>
                <w:szCs w:val="20"/>
                <w:highlight w:val="none"/>
                <w:lang w:val="en-US" w:eastAsia="zh-CN"/>
              </w:rPr>
              <w:t xml:space="preserve">1</w:t>
            </w:r>
            <w:r/>
          </w:p>
        </w:tc>
      </w:tr>
    </w:tbl>
    <w:p>
      <w:pPr>
        <w:ind w:left="0" w:right="0" w:firstLine="420"/>
        <w:jc w:val="both"/>
        <w:keepLines w:val="0"/>
        <w:keepNext w:val="0"/>
        <w:pageBreakBefore w:val="0"/>
        <w:spacing w:before="0" w:beforeAutospacing="0" w:after="0" w:afterAutospacing="0" w:line="360" w:lineRule="auto"/>
        <w:widowControl/>
        <w:rPr>
          <w:rFonts w:hint="default"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rPr>
        <w:t xml:space="preserve">核心产品：开源鸿蒙全场景应用开发实验平台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
        </w:rPr>
        <w:t xml:space="preserve">以上技术指标(▲除外)，若出现负偏离</w:t>
      </w:r>
      <w:r>
        <w:rPr>
          <w:rFonts w:hint="eastAsia" w:ascii="宋体" w:hAnsi="宋体" w:cs="宋体"/>
          <w:b/>
          <w:bCs/>
          <w:color w:val="auto"/>
          <w:sz w:val="21"/>
          <w:szCs w:val="21"/>
          <w:highlight w:val="none"/>
          <w:lang w:val="en-US" w:eastAsia="zh-CN" w:bidi="ar"/>
        </w:rPr>
        <w:t xml:space="preserve">或未达到要求</w:t>
      </w:r>
      <w:r>
        <w:rPr>
          <w:rFonts w:hint="eastAsia" w:ascii="宋体" w:hAnsi="宋体" w:eastAsia="宋体" w:cs="宋体"/>
          <w:b/>
          <w:bCs/>
          <w:color w:val="auto"/>
          <w:sz w:val="21"/>
          <w:szCs w:val="21"/>
          <w:highlight w:val="none"/>
          <w:lang w:val="en-US" w:eastAsia="zh-CN" w:bidi="ar"/>
        </w:rPr>
        <w:t xml:space="preserve">，视为非实质响应招标文件要求</w:t>
      </w:r>
      <w:r>
        <w:rPr>
          <w:rFonts w:hint="eastAsia" w:ascii="宋体" w:hAnsi="宋体" w:cs="宋体"/>
          <w:b/>
          <w:bCs/>
          <w:color w:val="auto"/>
          <w:sz w:val="21"/>
          <w:szCs w:val="21"/>
          <w:highlight w:val="none"/>
          <w:lang w:val="en-US" w:eastAsia="zh-CN" w:bidi="ar"/>
        </w:rPr>
        <w:t xml:space="preserve">，为无效标。</w:t>
      </w:r>
      <w:r/>
    </w:p>
    <w:p>
      <w:pPr>
        <w:ind w:left="0" w:firstLine="420"/>
        <w:keepLines w:val="0"/>
        <w:keepNext w:val="0"/>
        <w:pageBreakBefore w:val="0"/>
        <w:spacing w:beforeAutospacing="0" w:afterAutospacing="0"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中标单位应按照合同约定的标准完成</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，遵守学校的相关规章制度，安全文明</w:t>
      </w:r>
      <w:r>
        <w:rPr>
          <w:rFonts w:hint="eastAsia" w:ascii="宋体" w:hAnsi="宋体" w:cs="宋体"/>
          <w:color w:val="auto"/>
          <w:sz w:val="21"/>
          <w:szCs w:val="21"/>
          <w:highlight w:val="none"/>
          <w:lang w:val="en-US" w:eastAsia="zh-CN"/>
        </w:rPr>
        <w:t xml:space="preserve">操作</w:t>
      </w:r>
      <w:r>
        <w:rPr>
          <w:rFonts w:hint="eastAsia" w:ascii="宋体" w:hAnsi="宋体" w:eastAsia="宋体" w:cs="宋体"/>
          <w:color w:val="auto"/>
          <w:sz w:val="21"/>
          <w:szCs w:val="21"/>
          <w:highlight w:val="none"/>
        </w:rPr>
        <w:t xml:space="preserve">，出现任何安装质量、安全事故责任由中标单位自行承担。中标单位在项目实施前，详细分析在本次项目实施过程中可能存在的的技术风险，并采取必要的风险控制措施。由于中标单位在项目实施工作中对采购人造成的负面影响，其后果都须由中标单位承担。</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项目商务要求</w:t>
      </w:r>
      <w:r>
        <w:rPr>
          <w:rFonts w:hint="eastAsia" w:ascii="宋体" w:hAnsi="宋体" w:eastAsia="宋体" w:cs="宋体"/>
          <w:b/>
          <w:bCs/>
          <w:color w:val="auto"/>
          <w:sz w:val="21"/>
          <w:szCs w:val="21"/>
          <w:highlight w:val="none"/>
          <w:lang w:eastAsia="zh-CN"/>
        </w:rPr>
        <w:t xml:space="preserve">：</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1.交付</w:t>
      </w: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eastAsia="zh-CN"/>
        </w:rPr>
        <w:t xml:space="preserve">：合同签订后，30天内交付并完成安装调试。</w:t>
      </w:r>
      <w:r/>
    </w:p>
    <w:p>
      <w:pPr>
        <w:ind w:left="0" w:firstLine="420"/>
        <w:keepLines w:val="0"/>
        <w:keepNext w:val="0"/>
        <w:pageBreakBefore w:val="0"/>
        <w:spacing w:line="360" w:lineRule="auto"/>
        <w:widowControl w:val="off"/>
        <w:tabs>
          <w:tab w:val="left" w:pos="420" w:leader="none"/>
        </w:tabs>
        <w:rPr>
          <w:rFonts w:hint="default" w:ascii="宋体" w:hAnsi="宋体" w:eastAsia="宋体" w:cs="宋体"/>
          <w:b/>
          <w:color w:val="auto"/>
          <w:sz w:val="21"/>
          <w:szCs w:val="21"/>
          <w:highlight w:val="none"/>
          <w:u w:val="none"/>
          <w:lang w:val="en-US" w:eastAsia="zh-CN"/>
        </w:rPr>
      </w:pPr>
      <w:r>
        <w:rPr>
          <w:rFonts w:hint="eastAsia" w:ascii="宋体" w:hAnsi="宋体" w:eastAsia="宋体" w:cs="宋体"/>
          <w:color w:val="auto"/>
          <w:sz w:val="21"/>
          <w:szCs w:val="21"/>
          <w:highlight w:val="none"/>
        </w:rPr>
        <w:t xml:space="preserve">2.交付地点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采购人指定地点。</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3.付款条件（进度和方式）</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（1）合同签订后 15天内，采购人向供应商支付合同金额的30%作为预付款。</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（2）供应商完成全部合同标的的运输、搬运、安装、调试等工作，通过采购人组织的履约验收后，所有设备交付并完成安装调试后，在收到对方提供的合格的发票且验收合格的10个工作日内支付合同金额的100%。</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（3）合同总报价包括全部设备、服务、人工、配合费用（含交通、住宿等）、培训、保险、各种税费、劳保及验收、专利技术等一切费用；</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（4）履约保证金：合同签订生效后，乙方收到甲方缴款通知单后的5个工作日内，乙方应向甲方交纳成交金额的 5%作为履约保证金，待乙方履行完合同义务后，由乙方凭甲方的收款收据自行申请履约保证金无息退还。若乙方两年内仍未申请退还，则履约保证金归甲方所有，甲方不予退还。</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）合同总报价包括全部设备、服务、人工、配合费用（含交通、住宿等）、培训、保险、各种税费、劳保及验收、专利技术等一切费用；</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在签订合同时，乙方明确表示无需预付款或者主动要求降低预付款比例的，甲方可不适用上述关于预付款的规定。</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4.包装和运输要求</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（2）合同标的的包装符合《商品包装政府采购需求标准（试行）》、《快递包装政府采购需求标准（试行）》（财办库〔2020〕123 号文）要求。</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（3）合同标的在运输环节发生锈蚀、损坏和丢失等情况，由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承担责任和费用。</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5.售后服务要求</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提供的售后服务标准应不低于同型号设备的出厂市场服务标准。</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（2）在供货或安装时，应提供合同标的生产商原厂（或原厂授权）人员现场安装及调试服务。包括开箱、检查、设备连接、通电等验机服务，并按采购人要求完成安装及调试。</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（3）自验收合格之日起，应提</w:t>
      </w:r>
      <w:r>
        <w:rPr>
          <w:rFonts w:hint="eastAsia" w:ascii="宋体" w:hAnsi="宋体" w:eastAsia="宋体" w:cs="宋体"/>
          <w:color w:val="auto"/>
          <w:sz w:val="21"/>
          <w:szCs w:val="21"/>
          <w:highlight w:val="none"/>
          <w:u w:val="none"/>
        </w:rPr>
        <w:t xml:space="preserve">供</w:t>
      </w:r>
      <w:r>
        <w:rPr>
          <w:rFonts w:hint="eastAsia" w:ascii="宋体" w:hAnsi="宋体" w:cs="宋体"/>
          <w:color w:val="auto"/>
          <w:sz w:val="21"/>
          <w:szCs w:val="21"/>
          <w:highlight w:val="none"/>
          <w:u w:val="none"/>
          <w:lang w:val="en-US" w:eastAsia="zh-CN"/>
        </w:rPr>
        <w:t xml:space="preserve">不低于3</w:t>
      </w:r>
      <w:r>
        <w:rPr>
          <w:rFonts w:hint="eastAsia" w:ascii="宋体" w:hAnsi="宋体" w:eastAsia="宋体" w:cs="宋体"/>
          <w:color w:val="auto"/>
          <w:sz w:val="21"/>
          <w:szCs w:val="21"/>
          <w:highlight w:val="none"/>
          <w:u w:val="none"/>
        </w:rPr>
        <w:t xml:space="preserve">年</w:t>
      </w:r>
      <w:r>
        <w:rPr>
          <w:rFonts w:hint="eastAsia" w:ascii="宋体" w:hAnsi="宋体" w:cs="宋体"/>
          <w:color w:val="auto"/>
          <w:sz w:val="21"/>
          <w:szCs w:val="21"/>
          <w:highlight w:val="none"/>
          <w:u w:val="none"/>
          <w:lang w:val="en-US" w:eastAsia="zh-CN"/>
        </w:rPr>
        <w:t xml:space="preserve">免费</w:t>
      </w:r>
      <w:r>
        <w:rPr>
          <w:rFonts w:hint="eastAsia" w:ascii="宋体" w:hAnsi="宋体" w:eastAsia="宋体" w:cs="宋体"/>
          <w:color w:val="auto"/>
          <w:sz w:val="21"/>
          <w:szCs w:val="21"/>
          <w:highlight w:val="none"/>
          <w:u w:val="none"/>
        </w:rPr>
        <w:t xml:space="preserve">质量保证期。该质</w:t>
      </w:r>
      <w:r>
        <w:rPr>
          <w:rFonts w:hint="eastAsia" w:ascii="宋体" w:hAnsi="宋体" w:eastAsia="宋体" w:cs="宋体"/>
          <w:color w:val="auto"/>
          <w:sz w:val="21"/>
          <w:szCs w:val="21"/>
          <w:highlight w:val="none"/>
        </w:rPr>
        <w:t xml:space="preserve">量保证期年限不低于同型号设备的出厂市场标准质量保证期年限</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（4）在质量保证期内，确因产品质量问题产生的设备更换、备件、耗材、人工等费用均由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承担，所有维修更换的配件均由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提供，所有维修更换的配件均应为原厂正品配件。因人为因素出现的故障不在免费保修范围。</w:t>
      </w:r>
      <w:r/>
    </w:p>
    <w:p>
      <w:pPr>
        <w:ind w:left="0" w:firstLine="420"/>
        <w:keepLines w:val="0"/>
        <w:keepNext w:val="0"/>
        <w:pageBreakBefore w:val="0"/>
        <w:spacing w:line="360" w:lineRule="auto"/>
        <w:widowControl w:val="off"/>
        <w:tabs>
          <w:tab w:val="left" w:pos="420" w:leader="none"/>
        </w:tabs>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（5）服务响应时间：在任何时期内出现任何由设备或软件的缺陷造成的故障，对所供设备及软件系统，当</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提出要求后，</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承诺7*24小时，1小时到达</w:t>
      </w:r>
      <w:r>
        <w:rPr>
          <w:rFonts w:hint="eastAsia" w:ascii="宋体" w:hAnsi="宋体" w:cs="宋体"/>
          <w:color w:val="auto"/>
          <w:sz w:val="21"/>
          <w:szCs w:val="21"/>
          <w:highlight w:val="none"/>
          <w:lang w:val="en-US" w:eastAsia="zh-CN"/>
        </w:rPr>
        <w:t xml:space="preserve">采购人要求场地，</w:t>
      </w:r>
      <w:r>
        <w:rPr>
          <w:rFonts w:hint="eastAsia" w:ascii="宋体" w:hAnsi="宋体" w:cs="宋体"/>
          <w:b w:val="0"/>
          <w:bCs w:val="0"/>
          <w:color w:val="auto"/>
          <w:sz w:val="21"/>
          <w:szCs w:val="21"/>
          <w:highlight w:val="none"/>
          <w:lang w:val="en-US" w:eastAsia="zh-CN"/>
        </w:rPr>
        <w:t xml:space="preserve">投标文件中须提供以上内容的服务承诺书，否则为无效投标。</w:t>
      </w:r>
      <w:r/>
    </w:p>
    <w:p>
      <w:pPr>
        <w:ind w:left="0" w:firstLine="420"/>
        <w:keepLines w:val="0"/>
        <w:keepNext w:val="0"/>
        <w:pageBreakBefore w:val="0"/>
        <w:spacing w:line="360" w:lineRule="auto"/>
        <w:widowControl w:val="off"/>
        <w:tabs>
          <w:tab w:val="left" w:pos="420" w:leader="none"/>
        </w:tabs>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（6）在接到电话报障后10分钟予以电话响应，1小时内到达</w:t>
      </w:r>
      <w:r>
        <w:rPr>
          <w:rFonts w:hint="eastAsia" w:ascii="宋体" w:hAnsi="宋体" w:cs="宋体"/>
          <w:color w:val="auto"/>
          <w:sz w:val="21"/>
          <w:szCs w:val="21"/>
          <w:highlight w:val="none"/>
          <w:lang w:val="en-US" w:eastAsia="zh-CN"/>
        </w:rPr>
        <w:t xml:space="preserve">采购人要求场地，</w:t>
      </w:r>
      <w:r>
        <w:rPr>
          <w:rFonts w:hint="eastAsia" w:ascii="宋体" w:hAnsi="宋体" w:eastAsia="宋体" w:cs="宋体"/>
          <w:color w:val="auto"/>
          <w:sz w:val="21"/>
          <w:szCs w:val="21"/>
          <w:highlight w:val="none"/>
        </w:rPr>
        <w:t xml:space="preserve">2小时内做出故障诊断报告，在2小时内解决</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提出的维修要求（无法修复的承诺提供备用机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不再收取额外费用。对送修的产品</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负责送取）</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投标文件中须提供以上内容的服务承诺书并明确负责人员的联系方式及QQ（或微信），否则为无效投标。</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）定期维护：</w:t>
      </w:r>
      <w:r>
        <w:rPr>
          <w:rFonts w:hint="eastAsia" w:ascii="宋体"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采用专人</w:t>
      </w:r>
      <w:r>
        <w:rPr>
          <w:rFonts w:hint="eastAsia" w:ascii="宋体" w:hAnsi="宋体" w:eastAsia="宋体" w:cs="宋体"/>
          <w:color w:val="auto"/>
          <w:sz w:val="21"/>
          <w:szCs w:val="21"/>
          <w:highlight w:val="none"/>
        </w:rPr>
        <w:t xml:space="preserve">定期走访方式，调查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设备的运行和维护情况，听取</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意见，现场解决存在的问题。通常每学期二次的例行上门维护服务，由有丰富经验的工程师到现场，察看系统的设置及运行情况，及时发现潜在问题并为设备除尘保养等工作。</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）培训：根据</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需求，提供相关培训服务。</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设备安装完成且试运行良好后，</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需结合采购人时间、地点、人员等要求，安排不少于2名技术人员开展至少2次培训，培训人数由采购方自行安排，并做好培训记录。</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项目内所涉及的全部设备需由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按照采购人要求安装在指定位置，所有安装涉及的费用由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负责，项目安装调试完成后，确保各项参数满足保证效果良好并做好运行记录，以备查看。</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6.履约验收基本要求</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、政府采购合同等是履约验收工作的重要依据。在政府采购合同约定的履行验收条件达到时，中标供应商可以主动联系采购人启动履约验收工作。</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采购人将按照验收标准要求组织验收，验收内容和标准至少包括服务质量、用户满意度、服务过程文档资料、数据准确性等内容。</w:t>
      </w:r>
      <w:r/>
    </w:p>
    <w:p>
      <w:pPr>
        <w:ind w:left="0" w:firstLine="420"/>
        <w:keepLines w:val="0"/>
        <w:keepNext w:val="0"/>
        <w:pageBreakBefore w:val="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七、综合说明</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1.投标人按照招标文件的要求提交投标文件，并对所提供的全部资料的真实性承担法律责任。</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企业利润和政策性文件规定及合同包含的所有风险、责任等各项应有费用以及投标人认为应纳入的其它一切费用。</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3.中标单位将根据招标文件、投标文件的相关约定，承担合同责任，履行合同义务。</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keepLines w:val="0"/>
        <w:keepNext w:val="0"/>
        <w:pageBreakBefore w:val="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八、政府采购政策</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1.中小微企业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根据《政府采购促进中小企业发展管理办法》（财库〔2020〕46号）、《关于印发&lt;苏州市政府采购促进中小企业发展实施意见&gt;的通知》（苏财购〔2022〕16号）的相关规定，如</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keepLines w:val="0"/>
        <w:keepNext w:val="0"/>
        <w:pageBreakBefore w:val="0"/>
        <w:spacing w:line="360" w:lineRule="auto"/>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其中，</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提供的货物既有中小企业制造货物，也有大型企业制造货物的，不享受中小企业扶持政策。</w:t>
      </w:r>
      <w:r/>
    </w:p>
    <w:p>
      <w:pPr>
        <w:ind w:left="0" w:firstLine="420"/>
        <w:keepLines w:val="0"/>
        <w:keepNext w:val="0"/>
        <w:pageBreakBefore w:val="0"/>
        <w:spacing w:line="360" w:lineRule="auto"/>
        <w:tabs>
          <w:tab w:val="left" w:pos="420" w:leader="none"/>
          <w:tab w:val="left" w:pos="1260" w:leader="none"/>
          <w:tab w:val="left" w:pos="144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auto"/>
          <w:sz w:val="21"/>
          <w:szCs w:val="21"/>
          <w:highlight w:val="none"/>
        </w:rPr>
        <w:t xml:space="preserve">本采购标的对应的中小企业划分标准所属行业</w:t>
      </w:r>
      <w:r>
        <w:rPr>
          <w:rFonts w:hint="eastAsia" w:ascii="宋体" w:hAnsi="宋体" w:eastAsia="宋体" w:cs="宋体"/>
          <w:b/>
          <w:color w:val="auto"/>
          <w:sz w:val="21"/>
          <w:szCs w:val="21"/>
          <w:highlight w:val="none"/>
        </w:rPr>
        <w:t xml:space="preserve">为：工业。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（1）本次拟采购的产品</w:t>
      </w:r>
      <w:r>
        <w:rPr>
          <w:rFonts w:hint="eastAsia" w:ascii="宋体" w:hAnsi="宋体" w:eastAsia="宋体" w:cs="宋体"/>
          <w:b/>
          <w:color w:val="auto"/>
          <w:sz w:val="21"/>
          <w:szCs w:val="21"/>
          <w:highlight w:val="none"/>
          <w:lang w:val="en-US" w:eastAsia="zh-CN"/>
        </w:rPr>
        <w:t xml:space="preserve">不</w:t>
      </w:r>
      <w:r>
        <w:rPr>
          <w:rFonts w:hint="eastAsia" w:ascii="宋体" w:hAnsi="宋体" w:eastAsia="宋体" w:cs="宋体"/>
          <w:b/>
          <w:color w:val="auto"/>
          <w:sz w:val="21"/>
          <w:szCs w:val="21"/>
          <w:highlight w:val="none"/>
        </w:rPr>
        <w:t xml:space="preserve">属于</w:t>
      </w:r>
      <w:bookmarkStart w:id="101" w:name="OLE_LINK34"/>
      <w:r/>
      <w:bookmarkStart w:id="102" w:name="OLE_LINK43"/>
      <w:r>
        <w:rPr>
          <w:rFonts w:hint="eastAsia" w:ascii="宋体" w:hAnsi="宋体" w:eastAsia="宋体" w:cs="宋体"/>
          <w:b/>
          <w:color w:val="auto"/>
          <w:sz w:val="21"/>
          <w:szCs w:val="21"/>
          <w:highlight w:val="none"/>
        </w:rPr>
        <w:t xml:space="preserve">政府强制采购节能产品</w:t>
      </w:r>
      <w:bookmarkEnd w:id="101"/>
      <w:r/>
      <w:bookmarkEnd w:id="102"/>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须提供由国家确定的认证机构出具的、处于有效期之内的节能产品认证证书，上述品目清单可通过“中国政府采购网”（http</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//www.ccgp.gov.cn）查询,并在投标文件中提供由国家确定的认证机构出具的、处于有效期之内的节能产品认证证书复印件，否则视为未实质性响应。</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应提供符合标准要求的设备或服务。</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提供产品及相关快递服务的包装应符合标准要求。</w:t>
      </w:r>
      <w:r/>
    </w:p>
    <w:p>
      <w:pPr>
        <w:pStyle w:val="1310"/>
        <w:ind w:left="0" w:righ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本国产品</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本项目对采购本国产品给予政策支持：</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w:t>
      </w:r>
      <w:r>
        <w:rPr>
          <w:rFonts w:hint="eastAsia" w:ascii="宋体" w:hAnsi="宋体" w:eastAsia="宋体" w:cs="宋体"/>
          <w:b/>
          <w:bCs/>
          <w:color w:val="auto"/>
          <w:sz w:val="21"/>
          <w:szCs w:val="21"/>
          <w:highlight w:val="none"/>
        </w:rPr>
        <w:t xml:space="preserve">，对本国产品的报价给予20%的价格扣除，</w:t>
      </w:r>
      <w:r>
        <w:rPr>
          <w:rFonts w:hint="eastAsia" w:ascii="宋体" w:hAnsi="宋体" w:eastAsia="宋体" w:cs="宋体"/>
          <w:color w:val="auto"/>
          <w:sz w:val="21"/>
          <w:szCs w:val="21"/>
          <w:highlight w:val="none"/>
        </w:rPr>
        <w:t xml:space="preserve">用扣除后的价格参与评审。</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 w:val="21"/>
          <w:szCs w:val="21"/>
          <w:highlight w:val="none"/>
        </w:rPr>
        <w:t xml:space="preserve">供应商未填写比例数值，或比例数值未达到80%的，将不享受本国产品价格评审优惠。</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10"/>
        <w:ind w:left="0" w:firstLine="420"/>
        <w:jc w:val="both"/>
        <w:keepLines w:val="0"/>
        <w:keepNext w:val="0"/>
        <w:spacing w:before="0" w:beforeAutospacing="0" w:after="0" w:afterAutospacing="0" w:line="360" w:lineRule="auto"/>
        <w:widowControl w:val="off"/>
        <w:rPr>
          <w:rFonts w:hint="eastAsia" w:ascii="宋体" w:hAnsi="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九、关于对参与</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信用记录的政府采购要求</w:t>
      </w:r>
      <w:r/>
    </w:p>
    <w:p>
      <w:pPr>
        <w:ind w:left="0" w:firstLine="420"/>
        <w:keepLines w:val="0"/>
        <w:keepNext w:val="0"/>
        <w:pageBreakBefore w:val="0"/>
        <w:spacing w:line="360" w:lineRule="auto"/>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1.采购代理机构会在接收投标文件截止时间后，</w:t>
      </w:r>
      <w:r>
        <w:rPr>
          <w:rFonts w:hint="eastAsia" w:ascii="宋体" w:hAnsi="宋体" w:eastAsia="宋体" w:cs="宋体"/>
          <w:color w:val="auto"/>
          <w:sz w:val="21"/>
          <w:szCs w:val="21"/>
          <w:highlight w:val="none"/>
        </w:rPr>
        <w:t xml:space="preserve">登录信用中国网站（www.creditchina.gov.cn/）和中国政府采购网（www.ccgp.gov.cn/）查询</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的信用记录，并将查询结果递交评标委员会。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2.采购过程中将对</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，应当拒绝其参与政府采购活动。</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若在经营活动中受到罚款的，请携带相关地方、部门对较大数额认定标准的证明材料，与投标文件一并提交。若无法提供，则可能承担投标无效等相应不利后果。</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4.对存在失信信息的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，由失信</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进行确认。同时，采购代理机构工作人员应根据评标委员会确认的失信信息，登录到相关来源网站页面进行复核并打印，作为证据留存。</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十、凡涉及招标文件的补充说明和修改，均以网上发布的通知为准。</w:t>
      </w:r>
      <w:r/>
    </w:p>
    <w:p>
      <w:pPr>
        <w:pStyle w:val="840"/>
        <w:ind w:left="0" w:firstLine="0"/>
        <w:jc w:val="center"/>
        <w:keepLines w:val="0"/>
        <w:keepNext w:val="0"/>
        <w:pageBreakBefore w:val="0"/>
        <w:spacing w:before="0" w:after="0" w:line="360" w:lineRule="auto"/>
        <w:widowControl/>
        <w:rPr>
          <w:rFonts w:ascii="宋体" w:hAnsi="宋体"/>
          <w:b/>
          <w:color w:val="auto"/>
          <w:sz w:val="44"/>
          <w:szCs w:val="22"/>
          <w:highlight w:val="none"/>
        </w:rPr>
      </w:pPr>
      <w:r/>
      <w:bookmarkStart w:id="103" w:name="_Toc5111"/>
      <w:r/>
      <w:bookmarkStart w:id="104" w:name="_Toc11789"/>
      <w:r/>
      <w:bookmarkStart w:id="105" w:name="_Hlk55741158"/>
      <w:r>
        <w:rPr>
          <w:rFonts w:hint="eastAsia" w:ascii="宋体" w:hAnsi="宋体"/>
          <w:b/>
          <w:color w:val="auto"/>
          <w:sz w:val="44"/>
          <w:szCs w:val="22"/>
          <w:highlight w:val="none"/>
        </w:rPr>
        <w:br w:type="page" w:clear="all"/>
      </w:r>
      <w:bookmarkStart w:id="106" w:name="_Toc1842981612"/>
      <w:r>
        <w:rPr>
          <w:rFonts w:hint="eastAsia" w:ascii="宋体" w:hAnsi="宋体"/>
          <w:b/>
          <w:color w:val="auto"/>
          <w:sz w:val="44"/>
          <w:szCs w:val="22"/>
          <w:highlight w:val="none"/>
        </w:rPr>
        <w:t xml:space="preserve">第五章 </w:t>
      </w:r>
      <w:bookmarkStart w:id="107" w:name="合同的特殊条款"/>
      <w:r/>
      <w:bookmarkEnd w:id="107"/>
      <w:r>
        <w:rPr>
          <w:rFonts w:hint="eastAsia" w:ascii="宋体" w:hAnsi="宋体"/>
          <w:b/>
          <w:color w:val="auto"/>
          <w:sz w:val="44"/>
          <w:szCs w:val="22"/>
          <w:highlight w:val="none"/>
        </w:rPr>
        <w:t xml:space="preserve">合同及主要条款</w:t>
      </w:r>
      <w:bookmarkEnd w:id="103"/>
      <w:r/>
      <w:bookmarkEnd w:id="104"/>
      <w:r/>
      <w:bookmarkEnd w:id="105"/>
      <w:r/>
      <w:bookmarkEnd w:id="106"/>
      <w:r/>
      <w:r/>
    </w:p>
    <w:p>
      <w:pPr>
        <w:ind w:left="0"/>
        <w:jc w:val="center"/>
        <w:rPr>
          <w:rFonts w:ascii="宋体" w:hAnsi="宋体"/>
          <w:b/>
          <w:color w:val="auto"/>
          <w:sz w:val="32"/>
          <w:szCs w:val="32"/>
          <w:highlight w:val="none"/>
        </w:rPr>
      </w:pPr>
      <w:r/>
      <w:bookmarkStart w:id="108" w:name="_Toc27667"/>
      <w:r/>
      <w:bookmarkStart w:id="109" w:name="_Toc57376410"/>
      <w:r/>
      <w:bookmarkStart w:id="110" w:name="_Toc8564"/>
      <w:r>
        <w:rPr>
          <w:rFonts w:hint="eastAsia" w:ascii="宋体" w:hAnsi="宋体"/>
          <w:b/>
          <w:color w:val="auto"/>
          <w:sz w:val="32"/>
          <w:szCs w:val="32"/>
          <w:highlight w:val="none"/>
        </w:rPr>
        <w:t xml:space="preserve">政府采购合同</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项目编号：</w:t>
      </w:r>
      <w:r/>
    </w:p>
    <w:p>
      <w:pPr>
        <w:rPr>
          <w:rFonts w:ascii="宋体" w:hAnsi="宋体" w:cs="Times New Roman"/>
          <w:color w:val="auto"/>
          <w:highlight w:val="none"/>
        </w:rPr>
      </w:pPr>
      <w:r>
        <w:rPr>
          <w:rFonts w:ascii="宋体" w:hAnsi="宋体" w:cs="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color w:val="auto"/>
          <w:sz w:val="21"/>
          <w:szCs w:val="21"/>
          <w:highlight w:val="none"/>
          <w:u w:val="single"/>
        </w:rPr>
      </w:pPr>
      <w:r>
        <w:rPr>
          <w:rFonts w:hint="eastAsia" w:ascii="宋体" w:hAnsi="宋体"/>
          <w:b/>
          <w:color w:val="auto"/>
          <w:sz w:val="21"/>
          <w:highlight w:val="none"/>
        </w:rPr>
        <w:t xml:space="preserve">一、定义：以下术语有特定的含义：</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合同价是指根据中标的投标文件和合同规定，乙方在正确地履行合同义务后甲方应支付给乙方的价款。</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甲方是指合同中明确规定的实际购买货物和接受服务的单位。</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乙方是指合同中规定的提供货物和提供服务的单位。</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color w:val="auto"/>
          <w:sz w:val="21"/>
          <w:highlight w:val="none"/>
        </w:rPr>
      </w:pPr>
      <w:r>
        <w:rPr>
          <w:rFonts w:ascii="宋体" w:hAnsi="宋体"/>
          <w:b/>
          <w:color w:val="auto"/>
          <w:sz w:val="21"/>
          <w:highlight w:val="none"/>
        </w:rPr>
      </w:r>
      <w:r/>
    </w:p>
    <w:p>
      <w:pPr>
        <w:ind w:left="0" w:firstLine="422"/>
        <w:spacing w:line="360" w:lineRule="auto"/>
        <w:rPr>
          <w:rFonts w:ascii="宋体" w:hAnsi="宋体"/>
          <w:b/>
          <w:color w:val="auto"/>
          <w:sz w:val="21"/>
          <w:szCs w:val="21"/>
          <w:highlight w:val="none"/>
          <w:u w:val="single"/>
        </w:rPr>
      </w:pPr>
      <w:r>
        <w:rPr>
          <w:rFonts w:hint="eastAsia" w:ascii="宋体" w:hAnsi="宋体"/>
          <w:b/>
          <w:color w:val="auto"/>
          <w:sz w:val="21"/>
          <w:highlight w:val="none"/>
        </w:rPr>
        <w:t xml:space="preserve">二、合同标的：</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序号</w:t>
            </w:r>
            <w:r/>
          </w:p>
        </w:tc>
        <w:tc>
          <w:tcPr>
            <w:tcW w:w="2693"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货物（服务）名称</w:t>
            </w:r>
            <w:r/>
          </w:p>
        </w:tc>
        <w:tc>
          <w:tcPr>
            <w:tcW w:w="1529"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品牌</w:t>
            </w:r>
            <w:r/>
          </w:p>
        </w:tc>
        <w:tc>
          <w:tcPr>
            <w:tcW w:w="1642"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数量</w:t>
            </w:r>
            <w:r/>
          </w:p>
        </w:tc>
        <w:tc>
          <w:tcPr>
            <w:tcW w:w="1643"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交货期限</w:t>
            </w:r>
            <w:r/>
          </w:p>
        </w:tc>
        <w:tc>
          <w:tcPr>
            <w:tcW w:w="1643"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小计金额(元)</w:t>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1</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2</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3</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t xml:space="preserve">…</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bl>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三、合同总价款：</w:t>
      </w:r>
      <w:r>
        <w:rPr>
          <w:rFonts w:hint="eastAsia" w:ascii="宋体" w:hAnsi="宋体"/>
          <w:color w:val="auto"/>
          <w:sz w:val="21"/>
          <w:highlight w:val="none"/>
        </w:rPr>
        <w:t xml:space="preserve">大写人民币</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元，小写￥</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四、交货地点、时间、方式：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1.交货地点：乙方交货至甲方指定地点，所发生的运输等费用及货物的损坏造成的损失由乙方承担。</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2.交货时间：</w:t>
      </w:r>
      <w:r>
        <w:rPr>
          <w:rFonts w:ascii="宋体" w:hAnsi="宋体"/>
          <w:color w:val="auto"/>
          <w:sz w:val="21"/>
          <w:highlight w:val="none"/>
        </w:rPr>
        <w:t xml:space="preserve">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3.交货方式：乙方负责将货物安全完好运抵交货地点、安装调试并保证验收合格。</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五、付款方式：</w:t>
      </w:r>
      <w:r/>
    </w:p>
    <w:p>
      <w:pPr>
        <w:ind w:left="0" w:firstLine="42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付款步骤：</w:t>
      </w:r>
      <w:r/>
    </w:p>
    <w:p>
      <w:pPr>
        <w:ind w:left="0" w:firstLine="422"/>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（1）合同签订后 15天内，采购人向供应商支付合同金额的 30 %作为预付款。</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（2）供应商完成全部合同标的的运输、搬运、安装、调试等工作，通过采购人组织的履约验收后，所有设备交付并完成安装调试后，在收到对方提供的合格的发票且验收合格的10个工作日内支付合同金额的100%。</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（3）合同总报价包括全部设备、服务、人工、配合费用（含交通、住宿等）、培训、保险、各种税费、劳保及验收、专利技术等一切费用；</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（4）履约保证金：合同签订生效后，乙方收到甲方缴款通知单后的5个工作日内，乙方应向甲方交纳成交金额的 5%作为履约保证金，待乙方履行完合同义务后，由乙方凭甲方的收款收据自行申请履约保证金无息退还。若乙方两年内仍未申请退还，则履约保证金归甲方所有，甲方不予退还。</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（5）合同总报价包括全部设备、服务、人工、配合费用（含交通、住宿等）、培训、保险、各种税费、劳保及验收、专利技术等一切费用；</w:t>
      </w:r>
      <w:r/>
    </w:p>
    <w:p>
      <w:pPr>
        <w:ind w:left="0" w:firstLine="422"/>
        <w:spacing w:line="360" w:lineRule="auto"/>
        <w:widowControl w:val="off"/>
        <w:rPr>
          <w:rFonts w:ascii="宋体" w:hAnsi="宋体"/>
          <w:b/>
          <w:color w:val="auto"/>
          <w:sz w:val="21"/>
          <w:szCs w:val="21"/>
          <w:highlight w:val="none"/>
        </w:rPr>
      </w:pPr>
      <w:r>
        <w:rPr>
          <w:rFonts w:hint="eastAsia" w:ascii="宋体" w:hAnsi="宋体"/>
          <w:color w:val="auto"/>
          <w:sz w:val="21"/>
          <w:szCs w:val="21"/>
          <w:highlight w:val="none"/>
        </w:rPr>
        <w:t xml:space="preserve">注：在签订合同时，乙方明确表示无需预付款或者主动要求降低预付款比例的，甲方可不适用上述关于预付款的规定。</w:t>
      </w:r>
      <w:r>
        <w:rPr>
          <w:rFonts w:hint="eastAsia" w:ascii="宋体" w:hAnsi="宋体"/>
          <w:color w:val="auto"/>
          <w:sz w:val="21"/>
          <w:szCs w:val="21"/>
          <w:highlight w:val="none"/>
        </w:rPr>
        <w:br/>
      </w:r>
      <w:r>
        <w:rPr>
          <w:rFonts w:hint="eastAsia" w:ascii="宋体" w:hAnsi="宋体"/>
          <w:color w:val="auto"/>
          <w:sz w:val="21"/>
          <w:szCs w:val="21"/>
          <w:highlight w:val="none"/>
          <w:lang w:val="en-US" w:eastAsia="zh-CN"/>
        </w:rPr>
        <w:t xml:space="preserve">  </w:t>
      </w:r>
      <w:r>
        <w:rPr>
          <w:rFonts w:hint="eastAsia" w:ascii="宋体" w:hAnsi="宋体"/>
          <w:b/>
          <w:color w:val="auto"/>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可以以履约保函(保险)的形式代替提供履约保证金。</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 支付方式：银行汇票或转账支票。乙方账户信息如下：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开户名称：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开户银行：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银行账号：</w:t>
      </w:r>
      <w:r/>
    </w:p>
    <w:p>
      <w:pPr>
        <w:pStyle w:val="865"/>
        <w:rPr>
          <w:color w:val="auto"/>
          <w:highlight w:val="none"/>
        </w:rPr>
      </w:pPr>
      <w:r>
        <w:rPr>
          <w:color w:val="auto"/>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六、验收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1.乙方提交的货物由甲方负责验收。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七、保修期：</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本项目经甲方验收合格后，乙方将提供</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年质量保证期。质量保证期内，乙方负责对其提供的货物实行免费维修。</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八、伴随服务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3.上述伴随服务的费用应包含在合同价中，不单独进行支付。</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4.货物的包装、储运、安装按国家有关规定执行。</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九、质量保证</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十、索赔</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2.如果乙方对缺陷负有责任而甲方提出索赔，乙方应按照甲方同意的下列一种或多种方式解决索赔事宜：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（2）根据货物低劣、损坏程度以及甲方所遭受损失的金额，经双方商定降低货物的价格。</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十一、履约延误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65"/>
        <w:rPr>
          <w:color w:val="auto"/>
          <w:highlight w:val="none"/>
        </w:rPr>
      </w:pPr>
      <w:r>
        <w:rPr>
          <w:color w:val="auto"/>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十二、误期赔偿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2.误期赔偿费可从应付货款中扣除。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3.收取误期赔偿费不影响甲方采取合同规定的其他补救措施的权利。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十三、不可抗力</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十四、争端的解决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2.如果调解不成，双方中的任何一方可向人民法院提起诉讼。诉讼由合同签订地人民法院管辖。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3.诉讼费由败诉方负担。</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4.因合同部分履行引发诉讼的，在诉讼期间，除正在进行诉讼的部分外，本合同的其它部分应继续执行。 </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十五、违约终止合同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要求乙方退还已付款项。</w:t>
      </w:r>
      <w:r>
        <w:rPr>
          <w:rFonts w:hint="eastAsia" w:ascii="宋体" w:hAnsi="宋体"/>
          <w:color w:val="auto"/>
          <w:sz w:val="21"/>
          <w:highlight w:val="none"/>
        </w:rPr>
        <w:t xml:space="preserve"> </w:t>
      </w:r>
      <w:r/>
    </w:p>
    <w:p>
      <w:pPr>
        <w:ind w:left="0" w:firstLine="200"/>
        <w:spacing w:line="360" w:lineRule="auto"/>
        <w:rPr>
          <w:rFonts w:ascii="宋体" w:hAnsi="宋体"/>
          <w:color w:val="auto"/>
          <w:sz w:val="21"/>
          <w:highlight w:val="none"/>
        </w:rPr>
      </w:pPr>
      <w:r>
        <w:rPr>
          <w:rFonts w:hint="eastAsia" w:ascii="宋体" w:hAnsi="宋体"/>
          <w:color w:val="auto"/>
          <w:sz w:val="21"/>
          <w:highlight w:val="none"/>
        </w:rPr>
        <w:t xml:space="preserve">（1）如果乙方未能在合同规定的限期或甲方同意延长的限期内提供部分或全部货物和服务。</w:t>
      </w:r>
      <w:r/>
    </w:p>
    <w:p>
      <w:pPr>
        <w:ind w:left="0" w:firstLine="200"/>
        <w:spacing w:line="360" w:lineRule="auto"/>
        <w:rPr>
          <w:rFonts w:ascii="宋体" w:hAnsi="宋体"/>
          <w:color w:val="auto"/>
          <w:sz w:val="21"/>
          <w:highlight w:val="none"/>
        </w:rPr>
      </w:pPr>
      <w:r>
        <w:rPr>
          <w:rFonts w:hint="eastAsia" w:ascii="宋体" w:hAnsi="宋体"/>
          <w:color w:val="auto"/>
          <w:sz w:val="21"/>
          <w:highlight w:val="none"/>
        </w:rPr>
        <w:t xml:space="preserve">（2）如果乙方未能履行合同规定的其它任何义务。 </w:t>
      </w:r>
      <w:r/>
    </w:p>
    <w:p>
      <w:pPr>
        <w:ind w:left="0" w:firstLine="200"/>
        <w:spacing w:line="360" w:lineRule="auto"/>
        <w:rPr>
          <w:rFonts w:ascii="宋体" w:hAnsi="宋体"/>
          <w:color w:val="auto"/>
          <w:sz w:val="21"/>
          <w:highlight w:val="none"/>
        </w:rPr>
      </w:pPr>
      <w:r>
        <w:rPr>
          <w:rFonts w:hint="eastAsia" w:ascii="宋体" w:hAnsi="宋体"/>
          <w:color w:val="auto"/>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3.如果甲方违约，应承担相应的违约责任。 </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十六、破产终止合同：</w:t>
      </w:r>
      <w:r>
        <w:rPr>
          <w:rFonts w:hint="eastAsia" w:ascii="宋体" w:hAnsi="宋体"/>
          <w:color w:val="auto"/>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color w:val="auto"/>
          <w:sz w:val="21"/>
          <w:highlight w:val="none"/>
        </w:rPr>
      </w:pPr>
      <w:r>
        <w:rPr>
          <w:rFonts w:ascii="宋体" w:hAnsi="宋体"/>
          <w:b/>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十八、合同转让和分包：</w:t>
      </w:r>
      <w:r>
        <w:rPr>
          <w:rFonts w:hint="eastAsia" w:ascii="宋体" w:hAnsi="宋体"/>
          <w:color w:val="auto"/>
          <w:sz w:val="21"/>
          <w:highlight w:val="none"/>
        </w:rPr>
        <w:t xml:space="preserve">本项目不得转包、分包。</w:t>
      </w:r>
      <w:r/>
    </w:p>
    <w:p>
      <w:pPr>
        <w:ind w:left="0" w:firstLine="422"/>
        <w:spacing w:line="360" w:lineRule="auto"/>
        <w:rPr>
          <w:rFonts w:ascii="宋体" w:hAnsi="宋体"/>
          <w:b/>
          <w:color w:val="auto"/>
          <w:sz w:val="21"/>
          <w:highlight w:val="none"/>
        </w:rPr>
      </w:pPr>
      <w:r>
        <w:rPr>
          <w:rFonts w:ascii="宋体" w:hAnsi="宋体"/>
          <w:b/>
          <w:color w:val="auto"/>
          <w:sz w:val="21"/>
          <w:highlight w:val="none"/>
        </w:rPr>
      </w:r>
      <w:r/>
    </w:p>
    <w:p>
      <w:pPr>
        <w:numPr>
          <w:ilvl w:val="0"/>
          <w:numId w:val="4"/>
        </w:numPr>
        <w:ind w:left="0" w:firstLine="422"/>
        <w:spacing w:line="360" w:lineRule="auto"/>
        <w:rPr>
          <w:rFonts w:hint="eastAsia" w:ascii="宋体" w:hAnsi="宋体"/>
          <w:b/>
          <w:color w:val="auto"/>
          <w:sz w:val="21"/>
          <w:highlight w:val="none"/>
          <w:lang w:val="en-US" w:eastAsia="zh-CN"/>
        </w:rPr>
      </w:pPr>
      <w:r>
        <w:rPr>
          <w:rFonts w:hint="eastAsia" w:ascii="宋体" w:hAnsi="宋体"/>
          <w:b/>
          <w:color w:val="auto"/>
          <w:sz w:val="21"/>
          <w:highlight w:val="none"/>
        </w:rPr>
        <w:t xml:space="preserve">需要补充的合同条款：</w:t>
      </w:r>
      <w:r>
        <w:rPr>
          <w:rFonts w:hint="eastAsia" w:ascii="宋体" w:hAnsi="宋体"/>
          <w:b/>
          <w:color w:val="auto"/>
          <w:sz w:val="21"/>
          <w:highlight w:val="none"/>
          <w:lang w:val="en-US" w:eastAsia="zh-CN"/>
        </w:rPr>
        <w:t xml:space="preserve">\</w:t>
      </w:r>
      <w:r/>
    </w:p>
    <w:p>
      <w:pPr>
        <w:numPr>
          <w:ilvl w:val="0"/>
          <w:numId w:val="0"/>
        </w:numPr>
        <w:ind w:left="422"/>
        <w:spacing w:line="360" w:lineRule="auto"/>
        <w:rPr>
          <w:rFonts w:hint="eastAsia" w:ascii="宋体" w:hAnsi="宋体"/>
          <w:b/>
          <w:color w:val="auto"/>
          <w:sz w:val="21"/>
          <w:highlight w:val="none"/>
          <w:lang w:val="en-US" w:eastAsia="zh-CN"/>
        </w:rPr>
      </w:pPr>
      <w:r>
        <w:rPr>
          <w:rFonts w:hint="eastAsia" w:ascii="宋体" w:hAnsi="宋体"/>
          <w:b/>
          <w:color w:val="auto"/>
          <w:sz w:val="21"/>
          <w:highlight w:val="none"/>
          <w:lang w:val="en-US" w:eastAsia="zh-CN"/>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二十、合同生效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1.双方签约人为各自法定代表人或被授权代表。</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w:t>
      </w:r>
      <w:r>
        <w:rPr>
          <w:rFonts w:ascii="宋体" w:hAnsi="宋体"/>
          <w:color w:val="auto"/>
          <w:sz w:val="21"/>
          <w:highlight w:val="none"/>
        </w:rPr>
        <w:t xml:space="preserve">.</w:t>
      </w:r>
      <w:r>
        <w:rPr>
          <w:rFonts w:hint="eastAsia" w:ascii="宋体" w:hAnsi="宋体"/>
          <w:color w:val="auto"/>
          <w:sz w:val="21"/>
          <w:highlight w:val="none"/>
        </w:rPr>
        <w:t xml:space="preserve">本合同自甲乙双方签字盖章之日起生效。</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4.本合同壹式</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份，甲乙双方各执</w:t>
      </w:r>
      <w:r>
        <w:rPr>
          <w:rFonts w:hint="eastAsia" w:ascii="宋体" w:hAnsi="宋体"/>
          <w:b w:val="0"/>
          <w:bCs/>
          <w:color w:val="auto"/>
          <w:sz w:val="21"/>
          <w:szCs w:val="21"/>
          <w:highlight w:val="none"/>
        </w:rPr>
        <w:t xml:space="preserve">贰</w:t>
      </w:r>
      <w:r>
        <w:rPr>
          <w:rFonts w:hint="eastAsia" w:ascii="宋体" w:hAnsi="宋体"/>
          <w:color w:val="auto"/>
          <w:sz w:val="21"/>
          <w:szCs w:val="21"/>
          <w:highlight w:val="none"/>
        </w:rPr>
        <w:t xml:space="preserve">份，</w:t>
      </w:r>
      <w:r>
        <w:rPr>
          <w:rFonts w:hint="eastAsia" w:ascii="宋体" w:hAnsi="宋体"/>
          <w:color w:val="auto"/>
          <w:sz w:val="21"/>
          <w:szCs w:val="21"/>
          <w:highlight w:val="none"/>
          <w:lang w:val="en-US" w:eastAsia="zh-CN"/>
        </w:rPr>
        <w:t xml:space="preserve">代理机构一份，</w:t>
      </w:r>
      <w:r>
        <w:rPr>
          <w:rFonts w:hint="eastAsia" w:ascii="宋体" w:hAnsi="宋体"/>
          <w:color w:val="auto"/>
          <w:sz w:val="21"/>
          <w:szCs w:val="21"/>
          <w:highlight w:val="none"/>
        </w:rPr>
        <w:t xml:space="preserve">各份具有同等法律效力。</w:t>
      </w:r>
      <w:r/>
    </w:p>
    <w:p>
      <w:pPr>
        <w:ind w:left="0" w:firstLine="420"/>
        <w:spacing w:line="360" w:lineRule="auto"/>
        <w:rPr>
          <w:rFonts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.本合同应按照中华人民共和国的现行法律进行解释。</w:t>
      </w:r>
      <w:r/>
    </w:p>
    <w:p>
      <w:pPr>
        <w:ind w:left="0" w:firstLine="420"/>
        <w:spacing w:line="360" w:lineRule="auto"/>
        <w:rPr>
          <w:rFonts w:ascii="宋体" w:hAnsi="宋体"/>
          <w:color w:val="auto"/>
          <w:sz w:val="21"/>
          <w:highlight w:val="none"/>
        </w:rPr>
      </w:pPr>
      <w:r>
        <w:rPr>
          <w:rFonts w:ascii="宋体" w:hAnsi="宋体"/>
          <w:color w:val="auto"/>
          <w:sz w:val="21"/>
          <w:highlight w:val="none"/>
        </w:rPr>
        <w:t xml:space="preserve">6</w:t>
      </w:r>
      <w:r>
        <w:rPr>
          <w:rFonts w:hint="eastAsia" w:ascii="宋体" w:hAnsi="宋体"/>
          <w:color w:val="auto"/>
          <w:sz w:val="21"/>
          <w:highlight w:val="none"/>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甲方（公章）：                     </w:t>
      </w:r>
      <w:r>
        <w:rPr>
          <w:rFonts w:ascii="宋体" w:hAnsi="宋体"/>
          <w:color w:val="auto"/>
          <w:sz w:val="21"/>
          <w:highlight w:val="none"/>
        </w:rPr>
        <w:t xml:space="preserve">  </w:t>
      </w:r>
      <w:r>
        <w:rPr>
          <w:rFonts w:hint="eastAsia" w:ascii="宋体" w:hAnsi="宋体"/>
          <w:color w:val="auto"/>
          <w:sz w:val="21"/>
          <w:highlight w:val="none"/>
        </w:rPr>
        <w:t xml:space="preserve">                       乙方（公章）：</w:t>
      </w:r>
      <w:r>
        <w:rPr>
          <w:rFonts w:ascii="宋体" w:hAnsi="宋体"/>
          <w:color w:val="auto"/>
          <w:sz w:val="21"/>
          <w:highlight w:val="none"/>
        </w:rPr>
        <w:t xml:space="preserve"> </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法定代表人（或授权代表）：    </w:t>
      </w:r>
      <w:r>
        <w:rPr>
          <w:rFonts w:ascii="宋体" w:hAnsi="宋体"/>
          <w:color w:val="auto"/>
          <w:sz w:val="21"/>
          <w:highlight w:val="none"/>
        </w:rPr>
        <w:t xml:space="preserve">  </w:t>
      </w:r>
      <w:r>
        <w:rPr>
          <w:rFonts w:hint="eastAsia" w:ascii="宋体" w:hAnsi="宋体"/>
          <w:color w:val="auto"/>
          <w:sz w:val="21"/>
          <w:highlight w:val="none"/>
        </w:rPr>
        <w:t xml:space="preserve">                            法定代表人（或授权代表）： </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签约日期：                  </w:t>
      </w:r>
      <w:r>
        <w:rPr>
          <w:rFonts w:ascii="宋体" w:hAnsi="宋体"/>
          <w:color w:val="auto"/>
          <w:sz w:val="21"/>
          <w:highlight w:val="none"/>
        </w:rPr>
        <w:t xml:space="preserve">  </w:t>
      </w:r>
      <w:r>
        <w:rPr>
          <w:rFonts w:hint="eastAsia" w:ascii="宋体" w:hAnsi="宋体"/>
          <w:color w:val="auto"/>
          <w:sz w:val="21"/>
          <w:highlight w:val="none"/>
        </w:rPr>
        <w:t xml:space="preserve">                              签约日期： </w:t>
      </w:r>
      <w:r/>
    </w:p>
    <w:p>
      <w:pPr>
        <w:pStyle w:val="902"/>
        <w:ind w:left="400" w:firstLine="400"/>
        <w:rPr>
          <w:rFonts w:ascii="宋体" w:hAnsi="宋体"/>
          <w:color w:val="auto"/>
          <w:highlight w:val="none"/>
        </w:rPr>
      </w:pPr>
      <w:r>
        <w:rPr>
          <w:rFonts w:ascii="宋体" w:hAnsi="宋体"/>
          <w:color w:val="auto"/>
          <w:highlight w:val="none"/>
        </w:rPr>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合同签订地：</w:t>
      </w:r>
      <w:r/>
    </w:p>
    <w:p>
      <w:pPr>
        <w:pStyle w:val="902"/>
        <w:ind w:left="400" w:firstLine="883"/>
        <w:rPr>
          <w:rFonts w:ascii="宋体" w:hAnsi="宋体"/>
          <w:b/>
          <w:color w:val="auto"/>
          <w:sz w:val="44"/>
          <w:szCs w:val="22"/>
          <w:highlight w:val="none"/>
        </w:rPr>
      </w:pPr>
      <w:r>
        <w:rPr>
          <w:rFonts w:hint="eastAsia" w:ascii="宋体" w:hAnsi="宋体"/>
          <w:b/>
          <w:color w:val="auto"/>
          <w:sz w:val="44"/>
          <w:szCs w:val="22"/>
          <w:highlight w:val="none"/>
        </w:rPr>
        <w:t xml:space="preserve"> </w:t>
      </w:r>
      <w:r/>
    </w:p>
    <w:p>
      <w:pPr>
        <w:pStyle w:val="902"/>
        <w:ind w:left="400" w:firstLine="883"/>
        <w:rPr>
          <w:rFonts w:ascii="宋体" w:hAnsi="宋体"/>
          <w:b/>
          <w:color w:val="auto"/>
          <w:sz w:val="44"/>
          <w:szCs w:val="22"/>
          <w:highlight w:val="none"/>
        </w:rPr>
      </w:pPr>
      <w:r>
        <w:rPr>
          <w:rFonts w:hint="eastAsia" w:ascii="宋体" w:hAnsi="宋体"/>
          <w:b/>
          <w:color w:val="auto"/>
          <w:sz w:val="44"/>
          <w:szCs w:val="22"/>
          <w:highlight w:val="none"/>
        </w:rPr>
        <w:br w:type="page" w:clear="all"/>
      </w:r>
      <w:r/>
    </w:p>
    <w:p>
      <w:pPr>
        <w:pStyle w:val="840"/>
        <w:ind w:left="0" w:firstLine="0"/>
        <w:jc w:val="center"/>
        <w:keepLines w:val="0"/>
        <w:keepNext w:val="0"/>
        <w:pageBreakBefore w:val="0"/>
        <w:spacing w:before="0" w:after="0" w:line="360" w:lineRule="auto"/>
        <w:widowControl/>
        <w:rPr>
          <w:rFonts w:ascii="宋体" w:hAnsi="宋体"/>
          <w:b/>
          <w:color w:val="auto"/>
          <w:sz w:val="44"/>
          <w:szCs w:val="22"/>
          <w:highlight w:val="none"/>
        </w:rPr>
      </w:pPr>
      <w:r/>
      <w:bookmarkStart w:id="111" w:name="_Toc1835312203"/>
      <w:r>
        <w:rPr>
          <w:rFonts w:hint="eastAsia" w:ascii="宋体" w:hAnsi="宋体"/>
          <w:b/>
          <w:color w:val="auto"/>
          <w:sz w:val="44"/>
          <w:szCs w:val="22"/>
          <w:highlight w:val="none"/>
        </w:rPr>
        <w:t xml:space="preserve">第六章 </w:t>
      </w:r>
      <w:bookmarkStart w:id="112" w:name="评分要点"/>
      <w:r/>
      <w:bookmarkEnd w:id="112"/>
      <w:r>
        <w:rPr>
          <w:rFonts w:hint="eastAsia" w:ascii="宋体" w:hAnsi="宋体"/>
          <w:b/>
          <w:color w:val="auto"/>
          <w:sz w:val="44"/>
          <w:szCs w:val="22"/>
          <w:highlight w:val="none"/>
        </w:rPr>
        <w:t xml:space="preserve">评标办法和评分标准</w:t>
      </w:r>
      <w:bookmarkEnd w:id="108"/>
      <w:r/>
      <w:bookmarkEnd w:id="109"/>
      <w:r/>
      <w:bookmarkEnd w:id="110"/>
      <w:r/>
      <w:bookmarkEnd w:id="111"/>
      <w:r/>
      <w:r/>
    </w:p>
    <w:p>
      <w:pPr>
        <w:ind w:left="0" w:firstLine="422"/>
        <w:spacing w:line="360" w:lineRule="auto"/>
        <w:rPr>
          <w:rFonts w:ascii="宋体" w:hAnsi="宋体"/>
          <w:b/>
          <w:color w:val="auto"/>
          <w:sz w:val="21"/>
          <w:szCs w:val="21"/>
          <w:highlight w:val="none"/>
        </w:rPr>
      </w:pPr>
      <w:r/>
      <w:bookmarkStart w:id="113" w:name="_Toc698"/>
      <w:r/>
      <w:bookmarkStart w:id="114" w:name="_Toc16264"/>
      <w:r/>
      <w:bookmarkStart w:id="115" w:name="_Toc17476"/>
      <w:r>
        <w:rPr>
          <w:rFonts w:hint="eastAsia" w:ascii="宋体" w:hAnsi="宋体"/>
          <w:b/>
          <w:color w:val="auto"/>
          <w:sz w:val="21"/>
          <w:szCs w:val="21"/>
          <w:highlight w:val="none"/>
        </w:rPr>
        <w:t xml:space="preserve">一、评标办法：</w:t>
      </w:r>
      <w:bookmarkEnd w:id="113"/>
      <w:r/>
      <w:bookmarkEnd w:id="114"/>
      <w:r/>
      <w:bookmarkEnd w:id="115"/>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highlight w:val="none"/>
        </w:rPr>
      </w:pPr>
      <w:r>
        <w:rPr>
          <w:rFonts w:hint="eastAsia" w:ascii="宋体" w:hAnsi="宋体"/>
          <w:color w:val="auto"/>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sz w:val="21"/>
          <w:highlight w:val="none"/>
        </w:rPr>
        <w:t xml:space="preserve">非单一产品采购项目，多家投标人提供的核心产品品牌相同的，按照此规定处理。</w:t>
      </w:r>
      <w:r/>
    </w:p>
    <w:p>
      <w:pPr>
        <w:ind w:left="0" w:firstLine="420"/>
        <w:spacing w:line="360" w:lineRule="auto"/>
        <w:rPr>
          <w:rFonts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.针对中小型企业、残疾人福利企业和监狱企业的评审：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号）的有关规定，对于符合上述文件规定情形的小微企业、残疾人福利性单位及监狱企业报价给予</w:t>
      </w:r>
      <w:r>
        <w:rPr>
          <w:rFonts w:ascii="宋体" w:hAnsi="宋体"/>
          <w:b/>
          <w:color w:val="auto"/>
          <w:sz w:val="21"/>
          <w:highlight w:val="none"/>
        </w:rPr>
        <w:t xml:space="preserve">2</w:t>
      </w:r>
      <w:r>
        <w:rPr>
          <w:rFonts w:hint="eastAsia" w:ascii="宋体" w:hAnsi="宋体"/>
          <w:b/>
          <w:color w:val="auto"/>
          <w:sz w:val="21"/>
          <w:highlight w:val="none"/>
        </w:rPr>
        <w:t xml:space="preserve">0%</w:t>
      </w:r>
      <w:r>
        <w:rPr>
          <w:rFonts w:hint="eastAsia" w:ascii="宋体" w:hAnsi="宋体"/>
          <w:color w:val="auto"/>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提供的货物既有中小企业制造货物，也有大型企业制造货物的，不享受中小企业扶持政策。</w:t>
      </w:r>
      <w:r/>
    </w:p>
    <w:p>
      <w:pPr>
        <w:ind w:left="0" w:firstLine="420"/>
        <w:spacing w:line="360" w:lineRule="auto"/>
        <w:rPr>
          <w:rFonts w:ascii="宋体" w:hAnsi="宋体"/>
          <w:b/>
          <w:color w:val="auto"/>
          <w:sz w:val="21"/>
          <w:szCs w:val="21"/>
          <w:highlight w:val="none"/>
        </w:rPr>
      </w:pPr>
      <w:r>
        <w:rPr>
          <w:rFonts w:hint="eastAsia" w:ascii="宋体" w:hAnsi="宋体"/>
          <w:bCs/>
          <w:color w:val="auto"/>
          <w:sz w:val="21"/>
          <w:highlight w:val="none"/>
        </w:rPr>
        <w:t xml:space="preserve">小微企业提供《中小企业声明函》；监狱企业提供由省级以上监狱管理局、戒毒管理局（含新疆生产建</w:t>
      </w:r>
      <w:r>
        <w:rPr>
          <w:rFonts w:hint="eastAsia" w:ascii="宋体" w:hAnsi="宋体"/>
          <w:color w:val="auto"/>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②若</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提供的声明函或认定证明为虚假材料，按“政府采购法”相关规定处理并报请政府监管部门给予行政处罚。</w:t>
      </w:r>
      <w:r/>
    </w:p>
    <w:p>
      <w:pPr>
        <w:pStyle w:val="1310"/>
        <w:ind w:left="0" w:right="0" w:firstLine="42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采购本国产品的支持政策</w:t>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16" w:name="OLE_LINK25"/>
      <w:r/>
      <w:bookmarkStart w:id="117" w:name="OLE_LINK17"/>
      <w:r>
        <w:rPr>
          <w:rFonts w:hint="eastAsia" w:ascii="宋体" w:hAnsi="宋体" w:eastAsia="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bookmarkEnd w:id="116"/>
      <w:r/>
      <w:bookmarkEnd w:id="117"/>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bookmarkStart w:id="118" w:name="OLE_LINK26"/>
      <w:r>
        <w:rPr>
          <w:rFonts w:hint="eastAsia" w:ascii="宋体" w:hAnsi="宋体" w:eastAsia="宋体" w:cs="宋体"/>
          <w:b/>
          <w:bCs/>
          <w:color w:val="auto"/>
          <w:sz w:val="21"/>
          <w:szCs w:val="21"/>
          <w:highlight w:val="none"/>
        </w:rPr>
        <w:t xml:space="preserve">供应商未填写比例数值，或比例数值未达到</w:t>
      </w:r>
      <w:r>
        <w:rPr>
          <w:rFonts w:hint="eastAsia" w:ascii="宋体" w:hAnsi="宋体" w:eastAsia="宋体" w:cs="宋体"/>
          <w:b/>
          <w:bCs/>
          <w:color w:val="auto"/>
          <w:sz w:val="21"/>
          <w:szCs w:val="21"/>
          <w:highlight w:val="none"/>
          <w:u w:val="single"/>
        </w:rPr>
        <w:t xml:space="preserve">80%</w:t>
      </w:r>
      <w:r>
        <w:rPr>
          <w:rFonts w:hint="eastAsia" w:ascii="宋体" w:hAnsi="宋体" w:eastAsia="宋体" w:cs="宋体"/>
          <w:b/>
          <w:bCs/>
          <w:color w:val="auto"/>
          <w:sz w:val="21"/>
          <w:szCs w:val="21"/>
          <w:highlight w:val="none"/>
        </w:rPr>
        <w:t xml:space="preserve">的，将不享受本国产品价格评审优惠。</w:t>
      </w:r>
      <w:bookmarkEnd w:id="118"/>
      <w:r/>
      <w:r/>
    </w:p>
    <w:p>
      <w:pPr>
        <w:pStyle w:val="1310"/>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310"/>
        <w:ind w:left="0" w:firstLine="42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310"/>
        <w:ind w:left="0" w:firstLine="420"/>
        <w:jc w:val="both"/>
        <w:keepLines w:val="0"/>
        <w:keepNext w:val="0"/>
        <w:spacing w:before="0" w:beforeAutospacing="0" w:after="0" w:afterAutospacing="0" w:line="360" w:lineRule="auto"/>
        <w:widowControl w:val="off"/>
        <w:rPr>
          <w:rFonts w:hint="eastAsia" w:ascii="宋体" w:hAnsi="宋体"/>
          <w:b/>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keepLines w:val="0"/>
        <w:keepNext w:val="0"/>
        <w:pageBreakBefore w:val="0"/>
        <w:spacing w:line="360" w:lineRule="auto"/>
        <w:widowControl/>
        <w:rPr>
          <w:rFonts w:hint="eastAsia" w:ascii="宋体" w:hAnsi="宋体"/>
          <w:b/>
          <w:bCs/>
          <w:color w:val="auto"/>
          <w:highlight w:val="none"/>
        </w:rPr>
      </w:pPr>
      <w:r>
        <w:rPr>
          <w:rFonts w:hint="eastAsia" w:ascii="宋体" w:hAnsi="宋体"/>
          <w:b/>
          <w:color w:val="auto"/>
          <w:highlight w:val="none"/>
          <w:lang w:val="en-US" w:eastAsia="zh-CN"/>
        </w:rPr>
        <w:t xml:space="preserve">7</w:t>
      </w:r>
      <w:r>
        <w:rPr>
          <w:rFonts w:hint="eastAsia" w:ascii="宋体" w:hAnsi="宋体"/>
          <w:b/>
          <w:color w:val="auto"/>
          <w:highlight w:val="none"/>
        </w:rPr>
        <w:t xml:space="preserve">.</w:t>
      </w:r>
      <w:r>
        <w:rPr>
          <w:rFonts w:hint="eastAsia" w:ascii="宋体" w:hAnsi="宋体"/>
          <w:b/>
          <w:bCs/>
          <w:color w:val="auto"/>
          <w:highlight w:val="none"/>
        </w:rPr>
        <w:t xml:space="preserve">根据财政部《关于推动解决政府采购异常低价问题的通知》（财库〔2026〕2号）规定，实施政府采购异常低价审查：</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（1）评审过程中出现下列情形之一的，评审委员会应当启动异常低价投标（响应）审查程序：</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①投标（响应）报价低于全部通过符合性审查供应商投标（响应）报价平均值50%的，即投标（响应）报价〈全部通过符合性审查供应商投标（响应）报价平均值×50%；</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②投标（响应）报价低于通过符合性审查的次低报价供应商投标（响应）报价50%的，即投标（响应）报价〈通过符合性审查的次低报价供应商投标（响应）报价×50%；</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③投标（响应）报价低于采购项目最高限价45%的，即投标（响应）报价〈采购项目最高限价×45%；</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④评审委员会基于专业判断，认为供应商报价过低，有可能影响产品质量或者不能诚信履约的其他情形。</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其中，属于第③项情形，供应商已随投标（响应）文件一并提交相关书面说明及必要的证明材料的，在评审现场可不再重复提交。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7"/>
        <w:ind w:left="0" w:firstLine="0"/>
        <w:rPr>
          <w:rFonts w:ascii="宋体" w:hAnsi="宋体" w:cs="Times New Roman"/>
          <w:color w:val="auto"/>
          <w:highlight w:val="none"/>
        </w:rPr>
      </w:pPr>
      <w:r>
        <w:rPr>
          <w:rFonts w:ascii="宋体" w:hAnsi="宋体" w:cs="Times New Roman"/>
          <w:color w:val="auto"/>
          <w:highlight w:val="none"/>
        </w:rPr>
      </w:r>
      <w:r/>
    </w:p>
    <w:p>
      <w:pPr>
        <w:ind w:left="0" w:firstLine="422"/>
        <w:spacing w:line="360" w:lineRule="auto"/>
        <w:rPr>
          <w:rFonts w:ascii="宋体" w:hAnsi="宋体"/>
          <w:b/>
          <w:color w:val="auto"/>
          <w:sz w:val="21"/>
          <w:szCs w:val="21"/>
          <w:highlight w:val="none"/>
        </w:rPr>
      </w:pPr>
      <w:r>
        <w:rPr>
          <w:rFonts w:hint="eastAsia" w:ascii="宋体" w:hAnsi="宋体" w:cs="Times New Roman"/>
          <w:b/>
          <w:color w:val="auto"/>
          <w:sz w:val="21"/>
          <w:szCs w:val="21"/>
          <w:highlight w:val="none"/>
        </w:rPr>
        <w:t xml:space="preserve">二、评分标准：</w:t>
      </w:r>
      <w:r/>
    </w:p>
    <w:p>
      <w:pPr>
        <w:ind w:left="0" w:firstLine="422"/>
        <w:spacing w:line="360" w:lineRule="auto"/>
        <w:rPr>
          <w:rFonts w:hint="eastAsia" w:ascii="宋体" w:hAnsi="宋体" w:eastAsia="宋体"/>
          <w:b/>
          <w:color w:val="auto"/>
          <w:sz w:val="21"/>
          <w:szCs w:val="21"/>
          <w:highlight w:val="none"/>
          <w:lang w:eastAsia="zh-CN"/>
        </w:rPr>
      </w:pPr>
      <w:r>
        <w:rPr>
          <w:rFonts w:hint="eastAsia" w:ascii="宋体" w:hAnsi="宋体"/>
          <w:b/>
          <w:bCs/>
          <w:color w:val="auto"/>
          <w:sz w:val="21"/>
          <w:highlight w:val="none"/>
        </w:rPr>
        <w:t xml:space="preserve">一</w:t>
      </w:r>
      <w:r>
        <w:rPr>
          <w:rFonts w:hint="eastAsia" w:ascii="宋体" w:hAnsi="宋体"/>
          <w:b/>
          <w:bCs/>
          <w:color w:val="auto"/>
          <w:sz w:val="21"/>
          <w:highlight w:val="none"/>
          <w:lang w:eastAsia="zh-CN"/>
        </w:rPr>
        <w:t xml:space="preserve">、</w:t>
      </w:r>
      <w:r>
        <w:rPr>
          <w:rFonts w:hint="eastAsia" w:ascii="宋体" w:hAnsi="宋体"/>
          <w:b/>
          <w:bCs/>
          <w:color w:val="auto"/>
          <w:sz w:val="21"/>
          <w:highlight w:val="none"/>
        </w:rPr>
        <w:t xml:space="preserve">价格分</w:t>
      </w:r>
      <w:r>
        <w:rPr>
          <w:rFonts w:hint="eastAsia" w:ascii="宋体" w:hAnsi="宋体"/>
          <w:b/>
          <w:bCs/>
          <w:color w:val="auto"/>
          <w:sz w:val="21"/>
          <w:highlight w:val="none"/>
          <w:lang w:eastAsia="zh-CN"/>
        </w:rPr>
        <w:t xml:space="preserve">（</w:t>
      </w:r>
      <w:r>
        <w:rPr>
          <w:rFonts w:hint="eastAsia" w:ascii="宋体" w:hAnsi="宋体"/>
          <w:b/>
          <w:bCs/>
          <w:color w:val="auto"/>
          <w:sz w:val="21"/>
          <w:highlight w:val="none"/>
          <w:lang w:val="en-US" w:eastAsia="zh-CN"/>
        </w:rPr>
        <w:t xml:space="preserve">30</w:t>
      </w:r>
      <w:r>
        <w:rPr>
          <w:rFonts w:hint="eastAsia" w:ascii="宋体" w:hAnsi="宋体"/>
          <w:b/>
          <w:bCs/>
          <w:color w:val="auto"/>
          <w:sz w:val="21"/>
          <w:highlight w:val="none"/>
        </w:rPr>
        <w:t xml:space="preserve">分</w:t>
      </w:r>
      <w:r>
        <w:rPr>
          <w:rFonts w:hint="eastAsia" w:ascii="宋体" w:hAnsi="宋体"/>
          <w:b/>
          <w:bCs/>
          <w:color w:val="auto"/>
          <w:sz w:val="21"/>
          <w:highlight w:val="none"/>
          <w:lang w:eastAsia="zh-CN"/>
        </w:rPr>
        <w:t xml:space="preserve">）</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投标报价得分＝（评标基准价/投标报价）×</w:t>
      </w:r>
      <w:r>
        <w:rPr>
          <w:rFonts w:hint="eastAsia" w:ascii="宋体" w:hAnsi="宋体"/>
          <w:color w:val="auto"/>
          <w:sz w:val="21"/>
          <w:highlight w:val="none"/>
          <w:lang w:val="en-US" w:eastAsia="zh-CN"/>
        </w:rPr>
        <w:t xml:space="preserve">30</w:t>
      </w:r>
      <w:r>
        <w:rPr>
          <w:rFonts w:hint="eastAsia" w:ascii="宋体" w:hAnsi="宋体"/>
          <w:color w:val="auto"/>
          <w:sz w:val="21"/>
          <w:highlight w:val="none"/>
        </w:rPr>
        <w:t xml:space="preserve">％×100</w:t>
      </w:r>
      <w:r/>
    </w:p>
    <w:p>
      <w:pPr>
        <w:pStyle w:val="851"/>
        <w:rPr>
          <w:rFonts w:hint="default" w:eastAsia="宋体"/>
          <w:b/>
          <w:bCs/>
          <w:color w:val="auto"/>
          <w:highlight w:val="none"/>
          <w:lang w:val="en-US" w:eastAsia="zh-CN"/>
        </w:rPr>
      </w:pPr>
      <w:r>
        <w:rPr>
          <w:rFonts w:hint="eastAsia"/>
          <w:b/>
          <w:bCs/>
          <w:color w:val="auto"/>
          <w:sz w:val="21"/>
          <w:highlight w:val="none"/>
          <w:lang w:eastAsia="zh-CN"/>
        </w:rPr>
        <w:t xml:space="preserve">（</w:t>
      </w:r>
      <w:r>
        <w:rPr>
          <w:rFonts w:hint="eastAsia"/>
          <w:b/>
          <w:bCs/>
          <w:color w:val="auto"/>
          <w:sz w:val="21"/>
          <w:highlight w:val="none"/>
          <w:lang w:val="en-US" w:eastAsia="zh-CN"/>
        </w:rPr>
        <w:t xml:space="preserve">二</w:t>
      </w:r>
      <w:r>
        <w:rPr>
          <w:rFonts w:hint="eastAsia"/>
          <w:b/>
          <w:bCs/>
          <w:color w:val="auto"/>
          <w:sz w:val="21"/>
          <w:highlight w:val="none"/>
          <w:lang w:eastAsia="zh-CN"/>
        </w:rPr>
        <w:t xml:space="preserve">）</w:t>
      </w:r>
      <w:r>
        <w:rPr>
          <w:rFonts w:hint="eastAsia"/>
          <w:b/>
          <w:bCs/>
          <w:color w:val="auto"/>
          <w:sz w:val="21"/>
          <w:highlight w:val="none"/>
          <w:lang w:val="en-US" w:eastAsia="zh-CN"/>
        </w:rPr>
        <w:t xml:space="preserve">方案及履约能力（70分）</w:t>
      </w:r>
      <w:r/>
    </w:p>
    <w:tbl>
      <w:tblPr>
        <w:tblStyle w:val="140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64"/>
        <w:gridCol w:w="7942"/>
        <w:gridCol w:w="656"/>
      </w:tblGrid>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794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评审规则</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shd w:val="clear" w:color="auto" w:fill="auto"/>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技术参数响应</w:t>
            </w:r>
            <w:r/>
          </w:p>
        </w:tc>
        <w:tc>
          <w:tcPr>
            <w:shd w:val="clear" w:color="auto" w:fill="auto"/>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投标单位需提供所投产品技术参数偏离表。带“▲”项参数要求每满足一项加</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分，最高</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分。注：标注“▲ ”条款，投标人在投标时均需提供相关证明材料（如完整的产品彩页</w:t>
            </w:r>
            <w:r>
              <w:rPr>
                <w:rFonts w:hint="eastAsia" w:ascii="宋体" w:hAnsi="宋体" w:eastAsia="宋体" w:cs="宋体"/>
                <w:bCs/>
                <w:color w:val="auto"/>
                <w:sz w:val="21"/>
                <w:szCs w:val="21"/>
                <w:highlight w:val="none"/>
                <w:lang w:val="en-US" w:eastAsia="zh-CN"/>
              </w:rPr>
              <w:t xml:space="preserve">或</w:t>
            </w:r>
            <w:r>
              <w:rPr>
                <w:rFonts w:hint="eastAsia" w:ascii="宋体" w:hAnsi="宋体" w:eastAsia="宋体" w:cs="宋体"/>
                <w:bCs/>
                <w:color w:val="auto"/>
                <w:sz w:val="21"/>
                <w:szCs w:val="21"/>
                <w:highlight w:val="none"/>
              </w:rPr>
              <w:t xml:space="preserve">第三方权威部门出具的测试报告</w:t>
            </w:r>
            <w:r>
              <w:rPr>
                <w:rFonts w:hint="eastAsia" w:ascii="宋体" w:hAnsi="宋体" w:eastAsia="宋体" w:cs="宋体"/>
                <w:bCs/>
                <w:color w:val="auto"/>
                <w:sz w:val="21"/>
                <w:szCs w:val="21"/>
                <w:highlight w:val="none"/>
                <w:lang w:val="en-US" w:eastAsia="zh-CN"/>
              </w:rPr>
              <w:t xml:space="preserve">或</w:t>
            </w:r>
            <w:r>
              <w:rPr>
                <w:rFonts w:hint="eastAsia" w:ascii="宋体" w:hAnsi="宋体" w:eastAsia="宋体" w:cs="宋体"/>
                <w:bCs/>
                <w:color w:val="auto"/>
                <w:sz w:val="21"/>
                <w:szCs w:val="21"/>
                <w:highlight w:val="none"/>
              </w:rPr>
              <w:t xml:space="preserve">官网产品技术参数完整截图等清晰可辨的证明材料，内容能够明确证明该项技术参数或指标，加盖制造商公章），否则不予认定。</w:t>
            </w:r>
            <w:r/>
          </w:p>
        </w:tc>
        <w:tc>
          <w:tcPr>
            <w:shd w:val="clear" w:color="auto" w:fill="auto"/>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实验室建设方案布局的科学性和完整性</w:t>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根据供应商所投实验室建设内容特点及项目要求提供建设布局方案。要求投标人建设方案布局内容思路清晰、表述准确，贴合项目要求。方案详细，内容完整、布局合理，图纸详尽，实用科学得5分，方案较为详细，布局完整，提供设计图，较为科学合理得3分，方案较为简单，布局阐述明确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项目的需求理解和重点难点分析</w:t>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Cs/>
                <w:color w:val="auto"/>
                <w:sz w:val="21"/>
                <w:szCs w:val="21"/>
                <w:highlight w:val="none"/>
              </w:rPr>
              <w:t xml:space="preserve">提供针对项目的需求理解和重点难点分析及解决方案。方案详细，把握到位，重难点切实，解决措施完善、可操作性强得5分；方案较为详细，有重点难点分析及解决措施的得3分；方案内容简单、粗略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W w:w="1364"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总体实施方案</w:t>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提供针对本项目的总体实施方案，包括但不限于生产实施方案、进度计划、现场安装方案、安全文明措施等内容。方案详细，思路清晰，契合项目要求，集成对接切实合理可行、对接口表述清晰，安排合理到位、科学的得 3分，方案较为详细，符合项目要求，安排较为合理、科学的得 2分；方案简单，内容不全面得1分,未提供不得分。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1084"/>
        </w:trPr>
        <w:tc>
          <w:tcPr>
            <w:tcW w:w="136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质量保障</w:t>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1、原材料采购及质量保证：方案</w:t>
            </w:r>
            <w:r>
              <w:rPr>
                <w:rFonts w:hint="eastAsia" w:ascii="宋体" w:hAnsi="宋体" w:eastAsia="宋体" w:cs="宋体"/>
                <w:color w:val="auto"/>
                <w:sz w:val="21"/>
                <w:szCs w:val="21"/>
                <w:highlight w:val="none"/>
                <w:lang w:val="en-US" w:eastAsia="zh-CN"/>
              </w:rPr>
              <w:t xml:space="preserve">详细，流程明确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科学，保障措施完善</w:t>
            </w:r>
            <w:r>
              <w:rPr>
                <w:rFonts w:hint="eastAsia" w:ascii="宋体" w:hAnsi="宋体" w:eastAsia="宋体" w:cs="宋体"/>
                <w:color w:val="auto"/>
                <w:sz w:val="21"/>
                <w:szCs w:val="21"/>
                <w:highlight w:val="none"/>
              </w:rPr>
              <w:t xml:space="preserve">得 </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较为详细</w:t>
            </w:r>
            <w:r>
              <w:rPr>
                <w:rFonts w:hint="eastAsia" w:ascii="宋体" w:hAnsi="宋体" w:eastAsia="宋体" w:cs="宋体"/>
                <w:color w:val="auto"/>
                <w:sz w:val="21"/>
                <w:szCs w:val="21"/>
                <w:highlight w:val="none"/>
              </w:rPr>
              <w:t xml:space="preserve">，流程</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保障措施</w:t>
            </w:r>
            <w:r>
              <w:rPr>
                <w:rFonts w:hint="eastAsia" w:ascii="宋体" w:hAnsi="宋体" w:eastAsia="宋体" w:cs="宋体"/>
                <w:color w:val="auto"/>
                <w:sz w:val="21"/>
                <w:szCs w:val="21"/>
                <w:highlight w:val="none"/>
                <w:lang w:val="en-US" w:eastAsia="zh-CN"/>
              </w:rPr>
              <w:t xml:space="preserve">得当</w:t>
            </w:r>
            <w:r>
              <w:rPr>
                <w:rFonts w:hint="eastAsia" w:ascii="宋体" w:hAnsi="宋体" w:eastAsia="宋体" w:cs="宋体"/>
                <w:color w:val="auto"/>
                <w:sz w:val="21"/>
                <w:szCs w:val="21"/>
                <w:highlight w:val="none"/>
              </w:rPr>
              <w:t xml:space="preserve">得 2分；方案</w:t>
            </w:r>
            <w:r>
              <w:rPr>
                <w:rFonts w:hint="eastAsia" w:ascii="宋体" w:hAnsi="宋体" w:eastAsia="宋体" w:cs="宋体"/>
                <w:color w:val="auto"/>
                <w:sz w:val="21"/>
                <w:szCs w:val="21"/>
                <w:highlight w:val="none"/>
                <w:lang w:val="en-US" w:eastAsia="zh-CN"/>
              </w:rPr>
              <w:t xml:space="preserve">较为简单，内容完善</w:t>
            </w:r>
            <w:r>
              <w:rPr>
                <w:rFonts w:hint="eastAsia" w:ascii="宋体" w:hAnsi="宋体" w:eastAsia="宋体" w:cs="宋体"/>
                <w:color w:val="auto"/>
                <w:sz w:val="21"/>
                <w:szCs w:val="21"/>
                <w:highlight w:val="none"/>
              </w:rPr>
              <w:t xml:space="preserve">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663"/>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2、软件著作权：提供所投产品的相关开源鸿蒙软件著作权证书扫描件，每提供一份得1分，最高5分。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w:t>
            </w:r>
            <w:r/>
          </w:p>
        </w:tc>
      </w:tr>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售后服务</w:t>
            </w:r>
            <w:r/>
          </w:p>
        </w:tc>
        <w:tc>
          <w:tcPr>
            <w:tcW w:w="7942"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针对本次项目提供售后服务方案，包含但不限于：供应商故障响应标准、故障解决方案、应急措施、质保期后保障服务等服务内容。方案详细、响应及时，保障及应急完善，针对性强得5分，方案较为完善，响应较为及时，提出保障及应急措施针对性较强得3分，方案较为简单，内容科学合理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备件体系</w:t>
            </w:r>
            <w:r/>
          </w:p>
        </w:tc>
        <w:tc>
          <w:tcPr>
            <w:tcW w:w="7942"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针对本项目的备品备件及仓储方案，提供备品备件清单明细及仓储房产证明，若为租赁还需提供租赁合同，否则不得分。方案详细，数量多、种类全，仓储配置科学、完善得5分，方案较为详细，数量较多，种类较全，仓储配置合理得3分，方案较为简单，有备品备件措施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培训方案</w:t>
            </w:r>
            <w:r/>
          </w:p>
        </w:tc>
        <w:tc>
          <w:tcPr>
            <w:tcW w:w="7942"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针对本项目的培训方案，包含但不限于培训频次、培训人数、培训授课计划、培训资料及培训内容等服务内容，提供相关证明材料，否则不得分。方案详细，内容全面、针对性强、优质得5分，方案较为详细，内容较为全面，针对性较强，科学合理得3分，方案较为简单，内容齐全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W w:w="136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团队配置</w:t>
            </w:r>
            <w:r/>
          </w:p>
        </w:tc>
        <w:tc>
          <w:tcPr>
            <w:shd w:val="clear" w:color="auto" w:fill="auto"/>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项目负责人：具备开源鸿蒙相关高级证书得3分，提供证书扫描件及投标人为其缴纳的近三个月社保证明，否则不得分。</w:t>
            </w:r>
            <w:r/>
          </w:p>
        </w:tc>
        <w:tc>
          <w:tcPr>
            <w:shd w:val="clear" w:color="auto" w:fill="auto"/>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shd w:val="clear" w:color="auto" w:fill="auto"/>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培训导师：出版过省级及以上“十四五”普通高等教育本科规划教材得3分，提供相关证明材料及投标人为其缴纳的近三个月社保证明（或聘用协议），否则不得分。</w:t>
            </w:r>
            <w:r/>
          </w:p>
        </w:tc>
        <w:tc>
          <w:tcPr>
            <w:shd w:val="clear" w:color="auto" w:fill="auto"/>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针对本项目的团队配置方案（上述人员除外），包括但不限于团队组成、服务人员的相关开源鸿蒙证书、类似项目经验证明。方案详细，层次分明、岗位清晰合理、配置到位，团队履约能力强，得5分。方案较为详细，配置科学，履约能力较强得3分，方案较为简单，配备合理得1分，未提供不得分。</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W w:w="136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功能演示</w:t>
            </w:r>
            <w:r/>
          </w:p>
        </w:tc>
        <w:tc>
          <w:tcPr>
            <w:gridSpan w:val="2"/>
            <w:tcW w:w="8598"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为保障功能的真实性，现对以下6项参数做出视频演示</w:t>
            </w:r>
            <w:r>
              <w:rPr>
                <w:rFonts w:hint="eastAsia" w:ascii="宋体" w:hAnsi="宋体" w:eastAsia="宋体" w:cs="宋体"/>
                <w:color w:val="auto"/>
                <w:sz w:val="21"/>
                <w:szCs w:val="21"/>
                <w:highlight w:val="none"/>
              </w:rPr>
              <w:t xml:space="preserve">，要求视频连贯无剪辑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演示成功</w:t>
            </w:r>
            <w:r>
              <w:rPr>
                <w:rFonts w:hint="eastAsia" w:ascii="宋体" w:hAnsi="宋体" w:eastAsia="宋体" w:cs="宋体"/>
                <w:color w:val="auto"/>
                <w:sz w:val="21"/>
                <w:szCs w:val="21"/>
                <w:highlight w:val="none"/>
                <w:lang w:val="en-US" w:eastAsia="zh-CN"/>
              </w:rPr>
              <w:t xml:space="preserve">一项</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演示功能内容不全</w:t>
            </w:r>
            <w:r>
              <w:rPr>
                <w:rFonts w:hint="eastAsia" w:ascii="宋体" w:hAnsi="宋体" w:eastAsia="宋体" w:cs="宋体"/>
                <w:color w:val="auto"/>
                <w:sz w:val="21"/>
                <w:szCs w:val="21"/>
                <w:highlight w:val="none"/>
              </w:rPr>
              <w:t xml:space="preserve">或者不演示不得分。</w:t>
            </w:r>
            <w:r>
              <w:rPr>
                <w:rFonts w:hint="eastAsia" w:ascii="宋体" w:hAnsi="宋体" w:eastAsia="宋体" w:cs="宋体"/>
                <w:b/>
                <w:color w:val="auto"/>
                <w:sz w:val="21"/>
                <w:szCs w:val="21"/>
                <w:highlight w:val="none"/>
              </w:rPr>
              <w:t xml:space="preserve">（注：1.投标单位根据招标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OpenHarmony操作系统上支持安卓组件兼容框架，需支持在OpenHarmony操作系统上安装安卓APP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提供在本开发套件上安装安卓APK文件（Android应用程序包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）多轴机械臂：</w:t>
            </w:r>
            <w:r>
              <w:rPr>
                <w:rFonts w:hint="eastAsia" w:ascii="宋体" w:hAnsi="宋体" w:eastAsia="宋体" w:cs="宋体"/>
                <w:color w:val="auto"/>
                <w:sz w:val="21"/>
                <w:szCs w:val="21"/>
                <w:highlight w:val="none"/>
              </w:rPr>
              <w:t xml:space="preserve">单总线舵机驱动，不少于5自由度，可完成大模型机械臂自动点餐实验。可通过板载功能按键手动控制，支持上下左右四方向控制。同时板载扩展接口，可连接PC端上位机软件，实现自动化控制。板载海思WS63模组，支持星闪低功耗接入技术Sparklink Low Energy（SLE）。支持通过星闪远程控制机械臂运动。</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numPr>
                <w:ilvl w:val="0"/>
                <w:numId w:val="0"/>
              </w:numPr>
              <w:ind w:left="0" w:right="0" w:firstLine="0"/>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）下沉式微型输送机：12V直流电机。板载调速旋钮，支持无极调速。板载仪器面板，可显示输送机工作状态。支持</w:t>
            </w:r>
            <w:r>
              <w:rPr>
                <w:rFonts w:hint="eastAsia" w:ascii="宋体" w:hAnsi="宋体" w:eastAsia="宋体" w:cs="宋体"/>
                <w:color w:val="auto"/>
                <w:sz w:val="21"/>
                <w:szCs w:val="21"/>
                <w:highlight w:val="none"/>
                <w:lang w:val="en-US" w:eastAsia="zh-CN"/>
              </w:rPr>
              <w:t xml:space="preserve">p</w:t>
            </w:r>
            <w:r>
              <w:rPr>
                <w:rFonts w:hint="eastAsia" w:ascii="宋体" w:hAnsi="宋体" w:eastAsia="宋体" w:cs="宋体"/>
                <w:color w:val="auto"/>
                <w:sz w:val="21"/>
                <w:szCs w:val="21"/>
                <w:highlight w:val="none"/>
              </w:rPr>
              <w:t xml:space="preserve">ython代码控制输送机启停，更方便扩展实验</w:t>
            </w:r>
            <w:r>
              <w:rPr>
                <w:rFonts w:hint="eastAsia" w:ascii="宋体" w:hAnsi="宋体" w:eastAsia="宋体" w:cs="宋体"/>
                <w:color w:val="auto"/>
                <w:sz w:val="21"/>
                <w:szCs w:val="21"/>
                <w:highlight w:val="none"/>
                <w:lang w:eastAsia="zh-CN"/>
              </w:rPr>
              <w:t xml:space="preserve">。</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系统能够对不少于25种智能传感器进行仿真，包括但不限于：空气温湿度传感器、烟雾传感器、震动传感器、红外传感器、门磁报警器、大气压力传感器、PM2.5传感器、角度传感器、位移传感器、扭矩传感器、拉力压力传感器、超声液位传感器、转速传感器、激光测距传感器、热偶传感器、火焰传感器、液化石油气传感器、声音传感器、光敏电阻传感器、红外反射开关传感器、电感式接近开关传感器、电容式接近开关传感器、光电旋转编码器</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numPr>
                <w:ilvl w:val="0"/>
                <w:numId w:val="0"/>
              </w:numPr>
              <w:ind w:left="0" w:right="0" w:firstLine="0"/>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智能传感器单元：数量≥5块，至少包括智能安防、智能交通、智能医疗、智能家居、智慧农业等场景板，具</w:t>
            </w:r>
            <w:r>
              <w:rPr>
                <w:rFonts w:hint="eastAsia" w:ascii="宋体" w:hAnsi="宋体" w:eastAsia="宋体" w:cs="宋体"/>
                <w:color w:val="auto"/>
                <w:sz w:val="21"/>
                <w:szCs w:val="21"/>
                <w:highlight w:val="none"/>
              </w:rPr>
              <w:t xml:space="preserve">有磁吸式插槽，与实验箱磁吸吸合安装，方便学生自由搭配多种场景，快速编组实验。传感器类型至少包括超声波测距传感器、声音检测传感器、三轴加速度传感器、心率血氧传感器、红外对管、蜂鸣器、OLED屏、摇杆按键、4位数码管、继电器、电位器、5个多彩LED、手势传感器、舵机、光敏传感器、控制按键、空气质量传感器、温湿度传感器、调光LED、颜色识别传感器。每个场景板板载Type-C USB接口，可用于程序的下载及调试。要求本地支持使用Python语言和图形化编程工具快速进行传感器应用开发，包括传感器信息采集及执行器的控制</w:t>
            </w:r>
            <w:r>
              <w:rPr>
                <w:rFonts w:hint="eastAsia" w:ascii="宋体" w:hAnsi="宋体" w:eastAsia="宋体" w:cs="宋体"/>
                <w:color w:val="auto"/>
                <w:sz w:val="21"/>
                <w:szCs w:val="21"/>
                <w:highlight w:val="none"/>
                <w:lang w:eastAsia="zh-CN"/>
              </w:rPr>
              <w:t xml:space="preserve">。</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W w:w="136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7942" w:type="dxa"/>
            <w:vAlign w:val="center"/>
            <w:textDirection w:val="lrTb"/>
            <w:noWrap w:val="false"/>
          </w:tcPr>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支持AI综合实验，至少包括但不限于以下内容：</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智慧工厂：输送机启停控制、超声波测距传感器实时采集、红外传感器实时采集、蜂鸣器控制、工业相机检测物体坐标、机械臂抓取搬运、基于传感器的颜色识别等</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多模态大模型机械臂实验：语音识别、大模型语音交互、大模型目标检测、坐标定位、大模型规划机械臂路径、大模型控制机械臂等</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智能家居：语音识别与家居控制、手势识别与家居控制、火情检测、入侵检测、跌倒检测</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智慧工地：安全帽检测、反光衣检测、火情检测、着装规范检测</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智慧门禁：密码解锁、声纹识别解锁、人脸识别解锁、信息注册、信息管理</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智慧交通：基于目标跟踪的车流量检测、车速检测、车距检测</w:t>
            </w:r>
            <w:r/>
          </w:p>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智慧停车场：车牌识别、车型检测、停车场空位检测、数据管理</w:t>
            </w:r>
            <w:r/>
          </w:p>
          <w:p>
            <w:pPr>
              <w:ind w:left="0" w:right="0" w:firstLine="0"/>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趣味AI：趣味明星脸、基于自然语言的目标检测</w:t>
            </w:r>
            <w:r/>
          </w:p>
        </w:tc>
        <w:tc>
          <w:tcPr>
            <w:tcW w:w="6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W w:w="13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业绩</w:t>
            </w:r>
            <w:r/>
          </w:p>
        </w:tc>
        <w:tc>
          <w:tcPr>
            <w:tcW w:w="7942" w:type="dxa"/>
            <w:vAlign w:val="center"/>
            <w:textDirection w:val="lrTb"/>
            <w:noWrap w:val="false"/>
          </w:tcPr>
          <w:p>
            <w:pPr>
              <w:numPr>
                <w:ilvl w:val="0"/>
                <w:numId w:val="0"/>
              </w:numPr>
              <w:ind w:left="0" w:righ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投标人或所投产品制造商自2023年1月1日（以合同签订时间为准）以来有类似项目业绩，每提供一个得1分，满分3分。注：投标文件中需提供完整合同扫描件、对应项目的完整发票，缺漏或未提供不得分。</w:t>
            </w:r>
            <w:bookmarkStart w:id="119" w:name="_GoBack"/>
            <w:r/>
            <w:bookmarkEnd w:id="119"/>
            <w:r/>
            <w:r/>
          </w:p>
        </w:tc>
        <w:tc>
          <w:tcPr>
            <w:tcW w:w="656" w:type="dxa"/>
            <w:vAlign w:val="center"/>
            <w:textDirection w:val="lrTb"/>
            <w:noWrap w:val="false"/>
          </w:tcPr>
          <w:p>
            <w:pPr>
              <w:numPr>
                <w:ilvl w:val="0"/>
                <w:numId w:val="0"/>
              </w:num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bl>
    <w:p>
      <w:pPr>
        <w:ind w:left="0" w:firstLine="0"/>
        <w:rPr>
          <w:rFonts w:hint="eastAsia"/>
          <w:color w:val="auto"/>
          <w:highlight w:val="none"/>
        </w:rPr>
      </w:pPr>
      <w:r>
        <w:rPr>
          <w:rFonts w:hint="eastAsia"/>
          <w:color w:val="auto"/>
          <w:highlight w:val="none"/>
        </w:rPr>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备注：</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default" w:ascii="宋体" w:hAnsi="宋体" w:eastAsia="宋体"/>
          <w:b/>
          <w:bCs/>
          <w:color w:val="auto"/>
          <w:sz w:val="21"/>
          <w:highlight w:val="none"/>
          <w:lang w:val="en-US" w:eastAsia="zh-CN"/>
        </w:rPr>
      </w:pPr>
      <w:r>
        <w:rPr>
          <w:rFonts w:hint="eastAsia" w:ascii="宋体" w:hAnsi="宋体"/>
          <w:b/>
          <w:bCs/>
          <w:color w:val="auto"/>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w:t>
      </w:r>
      <w:r>
        <w:rPr>
          <w:rFonts w:hint="eastAsia" w:ascii="宋体" w:hAnsi="宋体"/>
          <w:b/>
          <w:bCs/>
          <w:color w:val="auto"/>
          <w:sz w:val="21"/>
          <w:highlight w:val="none"/>
          <w:lang w:val="en-US" w:eastAsia="zh-CN"/>
        </w:rPr>
        <w:t xml:space="preserve">移交监管部门</w:t>
      </w:r>
      <w:r>
        <w:rPr>
          <w:rFonts w:hint="eastAsia" w:ascii="宋体" w:hAnsi="宋体"/>
          <w:b/>
          <w:bCs/>
          <w:color w:val="auto"/>
          <w:sz w:val="21"/>
          <w:highlight w:val="none"/>
        </w:rPr>
        <w:t xml:space="preserve">处理</w:t>
      </w:r>
      <w:r>
        <w:rPr>
          <w:rFonts w:hint="eastAsia" w:ascii="宋体" w:hAnsi="宋体"/>
          <w:b/>
          <w:bCs/>
          <w:color w:val="auto"/>
          <w:sz w:val="21"/>
          <w:highlight w:val="none"/>
          <w:lang w:eastAsia="zh-CN"/>
        </w:rPr>
        <w:t xml:space="preserve">。</w:t>
      </w:r>
      <w:r/>
    </w:p>
    <w:sectPr>
      <w:footerReference w:type="default" r:id="rId13"/>
      <w:footerReference w:type="first" r:id="rId14"/>
      <w:footnotePr/>
      <w:endnotePr/>
      <w:type w:val="nextPage"/>
      <w:pgSz w:w="11906" w:h="16838" w:orient="portrait"/>
      <w:pgMar w:top="1440" w:right="1080" w:bottom="1440" w:left="1080"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lang w:eastAsia="zh-CN"/>
        </w:rPr>
        <w:t xml:space="preserve">投标人</w:t>
      </w:r>
      <w:r>
        <w:rPr>
          <w:rFonts w:hint="eastAsia" w:ascii="宋体" w:hAnsi="宋体"/>
          <w:color w:val="000000"/>
        </w:rPr>
        <w:t xml:space="preserve">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w:t>
      </w:r>
      <w:r>
        <w:rPr>
          <w:rFonts w:hint="eastAsia" w:ascii="宋体" w:hAnsi="宋体"/>
          <w:b/>
          <w:color w:val="000000"/>
          <w:lang w:eastAsia="zh-CN"/>
        </w:rPr>
        <w:t xml:space="preserve">投标人</w:t>
      </w:r>
      <w:r>
        <w:rPr>
          <w:rFonts w:hint="eastAsia" w:ascii="宋体" w:hAnsi="宋体"/>
          <w:b/>
          <w:color w:val="000000"/>
        </w:rPr>
        <w:t xml:space="preserve">未进行勾选或明确的，自行承担《中小企业声明函》可能不被认可的不利后果。</w:t>
      </w:r>
      <w:r/>
    </w:p>
    <w:p>
      <w:pPr>
        <w:pStyle w:val="89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lang w:eastAsia="zh-CN"/>
        </w:rPr>
        <w:t xml:space="preserve">招标文件</w:t>
      </w:r>
      <w:r>
        <w:rPr>
          <w:rFonts w:hint="eastAsia" w:ascii="宋体" w:hAnsi="宋体"/>
          <w:b/>
          <w:color w:val="000000"/>
        </w:rPr>
        <w:t xml:space="preserve">第四章《招标书》规定为准。</w:t>
      </w:r>
      <w:r>
        <w:rPr>
          <w:rFonts w:ascii="宋体" w:hAnsi="宋体"/>
          <w:color w:val="000000"/>
        </w:rPr>
        <w:t xml:space="preserve"> </w:t>
      </w:r>
      <w:r/>
    </w:p>
    <w:p>
      <w:pPr>
        <w:pStyle w:val="89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rFonts w:hint="eastAsia"/>
          <w:b/>
          <w:lang w:eastAsia="zh-CN"/>
        </w:rPr>
        <w:t xml:space="preserve">投标人</w:t>
      </w:r>
      <w:r>
        <w:rPr>
          <w:b/>
        </w:rPr>
        <w:t xml:space="preserve">提供的货物既有中小企业制造货物，也有大型企业制造货物的，不享受</w:t>
      </w:r>
      <w:r>
        <w:rPr>
          <w:rFonts w:hint="eastAsia"/>
          <w:b/>
        </w:rPr>
        <w:t xml:space="preserve">中小企业</w:t>
      </w:r>
      <w:r>
        <w:rPr>
          <w:b/>
        </w:rPr>
        <w:t xml:space="preserve">扶持政策。</w:t>
      </w:r>
      <w:r/>
    </w:p>
    <w:p>
      <w:pPr>
        <w:pStyle w:val="89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lang w:eastAsia="zh-CN"/>
        </w:rPr>
        <w:t xml:space="preserve">投标人</w:t>
      </w:r>
      <w:r>
        <w:rPr>
          <w:rFonts w:hint="eastAsia" w:ascii="宋体" w:hAnsi="宋体"/>
        </w:rPr>
        <w:t xml:space="preserve">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苏州捷信招投标咨询有限公司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uiPriority w:val="0"/>
    <w:qFormat/>
    <w:pPr>
      <w:ind w:left="1024"/>
      <w:jc w:val="both"/>
    </w:pPr>
    <w:rPr>
      <w:rFonts w:hint="default" w:ascii="Calibri" w:hAnsi="Calibri" w:eastAsia="宋体" w:cs="宋体"/>
    </w:rPr>
  </w:style>
  <w:style w:type="paragraph" w:styleId="840">
    <w:name w:val="Heading 1"/>
    <w:basedOn w:val="839"/>
    <w:next w:val="839"/>
    <w:uiPriority w:val="0"/>
    <w:qFormat/>
    <w:pPr>
      <w:ind w:left="432" w:firstLine="18"/>
      <w:spacing w:before="340" w:after="330" w:line="578" w:lineRule="auto"/>
      <w:outlineLvl w:val="0"/>
    </w:pPr>
  </w:style>
  <w:style w:type="paragraph" w:styleId="841">
    <w:name w:val="Heading 2"/>
    <w:basedOn w:val="839"/>
    <w:next w:val="839"/>
    <w:uiPriority w:val="0"/>
    <w:qFormat/>
    <w:pPr>
      <w:ind w:left="576" w:firstLine="24"/>
      <w:spacing w:before="260" w:after="260" w:line="416" w:lineRule="auto"/>
      <w:outlineLvl w:val="1"/>
    </w:pPr>
    <w:rPr>
      <w:rFonts w:ascii="Times New Roman" w:hAnsi="Times New Roman" w:cs="Times New Roman"/>
    </w:rPr>
  </w:style>
  <w:style w:type="paragraph" w:styleId="842">
    <w:name w:val="Heading 3"/>
    <w:basedOn w:val="839"/>
    <w:next w:val="852"/>
    <w:uiPriority w:val="0"/>
    <w:qFormat/>
    <w:pPr>
      <w:ind w:left="720"/>
      <w:spacing w:before="260" w:after="260" w:line="416" w:lineRule="auto"/>
      <w:outlineLvl w:val="2"/>
    </w:pPr>
    <w:rPr>
      <w:rFonts w:ascii="Times New Roman" w:hAnsi="Times New Roman" w:cs="Times New Roman"/>
    </w:rPr>
  </w:style>
  <w:style w:type="paragraph" w:styleId="843">
    <w:name w:val="Heading 4"/>
    <w:basedOn w:val="840"/>
    <w:next w:val="839"/>
    <w:uiPriority w:val="0"/>
    <w:qFormat/>
    <w:pPr>
      <w:ind w:left="864" w:firstLine="24"/>
      <w:spacing w:before="280" w:after="290" w:line="376" w:lineRule="auto"/>
      <w:outlineLvl w:val="3"/>
    </w:pPr>
    <w:rPr>
      <w:rFonts w:ascii="Times New Roman" w:hAnsi="Times New Roman" w:cs="Times New Roman"/>
    </w:rPr>
  </w:style>
  <w:style w:type="paragraph" w:styleId="844">
    <w:name w:val="Heading 5"/>
    <w:basedOn w:val="840"/>
    <w:next w:val="839"/>
    <w:uiPriority w:val="0"/>
    <w:qFormat/>
    <w:pPr>
      <w:ind w:left="1008"/>
      <w:spacing w:before="280" w:after="290" w:line="376" w:lineRule="auto"/>
      <w:outlineLvl w:val="4"/>
    </w:pPr>
    <w:rPr>
      <w:rFonts w:ascii="Times New Roman" w:hAnsi="Times New Roman" w:cs="Times New Roman"/>
    </w:rPr>
  </w:style>
  <w:style w:type="paragraph" w:styleId="845">
    <w:name w:val="Heading 6"/>
    <w:basedOn w:val="840"/>
    <w:next w:val="839"/>
    <w:uiPriority w:val="0"/>
    <w:qFormat/>
    <w:pPr>
      <w:ind w:left="1152" w:firstLine="20"/>
      <w:spacing w:before="240" w:after="64" w:line="320" w:lineRule="auto"/>
      <w:outlineLvl w:val="5"/>
    </w:pPr>
    <w:rPr>
      <w:rFonts w:ascii="Times New Roman" w:hAnsi="Times New Roman" w:cs="Times New Roman"/>
    </w:rPr>
  </w:style>
  <w:style w:type="paragraph" w:styleId="846">
    <w:name w:val="Heading 7"/>
    <w:basedOn w:val="840"/>
    <w:next w:val="839"/>
    <w:uiPriority w:val="0"/>
    <w:qFormat/>
    <w:pPr>
      <w:ind w:left="1296" w:firstLine="14"/>
      <w:spacing w:before="240" w:after="64" w:line="320" w:lineRule="auto"/>
      <w:outlineLvl w:val="6"/>
    </w:pPr>
    <w:rPr>
      <w:rFonts w:ascii="Times New Roman" w:hAnsi="Times New Roman" w:cs="Times New Roman"/>
    </w:rPr>
  </w:style>
  <w:style w:type="paragraph" w:styleId="847">
    <w:name w:val="Heading 8"/>
    <w:basedOn w:val="840"/>
    <w:next w:val="839"/>
    <w:uiPriority w:val="0"/>
    <w:qFormat/>
    <w:pPr>
      <w:ind w:left="1440"/>
      <w:spacing w:before="240" w:after="64" w:line="320" w:lineRule="auto"/>
      <w:outlineLvl w:val="7"/>
    </w:pPr>
    <w:rPr>
      <w:rFonts w:ascii="Times New Roman" w:hAnsi="Times New Roman" w:cs="Times New Roman"/>
    </w:rPr>
  </w:style>
  <w:style w:type="paragraph" w:styleId="848">
    <w:name w:val="Heading 9"/>
    <w:basedOn w:val="840"/>
    <w:next w:val="839"/>
    <w:uiPriority w:val="0"/>
    <w:qFormat/>
    <w:pPr>
      <w:ind w:left="1584" w:firstLine="22"/>
      <w:spacing w:before="240" w:after="64" w:line="320" w:lineRule="auto"/>
      <w:outlineLvl w:val="8"/>
    </w:pPr>
    <w:rPr>
      <w:rFonts w:ascii="Times New Roman" w:hAnsi="Times New Roman" w:cs="Times New Roman"/>
    </w:rPr>
  </w:style>
  <w:style w:type="character" w:styleId="849" w:default="1">
    <w:name w:val="Default Paragraph Font"/>
    <w:uiPriority w:val="1"/>
    <w:semiHidden/>
    <w:unhideWhenUsed/>
    <w:qFormat/>
  </w:style>
  <w:style w:type="table" w:styleId="85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1" w:customStyle="1">
    <w:name w:val="段"/>
    <w:next w:val="839"/>
    <w:uiPriority w:val="0"/>
    <w:qFormat/>
    <w:pPr>
      <w:ind w:firstLine="200"/>
      <w:jc w:val="both"/>
      <w:spacing w:line="360" w:lineRule="auto"/>
    </w:pPr>
    <w:rPr>
      <w:rFonts w:hint="default" w:ascii="宋体" w:hAnsi="宋体" w:eastAsia="宋体" w:cs="宋体"/>
      <w:sz w:val="24"/>
      <w:szCs w:val="22"/>
    </w:rPr>
  </w:style>
  <w:style w:type="paragraph" w:styleId="852" w:customStyle="1">
    <w:name w:val="正文2"/>
    <w:basedOn w:val="839"/>
    <w:next w:val="839"/>
    <w:uiPriority w:val="0"/>
    <w:qFormat/>
    <w:pPr>
      <w:ind w:left="0" w:hanging="2155"/>
      <w:spacing w:line="360" w:lineRule="auto"/>
      <w:shd w:val="clear" w:color="auto" w:fill="ffffff"/>
    </w:pPr>
    <w:rPr>
      <w:rFonts w:ascii="宋体" w:hAnsi="宋体"/>
    </w:rPr>
  </w:style>
  <w:style w:type="paragraph" w:styleId="853">
    <w:name w:val="toc 7"/>
    <w:basedOn w:val="840"/>
    <w:next w:val="839"/>
    <w:uiPriority w:val="0"/>
    <w:qFormat/>
    <w:pPr>
      <w:ind w:left="1640" w:firstLine="3784"/>
      <w:spacing w:before="0" w:after="0" w:line="360" w:lineRule="auto"/>
    </w:pPr>
    <w:rPr>
      <w:rFonts w:ascii="Times New Roman" w:hAnsi="Times New Roman" w:cs="Times New Roman"/>
    </w:rPr>
  </w:style>
  <w:style w:type="paragraph" w:styleId="854">
    <w:name w:val="List Bullet 4"/>
    <w:basedOn w:val="840"/>
    <w:next w:val="855"/>
    <w:uiPriority w:val="0"/>
    <w:qFormat/>
    <w:pPr>
      <w:ind w:left="1620" w:firstLine="2652"/>
      <w:spacing w:before="0" w:after="0" w:line="360" w:lineRule="auto"/>
    </w:pPr>
    <w:rPr>
      <w:rFonts w:ascii="Times New Roman" w:hAnsi="Times New Roman" w:cs="Times New Roman"/>
    </w:rPr>
  </w:style>
  <w:style w:type="paragraph" w:styleId="855">
    <w:name w:val="List Bullet 2"/>
    <w:basedOn w:val="840"/>
    <w:next w:val="839"/>
    <w:uiPriority w:val="0"/>
    <w:qFormat/>
    <w:pPr>
      <w:ind w:left="900" w:firstLine="2652"/>
      <w:spacing w:before="0" w:after="0" w:line="360" w:lineRule="auto"/>
    </w:pPr>
    <w:rPr>
      <w:rFonts w:ascii="Times New Roman" w:hAnsi="Times New Roman" w:cs="Times New Roman"/>
    </w:rPr>
  </w:style>
  <w:style w:type="paragraph" w:styleId="856">
    <w:name w:val="List Number"/>
    <w:basedOn w:val="840"/>
    <w:next w:val="839"/>
    <w:uiPriority w:val="0"/>
    <w:qFormat/>
    <w:pPr>
      <w:ind w:left="454" w:firstLine="2788"/>
      <w:spacing w:before="0" w:after="0" w:line="240" w:lineRule="auto"/>
    </w:pPr>
    <w:rPr>
      <w:rFonts w:ascii="Times New Roman" w:hAnsi="Times New Roman" w:cs="Times New Roman"/>
    </w:rPr>
  </w:style>
  <w:style w:type="paragraph" w:styleId="857">
    <w:name w:val="Normal Indent"/>
    <w:basedOn w:val="839"/>
    <w:next w:val="839"/>
    <w:link w:val="1057"/>
    <w:uiPriority w:val="0"/>
    <w:qFormat/>
    <w:pPr>
      <w:ind w:left="420" w:firstLine="4772"/>
    </w:pPr>
  </w:style>
  <w:style w:type="paragraph" w:styleId="858">
    <w:name w:val="Caption"/>
    <w:basedOn w:val="840"/>
    <w:next w:val="839"/>
    <w:uiPriority w:val="0"/>
    <w:qFormat/>
    <w:pPr>
      <w:ind w:left="200" w:firstLine="2248"/>
      <w:jc w:val="center"/>
      <w:spacing w:before="0" w:after="0" w:line="240" w:lineRule="auto"/>
    </w:pPr>
    <w:rPr>
      <w:rFonts w:ascii="Times New Roman" w:hAnsi="Times New Roman" w:cs="Times New Roman"/>
    </w:rPr>
  </w:style>
  <w:style w:type="paragraph" w:styleId="859">
    <w:name w:val="List Bullet"/>
    <w:basedOn w:val="840"/>
    <w:next w:val="839"/>
    <w:uiPriority w:val="0"/>
    <w:qFormat/>
    <w:pPr>
      <w:ind w:left="900" w:firstLine="2652"/>
      <w:spacing w:before="0" w:after="0" w:line="360" w:lineRule="auto"/>
    </w:pPr>
    <w:rPr>
      <w:rFonts w:ascii="Times New Roman" w:hAnsi="Times New Roman" w:cs="Times New Roman"/>
    </w:rPr>
  </w:style>
  <w:style w:type="paragraph" w:styleId="860">
    <w:name w:val="Document Map"/>
    <w:basedOn w:val="840"/>
    <w:next w:val="861"/>
    <w:uiPriority w:val="0"/>
    <w:qFormat/>
    <w:pPr>
      <w:ind w:left="0" w:firstLine="4"/>
      <w:spacing w:before="0" w:after="0" w:line="240" w:lineRule="auto"/>
      <w:shd w:val="clear" w:color="000000" w:fill="000080"/>
    </w:pPr>
    <w:rPr>
      <w:rFonts w:ascii="Times New Roman" w:hAnsi="Times New Roman" w:cs="Times New Roman"/>
    </w:rPr>
  </w:style>
  <w:style w:type="paragraph" w:styleId="861">
    <w:name w:val="annotation subject"/>
    <w:next w:val="839"/>
    <w:uiPriority w:val="0"/>
    <w:qFormat/>
    <w:pPr>
      <w:ind w:firstLine="4608"/>
      <w:spacing w:line="360" w:lineRule="auto"/>
    </w:pPr>
    <w:rPr>
      <w:rFonts w:hint="default" w:ascii="Calibri" w:hAnsi="Calibri" w:eastAsia="宋体" w:cs="宋体"/>
    </w:rPr>
  </w:style>
  <w:style w:type="paragraph" w:styleId="862">
    <w:name w:val="annotation text"/>
    <w:basedOn w:val="839"/>
    <w:uiPriority w:val="0"/>
    <w:qFormat/>
    <w:pPr>
      <w:ind w:left="0" w:firstLine="3584"/>
      <w:spacing w:before="0" w:after="0" w:line="360" w:lineRule="auto"/>
    </w:pPr>
    <w:rPr>
      <w:rFonts w:ascii="Times New Roman" w:hAnsi="Times New Roman" w:cs="Times New Roman"/>
    </w:rPr>
  </w:style>
  <w:style w:type="paragraph" w:styleId="863">
    <w:name w:val="Body Text 3"/>
    <w:basedOn w:val="840"/>
    <w:next w:val="839"/>
    <w:uiPriority w:val="0"/>
    <w:qFormat/>
    <w:pPr>
      <w:ind w:left="0" w:firstLine="2048"/>
      <w:spacing w:before="0" w:after="0" w:line="500" w:lineRule="exact"/>
    </w:pPr>
    <w:rPr>
      <w:rFonts w:ascii="Times New Roman" w:hAnsi="Times New Roman" w:cs="Times New Roman"/>
    </w:rPr>
  </w:style>
  <w:style w:type="paragraph" w:styleId="864">
    <w:name w:val="List Bullet 3"/>
    <w:basedOn w:val="840"/>
    <w:next w:val="839"/>
    <w:uiPriority w:val="0"/>
    <w:qFormat/>
    <w:pPr>
      <w:ind w:left="900" w:firstLine="2652"/>
      <w:spacing w:before="0" w:after="0" w:line="360" w:lineRule="auto"/>
    </w:pPr>
    <w:rPr>
      <w:rFonts w:ascii="Times New Roman" w:hAnsi="Times New Roman" w:cs="Times New Roman"/>
    </w:rPr>
  </w:style>
  <w:style w:type="paragraph" w:styleId="865">
    <w:name w:val="Body Text"/>
    <w:basedOn w:val="839"/>
    <w:uiPriority w:val="0"/>
    <w:qFormat/>
    <w:pPr>
      <w:ind w:left="0" w:firstLine="2560"/>
    </w:pPr>
    <w:rPr>
      <w:rFonts w:ascii="Times New Roman" w:hAnsi="Times New Roman" w:cs="Times New Roman"/>
    </w:rPr>
  </w:style>
  <w:style w:type="paragraph" w:styleId="866">
    <w:name w:val="Body Text Indent"/>
    <w:basedOn w:val="839"/>
    <w:next w:val="867"/>
    <w:uiPriority w:val="0"/>
    <w:qFormat/>
    <w:pPr>
      <w:ind w:left="420" w:firstLine="1188"/>
      <w:spacing w:line="360" w:lineRule="exact"/>
    </w:pPr>
    <w:rPr>
      <w:rFonts w:ascii="Times New Roman" w:hAnsi="Times New Roman" w:cs="Times New Roman"/>
    </w:rPr>
  </w:style>
  <w:style w:type="paragraph" w:styleId="867" w:customStyle="1">
    <w:name w:val="font5"/>
    <w:basedOn w:val="840"/>
    <w:uiPriority w:val="0"/>
    <w:qFormat/>
    <w:pPr>
      <w:ind w:left="0" w:firstLine="5120"/>
      <w:spacing w:before="280" w:after="280" w:line="240" w:lineRule="auto"/>
    </w:pPr>
    <w:rPr>
      <w:rFonts w:ascii="Times New Roman" w:hAnsi="Times New Roman" w:cs="Times New Roman"/>
    </w:rPr>
  </w:style>
  <w:style w:type="paragraph" w:styleId="868">
    <w:name w:val="List Number 3"/>
    <w:basedOn w:val="840"/>
    <w:next w:val="839"/>
    <w:uiPriority w:val="0"/>
    <w:qFormat/>
    <w:pPr>
      <w:ind w:left="420" w:firstLine="3584"/>
      <w:spacing w:before="0" w:after="0" w:line="240" w:lineRule="auto"/>
    </w:pPr>
    <w:rPr>
      <w:rFonts w:ascii="Times New Roman" w:hAnsi="Times New Roman" w:cs="Times New Roman"/>
    </w:rPr>
  </w:style>
  <w:style w:type="paragraph" w:styleId="869">
    <w:name w:val="List 2"/>
    <w:basedOn w:val="840"/>
    <w:next w:val="853"/>
    <w:uiPriority w:val="0"/>
    <w:qFormat/>
    <w:pPr>
      <w:ind w:left="100" w:firstLine="3640"/>
      <w:spacing w:before="0" w:after="0" w:line="240" w:lineRule="auto"/>
    </w:pPr>
    <w:rPr>
      <w:rFonts w:ascii="Times New Roman" w:hAnsi="Times New Roman" w:cs="Times New Roman"/>
    </w:rPr>
  </w:style>
  <w:style w:type="paragraph" w:styleId="870">
    <w:name w:val="Block Text"/>
    <w:basedOn w:val="840"/>
    <w:next w:val="839"/>
    <w:uiPriority w:val="0"/>
    <w:qFormat/>
    <w:pPr>
      <w:ind w:left="420" w:right="33" w:firstLine="2560"/>
      <w:spacing w:before="0" w:after="0" w:line="240" w:lineRule="auto"/>
    </w:pPr>
    <w:rPr>
      <w:rFonts w:ascii="Times New Roman" w:hAnsi="Times New Roman" w:cs="Times New Roman"/>
    </w:rPr>
  </w:style>
  <w:style w:type="paragraph" w:styleId="871">
    <w:name w:val="toc 5"/>
    <w:basedOn w:val="840"/>
    <w:next w:val="839"/>
    <w:uiPriority w:val="0"/>
    <w:qFormat/>
    <w:pPr>
      <w:ind w:left="1160" w:firstLine="3784"/>
      <w:spacing w:before="0" w:after="0" w:line="360" w:lineRule="auto"/>
    </w:pPr>
    <w:rPr>
      <w:rFonts w:ascii="Times New Roman" w:hAnsi="Times New Roman" w:cs="Times New Roman"/>
    </w:rPr>
  </w:style>
  <w:style w:type="paragraph" w:styleId="872">
    <w:name w:val="toc 3"/>
    <w:basedOn w:val="840"/>
    <w:next w:val="839"/>
    <w:uiPriority w:val="0"/>
    <w:qFormat/>
    <w:pPr>
      <w:ind w:left="0" w:firstLine="1024"/>
      <w:spacing w:before="0" w:after="0" w:line="360" w:lineRule="auto"/>
    </w:pPr>
    <w:rPr>
      <w:rFonts w:ascii="Times New Roman" w:hAnsi="Times New Roman" w:cs="Times New Roman"/>
    </w:rPr>
  </w:style>
  <w:style w:type="paragraph" w:styleId="873">
    <w:name w:val="Plain Text"/>
    <w:basedOn w:val="840"/>
    <w:next w:val="874"/>
    <w:uiPriority w:val="0"/>
    <w:qFormat/>
    <w:pPr>
      <w:ind w:left="0" w:firstLine="2048"/>
      <w:spacing w:before="0" w:after="0" w:line="240" w:lineRule="auto"/>
    </w:pPr>
    <w:rPr>
      <w:rFonts w:ascii="Times New Roman" w:hAnsi="Times New Roman" w:cs="Times New Roman"/>
    </w:rPr>
  </w:style>
  <w:style w:type="paragraph" w:styleId="874">
    <w:name w:val="toc 1"/>
    <w:basedOn w:val="840"/>
    <w:next w:val="839"/>
    <w:uiPriority w:val="39"/>
    <w:qFormat/>
    <w:pPr>
      <w:ind w:left="0" w:firstLine="4608"/>
      <w:spacing w:before="0" w:after="0" w:line="240" w:lineRule="auto"/>
    </w:pPr>
    <w:rPr>
      <w:rFonts w:ascii="Times New Roman" w:hAnsi="Times New Roman" w:cs="Times New Roman"/>
    </w:rPr>
  </w:style>
  <w:style w:type="paragraph" w:styleId="875">
    <w:name w:val="List Bullet 5"/>
    <w:basedOn w:val="840"/>
    <w:next w:val="876"/>
    <w:uiPriority w:val="0"/>
    <w:qFormat/>
    <w:pPr>
      <w:ind w:left="2040" w:firstLine="2560"/>
      <w:spacing w:before="0" w:after="0" w:line="360" w:lineRule="auto"/>
    </w:pPr>
    <w:rPr>
      <w:rFonts w:ascii="Times New Roman" w:hAnsi="Times New Roman" w:cs="Times New Roman"/>
    </w:rPr>
  </w:style>
  <w:style w:type="paragraph" w:styleId="876" w:customStyle="1">
    <w:name w:val="正文首行缩进1"/>
    <w:next w:val="868"/>
    <w:uiPriority w:val="0"/>
    <w:qFormat/>
    <w:pPr>
      <w:ind w:left="420" w:firstLine="2724"/>
      <w:spacing w:after="120" w:line="360" w:lineRule="auto"/>
    </w:pPr>
    <w:rPr>
      <w:rFonts w:hint="default" w:ascii="Calibri" w:hAnsi="Calibri" w:eastAsia="宋体" w:cs="宋体"/>
    </w:rPr>
  </w:style>
  <w:style w:type="paragraph" w:styleId="877">
    <w:name w:val="toc 8"/>
    <w:basedOn w:val="840"/>
    <w:next w:val="839"/>
    <w:uiPriority w:val="0"/>
    <w:qFormat/>
    <w:pPr>
      <w:ind w:left="1880" w:firstLine="3784"/>
      <w:spacing w:before="0" w:after="0" w:line="360" w:lineRule="auto"/>
    </w:pPr>
    <w:rPr>
      <w:rFonts w:ascii="Times New Roman" w:hAnsi="Times New Roman" w:cs="Times New Roman"/>
    </w:rPr>
  </w:style>
  <w:style w:type="paragraph" w:styleId="878">
    <w:name w:val="Date"/>
    <w:basedOn w:val="840"/>
    <w:next w:val="839"/>
    <w:uiPriority w:val="0"/>
    <w:qFormat/>
    <w:pPr>
      <w:ind w:left="0" w:firstLine="2560"/>
      <w:spacing w:before="0" w:after="0" w:line="240" w:lineRule="auto"/>
    </w:pPr>
    <w:rPr>
      <w:rFonts w:ascii="Times New Roman" w:hAnsi="Times New Roman" w:cs="Times New Roman"/>
    </w:rPr>
  </w:style>
  <w:style w:type="paragraph" w:styleId="879">
    <w:name w:val="Body Text Indent 2"/>
    <w:basedOn w:val="840"/>
    <w:next w:val="866"/>
    <w:uiPriority w:val="0"/>
    <w:qFormat/>
    <w:pPr>
      <w:ind w:left="481" w:firstLine="2784"/>
      <w:spacing w:before="0" w:after="0" w:line="400" w:lineRule="exact"/>
    </w:pPr>
    <w:rPr>
      <w:rFonts w:ascii="Times New Roman" w:hAnsi="Times New Roman" w:cs="Times New Roman"/>
    </w:rPr>
  </w:style>
  <w:style w:type="paragraph" w:styleId="880">
    <w:name w:val="endnote text"/>
    <w:basedOn w:val="840"/>
    <w:next w:val="881"/>
    <w:uiPriority w:val="0"/>
    <w:qFormat/>
    <w:pPr>
      <w:ind w:left="0" w:firstLine="2560"/>
      <w:spacing w:before="0" w:after="0" w:line="360" w:lineRule="auto"/>
    </w:pPr>
    <w:rPr>
      <w:rFonts w:ascii="Times New Roman" w:hAnsi="Times New Roman" w:cs="Times New Roman"/>
    </w:rPr>
  </w:style>
  <w:style w:type="paragraph" w:styleId="881" w:customStyle="1">
    <w:name w:val="Char11"/>
    <w:basedOn w:val="840"/>
    <w:next w:val="839"/>
    <w:uiPriority w:val="0"/>
    <w:qFormat/>
    <w:pPr>
      <w:ind w:left="0" w:firstLine="3584"/>
      <w:spacing w:before="0" w:after="0" w:line="240" w:lineRule="auto"/>
    </w:pPr>
    <w:rPr>
      <w:rFonts w:ascii="Times New Roman" w:hAnsi="Times New Roman" w:cs="Times New Roman"/>
    </w:rPr>
  </w:style>
  <w:style w:type="paragraph" w:styleId="882">
    <w:name w:val="Balloon Text"/>
    <w:basedOn w:val="840"/>
    <w:next w:val="856"/>
    <w:uiPriority w:val="0"/>
    <w:qFormat/>
    <w:pPr>
      <w:ind w:left="0" w:firstLine="2048"/>
      <w:spacing w:before="0" w:after="0" w:line="240" w:lineRule="auto"/>
    </w:pPr>
    <w:rPr>
      <w:rFonts w:ascii="Times New Roman" w:hAnsi="Times New Roman" w:cs="Times New Roman"/>
    </w:rPr>
  </w:style>
  <w:style w:type="paragraph" w:styleId="883">
    <w:name w:val="Footer"/>
    <w:basedOn w:val="839"/>
    <w:next w:val="884"/>
    <w:link w:val="1058"/>
    <w:uiPriority w:val="0"/>
    <w:qFormat/>
    <w:pPr>
      <w:ind w:left="0" w:firstLine="3584"/>
    </w:pPr>
  </w:style>
  <w:style w:type="paragraph" w:styleId="884" w:customStyle="1">
    <w:name w:val="Char Char Char Char Char Char Char Char Char Char Char Char Char"/>
    <w:basedOn w:val="840"/>
    <w:next w:val="839"/>
    <w:uiPriority w:val="0"/>
    <w:qFormat/>
    <w:pPr>
      <w:ind w:left="0" w:firstLine="3584"/>
      <w:spacing w:before="0" w:after="160" w:line="240" w:lineRule="exact"/>
    </w:pPr>
    <w:rPr>
      <w:rFonts w:ascii="Times New Roman" w:hAnsi="Times New Roman" w:cs="Times New Roman"/>
    </w:rPr>
  </w:style>
  <w:style w:type="paragraph" w:styleId="885">
    <w:name w:val="Header"/>
    <w:basedOn w:val="840"/>
    <w:next w:val="878"/>
    <w:link w:val="1059"/>
    <w:uiPriority w:val="0"/>
    <w:qFormat/>
    <w:pPr>
      <w:ind w:left="0" w:firstLine="3584"/>
      <w:jc w:val="center"/>
      <w:spacing w:before="0" w:after="0" w:line="240" w:lineRule="auto"/>
    </w:pPr>
  </w:style>
  <w:style w:type="paragraph" w:styleId="886">
    <w:name w:val="toc 4"/>
    <w:basedOn w:val="840"/>
    <w:next w:val="839"/>
    <w:uiPriority w:val="0"/>
    <w:qFormat/>
    <w:pPr>
      <w:ind w:left="1260" w:firstLine="1024"/>
      <w:spacing w:before="0" w:after="0" w:line="240" w:lineRule="auto"/>
    </w:pPr>
    <w:rPr>
      <w:rFonts w:ascii="Times New Roman" w:hAnsi="Times New Roman" w:cs="Times New Roman"/>
    </w:rPr>
  </w:style>
  <w:style w:type="paragraph" w:styleId="887">
    <w:name w:val="Subtitle"/>
    <w:next w:val="839"/>
    <w:uiPriority w:val="0"/>
    <w:qFormat/>
    <w:pPr>
      <w:ind w:left="1024"/>
      <w:jc w:val="center"/>
      <w:spacing w:after="60"/>
    </w:pPr>
    <w:rPr>
      <w:rFonts w:hint="default" w:ascii="Calibri" w:hAnsi="Calibri" w:eastAsia="宋体" w:cs="宋体"/>
    </w:rPr>
  </w:style>
  <w:style w:type="paragraph" w:styleId="888">
    <w:name w:val="List"/>
    <w:basedOn w:val="840"/>
    <w:next w:val="889"/>
    <w:uiPriority w:val="0"/>
    <w:qFormat/>
    <w:pPr>
      <w:ind w:left="200" w:firstLine="3640"/>
      <w:spacing w:before="0" w:after="0" w:line="240" w:lineRule="auto"/>
    </w:pPr>
    <w:rPr>
      <w:rFonts w:ascii="Times New Roman" w:hAnsi="Times New Roman" w:cs="Times New Roman"/>
    </w:rPr>
  </w:style>
  <w:style w:type="paragraph" w:styleId="889">
    <w:name w:val="Body Text First Indent"/>
    <w:next w:val="839"/>
    <w:uiPriority w:val="0"/>
    <w:qFormat/>
    <w:pPr>
      <w:ind w:left="420" w:firstLine="3748"/>
      <w:spacing w:after="120"/>
    </w:pPr>
    <w:rPr>
      <w:rFonts w:hint="default" w:ascii="Calibri" w:hAnsi="Calibri" w:eastAsia="宋体" w:cs="宋体"/>
    </w:rPr>
  </w:style>
  <w:style w:type="paragraph" w:styleId="890">
    <w:name w:val="footnote text"/>
    <w:basedOn w:val="840"/>
    <w:next w:val="870"/>
    <w:uiPriority w:val="0"/>
    <w:qFormat/>
    <w:pPr>
      <w:ind w:left="0" w:firstLine="3584"/>
      <w:spacing w:before="0" w:after="0" w:line="360" w:lineRule="auto"/>
    </w:pPr>
    <w:rPr>
      <w:rFonts w:ascii="Times New Roman" w:hAnsi="Times New Roman" w:cs="Times New Roman"/>
    </w:rPr>
  </w:style>
  <w:style w:type="paragraph" w:styleId="891">
    <w:name w:val="toc 6"/>
    <w:basedOn w:val="840"/>
    <w:next w:val="839"/>
    <w:uiPriority w:val="0"/>
    <w:qFormat/>
    <w:pPr>
      <w:ind w:left="1400" w:firstLine="3784"/>
      <w:spacing w:before="0" w:after="0" w:line="360" w:lineRule="auto"/>
    </w:pPr>
    <w:rPr>
      <w:rFonts w:ascii="Times New Roman" w:hAnsi="Times New Roman" w:cs="Times New Roman"/>
    </w:rPr>
  </w:style>
  <w:style w:type="paragraph" w:styleId="892">
    <w:name w:val="List 5"/>
    <w:basedOn w:val="840"/>
    <w:next w:val="865"/>
    <w:uiPriority w:val="0"/>
    <w:qFormat/>
    <w:pPr>
      <w:ind w:left="2100" w:firstLine="3676"/>
      <w:spacing w:before="0" w:after="0" w:line="240" w:lineRule="auto"/>
    </w:pPr>
    <w:rPr>
      <w:rFonts w:ascii="Times New Roman" w:hAnsi="Times New Roman" w:cs="Times New Roman"/>
    </w:rPr>
  </w:style>
  <w:style w:type="paragraph" w:styleId="893">
    <w:name w:val="Body Text Indent 3"/>
    <w:basedOn w:val="840"/>
    <w:next w:val="891"/>
    <w:uiPriority w:val="0"/>
    <w:qFormat/>
    <w:pPr>
      <w:ind w:left="480" w:firstLine="2784"/>
      <w:spacing w:before="0" w:after="0" w:line="400" w:lineRule="exact"/>
    </w:pPr>
    <w:rPr>
      <w:rFonts w:ascii="Times New Roman" w:hAnsi="Times New Roman" w:cs="Times New Roman"/>
    </w:rPr>
  </w:style>
  <w:style w:type="paragraph" w:styleId="894">
    <w:name w:val="table of figures"/>
    <w:basedOn w:val="839"/>
    <w:next w:val="839"/>
    <w:uiPriority w:val="99"/>
    <w:unhideWhenUsed/>
    <w:qFormat/>
    <w:pPr>
      <w:spacing w:after="0" w:afterAutospacing="0"/>
    </w:pPr>
  </w:style>
  <w:style w:type="paragraph" w:styleId="895">
    <w:name w:val="toc 2"/>
    <w:basedOn w:val="840"/>
    <w:next w:val="839"/>
    <w:uiPriority w:val="0"/>
    <w:qFormat/>
    <w:pPr>
      <w:ind w:left="0" w:firstLine="1024"/>
      <w:spacing w:before="0" w:after="0" w:line="360" w:lineRule="auto"/>
    </w:pPr>
    <w:rPr>
      <w:rFonts w:ascii="Times New Roman" w:hAnsi="Times New Roman" w:cs="Times New Roman"/>
    </w:rPr>
  </w:style>
  <w:style w:type="paragraph" w:styleId="896">
    <w:name w:val="toc 9"/>
    <w:basedOn w:val="840"/>
    <w:next w:val="839"/>
    <w:uiPriority w:val="0"/>
    <w:qFormat/>
    <w:pPr>
      <w:ind w:left="2120" w:firstLine="3784"/>
      <w:spacing w:before="0" w:after="0" w:line="360" w:lineRule="auto"/>
    </w:pPr>
    <w:rPr>
      <w:rFonts w:ascii="Times New Roman" w:hAnsi="Times New Roman" w:cs="Times New Roman"/>
    </w:rPr>
  </w:style>
  <w:style w:type="paragraph" w:styleId="897">
    <w:name w:val="Body Text 2"/>
    <w:basedOn w:val="840"/>
    <w:next w:val="859"/>
    <w:uiPriority w:val="0"/>
    <w:qFormat/>
    <w:pPr>
      <w:ind w:left="0" w:firstLine="1024"/>
      <w:spacing w:before="0" w:after="120" w:line="480" w:lineRule="auto"/>
    </w:pPr>
    <w:rPr>
      <w:rFonts w:ascii="Times New Roman" w:hAnsi="Times New Roman" w:cs="Times New Roman"/>
    </w:rPr>
  </w:style>
  <w:style w:type="paragraph" w:styleId="898">
    <w:name w:val="HTML Preformatted"/>
    <w:basedOn w:val="840"/>
    <w:next w:val="858"/>
    <w:uiPriority w:val="0"/>
    <w:qFormat/>
    <w:pPr>
      <w:ind w:left="0" w:firstLine="2048"/>
      <w:spacing w:before="0" w:after="0" w:line="253" w:lineRule="atLeast"/>
    </w:pPr>
    <w:rPr>
      <w:rFonts w:ascii="Times New Roman" w:hAnsi="Times New Roman" w:cs="Times New Roman"/>
    </w:rPr>
  </w:style>
  <w:style w:type="paragraph" w:styleId="899">
    <w:name w:val="Normal (Web)"/>
    <w:basedOn w:val="839"/>
    <w:uiPriority w:val="0"/>
    <w:qFormat/>
    <w:pPr>
      <w:ind w:left="15" w:right="15" w:firstLine="4608"/>
      <w:spacing w:before="60" w:after="60" w:line="312" w:lineRule="auto"/>
    </w:pPr>
    <w:rPr>
      <w:rFonts w:ascii="Times New Roman" w:hAnsi="Times New Roman" w:cs="Times New Roman"/>
    </w:rPr>
  </w:style>
  <w:style w:type="paragraph" w:styleId="900">
    <w:name w:val="index 1"/>
    <w:basedOn w:val="840"/>
    <w:next w:val="839"/>
    <w:uiPriority w:val="0"/>
    <w:qFormat/>
    <w:pPr>
      <w:ind w:left="0" w:firstLine="3584"/>
      <w:spacing w:before="0" w:after="0" w:line="240" w:lineRule="auto"/>
    </w:pPr>
    <w:rPr>
      <w:rFonts w:ascii="Times New Roman" w:hAnsi="Times New Roman" w:cs="Times New Roman"/>
    </w:rPr>
  </w:style>
  <w:style w:type="paragraph" w:styleId="901">
    <w:name w:val="Title"/>
    <w:basedOn w:val="839"/>
    <w:next w:val="839"/>
    <w:link w:val="922"/>
    <w:uiPriority w:val="10"/>
    <w:qFormat/>
    <w:pPr>
      <w:contextualSpacing/>
      <w:spacing w:before="300" w:after="200"/>
    </w:pPr>
    <w:rPr>
      <w:sz w:val="48"/>
      <w:szCs w:val="48"/>
    </w:rPr>
  </w:style>
  <w:style w:type="paragraph" w:styleId="902">
    <w:name w:val="Body Text First Indent 2"/>
    <w:basedOn w:val="866"/>
    <w:uiPriority w:val="0"/>
    <w:unhideWhenUsed/>
    <w:qFormat/>
    <w:pPr>
      <w:ind w:firstLine="420"/>
    </w:pPr>
  </w:style>
  <w:style w:type="table" w:styleId="90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uiPriority w:val="22"/>
    <w:qFormat/>
    <w:rPr>
      <w:rFonts w:ascii="Times New Roman" w:hAnsi="Times New Roman" w:eastAsia="宋体" w:cs="Times New Roman"/>
      <w:b/>
      <w:sz w:val="20"/>
    </w:rPr>
  </w:style>
  <w:style w:type="character" w:styleId="905">
    <w:name w:val="endnote reference"/>
    <w:basedOn w:val="849"/>
    <w:uiPriority w:val="99"/>
    <w:semiHidden/>
    <w:unhideWhenUsed/>
    <w:qFormat/>
    <w:rPr>
      <w:vertAlign w:val="superscript"/>
    </w:rPr>
  </w:style>
  <w:style w:type="character" w:styleId="906">
    <w:name w:val="page number"/>
    <w:uiPriority w:val="0"/>
    <w:qFormat/>
    <w:rPr>
      <w:rFonts w:ascii="Times New Roman" w:hAnsi="Times New Roman" w:eastAsia="宋体" w:cs="Times New Roman"/>
      <w:sz w:val="20"/>
    </w:rPr>
  </w:style>
  <w:style w:type="character" w:styleId="907">
    <w:name w:val="FollowedHyperlink"/>
    <w:uiPriority w:val="0"/>
    <w:qFormat/>
    <w:rPr>
      <w:rFonts w:ascii="Times New Roman" w:hAnsi="Times New Roman" w:eastAsia="宋体" w:cs="Times New Roman"/>
      <w:color w:val="800080"/>
      <w:sz w:val="20"/>
      <w:u w:val="single"/>
    </w:rPr>
  </w:style>
  <w:style w:type="character" w:styleId="908">
    <w:name w:val="Emphasis"/>
    <w:uiPriority w:val="0"/>
    <w:qFormat/>
    <w:rPr>
      <w:rFonts w:ascii="Times New Roman" w:hAnsi="Times New Roman" w:eastAsia="宋体" w:cs="Times New Roman"/>
      <w:i/>
      <w:sz w:val="21"/>
    </w:rPr>
  </w:style>
  <w:style w:type="character" w:styleId="909">
    <w:name w:val="Hyperlink"/>
    <w:uiPriority w:val="99"/>
    <w:qFormat/>
    <w:rPr>
      <w:rFonts w:ascii="Times New Roman" w:hAnsi="Times New Roman" w:eastAsia="宋体" w:cs="Times New Roman"/>
      <w:color w:val="0000ff"/>
      <w:sz w:val="20"/>
      <w:u w:val="single"/>
    </w:rPr>
  </w:style>
  <w:style w:type="character" w:styleId="910">
    <w:name w:val="annotation reference"/>
    <w:uiPriority w:val="0"/>
    <w:qFormat/>
    <w:rPr>
      <w:rFonts w:ascii="Times New Roman" w:hAnsi="Times New Roman" w:eastAsia="宋体" w:cs="Times New Roman"/>
      <w:sz w:val="20"/>
    </w:rPr>
  </w:style>
  <w:style w:type="character" w:styleId="911">
    <w:name w:val="footnote reference"/>
    <w:uiPriority w:val="0"/>
    <w:qFormat/>
    <w:rPr>
      <w:rFonts w:ascii="Times New Roman" w:hAnsi="Times New Roman" w:eastAsia="宋体" w:cs="Times New Roman"/>
      <w:vertAlign w:val="superscript"/>
    </w:rPr>
  </w:style>
  <w:style w:type="character" w:styleId="912" w:customStyle="1">
    <w:name w:val="Heading 1 Char"/>
    <w:basedOn w:val="849"/>
    <w:uiPriority w:val="9"/>
    <w:qFormat/>
    <w:rPr>
      <w:rFonts w:ascii="Arial" w:hAnsi="Arial" w:eastAsia="Arial" w:cs="Arial"/>
      <w:sz w:val="40"/>
      <w:szCs w:val="40"/>
    </w:rPr>
  </w:style>
  <w:style w:type="character" w:styleId="913" w:customStyle="1">
    <w:name w:val="Heading 2 Char"/>
    <w:basedOn w:val="849"/>
    <w:uiPriority w:val="9"/>
    <w:qFormat/>
    <w:rPr>
      <w:rFonts w:ascii="Arial" w:hAnsi="Arial" w:eastAsia="Arial" w:cs="Arial"/>
      <w:sz w:val="34"/>
    </w:rPr>
  </w:style>
  <w:style w:type="character" w:styleId="914" w:customStyle="1">
    <w:name w:val="Heading 3 Char"/>
    <w:basedOn w:val="849"/>
    <w:uiPriority w:val="9"/>
    <w:qFormat/>
    <w:rPr>
      <w:rFonts w:ascii="Arial" w:hAnsi="Arial" w:eastAsia="Arial" w:cs="Arial"/>
      <w:sz w:val="30"/>
      <w:szCs w:val="30"/>
    </w:rPr>
  </w:style>
  <w:style w:type="character" w:styleId="915" w:customStyle="1">
    <w:name w:val="Heading 4 Char"/>
    <w:basedOn w:val="849"/>
    <w:uiPriority w:val="9"/>
    <w:qFormat/>
    <w:rPr>
      <w:rFonts w:ascii="Arial" w:hAnsi="Arial" w:eastAsia="Arial" w:cs="Arial"/>
      <w:b/>
      <w:bCs/>
      <w:sz w:val="26"/>
      <w:szCs w:val="26"/>
    </w:rPr>
  </w:style>
  <w:style w:type="character" w:styleId="916" w:customStyle="1">
    <w:name w:val="Heading 5 Char"/>
    <w:basedOn w:val="849"/>
    <w:uiPriority w:val="9"/>
    <w:qFormat/>
    <w:rPr>
      <w:rFonts w:ascii="Arial" w:hAnsi="Arial" w:eastAsia="Arial" w:cs="Arial"/>
      <w:b/>
      <w:bCs/>
      <w:sz w:val="24"/>
      <w:szCs w:val="24"/>
    </w:rPr>
  </w:style>
  <w:style w:type="character" w:styleId="917" w:customStyle="1">
    <w:name w:val="Heading 6 Char"/>
    <w:basedOn w:val="849"/>
    <w:uiPriority w:val="9"/>
    <w:qFormat/>
    <w:rPr>
      <w:rFonts w:ascii="Arial" w:hAnsi="Arial" w:eastAsia="Arial" w:cs="Arial"/>
      <w:b/>
      <w:bCs/>
      <w:sz w:val="22"/>
      <w:szCs w:val="22"/>
    </w:rPr>
  </w:style>
  <w:style w:type="character" w:styleId="918" w:customStyle="1">
    <w:name w:val="Heading 7 Char"/>
    <w:basedOn w:val="849"/>
    <w:uiPriority w:val="9"/>
    <w:qFormat/>
    <w:rPr>
      <w:rFonts w:ascii="Arial" w:hAnsi="Arial" w:eastAsia="Arial" w:cs="Arial"/>
      <w:b/>
      <w:bCs/>
      <w:i/>
      <w:iCs/>
      <w:sz w:val="22"/>
      <w:szCs w:val="22"/>
    </w:rPr>
  </w:style>
  <w:style w:type="character" w:styleId="919" w:customStyle="1">
    <w:name w:val="Heading 8 Char"/>
    <w:basedOn w:val="849"/>
    <w:uiPriority w:val="9"/>
    <w:qFormat/>
    <w:rPr>
      <w:rFonts w:ascii="Arial" w:hAnsi="Arial" w:eastAsia="Arial" w:cs="Arial"/>
      <w:i/>
      <w:iCs/>
      <w:sz w:val="22"/>
      <w:szCs w:val="22"/>
    </w:rPr>
  </w:style>
  <w:style w:type="character" w:styleId="920" w:customStyle="1">
    <w:name w:val="Heading 9 Char"/>
    <w:basedOn w:val="849"/>
    <w:uiPriority w:val="9"/>
    <w:qFormat/>
    <w:rPr>
      <w:rFonts w:ascii="Arial" w:hAnsi="Arial" w:eastAsia="Arial" w:cs="Arial"/>
      <w:i/>
      <w:iCs/>
      <w:sz w:val="21"/>
      <w:szCs w:val="21"/>
    </w:rPr>
  </w:style>
  <w:style w:type="paragraph" w:styleId="921">
    <w:name w:val="No Spacing"/>
    <w:uiPriority w:val="1"/>
    <w:qFormat/>
    <w:pPr>
      <w:spacing w:before="0" w:after="0" w:line="240" w:lineRule="auto"/>
    </w:pPr>
    <w:rPr>
      <w:rFonts w:hint="default" w:ascii="宋体" w:hAnsi="宋体" w:eastAsia="宋体" w:cs="宋体"/>
    </w:rPr>
  </w:style>
  <w:style w:type="character" w:styleId="922" w:customStyle="1">
    <w:name w:val="Title Char"/>
    <w:basedOn w:val="849"/>
    <w:link w:val="901"/>
    <w:uiPriority w:val="10"/>
    <w:qFormat/>
    <w:rPr>
      <w:sz w:val="48"/>
      <w:szCs w:val="48"/>
    </w:rPr>
  </w:style>
  <w:style w:type="character" w:styleId="923" w:customStyle="1">
    <w:name w:val="Subtitle Char"/>
    <w:basedOn w:val="849"/>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character" w:styleId="926" w:customStyle="1">
    <w:name w:val="Header Char"/>
    <w:basedOn w:val="849"/>
    <w:uiPriority w:val="99"/>
    <w:qFormat/>
  </w:style>
  <w:style w:type="character" w:styleId="927" w:customStyle="1">
    <w:name w:val="Footer Char"/>
    <w:basedOn w:val="849"/>
    <w:uiPriority w:val="99"/>
    <w:qFormat/>
  </w:style>
  <w:style w:type="character" w:styleId="928" w:customStyle="1">
    <w:name w:val="Caption Char"/>
    <w:uiPriority w:val="99"/>
    <w:qFormat/>
  </w:style>
  <w:style w:type="table" w:styleId="929"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5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basedOn w:val="85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basedOn w:val="85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basedOn w:val="85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basedOn w:val="85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basedOn w:val="85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basedOn w:val="85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basedOn w:val="85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basedOn w:val="85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basedOn w:val="85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5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5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5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5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5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5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5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5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5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5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5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5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basedOn w:val="85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basedOn w:val="85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basedOn w:val="85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basedOn w:val="85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basedOn w:val="85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basedOn w:val="85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5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5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5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5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5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basedOn w:val="85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basedOn w:val="85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basedOn w:val="85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basedOn w:val="85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basedOn w:val="85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basedOn w:val="85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basedOn w:val="85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basedOn w:val="85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basedOn w:val="85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basedOn w:val="85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basedOn w:val="85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basedOn w:val="85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basedOn w:val="85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basedOn w:val="85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basedOn w:val="85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basedOn w:val="85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basedOn w:val="85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5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5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5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5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5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5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85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basedOn w:val="85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basedOn w:val="85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basedOn w:val="85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basedOn w:val="85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basedOn w:val="85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uiPriority w:val="99"/>
    <w:qFormat/>
    <w:rPr>
      <w:sz w:val="18"/>
    </w:rPr>
  </w:style>
  <w:style w:type="character" w:styleId="1055" w:customStyle="1">
    <w:name w:val="Endnote Text Char"/>
    <w:uiPriority w:val="99"/>
    <w:qFormat/>
    <w:rPr>
      <w:sz w:val="20"/>
    </w:rPr>
  </w:style>
  <w:style w:type="paragraph" w:styleId="1056" w:customStyle="1">
    <w:name w:val="TOC Heading"/>
    <w:uiPriority w:val="39"/>
    <w:unhideWhenUsed/>
    <w:qFormat/>
    <w:rPr>
      <w:rFonts w:hint="default" w:ascii="宋体" w:hAnsi="宋体" w:eastAsia="宋体" w:cs="宋体"/>
    </w:rPr>
  </w:style>
  <w:style w:type="character" w:styleId="1057" w:customStyle="1">
    <w:name w:val="正文缩进 字符"/>
    <w:link w:val="857"/>
    <w:uiPriority w:val="0"/>
    <w:qFormat/>
    <w:rPr>
      <w:rFonts w:ascii="Calibri" w:hAnsi="Calibri" w:eastAsia="宋体" w:cs="Times New Roman"/>
    </w:rPr>
  </w:style>
  <w:style w:type="character" w:styleId="1058" w:customStyle="1">
    <w:name w:val="页脚 字符"/>
    <w:link w:val="883"/>
    <w:uiPriority w:val="0"/>
    <w:qFormat/>
    <w:rPr>
      <w:rFonts w:ascii="Calibri" w:hAnsi="Calibri" w:eastAsia="宋体" w:cs="Times New Roman"/>
    </w:rPr>
  </w:style>
  <w:style w:type="character" w:styleId="1059" w:customStyle="1">
    <w:name w:val="页眉 字符"/>
    <w:link w:val="885"/>
    <w:uiPriority w:val="0"/>
    <w:qFormat/>
    <w:rPr>
      <w:rFonts w:ascii="Calibri" w:hAnsi="Calibri" w:eastAsia="宋体" w:cs="Times New Roman"/>
    </w:rPr>
  </w:style>
  <w:style w:type="character" w:styleId="1060" w:customStyle="1">
    <w:name w:val="日期 Char"/>
    <w:uiPriority w:val="0"/>
    <w:qFormat/>
    <w:rPr>
      <w:rFonts w:ascii="Times New Roman" w:hAnsi="Times New Roman" w:eastAsia="宋体" w:cs="Times New Roman"/>
      <w:sz w:val="20"/>
    </w:rPr>
  </w:style>
  <w:style w:type="character" w:styleId="1061" w:customStyle="1">
    <w:name w:val="批注引用1"/>
    <w:uiPriority w:val="0"/>
    <w:qFormat/>
    <w:rPr>
      <w:rFonts w:ascii="Times New Roman" w:hAnsi="Times New Roman" w:eastAsia="宋体" w:cs="Times New Roman"/>
      <w:sz w:val="20"/>
    </w:rPr>
  </w:style>
  <w:style w:type="character" w:styleId="1062" w:customStyle="1">
    <w:name w:val="应答文本 Char Char"/>
    <w:uiPriority w:val="0"/>
    <w:qFormat/>
    <w:rPr>
      <w:rFonts w:ascii="Times New Roman" w:hAnsi="Times New Roman" w:eastAsia="宋体" w:cs="Times New Roman"/>
      <w:sz w:val="20"/>
    </w:rPr>
  </w:style>
  <w:style w:type="character" w:styleId="1063" w:customStyle="1">
    <w:name w:val="图片0 Char Char"/>
    <w:uiPriority w:val="0"/>
    <w:qFormat/>
    <w:rPr>
      <w:rFonts w:ascii="Times New Roman" w:hAnsi="Times New Roman" w:eastAsia="宋体" w:cs="Times New Roman"/>
      <w:sz w:val="20"/>
    </w:rPr>
  </w:style>
  <w:style w:type="character" w:styleId="1064" w:customStyle="1">
    <w:name w:val="尾注文本 Char"/>
    <w:uiPriority w:val="0"/>
    <w:qFormat/>
    <w:rPr>
      <w:rFonts w:ascii="Times New Roman" w:hAnsi="Times New Roman" w:eastAsia="宋体" w:cs="Times New Roman"/>
      <w:sz w:val="20"/>
    </w:rPr>
  </w:style>
  <w:style w:type="character" w:styleId="1065" w:customStyle="1">
    <w:name w:val="文档结构图 字符"/>
    <w:uiPriority w:val="0"/>
    <w:qFormat/>
    <w:rPr>
      <w:rFonts w:ascii="Microsoft YaHei UI" w:hAnsi="Times New Roman" w:eastAsia="Microsoft YaHei UI" w:cs="Times New Roman"/>
      <w:sz w:val="18"/>
      <w:szCs w:val="18"/>
    </w:rPr>
  </w:style>
  <w:style w:type="character" w:styleId="1066" w:customStyle="1">
    <w:name w:val="_Style 337"/>
    <w:uiPriority w:val="0"/>
    <w:qFormat/>
    <w:rPr>
      <w:rFonts w:ascii="Times New Roman" w:hAnsi="Times New Roman" w:eastAsia="宋体" w:cs="Times New Roman"/>
      <w:color w:val="auto"/>
      <w:sz w:val="21"/>
    </w:rPr>
  </w:style>
  <w:style w:type="character" w:styleId="1067" w:customStyle="1">
    <w:name w:val="正文文本 字符"/>
    <w:uiPriority w:val="0"/>
    <w:qFormat/>
    <w:rPr>
      <w:rFonts w:ascii="Times New Roman" w:hAnsi="Times New Roman" w:eastAsia="宋体" w:cs="Times New Roman"/>
      <w:sz w:val="21"/>
    </w:rPr>
  </w:style>
  <w:style w:type="character" w:styleId="1068" w:customStyle="1">
    <w:name w:val="批注文字 字符"/>
    <w:uiPriority w:val="0"/>
    <w:qFormat/>
    <w:rPr>
      <w:rFonts w:ascii="Times New Roman" w:hAnsi="Times New Roman" w:eastAsia="宋体" w:cs="Times New Roman"/>
      <w:sz w:val="20"/>
    </w:rPr>
  </w:style>
  <w:style w:type="character" w:styleId="1069" w:customStyle="1">
    <w:name w:val="批注文字 Char1"/>
    <w:uiPriority w:val="0"/>
    <w:qFormat/>
    <w:rPr>
      <w:rFonts w:ascii="Times New Roman" w:hAnsi="Times New Roman" w:eastAsia="宋体" w:cs="Times New Roman"/>
      <w:sz w:val="20"/>
    </w:rPr>
  </w:style>
  <w:style w:type="character" w:styleId="1070" w:customStyle="1">
    <w:name w:val="txt"/>
    <w:uiPriority w:val="0"/>
    <w:qFormat/>
    <w:rPr>
      <w:rFonts w:ascii="Times New Roman" w:hAnsi="Times New Roman" w:eastAsia="宋体" w:cs="Times New Roman"/>
      <w:sz w:val="20"/>
    </w:rPr>
  </w:style>
  <w:style w:type="character" w:styleId="1071" w:customStyle="1">
    <w:name w:val="标书正文 Char"/>
    <w:uiPriority w:val="0"/>
    <w:qFormat/>
    <w:rPr>
      <w:rFonts w:ascii="Times New Roman" w:hAnsi="Times New Roman" w:eastAsia="宋体" w:cs="Times New Roman"/>
      <w:sz w:val="20"/>
    </w:rPr>
  </w:style>
  <w:style w:type="character" w:styleId="1072" w:customStyle="1">
    <w:name w:val="font21"/>
    <w:uiPriority w:val="0"/>
    <w:qFormat/>
    <w:rPr>
      <w:rFonts w:hint="eastAsia" w:ascii="宋体" w:hAnsi="宋体" w:eastAsia="宋体" w:cs="宋体"/>
      <w:color w:val="ff0000"/>
      <w:sz w:val="24"/>
      <w:szCs w:val="24"/>
      <w:u w:val="none"/>
    </w:rPr>
  </w:style>
  <w:style w:type="character" w:styleId="1073" w:customStyle="1">
    <w:name w:val="apple-converted-space"/>
    <w:uiPriority w:val="0"/>
    <w:qFormat/>
    <w:rPr>
      <w:rFonts w:ascii="Times New Roman" w:hAnsi="Times New Roman" w:eastAsia="宋体" w:cs="Times New Roman"/>
      <w:sz w:val="20"/>
    </w:rPr>
  </w:style>
  <w:style w:type="character" w:styleId="1074" w:customStyle="1">
    <w:name w:val="纯文本 Char1"/>
    <w:uiPriority w:val="0"/>
    <w:qFormat/>
    <w:rPr>
      <w:rFonts w:ascii="Times New Roman" w:hAnsi="Times New Roman" w:eastAsia="宋体" w:cs="Times New Roman"/>
      <w:sz w:val="20"/>
    </w:rPr>
  </w:style>
  <w:style w:type="character" w:styleId="1075" w:customStyle="1">
    <w:name w:val="para1"/>
    <w:uiPriority w:val="0"/>
    <w:qFormat/>
    <w:rPr>
      <w:rFonts w:ascii="Times New Roman" w:hAnsi="Times New Roman" w:eastAsia="宋体" w:cs="Times New Roman"/>
      <w:sz w:val="20"/>
    </w:rPr>
  </w:style>
  <w:style w:type="character" w:styleId="1076" w:customStyle="1">
    <w:name w:val="HTML 预设格式 Char1"/>
    <w:uiPriority w:val="0"/>
    <w:qFormat/>
    <w:rPr>
      <w:rFonts w:ascii="Times New Roman" w:hAnsi="Times New Roman" w:eastAsia="宋体" w:cs="Times New Roman"/>
      <w:sz w:val="20"/>
    </w:rPr>
  </w:style>
  <w:style w:type="character" w:styleId="1077" w:customStyle="1">
    <w:name w:val="批注文字 Char"/>
    <w:uiPriority w:val="0"/>
    <w:qFormat/>
    <w:rPr>
      <w:rFonts w:ascii="Times New Roman" w:hAnsi="Times New Roman" w:eastAsia="宋体" w:cs="Times New Roman"/>
      <w:sz w:val="20"/>
    </w:rPr>
  </w:style>
  <w:style w:type="character" w:styleId="1078" w:customStyle="1">
    <w:name w:val="文档结构图 Char"/>
    <w:uiPriority w:val="0"/>
    <w:qFormat/>
    <w:rPr>
      <w:rFonts w:ascii="Times New Roman" w:hAnsi="Times New Roman" w:eastAsia="宋体" w:cs="Times New Roman"/>
      <w:sz w:val="20"/>
    </w:rPr>
  </w:style>
  <w:style w:type="character" w:styleId="1079" w:customStyle="1">
    <w:name w:val="超级链接"/>
    <w:uiPriority w:val="0"/>
    <w:qFormat/>
    <w:rPr>
      <w:rFonts w:ascii="Times New Roman" w:hAnsi="Times New Roman" w:eastAsia="宋体" w:cs="Times New Roman"/>
      <w:color w:val="0000ff"/>
      <w:sz w:val="20"/>
      <w:u w:val="single"/>
    </w:rPr>
  </w:style>
  <w:style w:type="character" w:styleId="1080" w:customStyle="1">
    <w:name w:val="p141"/>
    <w:uiPriority w:val="0"/>
    <w:qFormat/>
    <w:rPr>
      <w:rFonts w:ascii="Times New Roman" w:hAnsi="Times New Roman" w:eastAsia="宋体" w:cs="Times New Roman"/>
      <w:color w:val="000000"/>
      <w:sz w:val="20"/>
      <w:u w:val="none"/>
    </w:rPr>
  </w:style>
  <w:style w:type="character" w:styleId="1081" w:customStyle="1">
    <w:name w:val="宏文本 Char"/>
    <w:uiPriority w:val="0"/>
    <w:qFormat/>
    <w:rPr>
      <w:rFonts w:ascii="Times New Roman" w:hAnsi="Times New Roman" w:eastAsia="宋体" w:cs="Times New Roman"/>
      <w:sz w:val="20"/>
    </w:rPr>
  </w:style>
  <w:style w:type="character" w:styleId="1082" w:customStyle="1">
    <w:name w:val="_Style 313"/>
    <w:uiPriority w:val="0"/>
    <w:qFormat/>
    <w:rPr>
      <w:rFonts w:ascii="Times New Roman" w:hAnsi="Times New Roman" w:eastAsia="宋体" w:cs="Times New Roman"/>
      <w:b/>
      <w:i/>
      <w:sz w:val="21"/>
    </w:rPr>
  </w:style>
  <w:style w:type="character" w:styleId="1083" w:customStyle="1">
    <w:name w:val="页脚 Char1"/>
    <w:uiPriority w:val="0"/>
    <w:qFormat/>
    <w:rPr>
      <w:rFonts w:ascii="Times New Roman" w:hAnsi="Times New Roman" w:eastAsia="宋体" w:cs="Times New Roman"/>
      <w:sz w:val="20"/>
    </w:rPr>
  </w:style>
  <w:style w:type="character" w:styleId="1084" w:customStyle="1">
    <w:name w:val="页眉 Char"/>
    <w:uiPriority w:val="0"/>
    <w:qFormat/>
    <w:rPr>
      <w:rFonts w:ascii="Times New Roman" w:hAnsi="Times New Roman" w:eastAsia="宋体" w:cs="Times New Roman"/>
      <w:sz w:val="20"/>
    </w:rPr>
  </w:style>
  <w:style w:type="character" w:styleId="1085" w:customStyle="1">
    <w:name w:val="标题 7 Char"/>
    <w:uiPriority w:val="0"/>
    <w:qFormat/>
    <w:rPr>
      <w:rFonts w:ascii="Times New Roman" w:hAnsi="Times New Roman" w:eastAsia="宋体" w:cs="Times New Roman"/>
      <w:b/>
      <w:sz w:val="20"/>
    </w:rPr>
  </w:style>
  <w:style w:type="character" w:styleId="1086" w:customStyle="1">
    <w:name w:val="Char Char12"/>
    <w:uiPriority w:val="0"/>
    <w:qFormat/>
    <w:rPr>
      <w:rFonts w:ascii="Times New Roman" w:hAnsi="Times New Roman" w:eastAsia="宋体" w:cs="Times New Roman"/>
      <w:sz w:val="20"/>
    </w:rPr>
  </w:style>
  <w:style w:type="character" w:styleId="1087" w:customStyle="1">
    <w:name w:val="标题 3 Char"/>
    <w:uiPriority w:val="0"/>
    <w:qFormat/>
    <w:rPr>
      <w:rFonts w:ascii="Times New Roman" w:hAnsi="Times New Roman" w:eastAsia="宋体" w:cs="Times New Roman"/>
      <w:b/>
      <w:sz w:val="20"/>
    </w:rPr>
  </w:style>
  <w:style w:type="character" w:styleId="1088" w:customStyle="1">
    <w:name w:val="正文（首行缩进 2 字符） Char Char"/>
    <w:uiPriority w:val="0"/>
    <w:qFormat/>
    <w:rPr>
      <w:rFonts w:ascii="Times New Roman" w:hAnsi="Times New Roman" w:eastAsia="宋体" w:cs="Times New Roman"/>
      <w:sz w:val="20"/>
    </w:rPr>
  </w:style>
  <w:style w:type="character" w:styleId="1089" w:customStyle="1">
    <w:name w:val="表格用 Char Char"/>
    <w:uiPriority w:val="0"/>
    <w:qFormat/>
    <w:rPr>
      <w:rFonts w:ascii="Times New Roman" w:hAnsi="Times New Roman" w:eastAsia="宋体" w:cs="Times New Roman"/>
      <w:sz w:val="20"/>
    </w:rPr>
  </w:style>
  <w:style w:type="character" w:styleId="1090" w:customStyle="1">
    <w:name w:val="正文文本缩进 3 Char1"/>
    <w:uiPriority w:val="0"/>
    <w:qFormat/>
    <w:rPr>
      <w:rFonts w:ascii="Times New Roman" w:hAnsi="Times New Roman" w:eastAsia="宋体" w:cs="Times New Roman"/>
      <w:sz w:val="20"/>
    </w:rPr>
  </w:style>
  <w:style w:type="character" w:styleId="1091" w:customStyle="1">
    <w:name w:val="正文缩进 Char"/>
    <w:uiPriority w:val="0"/>
    <w:qFormat/>
    <w:rPr>
      <w:rFonts w:ascii="Times New Roman" w:hAnsi="Times New Roman" w:eastAsia="宋体" w:cs="Times New Roman"/>
      <w:sz w:val="20"/>
    </w:rPr>
  </w:style>
  <w:style w:type="character" w:styleId="1092" w:customStyle="1">
    <w:name w:val="批注框文本 Char1"/>
    <w:uiPriority w:val="0"/>
    <w:qFormat/>
    <w:rPr>
      <w:rFonts w:ascii="Times New Roman" w:hAnsi="Times New Roman" w:eastAsia="宋体" w:cs="Times New Roman"/>
      <w:sz w:val="20"/>
    </w:rPr>
  </w:style>
  <w:style w:type="character" w:styleId="1093" w:customStyle="1">
    <w:name w:val="Char Char13"/>
    <w:uiPriority w:val="0"/>
    <w:qFormat/>
    <w:rPr>
      <w:rFonts w:ascii="Times New Roman" w:hAnsi="Times New Roman" w:eastAsia="宋体" w:cs="Times New Roman"/>
      <w:sz w:val="20"/>
    </w:rPr>
  </w:style>
  <w:style w:type="character" w:styleId="1094" w:customStyle="1">
    <w:name w:val="样式2 Char"/>
    <w:uiPriority w:val="0"/>
    <w:qFormat/>
    <w:rPr>
      <w:rFonts w:ascii="Times New Roman" w:hAnsi="Times New Roman" w:eastAsia="宋体" w:cs="Times New Roman"/>
      <w:b/>
      <w:sz w:val="20"/>
    </w:rPr>
  </w:style>
  <w:style w:type="character" w:styleId="1095" w:customStyle="1">
    <w:name w:val="页脚 Char"/>
    <w:uiPriority w:val="0"/>
    <w:qFormat/>
    <w:rPr>
      <w:rFonts w:ascii="Times New Roman" w:hAnsi="Times New Roman" w:eastAsia="宋体" w:cs="Times New Roman"/>
      <w:sz w:val="20"/>
    </w:rPr>
  </w:style>
  <w:style w:type="character" w:styleId="1096" w:customStyle="1">
    <w:name w:val="标准文本 Char"/>
    <w:uiPriority w:val="0"/>
    <w:qFormat/>
    <w:rPr>
      <w:rFonts w:ascii="Times New Roman" w:hAnsi="Times New Roman" w:eastAsia="宋体" w:cs="Times New Roman"/>
      <w:sz w:val="20"/>
    </w:rPr>
  </w:style>
  <w:style w:type="character" w:styleId="1097" w:customStyle="1">
    <w:name w:val="font01"/>
    <w:uiPriority w:val="0"/>
    <w:qFormat/>
    <w:rPr>
      <w:rFonts w:hint="eastAsia" w:ascii="宋体" w:hAnsi="宋体" w:eastAsia="宋体" w:cs="宋体"/>
      <w:color w:val="000000"/>
      <w:sz w:val="24"/>
      <w:szCs w:val="24"/>
      <w:u w:val="none"/>
    </w:rPr>
  </w:style>
  <w:style w:type="character" w:styleId="1098" w:customStyle="1">
    <w:name w:val="标题 3 Char1"/>
    <w:uiPriority w:val="0"/>
    <w:qFormat/>
    <w:rPr>
      <w:rFonts w:ascii="Times New Roman" w:hAnsi="Times New Roman" w:eastAsia="宋体" w:cs="Times New Roman"/>
      <w:b/>
      <w:sz w:val="20"/>
      <w:u w:val="single"/>
    </w:rPr>
  </w:style>
  <w:style w:type="character" w:styleId="1099" w:customStyle="1">
    <w:name w:val="表格 Char Char"/>
    <w:uiPriority w:val="0"/>
    <w:qFormat/>
    <w:rPr>
      <w:rFonts w:ascii="Times New Roman" w:hAnsi="Times New Roman" w:eastAsia="宋体" w:cs="Times New Roman"/>
      <w:sz w:val="20"/>
    </w:rPr>
  </w:style>
  <w:style w:type="character" w:styleId="1100" w:customStyle="1">
    <w:name w:val="正文首行缩进 Char"/>
    <w:uiPriority w:val="0"/>
    <w:qFormat/>
    <w:rPr>
      <w:rFonts w:ascii="Times New Roman" w:hAnsi="Times New Roman" w:eastAsia="宋体" w:cs="Times New Roman"/>
      <w:sz w:val="20"/>
    </w:rPr>
  </w:style>
  <w:style w:type="character" w:styleId="1101" w:customStyle="1">
    <w:name w:val="标题 9 Char"/>
    <w:uiPriority w:val="0"/>
    <w:qFormat/>
    <w:rPr>
      <w:rFonts w:ascii="Times New Roman" w:hAnsi="Times New Roman" w:eastAsia="宋体" w:cs="Times New Roman"/>
      <w:sz w:val="20"/>
    </w:rPr>
  </w:style>
  <w:style w:type="character" w:styleId="1102" w:customStyle="1">
    <w:name w:val="lh151"/>
    <w:uiPriority w:val="0"/>
    <w:qFormat/>
    <w:rPr>
      <w:rFonts w:ascii="Times New Roman" w:hAnsi="Times New Roman" w:eastAsia="宋体" w:cs="Times New Roman"/>
      <w:color w:val="666666"/>
      <w:sz w:val="20"/>
    </w:rPr>
  </w:style>
  <w:style w:type="character" w:styleId="1103" w:customStyle="1">
    <w:name w:val="日期 Char1"/>
    <w:uiPriority w:val="0"/>
    <w:qFormat/>
    <w:rPr>
      <w:rFonts w:ascii="Times New Roman" w:hAnsi="Times New Roman" w:eastAsia="宋体" w:cs="Times New Roman"/>
      <w:sz w:val="20"/>
    </w:rPr>
  </w:style>
  <w:style w:type="character" w:styleId="1104" w:customStyle="1">
    <w:name w:val="图片 Char Char"/>
    <w:uiPriority w:val="0"/>
    <w:qFormat/>
    <w:rPr>
      <w:rFonts w:ascii="Times New Roman" w:hAnsi="Times New Roman" w:eastAsia="宋体" w:cs="Times New Roman"/>
      <w:sz w:val="20"/>
    </w:rPr>
  </w:style>
  <w:style w:type="character" w:styleId="1105" w:customStyle="1">
    <w:name w:val="批注框文本 字符"/>
    <w:uiPriority w:val="0"/>
    <w:qFormat/>
    <w:rPr>
      <w:rFonts w:ascii="Times New Roman" w:hAnsi="Times New Roman" w:eastAsia="宋体" w:cs="Times New Roman"/>
      <w:sz w:val="20"/>
    </w:rPr>
  </w:style>
  <w:style w:type="character" w:styleId="1106" w:customStyle="1">
    <w:name w:val="HTML 预设格式 Char"/>
    <w:uiPriority w:val="0"/>
    <w:qFormat/>
    <w:rPr>
      <w:rFonts w:ascii="Times New Roman" w:hAnsi="Times New Roman" w:eastAsia="宋体" w:cs="Times New Roman"/>
      <w:sz w:val="20"/>
    </w:rPr>
  </w:style>
  <w:style w:type="character" w:styleId="1107" w:customStyle="1">
    <w:name w:val="列出段落 Char"/>
    <w:uiPriority w:val="0"/>
    <w:qFormat/>
    <w:rPr>
      <w:rFonts w:ascii="Times New Roman" w:hAnsi="Times New Roman" w:eastAsia="宋体" w:cs="Times New Roman"/>
      <w:sz w:val="20"/>
    </w:rPr>
  </w:style>
  <w:style w:type="character" w:styleId="1108" w:customStyle="1">
    <w:name w:val="标题 5 Char"/>
    <w:uiPriority w:val="0"/>
    <w:qFormat/>
    <w:rPr>
      <w:rFonts w:ascii="Times New Roman" w:hAnsi="Times New Roman" w:eastAsia="宋体" w:cs="Times New Roman"/>
      <w:b/>
      <w:sz w:val="20"/>
    </w:rPr>
  </w:style>
  <w:style w:type="character" w:styleId="1109" w:customStyle="1">
    <w:name w:val="链接"/>
    <w:uiPriority w:val="0"/>
    <w:qFormat/>
    <w:rPr>
      <w:rFonts w:ascii="Times New Roman" w:hAnsi="Times New Roman" w:eastAsia="宋体" w:cs="Times New Roman"/>
      <w:color w:val="0000ff"/>
      <w:sz w:val="20"/>
      <w:u w:val="single"/>
    </w:rPr>
  </w:style>
  <w:style w:type="character" w:styleId="1110" w:customStyle="1">
    <w:name w:val="18h1"/>
    <w:uiPriority w:val="0"/>
    <w:qFormat/>
    <w:rPr>
      <w:rFonts w:ascii="Times New Roman" w:hAnsi="Times New Roman" w:eastAsia="宋体" w:cs="Times New Roman"/>
      <w:color w:val="3b3b3b"/>
      <w:sz w:val="20"/>
    </w:rPr>
  </w:style>
  <w:style w:type="character" w:styleId="1111" w:customStyle="1">
    <w:name w:val="表格文字（两侧对齐） Char Char"/>
    <w:uiPriority w:val="0"/>
    <w:qFormat/>
    <w:rPr>
      <w:rFonts w:ascii="Times New Roman" w:hAnsi="Times New Roman" w:eastAsia="宋体" w:cs="Times New Roman"/>
      <w:sz w:val="20"/>
    </w:rPr>
  </w:style>
  <w:style w:type="character" w:styleId="1112" w:customStyle="1">
    <w:name w:val="正文文本缩进 2 Char"/>
    <w:uiPriority w:val="0"/>
    <w:qFormat/>
    <w:rPr>
      <w:rFonts w:ascii="Times New Roman" w:hAnsi="Times New Roman" w:eastAsia="宋体" w:cs="Times New Roman"/>
      <w:sz w:val="20"/>
    </w:rPr>
  </w:style>
  <w:style w:type="character" w:styleId="1113" w:customStyle="1">
    <w:name w:val="Char Char14"/>
    <w:uiPriority w:val="0"/>
    <w:qFormat/>
    <w:rPr>
      <w:rFonts w:ascii="Times New Roman" w:hAnsi="Times New Roman" w:eastAsia="宋体" w:cs="Times New Roman"/>
      <w:sz w:val="20"/>
    </w:rPr>
  </w:style>
  <w:style w:type="character" w:styleId="1114" w:customStyle="1">
    <w:name w:val="标题 1 Char1"/>
    <w:uiPriority w:val="0"/>
    <w:qFormat/>
    <w:rPr>
      <w:rFonts w:ascii="Times New Roman" w:hAnsi="Times New Roman" w:eastAsia="宋体" w:cs="Times New Roman"/>
      <w:b/>
      <w:sz w:val="20"/>
    </w:rPr>
  </w:style>
  <w:style w:type="character" w:styleId="1115" w:customStyle="1">
    <w:name w:val="批注框文本 Char"/>
    <w:uiPriority w:val="0"/>
    <w:qFormat/>
    <w:rPr>
      <w:rFonts w:ascii="Times New Roman" w:hAnsi="Times New Roman" w:eastAsia="宋体" w:cs="Times New Roman"/>
      <w:sz w:val="20"/>
    </w:rPr>
  </w:style>
  <w:style w:type="character" w:styleId="1116" w:customStyle="1">
    <w:name w:val="apple-style-span"/>
    <w:uiPriority w:val="0"/>
    <w:qFormat/>
    <w:rPr>
      <w:rFonts w:ascii="Times New Roman" w:hAnsi="Times New Roman" w:eastAsia="宋体" w:cs="Times New Roman"/>
      <w:sz w:val="20"/>
    </w:rPr>
  </w:style>
  <w:style w:type="character" w:styleId="1117" w:customStyle="1">
    <w:name w:val="插图 Char Char"/>
    <w:uiPriority w:val="0"/>
    <w:qFormat/>
    <w:rPr>
      <w:rFonts w:ascii="Times New Roman" w:hAnsi="Times New Roman" w:eastAsia="宋体" w:cs="Times New Roman"/>
      <w:sz w:val="20"/>
    </w:rPr>
  </w:style>
  <w:style w:type="character" w:styleId="1118" w:customStyle="1">
    <w:name w:val="标题 2 Char1"/>
    <w:uiPriority w:val="0"/>
    <w:qFormat/>
    <w:rPr>
      <w:rFonts w:ascii="Times New Roman" w:hAnsi="Times New Roman" w:eastAsia="宋体" w:cs="Times New Roman"/>
      <w:b/>
      <w:sz w:val="20"/>
    </w:rPr>
  </w:style>
  <w:style w:type="character" w:styleId="1119" w:customStyle="1">
    <w:name w:val="_Style 332"/>
    <w:uiPriority w:val="0"/>
    <w:qFormat/>
    <w:rPr>
      <w:rFonts w:ascii="Times New Roman" w:hAnsi="Times New Roman" w:eastAsia="宋体" w:cs="Times New Roman"/>
      <w:i/>
      <w:color w:val="auto"/>
      <w:sz w:val="21"/>
    </w:rPr>
  </w:style>
  <w:style w:type="character" w:styleId="1120" w:customStyle="1">
    <w:name w:val="正文文本 3 Char1"/>
    <w:uiPriority w:val="0"/>
    <w:qFormat/>
    <w:rPr>
      <w:rFonts w:ascii="Times New Roman" w:hAnsi="Times New Roman" w:eastAsia="宋体" w:cs="Times New Roman"/>
      <w:sz w:val="20"/>
    </w:rPr>
  </w:style>
  <w:style w:type="character" w:styleId="1121" w:customStyle="1">
    <w:name w:val="标题 5 Char1"/>
    <w:uiPriority w:val="0"/>
    <w:qFormat/>
    <w:rPr>
      <w:rFonts w:ascii="Times New Roman" w:hAnsi="Times New Roman" w:eastAsia="宋体" w:cs="Times New Roman"/>
      <w:b/>
      <w:sz w:val="20"/>
    </w:rPr>
  </w:style>
  <w:style w:type="character" w:styleId="1122" w:customStyle="1">
    <w:name w:val="批注主题 Char"/>
    <w:uiPriority w:val="0"/>
    <w:qFormat/>
    <w:rPr>
      <w:rFonts w:ascii="Times New Roman" w:hAnsi="Times New Roman" w:eastAsia="宋体" w:cs="Times New Roman"/>
      <w:b/>
      <w:sz w:val="20"/>
    </w:rPr>
  </w:style>
  <w:style w:type="character" w:styleId="1123" w:customStyle="1">
    <w:name w:val="标题 1 Char"/>
    <w:uiPriority w:val="0"/>
    <w:qFormat/>
    <w:rPr>
      <w:rFonts w:ascii="Times New Roman" w:hAnsi="Times New Roman" w:eastAsia="宋体" w:cs="Times New Roman"/>
      <w:b/>
      <w:sz w:val="20"/>
    </w:rPr>
  </w:style>
  <w:style w:type="character" w:styleId="1124" w:customStyle="1">
    <w:name w:val="正文文本 2 Char1"/>
    <w:uiPriority w:val="0"/>
    <w:qFormat/>
    <w:rPr>
      <w:rFonts w:ascii="Times New Roman" w:hAnsi="Times New Roman" w:eastAsia="宋体" w:cs="Times New Roman"/>
      <w:sz w:val="20"/>
    </w:rPr>
  </w:style>
  <w:style w:type="character" w:styleId="1125" w:customStyle="1">
    <w:name w:val="标题 4 Char1"/>
    <w:uiPriority w:val="0"/>
    <w:qFormat/>
    <w:rPr>
      <w:rFonts w:ascii="Times New Roman" w:hAnsi="Times New Roman" w:eastAsia="宋体" w:cs="Times New Roman"/>
      <w:b/>
      <w:sz w:val="20"/>
    </w:rPr>
  </w:style>
  <w:style w:type="character" w:styleId="1126" w:customStyle="1">
    <w:name w:val="正文文本 2 Char"/>
    <w:uiPriority w:val="0"/>
    <w:qFormat/>
    <w:rPr>
      <w:rFonts w:ascii="Times New Roman" w:hAnsi="Times New Roman" w:eastAsia="宋体" w:cs="Times New Roman"/>
      <w:sz w:val="20"/>
    </w:rPr>
  </w:style>
  <w:style w:type="character" w:styleId="1127" w:customStyle="1">
    <w:name w:val="_Style 376"/>
    <w:uiPriority w:val="0"/>
    <w:qFormat/>
    <w:rPr>
      <w:rFonts w:ascii="Times New Roman" w:hAnsi="Times New Roman" w:eastAsia="宋体" w:cs="Times New Roman"/>
      <w:b/>
      <w:color w:val="auto"/>
      <w:sz w:val="21"/>
    </w:rPr>
  </w:style>
  <w:style w:type="character" w:styleId="1128" w:customStyle="1">
    <w:name w:val="062"/>
    <w:uiPriority w:val="0"/>
    <w:qFormat/>
    <w:rPr>
      <w:rFonts w:ascii="Times New Roman" w:hAnsi="Times New Roman" w:eastAsia="宋体" w:cs="Times New Roman"/>
      <w:b/>
      <w:sz w:val="20"/>
    </w:rPr>
  </w:style>
  <w:style w:type="character" w:styleId="1129" w:customStyle="1">
    <w:name w:val="正文文本 Char1"/>
    <w:uiPriority w:val="0"/>
    <w:qFormat/>
    <w:rPr>
      <w:rFonts w:ascii="Times New Roman" w:hAnsi="Times New Roman" w:eastAsia="宋体" w:cs="Times New Roman"/>
      <w:sz w:val="20"/>
    </w:rPr>
  </w:style>
  <w:style w:type="character" w:styleId="1130" w:customStyle="1">
    <w:name w:val="题注 Char"/>
    <w:uiPriority w:val="0"/>
    <w:qFormat/>
    <w:rPr>
      <w:rFonts w:ascii="Times New Roman" w:hAnsi="Times New Roman" w:eastAsia="宋体" w:cs="Times New Roman"/>
      <w:sz w:val="20"/>
    </w:rPr>
  </w:style>
  <w:style w:type="character" w:styleId="1131" w:customStyle="1">
    <w:name w:val="脚注文本 Char"/>
    <w:uiPriority w:val="0"/>
    <w:qFormat/>
    <w:rPr>
      <w:rFonts w:ascii="Times New Roman" w:hAnsi="Times New Roman" w:eastAsia="宋体" w:cs="Times New Roman"/>
      <w:sz w:val="20"/>
    </w:rPr>
  </w:style>
  <w:style w:type="character" w:styleId="1132" w:customStyle="1">
    <w:name w:val="_Style 336"/>
    <w:uiPriority w:val="0"/>
    <w:qFormat/>
    <w:rPr>
      <w:rFonts w:ascii="Times New Roman" w:hAnsi="Times New Roman" w:eastAsia="宋体" w:cs="Times New Roman"/>
      <w:i/>
      <w:color w:val="auto"/>
      <w:sz w:val="21"/>
    </w:rPr>
  </w:style>
  <w:style w:type="character" w:styleId="1133" w:customStyle="1">
    <w:name w:val="表格 Char"/>
    <w:uiPriority w:val="0"/>
    <w:qFormat/>
    <w:rPr>
      <w:rFonts w:ascii="Times New Roman" w:hAnsi="Times New Roman" w:eastAsia="宋体" w:cs="Times New Roman"/>
      <w:color w:val="000000"/>
      <w:sz w:val="20"/>
    </w:rPr>
  </w:style>
  <w:style w:type="character" w:styleId="1134" w:customStyle="1">
    <w:name w:val="批注主题 字符"/>
    <w:uiPriority w:val="0"/>
    <w:qFormat/>
    <w:rPr>
      <w:rFonts w:ascii="Times New Roman" w:hAnsi="Times New Roman" w:eastAsia="宋体" w:cs="Times New Roman"/>
      <w:b/>
      <w:sz w:val="20"/>
    </w:rPr>
  </w:style>
  <w:style w:type="character" w:styleId="1135" w:customStyle="1">
    <w:name w:val="图注 Char Char"/>
    <w:uiPriority w:val="0"/>
    <w:qFormat/>
    <w:rPr>
      <w:rFonts w:ascii="Times New Roman" w:hAnsi="Times New Roman" w:eastAsia="宋体" w:cs="Times New Roman"/>
      <w:sz w:val="20"/>
    </w:rPr>
  </w:style>
  <w:style w:type="character" w:styleId="1136" w:customStyle="1">
    <w:name w:val="页码1"/>
    <w:uiPriority w:val="0"/>
    <w:qFormat/>
    <w:rPr>
      <w:rFonts w:ascii="Times New Roman" w:hAnsi="Times New Roman" w:eastAsia="宋体" w:cs="Times New Roman"/>
      <w:sz w:val="20"/>
    </w:rPr>
  </w:style>
  <w:style w:type="character" w:styleId="1137" w:customStyle="1">
    <w:name w:val="列表框1 Char Char"/>
    <w:uiPriority w:val="0"/>
    <w:qFormat/>
    <w:rPr>
      <w:rFonts w:ascii="Times New Roman" w:hAnsi="Times New Roman" w:eastAsia="宋体" w:cs="Times New Roman"/>
      <w:sz w:val="20"/>
    </w:rPr>
  </w:style>
  <w:style w:type="character" w:styleId="1138" w:customStyle="1">
    <w:name w:val="1ji Char"/>
    <w:uiPriority w:val="0"/>
    <w:qFormat/>
    <w:rPr>
      <w:rFonts w:ascii="Times New Roman" w:hAnsi="Times New Roman" w:eastAsia="宋体" w:cs="Times New Roman"/>
      <w:b/>
      <w:sz w:val="20"/>
    </w:rPr>
  </w:style>
  <w:style w:type="character" w:styleId="1139" w:customStyle="1">
    <w:name w:val="正文文本缩进 Char"/>
    <w:uiPriority w:val="0"/>
    <w:qFormat/>
    <w:rPr>
      <w:rFonts w:ascii="Times New Roman" w:hAnsi="Times New Roman" w:eastAsia="宋体" w:cs="Times New Roman"/>
      <w:sz w:val="20"/>
    </w:rPr>
  </w:style>
  <w:style w:type="character" w:styleId="1140" w:customStyle="1">
    <w:name w:val="标准文本 Char Char"/>
    <w:uiPriority w:val="0"/>
    <w:qFormat/>
    <w:rPr>
      <w:rFonts w:ascii="Times New Roman" w:hAnsi="Times New Roman" w:eastAsia="宋体" w:cs="Times New Roman"/>
      <w:sz w:val="20"/>
    </w:rPr>
  </w:style>
  <w:style w:type="character" w:styleId="1141" w:customStyle="1">
    <w:name w:val="表格用 Char"/>
    <w:uiPriority w:val="0"/>
    <w:qFormat/>
    <w:rPr>
      <w:rFonts w:ascii="Times New Roman" w:hAnsi="Times New Roman" w:eastAsia="宋体" w:cs="Times New Roman"/>
      <w:color w:val="000000"/>
      <w:sz w:val="20"/>
    </w:rPr>
  </w:style>
  <w:style w:type="character" w:styleId="1142" w:customStyle="1">
    <w:name w:val="标题 7 Char1"/>
    <w:uiPriority w:val="0"/>
    <w:qFormat/>
    <w:rPr>
      <w:rFonts w:ascii="Times New Roman" w:hAnsi="Times New Roman" w:eastAsia="宋体" w:cs="Times New Roman"/>
      <w:b/>
      <w:sz w:val="20"/>
    </w:rPr>
  </w:style>
  <w:style w:type="character" w:styleId="1143" w:customStyle="1">
    <w:name w:val="H 3 Char"/>
    <w:uiPriority w:val="0"/>
    <w:qFormat/>
    <w:rPr>
      <w:rFonts w:ascii="Times New Roman" w:hAnsi="Times New Roman" w:eastAsia="宋体" w:cs="Times New Roman"/>
      <w:b/>
      <w:sz w:val="20"/>
    </w:rPr>
  </w:style>
  <w:style w:type="character" w:styleId="1144" w:customStyle="1">
    <w:name w:val="正文文本缩进 3 字符"/>
    <w:uiPriority w:val="0"/>
    <w:qFormat/>
    <w:rPr>
      <w:rFonts w:ascii="Times New Roman" w:hAnsi="Times New Roman" w:eastAsia="宋体" w:cs="Times New Roman"/>
      <w:sz w:val="16"/>
      <w:szCs w:val="16"/>
    </w:rPr>
  </w:style>
  <w:style w:type="character" w:styleId="1145" w:customStyle="1">
    <w:name w:val="标题 Char"/>
    <w:uiPriority w:val="0"/>
    <w:qFormat/>
    <w:rPr>
      <w:rFonts w:ascii="Times New Roman" w:hAnsi="Times New Roman" w:eastAsia="宋体" w:cs="Times New Roman"/>
      <w:b/>
      <w:sz w:val="20"/>
    </w:rPr>
  </w:style>
  <w:style w:type="character" w:styleId="1146" w:customStyle="1">
    <w:name w:val="H 4 Char"/>
    <w:uiPriority w:val="0"/>
    <w:qFormat/>
    <w:rPr>
      <w:rFonts w:ascii="Times New Roman" w:hAnsi="Times New Roman" w:eastAsia="宋体" w:cs="Times New Roman"/>
      <w:b/>
      <w:sz w:val="20"/>
    </w:rPr>
  </w:style>
  <w:style w:type="character" w:styleId="1147" w:customStyle="1">
    <w:name w:val="批注主题 Char1"/>
    <w:uiPriority w:val="0"/>
    <w:qFormat/>
    <w:rPr>
      <w:rFonts w:ascii="Times New Roman" w:hAnsi="Times New Roman" w:eastAsia="宋体" w:cs="Times New Roman"/>
      <w:b/>
      <w:sz w:val="20"/>
    </w:rPr>
  </w:style>
  <w:style w:type="character" w:styleId="1148" w:customStyle="1">
    <w:name w:val="正文文本缩进 Char1"/>
    <w:uiPriority w:val="0"/>
    <w:qFormat/>
    <w:rPr>
      <w:rFonts w:ascii="Times New Roman" w:hAnsi="Times New Roman" w:eastAsia="宋体" w:cs="Times New Roman"/>
      <w:sz w:val="20"/>
    </w:rPr>
  </w:style>
  <w:style w:type="character" w:styleId="1149" w:customStyle="1">
    <w:name w:val="正文文本 3 Char"/>
    <w:uiPriority w:val="0"/>
    <w:qFormat/>
    <w:rPr>
      <w:rFonts w:ascii="Times New Roman" w:hAnsi="Times New Roman" w:eastAsia="宋体" w:cs="Times New Roman"/>
      <w:sz w:val="20"/>
    </w:rPr>
  </w:style>
  <w:style w:type="character" w:styleId="1150" w:customStyle="1">
    <w:name w:val="正文首行缩进 2 Char"/>
    <w:uiPriority w:val="0"/>
    <w:qFormat/>
    <w:rPr>
      <w:rFonts w:ascii="Times New Roman" w:hAnsi="Times New Roman" w:eastAsia="宋体" w:cs="Times New Roman"/>
      <w:sz w:val="20"/>
    </w:rPr>
  </w:style>
  <w:style w:type="character" w:styleId="1151" w:customStyle="1">
    <w:name w:val="页眉 Char1"/>
    <w:uiPriority w:val="0"/>
    <w:qFormat/>
    <w:rPr>
      <w:rFonts w:ascii="Times New Roman" w:hAnsi="Times New Roman" w:eastAsia="宋体" w:cs="Times New Roman"/>
      <w:sz w:val="20"/>
    </w:rPr>
  </w:style>
  <w:style w:type="character" w:styleId="1152" w:customStyle="1">
    <w:name w:val="Char Char2"/>
    <w:uiPriority w:val="0"/>
    <w:qFormat/>
    <w:rPr>
      <w:rFonts w:ascii="Times New Roman" w:hAnsi="Times New Roman" w:eastAsia="宋体" w:cs="Times New Roman"/>
      <w:sz w:val="20"/>
    </w:rPr>
  </w:style>
  <w:style w:type="character" w:styleId="1153" w:customStyle="1">
    <w:name w:val="样式 首行缩进:  2 字符 Char1"/>
    <w:uiPriority w:val="0"/>
    <w:qFormat/>
    <w:rPr>
      <w:rFonts w:ascii="Times New Roman" w:hAnsi="Times New Roman" w:eastAsia="宋体" w:cs="Times New Roman"/>
      <w:sz w:val="20"/>
    </w:rPr>
  </w:style>
  <w:style w:type="character" w:styleId="1154" w:customStyle="1">
    <w:name w:val="标题 2 Char"/>
    <w:uiPriority w:val="0"/>
    <w:qFormat/>
    <w:rPr>
      <w:rFonts w:ascii="Times New Roman" w:hAnsi="Times New Roman" w:eastAsia="宋体" w:cs="Times New Roman"/>
      <w:b/>
      <w:sz w:val="20"/>
    </w:rPr>
  </w:style>
  <w:style w:type="character" w:styleId="1155" w:customStyle="1">
    <w:name w:val="表格文字图表文字 Char Char"/>
    <w:uiPriority w:val="0"/>
    <w:qFormat/>
    <w:rPr>
      <w:rFonts w:ascii="Times New Roman" w:hAnsi="Times New Roman" w:eastAsia="宋体" w:cs="Times New Roman"/>
      <w:sz w:val="20"/>
    </w:rPr>
  </w:style>
  <w:style w:type="character" w:styleId="1156" w:customStyle="1">
    <w:name w:val="图片 Char"/>
    <w:uiPriority w:val="0"/>
    <w:qFormat/>
    <w:rPr>
      <w:rFonts w:ascii="Times New Roman" w:hAnsi="Times New Roman" w:eastAsia="宋体" w:cs="Times New Roman"/>
      <w:sz w:val="20"/>
    </w:rPr>
  </w:style>
  <w:style w:type="character" w:styleId="1157" w:customStyle="1">
    <w:name w:val="标题 6 Char"/>
    <w:uiPriority w:val="0"/>
    <w:qFormat/>
    <w:rPr>
      <w:rFonts w:ascii="Times New Roman" w:hAnsi="Times New Roman" w:eastAsia="宋体" w:cs="Times New Roman"/>
      <w:b/>
      <w:sz w:val="20"/>
    </w:rPr>
  </w:style>
  <w:style w:type="character" w:styleId="1158" w:customStyle="1">
    <w:name w:val="标题 4 Char"/>
    <w:uiPriority w:val="0"/>
    <w:qFormat/>
    <w:rPr>
      <w:rFonts w:ascii="Times New Roman" w:hAnsi="Times New Roman" w:eastAsia="宋体" w:cs="Times New Roman"/>
      <w:b/>
      <w:sz w:val="20"/>
    </w:rPr>
  </w:style>
  <w:style w:type="character" w:styleId="1159" w:customStyle="1">
    <w:name w:val="文档结构图 Char1"/>
    <w:uiPriority w:val="0"/>
    <w:qFormat/>
    <w:rPr>
      <w:rFonts w:ascii="Times New Roman" w:hAnsi="Times New Roman" w:eastAsia="宋体" w:cs="Times New Roman"/>
      <w:sz w:val="20"/>
    </w:rPr>
  </w:style>
  <w:style w:type="character" w:styleId="1160" w:customStyle="1">
    <w:name w:val="项目符0 Char"/>
    <w:uiPriority w:val="0"/>
    <w:qFormat/>
    <w:rPr>
      <w:rFonts w:ascii="Times New Roman" w:hAnsi="Times New Roman" w:eastAsia="宋体" w:cs="Times New Roman"/>
      <w:sz w:val="20"/>
    </w:rPr>
  </w:style>
  <w:style w:type="character" w:styleId="1161" w:customStyle="1">
    <w:name w:val="正文文本缩进 3 Char"/>
    <w:uiPriority w:val="0"/>
    <w:qFormat/>
    <w:rPr>
      <w:rFonts w:ascii="Times New Roman" w:hAnsi="Times New Roman" w:eastAsia="宋体" w:cs="Times New Roman"/>
      <w:sz w:val="20"/>
    </w:rPr>
  </w:style>
  <w:style w:type="character" w:styleId="1162" w:customStyle="1">
    <w:name w:val="Char Char3"/>
    <w:uiPriority w:val="0"/>
    <w:qFormat/>
    <w:rPr>
      <w:rFonts w:ascii="Times New Roman" w:hAnsi="Times New Roman" w:eastAsia="宋体" w:cs="Times New Roman"/>
      <w:sz w:val="20"/>
    </w:rPr>
  </w:style>
  <w:style w:type="character" w:styleId="1163" w:customStyle="1">
    <w:name w:val="纯文本 Char"/>
    <w:uiPriority w:val="0"/>
    <w:qFormat/>
    <w:rPr>
      <w:rFonts w:ascii="Times New Roman" w:hAnsi="Times New Roman" w:eastAsia="宋体" w:cs="Times New Roman"/>
      <w:sz w:val="20"/>
    </w:rPr>
  </w:style>
  <w:style w:type="character" w:styleId="1164" w:customStyle="1">
    <w:name w:val="正文文本缩进 2 Char1"/>
    <w:uiPriority w:val="0"/>
    <w:qFormat/>
    <w:rPr>
      <w:rFonts w:ascii="Times New Roman" w:hAnsi="Times New Roman" w:eastAsia="宋体" w:cs="Times New Roman"/>
      <w:sz w:val="20"/>
    </w:rPr>
  </w:style>
  <w:style w:type="character" w:styleId="1165" w:customStyle="1">
    <w:name w:val="标题 8 Char"/>
    <w:uiPriority w:val="0"/>
    <w:qFormat/>
    <w:rPr>
      <w:rFonts w:ascii="Times New Roman" w:hAnsi="Times New Roman" w:eastAsia="宋体" w:cs="Times New Roman"/>
      <w:sz w:val="20"/>
    </w:rPr>
  </w:style>
  <w:style w:type="character" w:styleId="1166" w:customStyle="1">
    <w:name w:val="标题 6 Char1"/>
    <w:uiPriority w:val="0"/>
    <w:qFormat/>
    <w:rPr>
      <w:rFonts w:ascii="Times New Roman" w:hAnsi="Times New Roman" w:eastAsia="宋体" w:cs="Times New Roman"/>
      <w:b/>
      <w:sz w:val="20"/>
    </w:rPr>
  </w:style>
  <w:style w:type="character" w:styleId="1167" w:customStyle="1">
    <w:name w:val="case31"/>
    <w:uiPriority w:val="0"/>
    <w:qFormat/>
    <w:rPr>
      <w:rFonts w:ascii="Times New Roman" w:hAnsi="Times New Roman" w:eastAsia="宋体" w:cs="Times New Roman"/>
      <w:sz w:val="20"/>
    </w:rPr>
  </w:style>
  <w:style w:type="character" w:styleId="1168" w:customStyle="1">
    <w:name w:val="正文文本 Char"/>
    <w:uiPriority w:val="0"/>
    <w:qFormat/>
    <w:rPr>
      <w:rFonts w:ascii="Times New Roman" w:hAnsi="Times New Roman" w:eastAsia="宋体" w:cs="Times New Roman"/>
      <w:sz w:val="20"/>
    </w:rPr>
  </w:style>
  <w:style w:type="paragraph" w:styleId="1169" w:customStyle="1">
    <w:name w:val="节标题"/>
    <w:basedOn w:val="840"/>
    <w:next w:val="1170"/>
    <w:uiPriority w:val="0"/>
    <w:qFormat/>
    <w:pPr>
      <w:ind w:left="0" w:firstLine="5120"/>
      <w:jc w:val="center"/>
      <w:spacing w:before="0" w:after="0" w:line="289" w:lineRule="atLeast"/>
    </w:pPr>
    <w:rPr>
      <w:rFonts w:ascii="Times New Roman" w:hAnsi="Times New Roman" w:cs="Times New Roman"/>
    </w:rPr>
  </w:style>
  <w:style w:type="paragraph" w:styleId="1170" w:customStyle="1">
    <w:name w:val="文档标题6"/>
    <w:basedOn w:val="846"/>
    <w:next w:val="839"/>
    <w:uiPriority w:val="0"/>
    <w:qFormat/>
    <w:pPr>
      <w:ind w:left="1134" w:firstLine="20"/>
      <w:spacing w:before="280" w:after="280" w:line="360" w:lineRule="auto"/>
      <w:outlineLvl w:val="5"/>
    </w:pPr>
  </w:style>
  <w:style w:type="paragraph" w:styleId="1171" w:customStyle="1">
    <w:name w:val="正文段"/>
    <w:basedOn w:val="840"/>
    <w:next w:val="1172"/>
    <w:uiPriority w:val="0"/>
    <w:qFormat/>
    <w:pPr>
      <w:ind w:left="454" w:firstLine="1222"/>
      <w:spacing w:before="0" w:after="240" w:line="240" w:lineRule="atLeast"/>
    </w:pPr>
    <w:rPr>
      <w:rFonts w:ascii="Times New Roman" w:hAnsi="Times New Roman" w:cs="Times New Roman"/>
    </w:rPr>
  </w:style>
  <w:style w:type="paragraph" w:styleId="1172" w:customStyle="1">
    <w:name w:val="批注主题1"/>
    <w:next w:val="839"/>
    <w:uiPriority w:val="0"/>
    <w:qFormat/>
    <w:pPr>
      <w:ind w:left="200" w:firstLine="4808"/>
      <w:spacing w:line="360" w:lineRule="auto"/>
    </w:pPr>
    <w:rPr>
      <w:rFonts w:hint="default" w:ascii="Calibri" w:hAnsi="Calibri" w:eastAsia="宋体" w:cs="宋体"/>
    </w:rPr>
  </w:style>
  <w:style w:type="paragraph" w:styleId="1173" w:customStyle="1">
    <w:name w:val="_Style 224"/>
    <w:next w:val="1174"/>
    <w:uiPriority w:val="0"/>
    <w:qFormat/>
    <w:pPr>
      <w:ind w:firstLine="3584"/>
    </w:pPr>
    <w:rPr>
      <w:rFonts w:hint="default" w:ascii="Calibri" w:hAnsi="Calibri" w:eastAsia="宋体" w:cs="宋体"/>
    </w:rPr>
  </w:style>
  <w:style w:type="paragraph" w:styleId="1174" w:customStyle="1">
    <w:name w:val="编号1"/>
    <w:basedOn w:val="840"/>
    <w:next w:val="1175"/>
    <w:uiPriority w:val="0"/>
    <w:qFormat/>
    <w:pPr>
      <w:ind w:left="360" w:right="210" w:firstLine="2200"/>
      <w:spacing w:before="0" w:after="0" w:line="240" w:lineRule="auto"/>
    </w:pPr>
    <w:rPr>
      <w:rFonts w:ascii="Times New Roman" w:hAnsi="Times New Roman" w:cs="Times New Roman"/>
    </w:rPr>
  </w:style>
  <w:style w:type="paragraph" w:styleId="1175" w:customStyle="1">
    <w:name w:val="图片"/>
    <w:basedOn w:val="840"/>
    <w:next w:val="1176"/>
    <w:uiPriority w:val="0"/>
    <w:qFormat/>
    <w:pPr>
      <w:ind w:left="-283" w:firstLine="2674"/>
      <w:jc w:val="center"/>
      <w:spacing w:before="0" w:after="0" w:line="360" w:lineRule="auto"/>
    </w:pPr>
    <w:rPr>
      <w:rFonts w:ascii="Times New Roman" w:hAnsi="Times New Roman" w:cs="Times New Roman"/>
    </w:rPr>
  </w:style>
  <w:style w:type="paragraph" w:styleId="1176" w:customStyle="1">
    <w:name w:val="样式 目录 3 + 左侧:  2 字符"/>
    <w:next w:val="893"/>
    <w:uiPriority w:val="0"/>
    <w:qFormat/>
    <w:pPr>
      <w:ind w:left="400" w:firstLine="5120"/>
      <w:spacing w:line="360" w:lineRule="auto"/>
      <w:widowControl w:val="off"/>
    </w:pPr>
    <w:rPr>
      <w:rFonts w:hint="default" w:ascii="Calibri" w:hAnsi="Calibri" w:eastAsia="宋体" w:cs="宋体"/>
    </w:rPr>
  </w:style>
  <w:style w:type="paragraph" w:styleId="1177" w:customStyle="1">
    <w:name w:val="图注"/>
    <w:next w:val="1178"/>
    <w:uiPriority w:val="0"/>
    <w:qFormat/>
    <w:pPr>
      <w:ind w:left="360" w:firstLine="2152"/>
      <w:jc w:val="center"/>
    </w:pPr>
    <w:rPr>
      <w:rFonts w:hint="default" w:ascii="Calibri" w:hAnsi="Calibri" w:eastAsia="宋体" w:cs="宋体"/>
    </w:rPr>
  </w:style>
  <w:style w:type="paragraph" w:styleId="1178" w:customStyle="1">
    <w:name w:val="列表编号 41"/>
    <w:basedOn w:val="840"/>
    <w:next w:val="1179"/>
    <w:uiPriority w:val="0"/>
    <w:qFormat/>
    <w:pPr>
      <w:ind w:left="1620" w:firstLine="2712"/>
      <w:spacing w:before="0" w:after="0" w:line="360" w:lineRule="auto"/>
    </w:pPr>
    <w:rPr>
      <w:rFonts w:ascii="Times New Roman" w:hAnsi="Times New Roman" w:cs="Times New Roman"/>
    </w:rPr>
  </w:style>
  <w:style w:type="paragraph" w:styleId="1179" w:customStyle="1">
    <w:name w:val="项目符0"/>
    <w:basedOn w:val="840"/>
    <w:next w:val="1180"/>
    <w:uiPriority w:val="0"/>
    <w:qFormat/>
    <w:pPr>
      <w:ind w:left="300" w:right="57" w:firstLine="2760"/>
      <w:spacing w:before="0" w:after="0" w:line="300" w:lineRule="auto"/>
    </w:pPr>
    <w:rPr>
      <w:rFonts w:ascii="Times New Roman" w:hAnsi="Times New Roman" w:cs="Times New Roman"/>
    </w:rPr>
  </w:style>
  <w:style w:type="paragraph" w:styleId="1180" w:customStyle="1">
    <w:name w:val="宏文本1"/>
    <w:next w:val="1181"/>
    <w:uiPriority w:val="0"/>
    <w:qFormat/>
    <w:pPr>
      <w:ind w:firstLine="5632"/>
      <w:widowControl w:val="off"/>
    </w:pPr>
    <w:rPr>
      <w:rFonts w:hint="default" w:ascii="Calibri" w:hAnsi="Calibri" w:eastAsia="宋体" w:cs="宋体"/>
    </w:rPr>
  </w:style>
  <w:style w:type="paragraph" w:styleId="1181" w:customStyle="1">
    <w:name w:val="Item Step in Table"/>
    <w:next w:val="1182"/>
    <w:uiPriority w:val="0"/>
    <w:qFormat/>
    <w:pPr>
      <w:ind w:left="397" w:firstLine="3699"/>
      <w:jc w:val="both"/>
      <w:spacing w:before="40" w:after="40"/>
    </w:pPr>
    <w:rPr>
      <w:rFonts w:hint="default" w:ascii="Calibri" w:hAnsi="Calibri" w:eastAsia="宋体" w:cs="宋体"/>
    </w:rPr>
  </w:style>
  <w:style w:type="paragraph" w:styleId="1182" w:customStyle="1">
    <w:name w:val="Char Char Char Char Char Char1 Char Char Char Char Char Char"/>
    <w:basedOn w:val="840"/>
    <w:next w:val="1183"/>
    <w:uiPriority w:val="0"/>
    <w:qFormat/>
    <w:pPr>
      <w:ind w:left="0" w:firstLine="2560"/>
      <w:spacing w:before="0" w:after="0" w:line="240" w:lineRule="auto"/>
    </w:pPr>
    <w:rPr>
      <w:rFonts w:ascii="Times New Roman" w:hAnsi="Times New Roman" w:cs="Times New Roman"/>
    </w:rPr>
  </w:style>
  <w:style w:type="paragraph" w:styleId="1183" w:customStyle="1">
    <w:name w:val="Char Char1"/>
    <w:basedOn w:val="840"/>
    <w:next w:val="1184"/>
    <w:uiPriority w:val="0"/>
    <w:qFormat/>
    <w:pPr>
      <w:ind w:left="0" w:firstLine="3584"/>
      <w:spacing w:before="0" w:after="160" w:line="240" w:lineRule="exact"/>
    </w:pPr>
    <w:rPr>
      <w:rFonts w:ascii="Times New Roman" w:hAnsi="Times New Roman" w:cs="Times New Roman"/>
    </w:rPr>
  </w:style>
  <w:style w:type="paragraph" w:styleId="1184" w:customStyle="1">
    <w:name w:val="样式 标题 3 + 行距: 1.5 倍行距"/>
    <w:basedOn w:val="843"/>
    <w:next w:val="900"/>
    <w:uiPriority w:val="0"/>
    <w:qFormat/>
    <w:pPr>
      <w:ind w:left="200" w:firstLine="18"/>
      <w:spacing w:before="0" w:after="0" w:line="360" w:lineRule="auto"/>
      <w:outlineLvl w:val="2"/>
    </w:pPr>
  </w:style>
  <w:style w:type="paragraph" w:styleId="1185" w:customStyle="1">
    <w:name w:val="xl76"/>
    <w:basedOn w:val="840"/>
    <w:next w:val="897"/>
    <w:uiPriority w:val="0"/>
    <w:qFormat/>
    <w:pPr>
      <w:ind w:left="0" w:firstLine="3584"/>
      <w:jc w:val="center"/>
      <w:spacing w:before="280" w:after="280" w:line="240" w:lineRule="auto"/>
    </w:pPr>
    <w:rPr>
      <w:rFonts w:ascii="Times New Roman" w:hAnsi="Times New Roman" w:cs="Times New Roman"/>
    </w:rPr>
  </w:style>
  <w:style w:type="paragraph" w:styleId="1186" w:customStyle="1">
    <w:name w:val="xl26"/>
    <w:basedOn w:val="840"/>
    <w:next w:val="118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7" w:customStyle="1">
    <w:name w:val="Char1 Char Char"/>
    <w:basedOn w:val="840"/>
    <w:next w:val="879"/>
    <w:uiPriority w:val="0"/>
    <w:qFormat/>
    <w:pPr>
      <w:ind w:left="0" w:firstLine="2560"/>
      <w:spacing w:before="0" w:after="0" w:line="240" w:lineRule="auto"/>
    </w:pPr>
    <w:rPr>
      <w:rFonts w:ascii="Times New Roman" w:hAnsi="Times New Roman" w:cs="Times New Roman"/>
    </w:rPr>
  </w:style>
  <w:style w:type="paragraph" w:styleId="1188" w:customStyle="1">
    <w:name w:val="纯文本2"/>
    <w:basedOn w:val="840"/>
    <w:next w:val="1189"/>
    <w:uiPriority w:val="0"/>
    <w:qFormat/>
    <w:pPr>
      <w:ind w:left="0" w:firstLine="3584"/>
      <w:spacing w:before="0" w:after="0" w:line="240" w:lineRule="auto"/>
    </w:pPr>
    <w:rPr>
      <w:rFonts w:ascii="Times New Roman" w:hAnsi="Times New Roman" w:cs="Times New Roman"/>
    </w:rPr>
  </w:style>
  <w:style w:type="paragraph" w:styleId="1189" w:customStyle="1">
    <w:name w:val="xl69"/>
    <w:basedOn w:val="840"/>
    <w:next w:val="1190"/>
    <w:uiPriority w:val="0"/>
    <w:qFormat/>
    <w:pPr>
      <w:ind w:left="0" w:firstLine="3584"/>
      <w:spacing w:before="280" w:after="280" w:line="240" w:lineRule="auto"/>
    </w:pPr>
    <w:rPr>
      <w:rFonts w:ascii="Times New Roman" w:hAnsi="Times New Roman" w:cs="Times New Roman"/>
    </w:rPr>
  </w:style>
  <w:style w:type="paragraph" w:styleId="1190" w:customStyle="1">
    <w:name w:val="Char Char Char"/>
    <w:basedOn w:val="840"/>
    <w:next w:val="1191"/>
    <w:uiPriority w:val="0"/>
    <w:qFormat/>
    <w:pPr>
      <w:ind w:left="0" w:firstLine="2560"/>
      <w:spacing w:before="0" w:after="0" w:line="240" w:lineRule="auto"/>
    </w:pPr>
    <w:rPr>
      <w:rFonts w:ascii="Times New Roman" w:hAnsi="Times New Roman" w:cs="Times New Roman"/>
    </w:rPr>
  </w:style>
  <w:style w:type="paragraph" w:styleId="1191" w:customStyle="1">
    <w:name w:val="表格"/>
    <w:basedOn w:val="840"/>
    <w:next w:val="1186"/>
    <w:uiPriority w:val="0"/>
    <w:qFormat/>
    <w:pPr>
      <w:ind w:left="0" w:firstLine="2560"/>
      <w:spacing w:before="0" w:after="0" w:line="360" w:lineRule="auto"/>
    </w:pPr>
    <w:rPr>
      <w:rFonts w:ascii="Times New Roman" w:hAnsi="Times New Roman" w:cs="Times New Roman"/>
    </w:rPr>
  </w:style>
  <w:style w:type="paragraph" w:styleId="1192" w:customStyle="1">
    <w:name w:val="xl68"/>
    <w:basedOn w:val="840"/>
    <w:next w:val="1193"/>
    <w:uiPriority w:val="0"/>
    <w:qFormat/>
    <w:pPr>
      <w:ind w:left="100" w:firstLine="5220"/>
      <w:spacing w:before="280" w:after="280" w:line="240" w:lineRule="auto"/>
    </w:pPr>
    <w:rPr>
      <w:rFonts w:ascii="Times New Roman" w:hAnsi="Times New Roman" w:cs="Times New Roman"/>
    </w:rPr>
  </w:style>
  <w:style w:type="paragraph" w:styleId="1193" w:customStyle="1">
    <w:name w:val="Char1"/>
    <w:basedOn w:val="840"/>
    <w:next w:val="1194"/>
    <w:uiPriority w:val="0"/>
    <w:qFormat/>
    <w:pPr>
      <w:ind w:left="0" w:firstLine="2560"/>
      <w:spacing w:before="0" w:after="0" w:line="240" w:lineRule="auto"/>
    </w:pPr>
    <w:rPr>
      <w:rFonts w:ascii="Times New Roman" w:hAnsi="Times New Roman" w:cs="Times New Roman"/>
    </w:rPr>
  </w:style>
  <w:style w:type="paragraph" w:styleId="1194" w:customStyle="1">
    <w:name w:val="需求文档正文样式"/>
    <w:basedOn w:val="840"/>
    <w:next w:val="1195"/>
    <w:uiPriority w:val="0"/>
    <w:qFormat/>
    <w:pPr>
      <w:ind w:left="437" w:firstLine="2741"/>
      <w:spacing w:before="0" w:after="0" w:line="360" w:lineRule="auto"/>
    </w:pPr>
    <w:rPr>
      <w:rFonts w:ascii="Times New Roman" w:hAnsi="Times New Roman" w:cs="Times New Roman"/>
    </w:rPr>
  </w:style>
  <w:style w:type="paragraph" w:styleId="1195" w:customStyle="1">
    <w:name w:val="xl74"/>
    <w:basedOn w:val="840"/>
    <w:next w:val="119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6" w:customStyle="1">
    <w:name w:val="xl88"/>
    <w:basedOn w:val="840"/>
    <w:next w:val="1197"/>
    <w:uiPriority w:val="0"/>
    <w:qFormat/>
    <w:pPr>
      <w:ind w:left="0" w:firstLine="5120"/>
      <w:spacing w:before="280" w:after="280" w:line="240" w:lineRule="auto"/>
    </w:pPr>
    <w:rPr>
      <w:rFonts w:ascii="Times New Roman" w:hAnsi="Times New Roman" w:cs="Times New Roman"/>
    </w:rPr>
  </w:style>
  <w:style w:type="paragraph" w:styleId="1197" w:customStyle="1">
    <w:name w:val="xl70"/>
    <w:basedOn w:val="840"/>
    <w:next w:val="896"/>
    <w:uiPriority w:val="0"/>
    <w:qFormat/>
    <w:pPr>
      <w:ind w:left="0" w:firstLine="1024"/>
      <w:spacing w:before="280" w:after="280" w:line="240" w:lineRule="auto"/>
    </w:pPr>
    <w:rPr>
      <w:rFonts w:ascii="Times New Roman" w:hAnsi="Times New Roman" w:cs="Times New Roman"/>
    </w:rPr>
  </w:style>
  <w:style w:type="paragraph" w:styleId="1198" w:customStyle="1">
    <w:name w:val="文档标题5"/>
    <w:basedOn w:val="845"/>
    <w:next w:val="839"/>
    <w:uiPriority w:val="0"/>
    <w:qFormat/>
    <w:pPr>
      <w:ind w:left="992" w:firstLine="18"/>
      <w:spacing w:before="280" w:after="280" w:line="360" w:lineRule="auto"/>
      <w:outlineLvl w:val="4"/>
    </w:pPr>
  </w:style>
  <w:style w:type="paragraph" w:styleId="1199" w:customStyle="1">
    <w:name w:val="样式 加粗 居中"/>
    <w:basedOn w:val="840"/>
    <w:next w:val="1200"/>
    <w:uiPriority w:val="0"/>
    <w:qFormat/>
    <w:pPr>
      <w:ind w:left="0" w:firstLine="2560"/>
      <w:jc w:val="center"/>
      <w:spacing w:before="0" w:after="0" w:line="360" w:lineRule="auto"/>
    </w:pPr>
    <w:rPr>
      <w:rFonts w:ascii="Times New Roman" w:hAnsi="Times New Roman" w:cs="Times New Roman"/>
    </w:rPr>
  </w:style>
  <w:style w:type="paragraph" w:styleId="1200" w:customStyle="1">
    <w:name w:val="_Style 12"/>
    <w:next w:val="1201"/>
    <w:uiPriority w:val="0"/>
    <w:qFormat/>
    <w:pPr>
      <w:ind w:firstLine="14"/>
      <w:spacing w:line="360" w:lineRule="auto"/>
      <w:shd w:val="clear" w:color="000000" w:fill="000080"/>
    </w:pPr>
    <w:rPr>
      <w:rFonts w:hint="default" w:ascii="Calibri" w:hAnsi="Calibri" w:eastAsia="宋体" w:cs="宋体"/>
    </w:rPr>
  </w:style>
  <w:style w:type="paragraph" w:styleId="1201" w:customStyle="1">
    <w:name w:val="正文文本缩进1"/>
    <w:basedOn w:val="840"/>
    <w:next w:val="1202"/>
    <w:uiPriority w:val="0"/>
    <w:qFormat/>
    <w:pPr>
      <w:ind w:left="420" w:firstLine="3584"/>
      <w:spacing w:before="0" w:after="120" w:line="240" w:lineRule="auto"/>
    </w:pPr>
    <w:rPr>
      <w:rFonts w:ascii="Times New Roman" w:hAnsi="Times New Roman" w:cs="Times New Roman"/>
    </w:rPr>
  </w:style>
  <w:style w:type="paragraph" w:styleId="1202" w:customStyle="1">
    <w:name w:val="列表编号 31"/>
    <w:basedOn w:val="840"/>
    <w:next w:val="898"/>
    <w:uiPriority w:val="0"/>
    <w:qFormat/>
    <w:pPr>
      <w:ind w:left="1200" w:firstLine="2712"/>
      <w:spacing w:before="0" w:after="0" w:line="360" w:lineRule="auto"/>
    </w:pPr>
    <w:rPr>
      <w:rFonts w:ascii="Times New Roman" w:hAnsi="Times New Roman" w:cs="Times New Roman"/>
    </w:rPr>
  </w:style>
  <w:style w:type="paragraph" w:styleId="1203" w:customStyle="1">
    <w:name w:val="三号 居中"/>
    <w:basedOn w:val="840"/>
    <w:next w:val="1204"/>
    <w:uiPriority w:val="0"/>
    <w:qFormat/>
    <w:pPr>
      <w:ind w:left="0" w:firstLine="6144"/>
      <w:jc w:val="center"/>
      <w:spacing w:before="0" w:after="0" w:line="360" w:lineRule="auto"/>
    </w:pPr>
    <w:rPr>
      <w:rFonts w:ascii="Times New Roman" w:hAnsi="Times New Roman" w:cs="Times New Roman"/>
    </w:rPr>
  </w:style>
  <w:style w:type="paragraph" w:styleId="1204" w:customStyle="1">
    <w:name w:val="列出段落1"/>
    <w:basedOn w:val="840"/>
    <w:next w:val="1205"/>
    <w:uiPriority w:val="0"/>
    <w:qFormat/>
    <w:pPr>
      <w:ind w:left="420" w:firstLine="3748"/>
      <w:spacing w:before="0" w:after="0" w:line="240" w:lineRule="auto"/>
    </w:pPr>
    <w:rPr>
      <w:rFonts w:ascii="Times New Roman" w:hAnsi="Times New Roman" w:cs="Times New Roman"/>
    </w:rPr>
  </w:style>
  <w:style w:type="paragraph" w:styleId="1205" w:customStyle="1">
    <w:name w:val="Char Char Char Char Char Char1 Char Char Char1 Char Char Char"/>
    <w:basedOn w:val="840"/>
    <w:next w:val="1206"/>
    <w:uiPriority w:val="0"/>
    <w:qFormat/>
    <w:pPr>
      <w:ind w:left="0" w:firstLine="2560"/>
      <w:spacing w:before="0" w:after="0" w:line="240" w:lineRule="auto"/>
    </w:pPr>
    <w:rPr>
      <w:rFonts w:ascii="Times New Roman" w:hAnsi="Times New Roman" w:cs="Times New Roman"/>
    </w:rPr>
  </w:style>
  <w:style w:type="paragraph" w:styleId="1206" w:customStyle="1">
    <w:name w:val="Char Char Char Char Char Char1 Char Char Char1 Char"/>
    <w:basedOn w:val="840"/>
    <w:next w:val="1207"/>
    <w:uiPriority w:val="0"/>
    <w:qFormat/>
    <w:pPr>
      <w:ind w:left="0" w:firstLine="2560"/>
      <w:spacing w:before="0" w:after="0" w:line="240" w:lineRule="auto"/>
    </w:pPr>
    <w:rPr>
      <w:rFonts w:ascii="Times New Roman" w:hAnsi="Times New Roman" w:cs="Times New Roman"/>
    </w:rPr>
  </w:style>
  <w:style w:type="paragraph" w:styleId="1207" w:customStyle="1">
    <w:name w:val="正文符号4"/>
    <w:basedOn w:val="840"/>
    <w:next w:val="1199"/>
    <w:uiPriority w:val="0"/>
    <w:qFormat/>
    <w:pPr>
      <w:ind w:left="0" w:firstLine="5632"/>
      <w:spacing w:before="0" w:after="0" w:line="240" w:lineRule="auto"/>
    </w:pPr>
    <w:rPr>
      <w:rFonts w:ascii="Times New Roman" w:hAnsi="Times New Roman" w:cs="Times New Roman"/>
    </w:rPr>
  </w:style>
  <w:style w:type="paragraph" w:styleId="1208" w:customStyle="1">
    <w:name w:val="加粗（居中）"/>
    <w:next w:val="1209"/>
    <w:uiPriority w:val="0"/>
    <w:qFormat/>
    <w:pPr>
      <w:ind w:firstLine="2560"/>
    </w:pPr>
    <w:rPr>
      <w:rFonts w:hint="default" w:ascii="Calibri" w:hAnsi="Calibri" w:eastAsia="宋体" w:cs="宋体"/>
    </w:rPr>
  </w:style>
  <w:style w:type="paragraph" w:styleId="1209" w:customStyle="1">
    <w:name w:val="xl65"/>
    <w:basedOn w:val="840"/>
    <w:next w:val="1169"/>
    <w:uiPriority w:val="0"/>
    <w:qFormat/>
    <w:pPr>
      <w:ind w:left="0" w:firstLine="5120"/>
      <w:spacing w:before="280" w:after="280" w:line="240" w:lineRule="auto"/>
    </w:pPr>
    <w:rPr>
      <w:rFonts w:ascii="Times New Roman" w:hAnsi="Times New Roman" w:cs="Times New Roman"/>
    </w:rPr>
  </w:style>
  <w:style w:type="paragraph" w:styleId="1210" w:customStyle="1">
    <w:name w:val="WPSOffice手动目录 3"/>
    <w:uiPriority w:val="0"/>
    <w:qFormat/>
    <w:pPr>
      <w:ind w:left="400"/>
    </w:pPr>
    <w:rPr>
      <w:rFonts w:hint="default" w:ascii="宋体" w:hAnsi="宋体" w:eastAsia="宋体" w:cs="宋体"/>
    </w:rPr>
  </w:style>
  <w:style w:type="paragraph" w:styleId="1211" w:customStyle="1">
    <w:name w:val="xl77"/>
    <w:basedOn w:val="840"/>
    <w:next w:val="1212"/>
    <w:uiPriority w:val="0"/>
    <w:qFormat/>
    <w:pPr>
      <w:ind w:left="0" w:firstLine="3584"/>
      <w:spacing w:before="280" w:after="280" w:line="240" w:lineRule="auto"/>
    </w:pPr>
    <w:rPr>
      <w:rFonts w:ascii="Times New Roman" w:hAnsi="Times New Roman" w:cs="Times New Roman"/>
    </w:rPr>
  </w:style>
  <w:style w:type="paragraph" w:styleId="1212" w:customStyle="1">
    <w:name w:val="Char Char Char1"/>
    <w:basedOn w:val="840"/>
    <w:next w:val="1213"/>
    <w:uiPriority w:val="0"/>
    <w:qFormat/>
    <w:pPr>
      <w:ind w:left="900" w:firstLine="2096"/>
      <w:spacing w:before="0" w:after="0" w:line="240" w:lineRule="auto"/>
    </w:pPr>
    <w:rPr>
      <w:rFonts w:ascii="Times New Roman" w:hAnsi="Times New Roman" w:cs="Times New Roman"/>
    </w:rPr>
  </w:style>
  <w:style w:type="paragraph" w:styleId="1213" w:customStyle="1">
    <w:name w:val="索引 21"/>
    <w:basedOn w:val="840"/>
    <w:next w:val="839"/>
    <w:uiPriority w:val="0"/>
    <w:qFormat/>
    <w:pPr>
      <w:ind w:left="200" w:firstLine="2560"/>
      <w:jc w:val="center"/>
      <w:spacing w:before="0" w:after="0" w:line="360" w:lineRule="auto"/>
    </w:pPr>
    <w:rPr>
      <w:rFonts w:ascii="Times New Roman" w:hAnsi="Times New Roman" w:cs="Times New Roman"/>
    </w:rPr>
  </w:style>
  <w:style w:type="paragraph" w:styleId="1214" w:customStyle="1">
    <w:name w:val="正文（首行缩进 2 字符）"/>
    <w:next w:val="1215"/>
    <w:uiPriority w:val="0"/>
    <w:qFormat/>
    <w:pPr>
      <w:ind w:left="480" w:firstLine="2784"/>
      <w:jc w:val="center"/>
      <w:spacing w:line="300" w:lineRule="auto"/>
    </w:pPr>
    <w:rPr>
      <w:rFonts w:hint="default" w:ascii="Calibri" w:hAnsi="Calibri" w:eastAsia="宋体" w:cs="宋体"/>
    </w:rPr>
  </w:style>
  <w:style w:type="paragraph" w:styleId="1215" w:customStyle="1">
    <w:name w:val="xl28"/>
    <w:basedOn w:val="840"/>
    <w:next w:val="1216"/>
    <w:uiPriority w:val="0"/>
    <w:qFormat/>
    <w:pPr>
      <w:ind w:left="0" w:firstLine="20"/>
      <w:spacing w:before="280" w:after="280" w:line="240" w:lineRule="auto"/>
      <w:shd w:val="clear" w:color="000000" w:fill="ffffff"/>
    </w:pPr>
    <w:rPr>
      <w:rFonts w:ascii="Times New Roman" w:hAnsi="Times New Roman" w:cs="Times New Roman"/>
    </w:rPr>
  </w:style>
  <w:style w:type="paragraph" w:styleId="1216" w:customStyle="1">
    <w:name w:val="HTML 预设格式1"/>
    <w:basedOn w:val="840"/>
    <w:next w:val="1217"/>
    <w:uiPriority w:val="0"/>
    <w:qFormat/>
    <w:pPr>
      <w:ind w:left="0" w:firstLine="3584"/>
      <w:spacing w:before="0" w:after="0" w:line="253" w:lineRule="atLeast"/>
    </w:pPr>
    <w:rPr>
      <w:rFonts w:ascii="Times New Roman" w:hAnsi="Times New Roman" w:cs="Times New Roman"/>
    </w:rPr>
  </w:style>
  <w:style w:type="paragraph" w:styleId="1217" w:customStyle="1">
    <w:name w:val="项目符号：一级"/>
    <w:basedOn w:val="840"/>
    <w:next w:val="839"/>
    <w:uiPriority w:val="0"/>
    <w:qFormat/>
    <w:pPr>
      <w:ind w:left="425" w:firstLine="1111"/>
      <w:spacing w:before="0" w:after="0" w:line="360" w:lineRule="auto"/>
    </w:pPr>
    <w:rPr>
      <w:rFonts w:ascii="Times New Roman" w:hAnsi="Times New Roman" w:cs="Times New Roman"/>
    </w:rPr>
  </w:style>
  <w:style w:type="paragraph" w:styleId="1218" w:customStyle="1">
    <w:name w:val="Default"/>
    <w:next w:val="875"/>
    <w:uiPriority w:val="0"/>
    <w:qFormat/>
    <w:pPr>
      <w:ind w:firstLine="5120"/>
      <w:widowControl w:val="off"/>
    </w:pPr>
    <w:rPr>
      <w:rFonts w:hint="default" w:ascii="Calibri" w:hAnsi="Calibri" w:eastAsia="宋体" w:cs="宋体"/>
    </w:rPr>
  </w:style>
  <w:style w:type="paragraph" w:styleId="1219" w:customStyle="1">
    <w:name w:val="xl84"/>
    <w:basedOn w:val="840"/>
    <w:next w:val="1220"/>
    <w:uiPriority w:val="0"/>
    <w:qFormat/>
    <w:pPr>
      <w:ind w:left="0" w:firstLine="2048"/>
      <w:jc w:val="center"/>
      <w:spacing w:before="280" w:after="280" w:line="240" w:lineRule="auto"/>
    </w:pPr>
    <w:rPr>
      <w:rFonts w:ascii="Times New Roman" w:hAnsi="Times New Roman" w:cs="Times New Roman"/>
    </w:rPr>
  </w:style>
  <w:style w:type="paragraph" w:styleId="1220" w:customStyle="1">
    <w:name w:val="2-2ji"/>
    <w:basedOn w:val="842"/>
    <w:next w:val="1221"/>
    <w:uiPriority w:val="0"/>
    <w:qFormat/>
    <w:pPr>
      <w:ind w:left="0" w:firstLine="24"/>
      <w:jc w:val="center"/>
      <w:spacing w:before="0" w:after="0" w:line="360" w:lineRule="auto"/>
      <w:outlineLvl w:val="1"/>
    </w:pPr>
  </w:style>
  <w:style w:type="paragraph" w:styleId="1221" w:customStyle="1">
    <w:name w:val="应答文本"/>
    <w:basedOn w:val="840"/>
    <w:next w:val="1222"/>
    <w:uiPriority w:val="0"/>
    <w:qFormat/>
    <w:pPr>
      <w:ind w:left="1296" w:firstLine="2112"/>
      <w:spacing w:before="0" w:after="0" w:line="460" w:lineRule="exact"/>
    </w:pPr>
    <w:rPr>
      <w:rFonts w:ascii="Times New Roman" w:hAnsi="Times New Roman" w:cs="Times New Roman"/>
    </w:rPr>
  </w:style>
  <w:style w:type="paragraph" w:styleId="1222" w:customStyle="1">
    <w:name w:val="引文目录1"/>
    <w:basedOn w:val="840"/>
    <w:next w:val="839"/>
    <w:uiPriority w:val="0"/>
    <w:qFormat/>
    <w:pPr>
      <w:ind w:left="420" w:firstLine="2560"/>
      <w:jc w:val="center"/>
      <w:spacing w:before="0" w:after="0" w:line="360" w:lineRule="auto"/>
    </w:pPr>
    <w:rPr>
      <w:rFonts w:ascii="Times New Roman" w:hAnsi="Times New Roman" w:cs="Times New Roman"/>
    </w:rPr>
  </w:style>
  <w:style w:type="paragraph" w:styleId="1223" w:customStyle="1">
    <w:name w:val="首行缩进"/>
    <w:basedOn w:val="839"/>
    <w:uiPriority w:val="0"/>
    <w:qFormat/>
    <w:pPr>
      <w:ind w:firstLine="480"/>
    </w:pPr>
    <w:rPr>
      <w:rFonts w:ascii="Times New Roman" w:hAnsi="Times New Roman" w:cs="Times New Roman"/>
      <w:lang w:val="zh-CN"/>
    </w:rPr>
  </w:style>
  <w:style w:type="paragraph" w:styleId="1224" w:customStyle="1">
    <w:name w:val="font9"/>
    <w:basedOn w:val="840"/>
    <w:next w:val="1225"/>
    <w:uiPriority w:val="0"/>
    <w:qFormat/>
    <w:pPr>
      <w:ind w:left="0" w:firstLine="7168"/>
      <w:spacing w:before="280" w:after="280" w:line="240" w:lineRule="auto"/>
    </w:pPr>
    <w:rPr>
      <w:rFonts w:ascii="Times New Roman" w:hAnsi="Times New Roman" w:cs="Times New Roman"/>
    </w:rPr>
  </w:style>
  <w:style w:type="paragraph" w:styleId="1225" w:customStyle="1">
    <w:name w:val="样式 标题 3 + (中文) 黑体 小四 非加粗 段前: 7.8 磅 段后: 0 磅 行距: 固定值 20 磅"/>
    <w:basedOn w:val="843"/>
    <w:next w:val="1226"/>
    <w:uiPriority w:val="0"/>
    <w:qFormat/>
    <w:pPr>
      <w:ind w:left="0"/>
      <w:spacing w:before="0" w:after="0" w:line="400" w:lineRule="exact"/>
      <w:outlineLvl w:val="2"/>
    </w:pPr>
  </w:style>
  <w:style w:type="paragraph" w:styleId="1226" w:customStyle="1">
    <w:name w:val="标书正文"/>
    <w:basedOn w:val="840"/>
    <w:next w:val="1227"/>
    <w:uiPriority w:val="0"/>
    <w:qFormat/>
    <w:pPr>
      <w:ind w:left="440" w:right="100" w:firstLine="2760"/>
      <w:spacing w:before="0" w:after="0" w:line="360" w:lineRule="auto"/>
    </w:pPr>
    <w:rPr>
      <w:rFonts w:ascii="Times New Roman" w:hAnsi="Times New Roman" w:cs="Times New Roman"/>
    </w:rPr>
  </w:style>
  <w:style w:type="paragraph" w:styleId="1227" w:customStyle="1">
    <w:name w:val="xl67"/>
    <w:basedOn w:val="840"/>
    <w:next w:val="1228"/>
    <w:uiPriority w:val="0"/>
    <w:qFormat/>
    <w:pPr>
      <w:ind w:left="0" w:firstLine="5120"/>
      <w:spacing w:before="280" w:after="280" w:line="240" w:lineRule="auto"/>
    </w:pPr>
    <w:rPr>
      <w:rFonts w:ascii="Times New Roman" w:hAnsi="Times New Roman" w:cs="Times New Roman"/>
    </w:rPr>
  </w:style>
  <w:style w:type="paragraph" w:styleId="1228" w:customStyle="1">
    <w:name w:val="索引 61"/>
    <w:basedOn w:val="840"/>
    <w:next w:val="839"/>
    <w:uiPriority w:val="0"/>
    <w:qFormat/>
    <w:pPr>
      <w:ind w:left="1000" w:firstLine="2560"/>
      <w:jc w:val="center"/>
      <w:spacing w:before="0" w:after="0" w:line="360" w:lineRule="auto"/>
    </w:pPr>
    <w:rPr>
      <w:rFonts w:ascii="Times New Roman" w:hAnsi="Times New Roman" w:cs="Times New Roman"/>
    </w:rPr>
  </w:style>
  <w:style w:type="paragraph" w:styleId="1229" w:customStyle="1">
    <w:name w:val="目录3"/>
    <w:basedOn w:val="840"/>
    <w:next w:val="839"/>
    <w:uiPriority w:val="0"/>
    <w:qFormat/>
    <w:pPr>
      <w:ind w:left="419" w:firstLine="5283"/>
      <w:spacing w:before="0" w:after="0" w:line="317" w:lineRule="atLeast"/>
    </w:pPr>
    <w:rPr>
      <w:rFonts w:ascii="Times New Roman" w:hAnsi="Times New Roman" w:cs="Times New Roman"/>
    </w:rPr>
  </w:style>
  <w:style w:type="paragraph" w:styleId="1230" w:customStyle="1">
    <w:name w:val="xl90"/>
    <w:basedOn w:val="840"/>
    <w:next w:val="1231"/>
    <w:uiPriority w:val="0"/>
    <w:qFormat/>
    <w:pPr>
      <w:ind w:left="0" w:firstLine="3584"/>
      <w:spacing w:before="280" w:after="280" w:line="240" w:lineRule="auto"/>
    </w:pPr>
    <w:rPr>
      <w:rFonts w:ascii="Times New Roman" w:hAnsi="Times New Roman" w:cs="Times New Roman"/>
    </w:rPr>
  </w:style>
  <w:style w:type="paragraph" w:styleId="1231" w:customStyle="1">
    <w:name w:val="列表框1"/>
    <w:next w:val="1222"/>
    <w:uiPriority w:val="0"/>
    <w:qFormat/>
    <w:pPr>
      <w:ind w:firstLine="2048"/>
      <w:spacing w:line="460" w:lineRule="exact"/>
    </w:pPr>
    <w:rPr>
      <w:rFonts w:hint="default" w:ascii="Calibri" w:hAnsi="Calibri" w:eastAsia="宋体" w:cs="宋体"/>
    </w:rPr>
  </w:style>
  <w:style w:type="paragraph" w:styleId="1232" w:customStyle="1">
    <w:name w:val="1ji"/>
    <w:basedOn w:val="841"/>
    <w:next w:val="1211"/>
    <w:uiPriority w:val="0"/>
    <w:qFormat/>
    <w:pPr>
      <w:ind w:left="0" w:firstLine="18"/>
      <w:jc w:val="center"/>
      <w:spacing w:before="0" w:after="0" w:line="240" w:lineRule="auto"/>
      <w:outlineLvl w:val="0"/>
    </w:pPr>
  </w:style>
  <w:style w:type="paragraph" w:styleId="1233" w:customStyle="1">
    <w:name w:val="索引 81"/>
    <w:basedOn w:val="840"/>
    <w:next w:val="839"/>
    <w:uiPriority w:val="0"/>
    <w:qFormat/>
    <w:pPr>
      <w:ind w:left="1400" w:firstLine="2560"/>
      <w:jc w:val="center"/>
      <w:spacing w:before="0" w:after="0" w:line="360" w:lineRule="auto"/>
    </w:pPr>
    <w:rPr>
      <w:rFonts w:ascii="Times New Roman" w:hAnsi="Times New Roman" w:cs="Times New Roman"/>
    </w:rPr>
  </w:style>
  <w:style w:type="paragraph" w:styleId="1234" w:customStyle="1">
    <w:name w:val="正文1"/>
    <w:basedOn w:val="839"/>
    <w:next w:val="839"/>
    <w:uiPriority w:val="0"/>
    <w:qFormat/>
    <w:pPr>
      <w:spacing w:line="312" w:lineRule="atLeast"/>
    </w:pPr>
    <w:rPr>
      <w:rFonts w:ascii="楷体_GB2312" w:hAnsi="Times New Roman" w:eastAsia="楷体_GB2312" w:cs="Times New Roman"/>
      <w:sz w:val="24"/>
    </w:rPr>
  </w:style>
  <w:style w:type="paragraph" w:styleId="1235" w:customStyle="1">
    <w:name w:val="Char Char Char Char Char Char1 Char Char Char1 Char Char Char Char Char Char Char Char Char Char Char Char Char Char Char Char Char Char"/>
    <w:basedOn w:val="840"/>
    <w:next w:val="1236"/>
    <w:uiPriority w:val="0"/>
    <w:qFormat/>
    <w:pPr>
      <w:ind w:left="0" w:firstLine="2560"/>
      <w:spacing w:before="0" w:after="0" w:line="240" w:lineRule="auto"/>
    </w:pPr>
    <w:rPr>
      <w:rFonts w:ascii="Times New Roman" w:hAnsi="Times New Roman" w:cs="Times New Roman"/>
    </w:rPr>
  </w:style>
  <w:style w:type="paragraph" w:styleId="1236" w:customStyle="1">
    <w:name w:val="样式 加粗 居中11"/>
    <w:basedOn w:val="840"/>
    <w:next w:val="1237"/>
    <w:uiPriority w:val="0"/>
    <w:qFormat/>
    <w:pPr>
      <w:ind w:left="0" w:firstLine="2560"/>
      <w:jc w:val="center"/>
      <w:spacing w:before="0" w:after="0" w:line="360" w:lineRule="auto"/>
    </w:pPr>
    <w:rPr>
      <w:rFonts w:ascii="Times New Roman" w:hAnsi="Times New Roman" w:cs="Times New Roman"/>
    </w:rPr>
  </w:style>
  <w:style w:type="paragraph" w:styleId="1237" w:customStyle="1">
    <w:name w:val="xl89"/>
    <w:basedOn w:val="840"/>
    <w:next w:val="1238"/>
    <w:uiPriority w:val="0"/>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 Char Char Char Char Char Char"/>
    <w:basedOn w:val="840"/>
    <w:next w:val="1239"/>
    <w:uiPriority w:val="0"/>
    <w:qFormat/>
    <w:pPr>
      <w:ind w:left="0" w:firstLine="2560"/>
      <w:spacing w:before="0" w:after="0" w:line="240" w:lineRule="auto"/>
    </w:pPr>
    <w:rPr>
      <w:rFonts w:ascii="Times New Roman" w:hAnsi="Times New Roman" w:cs="Times New Roman"/>
    </w:rPr>
  </w:style>
  <w:style w:type="paragraph" w:styleId="1239" w:customStyle="1">
    <w:name w:val="文章附标题"/>
    <w:basedOn w:val="840"/>
    <w:next w:val="840"/>
    <w:uiPriority w:val="0"/>
    <w:qFormat/>
    <w:pPr>
      <w:ind w:left="0" w:firstLine="5120"/>
      <w:jc w:val="center"/>
      <w:spacing w:before="187" w:after="175" w:line="374" w:lineRule="atLeast"/>
    </w:pPr>
    <w:rPr>
      <w:rFonts w:ascii="Times New Roman" w:hAnsi="Times New Roman" w:cs="Times New Roman"/>
    </w:rPr>
  </w:style>
  <w:style w:type="paragraph" w:styleId="1240">
    <w:name w:val="Quote"/>
    <w:next w:val="839"/>
    <w:uiPriority w:val="0"/>
    <w:qFormat/>
    <w:pPr>
      <w:ind w:left="3680" w:right="864"/>
      <w:jc w:val="center"/>
      <w:spacing w:before="200" w:after="160"/>
    </w:pPr>
    <w:rPr>
      <w:rFonts w:hint="default" w:ascii="Calibri" w:hAnsi="Calibri" w:eastAsia="宋体" w:cs="宋体"/>
      <w:i/>
    </w:rPr>
  </w:style>
  <w:style w:type="paragraph" w:styleId="1241" w:customStyle="1">
    <w:name w:val="Default Paragraph Font Para Char Char Char Char Char Char"/>
    <w:basedOn w:val="840"/>
    <w:next w:val="1242"/>
    <w:uiPriority w:val="0"/>
    <w:qFormat/>
    <w:pPr>
      <w:ind w:left="0" w:firstLine="3584"/>
      <w:spacing w:before="0" w:after="160" w:line="240" w:lineRule="exact"/>
    </w:pPr>
    <w:rPr>
      <w:rFonts w:ascii="Times New Roman" w:hAnsi="Times New Roman" w:cs="Times New Roman"/>
    </w:rPr>
  </w:style>
  <w:style w:type="paragraph" w:styleId="1242" w:customStyle="1">
    <w:name w:val="xl23"/>
    <w:basedOn w:val="840"/>
    <w:next w:val="877"/>
    <w:uiPriority w:val="0"/>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列出段落11"/>
    <w:basedOn w:val="840"/>
    <w:next w:val="1244"/>
    <w:uiPriority w:val="0"/>
    <w:qFormat/>
    <w:pPr>
      <w:ind w:left="420" w:firstLine="3748"/>
      <w:spacing w:before="0" w:after="0" w:line="240" w:lineRule="auto"/>
    </w:pPr>
    <w:rPr>
      <w:rFonts w:ascii="Times New Roman" w:hAnsi="Times New Roman" w:cs="Times New Roman"/>
    </w:rPr>
  </w:style>
  <w:style w:type="paragraph" w:styleId="1244" w:customStyle="1">
    <w:name w:val="样式 标题 2 + (西文) 宋体 非加粗 居中"/>
    <w:basedOn w:val="842"/>
    <w:next w:val="1245"/>
    <w:uiPriority w:val="0"/>
    <w:qFormat/>
    <w:pPr>
      <w:ind w:left="0" w:firstLine="24"/>
      <w:jc w:val="center"/>
      <w:spacing w:line="412" w:lineRule="auto"/>
      <w:outlineLvl w:val="1"/>
    </w:pPr>
  </w:style>
  <w:style w:type="paragraph" w:styleId="1245" w:customStyle="1">
    <w:name w:val="页脚 Char Char"/>
    <w:basedOn w:val="840"/>
    <w:next w:val="1246"/>
    <w:uiPriority w:val="0"/>
    <w:qFormat/>
    <w:pPr>
      <w:ind w:left="0" w:firstLine="5120"/>
      <w:spacing w:before="0" w:after="0" w:line="240" w:lineRule="auto"/>
    </w:pPr>
    <w:rPr>
      <w:rFonts w:ascii="Times New Roman" w:hAnsi="Times New Roman" w:cs="Times New Roman"/>
    </w:rPr>
  </w:style>
  <w:style w:type="paragraph" w:styleId="1246" w:customStyle="1">
    <w:name w:val="样式 标题 1 + 段前: 16 磅 段后: 16 磅"/>
    <w:basedOn w:val="841"/>
    <w:next w:val="1247"/>
    <w:uiPriority w:val="0"/>
    <w:qFormat/>
    <w:pPr>
      <w:ind w:left="0" w:firstLine="18"/>
      <w:jc w:val="center"/>
      <w:spacing w:before="120" w:after="0" w:line="360" w:lineRule="auto"/>
      <w:outlineLvl w:val="0"/>
    </w:pPr>
  </w:style>
  <w:style w:type="paragraph" w:styleId="1247" w:customStyle="1">
    <w:name w:val="Char1 Char Char Char Char Char Char"/>
    <w:basedOn w:val="840"/>
    <w:next w:val="1248"/>
    <w:uiPriority w:val="0"/>
    <w:qFormat/>
    <w:pPr>
      <w:ind w:left="0" w:firstLine="2560"/>
      <w:spacing w:before="0" w:after="0" w:line="240" w:lineRule="auto"/>
    </w:pPr>
    <w:rPr>
      <w:rFonts w:ascii="Times New Roman" w:hAnsi="Times New Roman" w:cs="Times New Roman"/>
    </w:rPr>
  </w:style>
  <w:style w:type="paragraph" w:styleId="1248" w:customStyle="1">
    <w:name w:val="文档标题4"/>
    <w:basedOn w:val="844"/>
    <w:next w:val="839"/>
    <w:uiPriority w:val="0"/>
    <w:qFormat/>
    <w:pPr>
      <w:ind w:left="851" w:firstLine="30"/>
      <w:spacing w:after="280" w:line="360" w:lineRule="auto"/>
      <w:outlineLvl w:val="3"/>
    </w:pPr>
  </w:style>
  <w:style w:type="paragraph" w:styleId="1249" w:customStyle="1">
    <w:name w:val="font0"/>
    <w:basedOn w:val="840"/>
    <w:next w:val="1224"/>
    <w:uiPriority w:val="0"/>
    <w:qFormat/>
    <w:pPr>
      <w:ind w:left="0" w:firstLine="1024"/>
      <w:spacing w:before="280" w:after="280" w:line="240" w:lineRule="auto"/>
    </w:pPr>
    <w:rPr>
      <w:rFonts w:ascii="Times New Roman" w:hAnsi="Times New Roman" w:cs="Times New Roman"/>
    </w:rPr>
  </w:style>
  <w:style w:type="paragraph" w:styleId="1250" w:customStyle="1">
    <w:name w:val="CM5"/>
    <w:basedOn w:val="840"/>
    <w:next w:val="839"/>
    <w:uiPriority w:val="0"/>
    <w:qFormat/>
    <w:pPr>
      <w:ind w:left="200" w:firstLine="2760"/>
      <w:spacing w:before="0" w:after="0" w:line="400" w:lineRule="atLeast"/>
    </w:pPr>
    <w:rPr>
      <w:rFonts w:ascii="Times New Roman" w:hAnsi="Times New Roman" w:cs="Times New Roman"/>
    </w:rPr>
  </w:style>
  <w:style w:type="paragraph" w:styleId="1251" w:customStyle="1">
    <w:name w:val="Pa0"/>
    <w:basedOn w:val="840"/>
    <w:next w:val="839"/>
    <w:uiPriority w:val="0"/>
    <w:qFormat/>
    <w:pPr>
      <w:ind w:left="0" w:firstLine="4608"/>
      <w:spacing w:before="0" w:after="0" w:line="241" w:lineRule="atLeast"/>
    </w:pPr>
    <w:rPr>
      <w:rFonts w:ascii="Times New Roman" w:hAnsi="Times New Roman" w:cs="Times New Roman"/>
    </w:rPr>
  </w:style>
  <w:style w:type="paragraph" w:styleId="1252" w:customStyle="1">
    <w:name w:val="招标文件》"/>
    <w:basedOn w:val="840"/>
    <w:next w:val="1188"/>
    <w:uiPriority w:val="0"/>
    <w:qFormat/>
    <w:pPr>
      <w:ind w:left="420" w:firstLine="2140"/>
      <w:spacing w:before="120" w:after="120" w:line="300" w:lineRule="auto"/>
    </w:pPr>
    <w:rPr>
      <w:rFonts w:ascii="Times New Roman" w:hAnsi="Times New Roman" w:cs="Times New Roman"/>
    </w:rPr>
  </w:style>
  <w:style w:type="paragraph" w:styleId="1253" w:customStyle="1">
    <w:name w:val="标书_正文"/>
    <w:basedOn w:val="840"/>
    <w:next w:val="1254"/>
    <w:uiPriority w:val="0"/>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842"/>
    <w:next w:val="1203"/>
    <w:uiPriority w:val="0"/>
    <w:qFormat/>
    <w:pPr>
      <w:ind w:left="0" w:firstLine="24"/>
      <w:spacing w:before="100" w:after="0" w:line="400" w:lineRule="exact"/>
      <w:outlineLvl w:val="1"/>
    </w:pPr>
  </w:style>
  <w:style w:type="paragraph" w:styleId="1255" w:customStyle="1">
    <w:name w:val="图片0"/>
    <w:basedOn w:val="840"/>
    <w:next w:val="888"/>
    <w:uiPriority w:val="0"/>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840"/>
    <w:next w:val="1229"/>
    <w:uiPriority w:val="0"/>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uiPriority w:val="0"/>
    <w:qFormat/>
    <w:pPr>
      <w:ind w:firstLine="10"/>
      <w:spacing w:line="360" w:lineRule="auto"/>
      <w:shd w:val="clear" w:color="000000" w:fill="000080"/>
    </w:pPr>
    <w:rPr>
      <w:rFonts w:hint="default" w:ascii="Calibri" w:hAnsi="Calibri" w:eastAsia="宋体" w:cs="宋体"/>
    </w:rPr>
  </w:style>
  <w:style w:type="paragraph" w:styleId="1258" w:customStyle="1">
    <w:name w:val="杨昂超式样黑体主"/>
    <w:basedOn w:val="840"/>
    <w:next w:val="1259"/>
    <w:uiPriority w:val="0"/>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840"/>
    <w:next w:val="1260"/>
    <w:uiPriority w:val="0"/>
    <w:qFormat/>
    <w:pPr>
      <w:ind w:left="0" w:firstLine="2560"/>
      <w:spacing w:before="0" w:after="0" w:line="240" w:lineRule="auto"/>
    </w:pPr>
    <w:rPr>
      <w:rFonts w:ascii="Times New Roman" w:hAnsi="Times New Roman" w:cs="Times New Roman"/>
    </w:rPr>
  </w:style>
  <w:style w:type="paragraph" w:styleId="1260" w:customStyle="1">
    <w:name w:val="目录1"/>
    <w:basedOn w:val="840"/>
    <w:next w:val="839"/>
    <w:uiPriority w:val="0"/>
    <w:qFormat/>
    <w:pPr>
      <w:ind w:left="0" w:firstLine="7168"/>
      <w:spacing w:before="0" w:after="136" w:line="289" w:lineRule="atLeast"/>
    </w:pPr>
    <w:rPr>
      <w:rFonts w:ascii="Times New Roman" w:hAnsi="Times New Roman" w:cs="Times New Roman"/>
    </w:rPr>
  </w:style>
  <w:style w:type="paragraph" w:styleId="1261" w:customStyle="1">
    <w:name w:val="文档结构图1"/>
    <w:basedOn w:val="840"/>
    <w:next w:val="1262"/>
    <w:uiPriority w:val="0"/>
    <w:qFormat/>
    <w:pPr>
      <w:ind w:left="200" w:firstLine="2248"/>
      <w:spacing w:before="0" w:after="0" w:line="360" w:lineRule="auto"/>
    </w:pPr>
    <w:rPr>
      <w:rFonts w:ascii="Times New Roman" w:hAnsi="Times New Roman" w:cs="Times New Roman"/>
    </w:rPr>
  </w:style>
  <w:style w:type="paragraph" w:styleId="1262" w:customStyle="1">
    <w:name w:val="2ji"/>
    <w:basedOn w:val="842"/>
    <w:next w:val="883"/>
    <w:uiPriority w:val="0"/>
    <w:qFormat/>
    <w:pPr>
      <w:ind w:left="0" w:firstLine="24"/>
      <w:spacing w:before="0" w:after="0" w:line="360" w:lineRule="auto"/>
      <w:outlineLvl w:val="1"/>
    </w:pPr>
  </w:style>
  <w:style w:type="paragraph" w:styleId="1263" w:customStyle="1">
    <w:name w:val="xl91"/>
    <w:basedOn w:val="840"/>
    <w:next w:val="1185"/>
    <w:uiPriority w:val="0"/>
    <w:qFormat/>
    <w:pPr>
      <w:ind w:left="0" w:firstLine="3584"/>
      <w:spacing w:before="280" w:after="280" w:line="240" w:lineRule="auto"/>
    </w:pPr>
    <w:rPr>
      <w:rFonts w:ascii="Times New Roman" w:hAnsi="Times New Roman" w:cs="Times New Roman"/>
    </w:rPr>
  </w:style>
  <w:style w:type="paragraph" w:styleId="1264" w:customStyle="1">
    <w:name w:val="Text Body"/>
    <w:basedOn w:val="840"/>
    <w:next w:val="1265"/>
    <w:uiPriority w:val="0"/>
    <w:qFormat/>
    <w:pPr>
      <w:ind w:left="0" w:firstLine="4096"/>
      <w:spacing w:before="0" w:after="120" w:line="240" w:lineRule="auto"/>
    </w:pPr>
    <w:rPr>
      <w:rFonts w:ascii="Times New Roman" w:hAnsi="Times New Roman" w:cs="Times New Roman"/>
    </w:rPr>
  </w:style>
  <w:style w:type="paragraph" w:styleId="1265" w:customStyle="1">
    <w:name w:val="项目符1"/>
    <w:basedOn w:val="840"/>
    <w:next w:val="1266"/>
    <w:uiPriority w:val="0"/>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840"/>
    <w:next w:val="839"/>
    <w:uiPriority w:val="0"/>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843"/>
    <w:next w:val="1268"/>
    <w:uiPriority w:val="0"/>
    <w:qFormat/>
    <w:pPr>
      <w:ind w:left="1429" w:firstLine="18"/>
      <w:spacing w:before="100" w:after="100" w:line="360" w:lineRule="auto"/>
      <w:outlineLvl w:val="2"/>
    </w:pPr>
  </w:style>
  <w:style w:type="paragraph" w:styleId="1268" w:customStyle="1">
    <w:name w:val="xl22"/>
    <w:basedOn w:val="840"/>
    <w:next w:val="126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840"/>
    <w:next w:val="839"/>
    <w:uiPriority w:val="0"/>
    <w:qFormat/>
    <w:pPr>
      <w:ind w:left="0"/>
      <w:spacing w:before="0" w:after="0" w:line="360" w:lineRule="auto"/>
    </w:pPr>
    <w:rPr>
      <w:rFonts w:ascii="Times New Roman" w:hAnsi="Times New Roman" w:cs="Times New Roman"/>
    </w:rPr>
  </w:style>
  <w:style w:type="paragraph" w:styleId="1270" w:customStyle="1">
    <w:name w:val="xl78"/>
    <w:basedOn w:val="840"/>
    <w:next w:val="1271"/>
    <w:uiPriority w:val="0"/>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4"/>
    <w:uiPriority w:val="0"/>
    <w:qFormat/>
    <w:pPr>
      <w:ind w:firstLine="4608"/>
      <w:jc w:val="center"/>
      <w:spacing w:line="360" w:lineRule="auto"/>
    </w:pPr>
    <w:rPr>
      <w:rFonts w:hint="default" w:ascii="Calibri" w:hAnsi="Calibri" w:eastAsia="宋体" w:cs="宋体"/>
    </w:rPr>
  </w:style>
  <w:style w:type="paragraph" w:styleId="1272" w:customStyle="1">
    <w:name w:val="_Style 169"/>
    <w:next w:val="839"/>
    <w:uiPriority w:val="0"/>
    <w:qFormat/>
    <w:pPr>
      <w:ind w:left="2560"/>
    </w:pPr>
    <w:rPr>
      <w:rFonts w:hint="default" w:ascii="Calibri" w:hAnsi="Calibri" w:eastAsia="宋体" w:cs="宋体"/>
    </w:rPr>
  </w:style>
  <w:style w:type="paragraph" w:styleId="1273" w:customStyle="1">
    <w:name w:val="样式 小四 行距: 1.5 倍行距 首行缩进:  2 字符"/>
    <w:basedOn w:val="840"/>
    <w:next w:val="1219"/>
    <w:uiPriority w:val="0"/>
    <w:qFormat/>
    <w:pPr>
      <w:ind w:left="480" w:firstLine="2784"/>
      <w:spacing w:before="0" w:after="0" w:line="360" w:lineRule="auto"/>
    </w:pPr>
    <w:rPr>
      <w:rFonts w:ascii="Times New Roman" w:hAnsi="Times New Roman" w:cs="Times New Roman"/>
    </w:rPr>
  </w:style>
  <w:style w:type="paragraph" w:styleId="1274" w:customStyle="1">
    <w:name w:val="小节标题"/>
    <w:basedOn w:val="840"/>
    <w:next w:val="839"/>
    <w:uiPriority w:val="0"/>
    <w:qFormat/>
    <w:pPr>
      <w:ind w:left="0" w:firstLine="7168"/>
      <w:spacing w:before="175" w:after="102" w:line="351" w:lineRule="atLeast"/>
    </w:pPr>
    <w:rPr>
      <w:rFonts w:ascii="Times New Roman" w:hAnsi="Times New Roman" w:cs="Times New Roman"/>
    </w:rPr>
  </w:style>
  <w:style w:type="paragraph" w:styleId="1275" w:customStyle="1">
    <w:name w:val="TOC 标题2"/>
    <w:basedOn w:val="840"/>
    <w:next w:val="83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840"/>
    <w:next w:val="1277"/>
    <w:uiPriority w:val="0"/>
    <w:qFormat/>
    <w:pPr>
      <w:ind w:left="0" w:firstLine="3584"/>
      <w:spacing w:before="0" w:after="0" w:line="240" w:lineRule="auto"/>
    </w:pPr>
    <w:rPr>
      <w:rFonts w:ascii="Times New Roman" w:hAnsi="Times New Roman" w:cs="Times New Roman"/>
    </w:rPr>
  </w:style>
  <w:style w:type="paragraph" w:styleId="1277" w:customStyle="1">
    <w:name w:val="Char"/>
    <w:basedOn w:val="840"/>
    <w:next w:val="1256"/>
    <w:uiPriority w:val="0"/>
    <w:qFormat/>
    <w:pPr>
      <w:ind w:left="900" w:firstLine="2608"/>
      <w:spacing w:before="0" w:after="0" w:line="240" w:lineRule="auto"/>
    </w:pPr>
    <w:rPr>
      <w:rFonts w:ascii="Times New Roman" w:hAnsi="Times New Roman" w:cs="Times New Roman"/>
    </w:rPr>
  </w:style>
  <w:style w:type="paragraph" w:styleId="1278" w:customStyle="1">
    <w:name w:val="xl86"/>
    <w:basedOn w:val="840"/>
    <w:next w:val="1279"/>
    <w:uiPriority w:val="0"/>
    <w:qFormat/>
    <w:pPr>
      <w:ind w:left="0" w:firstLine="5120"/>
      <w:spacing w:before="280" w:after="280" w:line="240" w:lineRule="auto"/>
    </w:pPr>
    <w:rPr>
      <w:rFonts w:ascii="Times New Roman" w:hAnsi="Times New Roman" w:cs="Times New Roman"/>
    </w:rPr>
  </w:style>
  <w:style w:type="paragraph" w:styleId="1279" w:customStyle="1">
    <w:name w:val="索引 71"/>
    <w:basedOn w:val="840"/>
    <w:next w:val="839"/>
    <w:uiPriority w:val="0"/>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uiPriority w:val="0"/>
    <w:qFormat/>
    <w:pPr>
      <w:ind w:left="480" w:firstLine="4320"/>
      <w:spacing w:line="440" w:lineRule="exact"/>
    </w:pPr>
    <w:rPr>
      <w:rFonts w:hint="default" w:ascii="Calibri" w:hAnsi="Calibri" w:eastAsia="宋体" w:cs="宋体"/>
    </w:rPr>
  </w:style>
  <w:style w:type="paragraph" w:styleId="1281" w:customStyle="1">
    <w:name w:val="4"/>
    <w:basedOn w:val="840"/>
    <w:next w:val="866"/>
    <w:uiPriority w:val="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840"/>
    <w:next w:val="1267"/>
    <w:uiPriority w:val="0"/>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840"/>
    <w:next w:val="1284"/>
    <w:uiPriority w:val="0"/>
    <w:qFormat/>
    <w:pPr>
      <w:ind w:left="0" w:firstLine="2560"/>
      <w:spacing w:before="0" w:after="0" w:line="240" w:lineRule="auto"/>
    </w:pPr>
    <w:rPr>
      <w:rFonts w:ascii="Times New Roman" w:hAnsi="Times New Roman" w:cs="Times New Roman"/>
    </w:rPr>
  </w:style>
  <w:style w:type="paragraph" w:styleId="1284" w:customStyle="1">
    <w:name w:val="正文符号1"/>
    <w:basedOn w:val="840"/>
    <w:next w:val="1285"/>
    <w:uiPriority w:val="0"/>
    <w:qFormat/>
    <w:pPr>
      <w:ind w:left="987" w:firstLine="5724"/>
      <w:spacing w:before="0" w:after="0" w:line="240" w:lineRule="auto"/>
    </w:pPr>
    <w:rPr>
      <w:rFonts w:ascii="Times New Roman" w:hAnsi="Times New Roman" w:cs="Times New Roman"/>
    </w:rPr>
  </w:style>
  <w:style w:type="paragraph" w:styleId="1285" w:customStyle="1">
    <w:name w:val="索引 31"/>
    <w:basedOn w:val="840"/>
    <w:next w:val="839"/>
    <w:uiPriority w:val="0"/>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840"/>
    <w:next w:val="839"/>
    <w:uiPriority w:val="0"/>
    <w:qFormat/>
    <w:pPr>
      <w:ind w:left="629" w:firstLine="5237"/>
      <w:spacing w:before="0" w:after="0" w:line="317" w:lineRule="atLeast"/>
    </w:pPr>
    <w:rPr>
      <w:rFonts w:ascii="Times New Roman" w:hAnsi="Times New Roman" w:cs="Times New Roman"/>
    </w:rPr>
  </w:style>
  <w:style w:type="paragraph" w:styleId="1287" w:customStyle="1">
    <w:name w:val="p15"/>
    <w:basedOn w:val="839"/>
    <w:uiPriority w:val="0"/>
    <w:qFormat/>
    <w:pPr>
      <w:ind w:left="0"/>
    </w:pPr>
    <w:rPr>
      <w:rFonts w:ascii="宋体" w:hAnsi="宋体"/>
      <w:sz w:val="28"/>
      <w:szCs w:val="28"/>
    </w:rPr>
  </w:style>
  <w:style w:type="paragraph" w:styleId="1288" w:customStyle="1">
    <w:name w:val="四号 居中"/>
    <w:basedOn w:val="840"/>
    <w:next w:val="1282"/>
    <w:uiPriority w:val="0"/>
    <w:qFormat/>
    <w:pPr>
      <w:ind w:left="0" w:firstLine="6144"/>
      <w:jc w:val="center"/>
      <w:spacing w:before="0" w:after="0" w:line="360" w:lineRule="auto"/>
    </w:pPr>
    <w:rPr>
      <w:rFonts w:ascii="Times New Roman" w:hAnsi="Times New Roman" w:cs="Times New Roman"/>
    </w:rPr>
  </w:style>
  <w:style w:type="paragraph" w:styleId="1289" w:customStyle="1">
    <w:name w:val="p0"/>
    <w:next w:val="839"/>
    <w:uiPriority w:val="0"/>
    <w:qFormat/>
    <w:pPr>
      <w:ind w:firstLine="2048"/>
      <w:spacing w:line="360" w:lineRule="auto"/>
    </w:pPr>
    <w:rPr>
      <w:rFonts w:hint="default" w:ascii="Calibri" w:hAnsi="Calibri" w:eastAsia="宋体" w:cs="宋体"/>
    </w:rPr>
  </w:style>
  <w:style w:type="paragraph" w:styleId="1290" w:customStyle="1">
    <w:name w:val="列表编号 21"/>
    <w:basedOn w:val="840"/>
    <w:next w:val="1291"/>
    <w:uiPriority w:val="0"/>
    <w:qFormat/>
    <w:pPr>
      <w:ind w:left="0" w:firstLine="2560"/>
      <w:spacing w:before="0" w:after="0" w:line="360" w:lineRule="auto"/>
    </w:pPr>
    <w:rPr>
      <w:rFonts w:ascii="Times New Roman" w:hAnsi="Times New Roman" w:cs="Times New Roman"/>
    </w:rPr>
  </w:style>
  <w:style w:type="paragraph" w:styleId="1291" w:customStyle="1">
    <w:name w:val="正文文本 21"/>
    <w:basedOn w:val="840"/>
    <w:next w:val="1173"/>
    <w:uiPriority w:val="0"/>
    <w:qFormat/>
    <w:pPr>
      <w:ind w:left="0" w:firstLine="2560"/>
      <w:jc w:val="center"/>
      <w:spacing w:before="0" w:after="120" w:line="480" w:lineRule="auto"/>
    </w:pPr>
    <w:rPr>
      <w:rFonts w:ascii="Times New Roman" w:hAnsi="Times New Roman" w:cs="Times New Roman"/>
    </w:rPr>
  </w:style>
  <w:style w:type="paragraph" w:styleId="1292" w:customStyle="1">
    <w:name w:val="a2"/>
    <w:basedOn w:val="840"/>
    <w:next w:val="880"/>
    <w:uiPriority w:val="0"/>
    <w:qFormat/>
    <w:pPr>
      <w:ind w:left="0" w:firstLine="1024"/>
      <w:spacing w:before="280" w:after="280" w:line="240" w:lineRule="auto"/>
    </w:pPr>
    <w:rPr>
      <w:rFonts w:ascii="Times New Roman" w:hAnsi="Times New Roman" w:cs="Times New Roman"/>
    </w:rPr>
  </w:style>
  <w:style w:type="paragraph" w:styleId="1293" w:customStyle="1">
    <w:name w:val="font8"/>
    <w:basedOn w:val="840"/>
    <w:next w:val="1218"/>
    <w:uiPriority w:val="0"/>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840"/>
    <w:next w:val="1295"/>
    <w:uiPriority w:val="0"/>
    <w:qFormat/>
    <w:pPr>
      <w:ind w:left="0" w:firstLine="2560"/>
      <w:spacing w:before="0" w:after="0" w:line="240" w:lineRule="auto"/>
    </w:pPr>
    <w:rPr>
      <w:rFonts w:ascii="Times New Roman" w:hAnsi="Times New Roman" w:cs="Times New Roman"/>
    </w:rPr>
  </w:style>
  <w:style w:type="paragraph" w:styleId="1295" w:customStyle="1">
    <w:name w:val="xl87"/>
    <w:basedOn w:val="840"/>
    <w:next w:val="1252"/>
    <w:uiPriority w:val="0"/>
    <w:qFormat/>
    <w:pPr>
      <w:ind w:left="0" w:firstLine="5120"/>
      <w:spacing w:before="280" w:after="280" w:line="240" w:lineRule="auto"/>
    </w:pPr>
    <w:rPr>
      <w:rFonts w:ascii="Times New Roman" w:hAnsi="Times New Roman" w:cs="Times New Roman"/>
    </w:rPr>
  </w:style>
  <w:style w:type="paragraph" w:styleId="1296" w:customStyle="1">
    <w:name w:val="444"/>
    <w:basedOn w:val="840"/>
    <w:next w:val="860"/>
    <w:uiPriority w:val="0"/>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840"/>
    <w:next w:val="1298"/>
    <w:uiPriority w:val="0"/>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uiPriority w:val="0"/>
    <w:qFormat/>
    <w:pPr>
      <w:ind w:left="960" w:firstLine="5120"/>
      <w:spacing w:line="360" w:lineRule="auto"/>
      <w:widowControl w:val="off"/>
    </w:pPr>
    <w:rPr>
      <w:rFonts w:hint="default" w:ascii="Calibri" w:hAnsi="Calibri" w:eastAsia="宋体" w:cs="宋体"/>
    </w:rPr>
  </w:style>
  <w:style w:type="paragraph" w:styleId="1299" w:customStyle="1">
    <w:name w:val="文档正文"/>
    <w:basedOn w:val="840"/>
    <w:next w:val="1300"/>
    <w:uiPriority w:val="0"/>
    <w:qFormat/>
    <w:pPr>
      <w:ind w:left="567" w:firstLine="3639"/>
      <w:spacing w:before="0" w:after="0" w:line="480" w:lineRule="atLeast"/>
    </w:pPr>
    <w:rPr>
      <w:rFonts w:ascii="Times New Roman" w:hAnsi="Times New Roman" w:cs="Times New Roman"/>
    </w:rPr>
  </w:style>
  <w:style w:type="paragraph" w:styleId="1300" w:customStyle="1">
    <w:name w:val="列表框2"/>
    <w:next w:val="1301"/>
    <w:uiPriority w:val="0"/>
    <w:qFormat/>
    <w:pPr>
      <w:ind w:firstLine="2048"/>
      <w:spacing w:line="460" w:lineRule="exact"/>
    </w:pPr>
    <w:rPr>
      <w:rFonts w:hint="default" w:ascii="Calibri" w:hAnsi="Calibri" w:eastAsia="宋体" w:cs="宋体"/>
    </w:rPr>
  </w:style>
  <w:style w:type="paragraph" w:styleId="1301" w:customStyle="1">
    <w:name w:val="font10"/>
    <w:basedOn w:val="840"/>
    <w:next w:val="873"/>
    <w:uiPriority w:val="0"/>
    <w:qFormat/>
    <w:pPr>
      <w:ind w:left="0" w:firstLine="3584"/>
      <w:spacing w:before="280" w:after="280" w:line="240" w:lineRule="auto"/>
    </w:pPr>
    <w:rPr>
      <w:rFonts w:ascii="Times New Roman" w:hAnsi="Times New Roman" w:cs="Times New Roman"/>
    </w:rPr>
  </w:style>
  <w:style w:type="paragraph" w:styleId="1302" w:customStyle="1">
    <w:name w:val="纯文本1"/>
    <w:basedOn w:val="840"/>
    <w:uiPriority w:val="0"/>
    <w:qFormat/>
    <w:pPr>
      <w:ind w:left="0" w:firstLine="3584"/>
      <w:spacing w:before="0" w:after="0" w:line="240" w:lineRule="auto"/>
    </w:pPr>
    <w:rPr>
      <w:rFonts w:ascii="Times New Roman" w:hAnsi="Times New Roman" w:cs="Times New Roman"/>
    </w:rPr>
  </w:style>
  <w:style w:type="paragraph" w:styleId="1303" w:customStyle="1">
    <w:name w:val="索引 91"/>
    <w:basedOn w:val="840"/>
    <w:next w:val="839"/>
    <w:uiPriority w:val="0"/>
    <w:qFormat/>
    <w:pPr>
      <w:ind w:left="1600" w:firstLine="2560"/>
      <w:jc w:val="center"/>
      <w:spacing w:before="0" w:after="0" w:line="360" w:lineRule="auto"/>
    </w:pPr>
    <w:rPr>
      <w:rFonts w:ascii="Times New Roman" w:hAnsi="Times New Roman" w:cs="Times New Roman"/>
    </w:rPr>
  </w:style>
  <w:style w:type="paragraph" w:styleId="1304" w:customStyle="1">
    <w:name w:val="xl79"/>
    <w:basedOn w:val="840"/>
    <w:next w:val="1280"/>
    <w:uiPriority w:val="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uiPriority w:val="0"/>
    <w:qFormat/>
    <w:pPr>
      <w:ind w:firstLine="2560"/>
      <w:jc w:val="center"/>
    </w:pPr>
    <w:rPr>
      <w:rFonts w:hint="default" w:ascii="Calibri" w:hAnsi="Calibri" w:eastAsia="宋体" w:cs="宋体"/>
    </w:rPr>
  </w:style>
  <w:style w:type="paragraph" w:styleId="1306" w:customStyle="1">
    <w:name w:val="!方块加粗"/>
    <w:basedOn w:val="840"/>
    <w:next w:val="1273"/>
    <w:uiPriority w:val="0"/>
    <w:qFormat/>
    <w:pPr>
      <w:ind w:left="600" w:firstLine="5212"/>
      <w:spacing w:before="0" w:after="0" w:line="360" w:lineRule="auto"/>
    </w:pPr>
    <w:rPr>
      <w:rFonts w:ascii="Times New Roman" w:hAnsi="Times New Roman" w:cs="Times New Roman"/>
    </w:rPr>
  </w:style>
  <w:style w:type="paragraph" w:styleId="1307" w:customStyle="1">
    <w:name w:val="xl75"/>
    <w:basedOn w:val="840"/>
    <w:next w:val="886"/>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840"/>
    <w:next w:val="1309"/>
    <w:uiPriority w:val="0"/>
    <w:qFormat/>
    <w:pPr>
      <w:ind w:left="0" w:firstLine="5120"/>
      <w:spacing w:before="280" w:after="280" w:line="240" w:lineRule="auto"/>
    </w:pPr>
    <w:rPr>
      <w:rFonts w:ascii="Times New Roman" w:hAnsi="Times New Roman" w:cs="Times New Roman"/>
    </w:rPr>
  </w:style>
  <w:style w:type="paragraph" w:styleId="1309" w:customStyle="1">
    <w:name w:val="xl25"/>
    <w:basedOn w:val="840"/>
    <w:next w:val="1310"/>
    <w:uiPriority w:val="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840"/>
    <w:next w:val="839"/>
    <w:uiPriority w:val="0"/>
    <w:qFormat/>
    <w:pPr>
      <w:ind w:left="200" w:firstLine="1224"/>
      <w:spacing w:before="280" w:after="280" w:line="240" w:lineRule="auto"/>
    </w:pPr>
    <w:rPr>
      <w:rFonts w:ascii="Times New Roman" w:hAnsi="Times New Roman" w:cs="Times New Roman"/>
    </w:rPr>
  </w:style>
  <w:style w:type="paragraph" w:styleId="1311" w:customStyle="1">
    <w:name w:val="xl27"/>
    <w:basedOn w:val="840"/>
    <w:next w:val="1297"/>
    <w:uiPriority w:val="0"/>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844"/>
    <w:next w:val="1313"/>
    <w:uiPriority w:val="0"/>
    <w:qFormat/>
    <w:pPr>
      <w:ind w:left="426" w:firstLine="24"/>
      <w:spacing w:before="0" w:after="0" w:line="360" w:lineRule="auto"/>
      <w:outlineLvl w:val="3"/>
    </w:pPr>
  </w:style>
  <w:style w:type="paragraph" w:styleId="1313" w:customStyle="1">
    <w:name w:val="xl82"/>
    <w:basedOn w:val="840"/>
    <w:next w:val="1308"/>
    <w:uiPriority w:val="0"/>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uiPriority w:val="0"/>
    <w:qFormat/>
    <w:pPr>
      <w:ind w:firstLine="14"/>
      <w:jc w:val="both"/>
      <w:shd w:val="clear" w:color="000000" w:fill="000080"/>
      <w:widowControl w:val="off"/>
    </w:pPr>
    <w:rPr>
      <w:rFonts w:hint="default" w:ascii="Calibri" w:hAnsi="Calibri" w:eastAsia="宋体" w:cs="宋体"/>
    </w:rPr>
  </w:style>
  <w:style w:type="paragraph" w:styleId="1315" w:customStyle="1">
    <w:name w:val="Char Char Char Char Char Char1 Char Char Char1 Char Char Char Char Char Char Char Char Char Char Char Char Char Char Char"/>
    <w:basedOn w:val="840"/>
    <w:next w:val="1316"/>
    <w:uiPriority w:val="0"/>
    <w:qFormat/>
    <w:pPr>
      <w:ind w:left="0" w:firstLine="2560"/>
      <w:spacing w:before="0" w:after="0" w:line="240" w:lineRule="auto"/>
    </w:pPr>
    <w:rPr>
      <w:rFonts w:ascii="Times New Roman" w:hAnsi="Times New Roman" w:cs="Times New Roman"/>
    </w:rPr>
  </w:style>
  <w:style w:type="paragraph" w:styleId="1316" w:customStyle="1">
    <w:name w:val="样式1"/>
    <w:basedOn w:val="840"/>
    <w:next w:val="1317"/>
    <w:uiPriority w:val="0"/>
    <w:qFormat/>
    <w:pPr>
      <w:ind w:left="0" w:firstLine="1536"/>
      <w:spacing w:before="120" w:after="120" w:line="300" w:lineRule="auto"/>
    </w:pPr>
    <w:rPr>
      <w:rFonts w:ascii="Times New Roman" w:hAnsi="Times New Roman" w:cs="Times New Roman"/>
    </w:rPr>
  </w:style>
  <w:style w:type="paragraph" w:styleId="1317" w:customStyle="1">
    <w:name w:val="索引 41"/>
    <w:basedOn w:val="840"/>
    <w:next w:val="839"/>
    <w:uiPriority w:val="0"/>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840"/>
    <w:next w:val="839"/>
    <w:uiPriority w:val="0"/>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uiPriority w:val="0"/>
    <w:qFormat/>
    <w:pPr>
      <w:ind w:left="567" w:right="2835" w:firstLine="3584"/>
      <w:spacing w:after="60"/>
    </w:pPr>
    <w:rPr>
      <w:rFonts w:hint="default" w:ascii="Calibri" w:hAnsi="Calibri" w:eastAsia="宋体" w:cs="宋体"/>
    </w:rPr>
  </w:style>
  <w:style w:type="paragraph" w:styleId="1320" w:customStyle="1">
    <w:name w:val="Char Char Char Char Char Char1"/>
    <w:basedOn w:val="840"/>
    <w:next w:val="1321"/>
    <w:uiPriority w:val="0"/>
    <w:qFormat/>
    <w:pPr>
      <w:ind w:left="0" w:firstLine="2560"/>
      <w:spacing w:before="0" w:after="0" w:line="240" w:lineRule="auto"/>
    </w:pPr>
    <w:rPr>
      <w:rFonts w:ascii="Times New Roman" w:hAnsi="Times New Roman" w:cs="Times New Roman"/>
    </w:rPr>
  </w:style>
  <w:style w:type="paragraph" w:styleId="1321" w:customStyle="1">
    <w:name w:val="正文缩进2"/>
    <w:basedOn w:val="840"/>
    <w:next w:val="1322"/>
    <w:uiPriority w:val="0"/>
    <w:qFormat/>
    <w:pPr>
      <w:ind w:left="420" w:firstLine="1188"/>
      <w:spacing w:before="0" w:after="0" w:line="240" w:lineRule="auto"/>
    </w:pPr>
    <w:rPr>
      <w:rFonts w:ascii="Times New Roman" w:hAnsi="Times New Roman" w:cs="Times New Roman"/>
    </w:rPr>
  </w:style>
  <w:style w:type="paragraph" w:styleId="1322" w:customStyle="1">
    <w:name w:val="列出段落2"/>
    <w:basedOn w:val="840"/>
    <w:next w:val="1323"/>
    <w:uiPriority w:val="0"/>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840"/>
    <w:next w:val="1324"/>
    <w:uiPriority w:val="0"/>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uiPriority w:val="0"/>
    <w:qFormat/>
    <w:pPr>
      <w:ind w:left="200" w:firstLine="3784"/>
      <w:spacing w:line="300" w:lineRule="auto"/>
    </w:pPr>
    <w:rPr>
      <w:rFonts w:hint="default" w:ascii="Calibri" w:hAnsi="Calibri" w:eastAsia="宋体" w:cs="宋体"/>
    </w:rPr>
  </w:style>
  <w:style w:type="paragraph" w:styleId="1325" w:customStyle="1">
    <w:name w:val="Char2"/>
    <w:basedOn w:val="840"/>
    <w:next w:val="1319"/>
    <w:uiPriority w:val="0"/>
    <w:qFormat/>
    <w:pPr>
      <w:ind w:left="0" w:firstLine="3584"/>
      <w:spacing w:before="0" w:after="160" w:line="240" w:lineRule="exact"/>
    </w:pPr>
    <w:rPr>
      <w:rFonts w:ascii="Times New Roman" w:hAnsi="Times New Roman" w:cs="Times New Roman"/>
    </w:rPr>
  </w:style>
  <w:style w:type="paragraph" w:styleId="1326" w:customStyle="1">
    <w:name w:val="WPSOffice手动目录 1"/>
    <w:uiPriority w:val="0"/>
    <w:qFormat/>
    <w:rPr>
      <w:rFonts w:hint="default" w:ascii="宋体" w:hAnsi="宋体" w:eastAsia="宋体" w:cs="宋体"/>
    </w:rPr>
  </w:style>
  <w:style w:type="paragraph" w:styleId="1327" w:customStyle="1">
    <w:name w:val="纯文本4"/>
    <w:basedOn w:val="839"/>
    <w:uiPriority w:val="0"/>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840"/>
    <w:next w:val="1329"/>
    <w:uiPriority w:val="0"/>
    <w:qFormat/>
    <w:pPr>
      <w:ind w:left="682" w:firstLine="1224"/>
      <w:spacing w:before="0" w:after="0" w:line="360" w:lineRule="auto"/>
    </w:pPr>
    <w:rPr>
      <w:rFonts w:ascii="Times New Roman" w:hAnsi="Times New Roman" w:cs="Times New Roman"/>
    </w:rPr>
  </w:style>
  <w:style w:type="paragraph" w:styleId="1329" w:customStyle="1">
    <w:name w:val="列表编号 51"/>
    <w:basedOn w:val="840"/>
    <w:next w:val="1330"/>
    <w:uiPriority w:val="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841"/>
    <w:next w:val="1331"/>
    <w:uiPriority w:val="0"/>
    <w:qFormat/>
    <w:pPr>
      <w:ind w:left="432" w:firstLine="18"/>
      <w:spacing w:before="40" w:after="40" w:line="360" w:lineRule="auto"/>
      <w:outlineLvl w:val="0"/>
    </w:pPr>
  </w:style>
  <w:style w:type="paragraph" w:styleId="1331" w:customStyle="1">
    <w:name w:val="表格用"/>
    <w:basedOn w:val="840"/>
    <w:next w:val="1288"/>
    <w:uiPriority w:val="0"/>
    <w:qFormat/>
    <w:pPr>
      <w:ind w:left="0" w:firstLine="1024"/>
      <w:spacing w:before="0" w:after="0" w:line="360" w:lineRule="auto"/>
    </w:pPr>
    <w:rPr>
      <w:rFonts w:ascii="Times New Roman" w:hAnsi="Times New Roman" w:cs="Times New Roman"/>
    </w:rPr>
  </w:style>
  <w:style w:type="paragraph" w:styleId="1332" w:customStyle="1">
    <w:name w:val="xl71"/>
    <w:basedOn w:val="840"/>
    <w:next w:val="1333"/>
    <w:uiPriority w:val="0"/>
    <w:qFormat/>
    <w:pPr>
      <w:ind w:left="0" w:firstLine="1536"/>
      <w:spacing w:before="280" w:after="280" w:line="240" w:lineRule="auto"/>
    </w:pPr>
    <w:rPr>
      <w:rFonts w:ascii="Times New Roman" w:hAnsi="Times New Roman" w:cs="Times New Roman"/>
    </w:rPr>
  </w:style>
  <w:style w:type="paragraph" w:styleId="1333" w:customStyle="1">
    <w:name w:val="正文文本 31"/>
    <w:basedOn w:val="840"/>
    <w:next w:val="1334"/>
    <w:uiPriority w:val="0"/>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840"/>
    <w:next w:val="1270"/>
    <w:uiPriority w:val="0"/>
    <w:qFormat/>
    <w:pPr>
      <w:ind w:left="420" w:firstLine="3748"/>
      <w:spacing w:before="0" w:after="0" w:line="240" w:lineRule="auto"/>
    </w:pPr>
    <w:rPr>
      <w:rFonts w:ascii="Times New Roman" w:hAnsi="Times New Roman" w:cs="Times New Roman"/>
    </w:rPr>
  </w:style>
  <w:style w:type="paragraph" w:styleId="1335" w:customStyle="1">
    <w:name w:val="修订1"/>
    <w:uiPriority w:val="0"/>
    <w:qFormat/>
    <w:rPr>
      <w:rFonts w:hint="default" w:ascii="Calibri" w:hAnsi="Calibri" w:eastAsia="宋体" w:cs="宋体"/>
    </w:rPr>
  </w:style>
  <w:style w:type="paragraph" w:styleId="1336" w:customStyle="1">
    <w:name w:val="正文文本缩进 21"/>
    <w:basedOn w:val="840"/>
    <w:next w:val="1276"/>
    <w:uiPriority w:val="0"/>
    <w:qFormat/>
    <w:pPr>
      <w:ind w:left="480" w:firstLine="4832"/>
      <w:spacing w:before="0" w:after="0" w:line="240" w:lineRule="auto"/>
    </w:pPr>
    <w:rPr>
      <w:rFonts w:ascii="Times New Roman" w:hAnsi="Times New Roman" w:cs="Times New Roman"/>
    </w:rPr>
  </w:style>
  <w:style w:type="paragraph" w:styleId="1337" w:customStyle="1">
    <w:name w:val="Char Char4 Char Char"/>
    <w:basedOn w:val="840"/>
    <w:next w:val="1286"/>
    <w:uiPriority w:val="0"/>
    <w:qFormat/>
    <w:pPr>
      <w:ind w:left="0" w:firstLine="2560"/>
      <w:spacing w:before="0" w:after="0" w:line="240" w:lineRule="auto"/>
    </w:pPr>
    <w:rPr>
      <w:rFonts w:ascii="Times New Roman" w:hAnsi="Times New Roman" w:cs="Times New Roman"/>
    </w:rPr>
  </w:style>
  <w:style w:type="paragraph" w:styleId="1338" w:customStyle="1">
    <w:name w:val="样式"/>
    <w:next w:val="839"/>
    <w:uiPriority w:val="0"/>
    <w:qFormat/>
    <w:pPr>
      <w:ind w:firstLine="3584"/>
      <w:widowControl w:val="off"/>
    </w:pPr>
    <w:rPr>
      <w:rFonts w:hint="default" w:ascii="Calibri" w:hAnsi="Calibri" w:eastAsia="宋体" w:cs="宋体"/>
    </w:rPr>
  </w:style>
  <w:style w:type="paragraph" w:styleId="1339" w:customStyle="1">
    <w:name w:val="TOC 标题1"/>
    <w:basedOn w:val="841"/>
    <w:next w:val="839"/>
    <w:uiPriority w:val="0"/>
    <w:qFormat/>
    <w:pPr>
      <w:ind w:left="0" w:firstLine="6144"/>
      <w:spacing w:before="480" w:after="0" w:line="276" w:lineRule="auto"/>
    </w:pPr>
    <w:rPr>
      <w:b/>
      <w:sz w:val="30"/>
    </w:rPr>
  </w:style>
  <w:style w:type="paragraph" w:styleId="1340" w:customStyle="1">
    <w:name w:val="纯文本3"/>
    <w:basedOn w:val="839"/>
    <w:uiPriority w:val="0"/>
    <w:qFormat/>
    <w:rPr>
      <w:rFonts w:ascii="宋体" w:hAnsi="Courier New" w:cs="Times New Roman"/>
    </w:rPr>
  </w:style>
  <w:style w:type="paragraph" w:styleId="1341" w:customStyle="1">
    <w:name w:val="afont"/>
    <w:basedOn w:val="840"/>
    <w:next w:val="864"/>
    <w:uiPriority w:val="0"/>
    <w:qFormat/>
    <w:pPr>
      <w:ind w:left="0" w:firstLine="2048"/>
      <w:spacing w:before="100" w:after="100" w:line="285" w:lineRule="atLeast"/>
    </w:pPr>
    <w:rPr>
      <w:rFonts w:ascii="Times New Roman" w:hAnsi="Times New Roman" w:cs="Times New Roman"/>
    </w:rPr>
  </w:style>
  <w:style w:type="paragraph" w:styleId="1342" w:customStyle="1">
    <w:name w:val="xl85"/>
    <w:basedOn w:val="840"/>
    <w:next w:val="1343"/>
    <w:uiPriority w:val="0"/>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840"/>
    <w:next w:val="1344"/>
    <w:uiPriority w:val="0"/>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840"/>
    <w:next w:val="1307"/>
    <w:uiPriority w:val="0"/>
    <w:qFormat/>
    <w:pPr>
      <w:ind w:left="200" w:firstLine="1224"/>
      <w:spacing w:before="0" w:after="0" w:line="400" w:lineRule="exact"/>
    </w:pPr>
    <w:rPr>
      <w:rFonts w:ascii="Times New Roman" w:hAnsi="Times New Roman" w:cs="Times New Roman"/>
    </w:rPr>
  </w:style>
  <w:style w:type="paragraph" w:styleId="1345" w:customStyle="1">
    <w:name w:val="二级条标题"/>
    <w:basedOn w:val="840"/>
    <w:next w:val="839"/>
    <w:uiPriority w:val="0"/>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839"/>
    <w:uiPriority w:val="0"/>
    <w:qFormat/>
    <w:pPr>
      <w:ind w:left="0"/>
      <w:jc w:val="left"/>
    </w:pPr>
    <w:rPr>
      <w:rFonts w:ascii="宋体" w:hAnsi="宋体" w:eastAsia="楷体_GB2312" w:cs="Courier New"/>
      <w:sz w:val="26"/>
      <w:lang w:val="zh-CN"/>
    </w:rPr>
  </w:style>
  <w:style w:type="paragraph" w:styleId="1347" w:customStyle="1">
    <w:name w:val="样式 加粗 居中2"/>
    <w:basedOn w:val="840"/>
    <w:next w:val="1200"/>
    <w:uiPriority w:val="0"/>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840"/>
    <w:next w:val="1302"/>
    <w:uiPriority w:val="0"/>
    <w:qFormat/>
    <w:pPr>
      <w:ind w:left="480" w:firstLine="2784"/>
      <w:spacing w:before="0" w:after="0" w:line="360" w:lineRule="auto"/>
    </w:pPr>
    <w:rPr>
      <w:rFonts w:ascii="Times New Roman" w:hAnsi="Times New Roman" w:cs="Times New Roman"/>
    </w:rPr>
  </w:style>
  <w:style w:type="paragraph" w:styleId="1349" w:customStyle="1">
    <w:name w:val="索引标题1"/>
    <w:basedOn w:val="840"/>
    <w:next w:val="1230"/>
    <w:uiPriority w:val="0"/>
    <w:qFormat/>
    <w:pPr>
      <w:ind w:left="0" w:firstLine="4608"/>
      <w:jc w:val="center"/>
      <w:spacing w:before="0" w:after="0" w:line="360" w:lineRule="auto"/>
    </w:pPr>
    <w:rPr>
      <w:rFonts w:ascii="Times New Roman" w:hAnsi="Times New Roman" w:cs="Times New Roman"/>
    </w:rPr>
  </w:style>
  <w:style w:type="paragraph" w:styleId="1350" w:customStyle="1">
    <w:name w:val="Char Char Char Char Char Char1 Char Char Char1 Char Char Char Char Char Char Char Char Char Char Char Char Char Char Char Char"/>
    <w:basedOn w:val="840"/>
    <w:next w:val="1351"/>
    <w:uiPriority w:val="0"/>
    <w:qFormat/>
    <w:pPr>
      <w:ind w:left="0" w:firstLine="2560"/>
      <w:spacing w:before="0" w:after="0" w:line="240" w:lineRule="auto"/>
    </w:pPr>
    <w:rPr>
      <w:rFonts w:ascii="Times New Roman" w:hAnsi="Times New Roman" w:cs="Times New Roman"/>
    </w:rPr>
  </w:style>
  <w:style w:type="paragraph" w:styleId="1351" w:customStyle="1">
    <w:name w:val="1正文"/>
    <w:basedOn w:val="840"/>
    <w:next w:val="1352"/>
    <w:uiPriority w:val="0"/>
    <w:qFormat/>
    <w:pPr>
      <w:ind w:left="480" w:firstLine="2784"/>
      <w:spacing w:before="0" w:after="0" w:line="300" w:lineRule="auto"/>
    </w:pPr>
    <w:rPr>
      <w:rFonts w:ascii="Times New Roman" w:hAnsi="Times New Roman" w:cs="Times New Roman"/>
    </w:rPr>
  </w:style>
  <w:style w:type="paragraph" w:styleId="1352" w:customStyle="1">
    <w:name w:val="目录2"/>
    <w:basedOn w:val="840"/>
    <w:next w:val="839"/>
    <w:uiPriority w:val="0"/>
    <w:qFormat/>
    <w:pPr>
      <w:ind w:left="209" w:firstLine="5329"/>
      <w:spacing w:before="0" w:after="0" w:line="317" w:lineRule="atLeast"/>
    </w:pPr>
    <w:rPr>
      <w:rFonts w:ascii="Times New Roman" w:hAnsi="Times New Roman" w:cs="Times New Roman"/>
    </w:rPr>
  </w:style>
  <w:style w:type="paragraph" w:styleId="1353" w:customStyle="1">
    <w:name w:val="图表目录1"/>
    <w:basedOn w:val="840"/>
    <w:next w:val="839"/>
    <w:uiPriority w:val="0"/>
    <w:qFormat/>
    <w:pPr>
      <w:ind w:left="200" w:firstLine="2616"/>
      <w:jc w:val="center"/>
      <w:spacing w:before="0" w:after="0" w:line="360" w:lineRule="auto"/>
    </w:pPr>
    <w:rPr>
      <w:rFonts w:ascii="Times New Roman" w:hAnsi="Times New Roman" w:cs="Times New Roman"/>
    </w:rPr>
  </w:style>
  <w:style w:type="paragraph" w:styleId="1354" w:customStyle="1">
    <w:name w:val="xl63"/>
    <w:basedOn w:val="840"/>
    <w:next w:val="1305"/>
    <w:uiPriority w:val="0"/>
    <w:qFormat/>
    <w:pPr>
      <w:ind w:left="0" w:firstLine="5120"/>
      <w:spacing w:before="280" w:after="280" w:line="240" w:lineRule="auto"/>
    </w:pPr>
    <w:rPr>
      <w:rFonts w:ascii="Times New Roman" w:hAnsi="Times New Roman" w:cs="Times New Roman"/>
    </w:rPr>
  </w:style>
  <w:style w:type="paragraph" w:styleId="1355">
    <w:name w:val="List Paragraph"/>
    <w:basedOn w:val="839"/>
    <w:uiPriority w:val="0"/>
    <w:qFormat/>
    <w:pPr>
      <w:ind w:left="420" w:firstLine="3748"/>
    </w:pPr>
    <w:rPr>
      <w:rFonts w:ascii="Times New Roman" w:hAnsi="Times New Roman" w:cs="Times New Roman"/>
    </w:rPr>
  </w:style>
  <w:style w:type="paragraph" w:styleId="1356" w:customStyle="1">
    <w:name w:val="xl73"/>
    <w:basedOn w:val="840"/>
    <w:next w:val="1357"/>
    <w:uiPriority w:val="0"/>
    <w:qFormat/>
    <w:pPr>
      <w:ind w:left="0" w:firstLine="3584"/>
      <w:spacing w:before="280" w:after="280" w:line="240" w:lineRule="auto"/>
    </w:pPr>
    <w:rPr>
      <w:rFonts w:ascii="Times New Roman" w:hAnsi="Times New Roman" w:cs="Times New Roman"/>
    </w:rPr>
  </w:style>
  <w:style w:type="paragraph" w:styleId="1357" w:customStyle="1">
    <w:name w:val="xl80"/>
    <w:basedOn w:val="840"/>
    <w:next w:val="1358"/>
    <w:uiPriority w:val="0"/>
    <w:qFormat/>
    <w:pPr>
      <w:ind w:left="0" w:firstLine="3584"/>
      <w:jc w:val="center"/>
      <w:spacing w:before="280" w:after="280" w:line="240" w:lineRule="auto"/>
    </w:pPr>
    <w:rPr>
      <w:rFonts w:ascii="Times New Roman" w:hAnsi="Times New Roman" w:cs="Times New Roman"/>
    </w:rPr>
  </w:style>
  <w:style w:type="paragraph" w:styleId="1358" w:customStyle="1">
    <w:name w:val="样式2"/>
    <w:basedOn w:val="845"/>
    <w:next w:val="1359"/>
    <w:uiPriority w:val="0"/>
    <w:qFormat/>
    <w:pPr>
      <w:ind w:left="1134" w:firstLine="18"/>
      <w:spacing w:before="0" w:after="0" w:line="360" w:lineRule="auto"/>
      <w:outlineLvl w:val="4"/>
    </w:pPr>
  </w:style>
  <w:style w:type="paragraph" w:styleId="1359" w:customStyle="1">
    <w:name w:val="日期1"/>
    <w:basedOn w:val="840"/>
    <w:next w:val="839"/>
    <w:uiPriority w:val="0"/>
    <w:qFormat/>
    <w:pPr>
      <w:ind w:left="100" w:firstLine="6144"/>
      <w:spacing w:before="0" w:after="0" w:line="240" w:lineRule="auto"/>
    </w:pPr>
    <w:rPr>
      <w:rFonts w:ascii="Times New Roman" w:hAnsi="Times New Roman" w:cs="Times New Roman"/>
    </w:rPr>
  </w:style>
  <w:style w:type="paragraph" w:styleId="1360" w:customStyle="1">
    <w:name w:val="图1"/>
    <w:basedOn w:val="840"/>
    <w:next w:val="839"/>
    <w:uiPriority w:val="0"/>
    <w:qFormat/>
    <w:pPr>
      <w:ind w:left="1105" w:firstLine="2580"/>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w:basedOn w:val="840"/>
    <w:next w:val="1342"/>
    <w:uiPriority w:val="0"/>
    <w:qFormat/>
    <w:pPr>
      <w:ind w:left="0" w:firstLine="2560"/>
      <w:spacing w:before="0" w:after="0" w:line="240" w:lineRule="auto"/>
    </w:pPr>
    <w:rPr>
      <w:rFonts w:ascii="Times New Roman" w:hAnsi="Times New Roman" w:cs="Times New Roman"/>
    </w:rPr>
  </w:style>
  <w:style w:type="paragraph" w:styleId="1362" w:customStyle="1">
    <w:name w:val="Char Char Char Char Char Char Char"/>
    <w:basedOn w:val="840"/>
    <w:next w:val="1249"/>
    <w:uiPriority w:val="0"/>
    <w:qFormat/>
    <w:pPr>
      <w:ind w:left="200" w:firstLine="4808"/>
      <w:spacing w:before="0" w:after="0" w:line="360" w:lineRule="auto"/>
    </w:pPr>
    <w:rPr>
      <w:rFonts w:ascii="Times New Roman" w:hAnsi="Times New Roman" w:cs="Times New Roman"/>
    </w:rPr>
  </w:style>
  <w:style w:type="paragraph" w:styleId="1363" w:customStyle="1">
    <w:name w:val="Char Char Char Char Char Char Char Char Char Char Char Char Char Char Char"/>
    <w:basedOn w:val="840"/>
    <w:next w:val="1339"/>
    <w:uiPriority w:val="0"/>
    <w:qFormat/>
    <w:pPr>
      <w:ind w:left="0" w:firstLine="3584"/>
      <w:jc w:val="center"/>
      <w:spacing w:before="0" w:after="0" w:line="400" w:lineRule="exact"/>
    </w:pPr>
    <w:rPr>
      <w:rFonts w:ascii="Times New Roman" w:hAnsi="Times New Roman" w:cs="Times New Roman"/>
    </w:rPr>
  </w:style>
  <w:style w:type="paragraph" w:styleId="1364">
    <w:name w:val="Intense Quote"/>
    <w:next w:val="839"/>
    <w:uiPriority w:val="0"/>
    <w:qFormat/>
    <w:pPr>
      <w:ind w:left="3766" w:right="950"/>
      <w:jc w:val="center"/>
      <w:spacing w:before="360" w:after="360"/>
    </w:pPr>
    <w:rPr>
      <w:rFonts w:hint="default" w:ascii="Calibri" w:hAnsi="Calibri" w:eastAsia="宋体" w:cs="宋体"/>
      <w:i/>
    </w:rPr>
  </w:style>
  <w:style w:type="paragraph" w:styleId="1365" w:customStyle="1">
    <w:name w:val="索引 51"/>
    <w:basedOn w:val="840"/>
    <w:next w:val="839"/>
    <w:uiPriority w:val="0"/>
    <w:qFormat/>
    <w:pPr>
      <w:ind w:left="800" w:firstLine="2560"/>
      <w:jc w:val="center"/>
      <w:spacing w:before="0" w:after="0" w:line="360" w:lineRule="auto"/>
    </w:pPr>
    <w:rPr>
      <w:rFonts w:ascii="Times New Roman" w:hAnsi="Times New Roman" w:cs="Times New Roman"/>
    </w:rPr>
  </w:style>
  <w:style w:type="paragraph" w:styleId="1366" w:customStyle="1">
    <w:name w:val="图表"/>
    <w:basedOn w:val="840"/>
    <w:next w:val="1367"/>
    <w:uiPriority w:val="0"/>
    <w:qFormat/>
    <w:pPr>
      <w:ind w:left="0" w:firstLine="2048"/>
      <w:jc w:val="center"/>
      <w:spacing w:before="0" w:after="0" w:line="240" w:lineRule="auto"/>
    </w:pPr>
    <w:rPr>
      <w:rFonts w:ascii="Times New Roman" w:hAnsi="Times New Roman" w:cs="Times New Roman"/>
    </w:rPr>
  </w:style>
  <w:style w:type="paragraph" w:styleId="1367" w:customStyle="1">
    <w:name w:val="reader-word-layer"/>
    <w:basedOn w:val="840"/>
    <w:next w:val="1368"/>
    <w:uiPriority w:val="0"/>
    <w:qFormat/>
    <w:pPr>
      <w:ind w:left="0" w:firstLine="1024"/>
      <w:spacing w:before="280" w:after="280" w:line="240" w:lineRule="auto"/>
    </w:pPr>
    <w:rPr>
      <w:rFonts w:ascii="Times New Roman" w:hAnsi="Times New Roman" w:cs="Times New Roman"/>
    </w:rPr>
  </w:style>
  <w:style w:type="paragraph" w:styleId="1368" w:customStyle="1">
    <w:name w:val="样式 加粗 居中1"/>
    <w:next w:val="1209"/>
    <w:uiPriority w:val="0"/>
    <w:qFormat/>
    <w:pPr>
      <w:ind w:firstLine="2560"/>
      <w:jc w:val="center"/>
    </w:pPr>
    <w:rPr>
      <w:rFonts w:hint="default" w:ascii="Calibri" w:hAnsi="Calibri" w:eastAsia="宋体" w:cs="宋体"/>
    </w:rPr>
  </w:style>
  <w:style w:type="paragraph" w:styleId="1369" w:customStyle="1">
    <w:name w:val="修订2"/>
    <w:uiPriority w:val="0"/>
    <w:qFormat/>
    <w:rPr>
      <w:rFonts w:hint="default" w:ascii="Calibri" w:hAnsi="Calibri" w:eastAsia="宋体" w:cs="宋体"/>
    </w:rPr>
  </w:style>
  <w:style w:type="paragraph" w:styleId="1370" w:customStyle="1">
    <w:name w:val="Body"/>
    <w:next w:val="1303"/>
    <w:uiPriority w:val="0"/>
    <w:qFormat/>
    <w:pPr>
      <w:ind w:left="567" w:right="2835" w:firstLine="3584"/>
      <w:spacing w:after="60"/>
    </w:pPr>
    <w:rPr>
      <w:rFonts w:hint="default" w:ascii="Calibri" w:hAnsi="Calibri" w:eastAsia="宋体" w:cs="宋体"/>
    </w:rPr>
  </w:style>
  <w:style w:type="paragraph" w:styleId="1371" w:customStyle="1">
    <w:name w:val="font6"/>
    <w:basedOn w:val="840"/>
    <w:next w:val="1372"/>
    <w:uiPriority w:val="0"/>
    <w:qFormat/>
    <w:pPr>
      <w:ind w:left="0" w:firstLine="5120"/>
      <w:spacing w:before="280" w:after="280" w:line="240" w:lineRule="auto"/>
    </w:pPr>
    <w:rPr>
      <w:rFonts w:ascii="Times New Roman" w:hAnsi="Times New Roman" w:cs="Times New Roman"/>
    </w:rPr>
  </w:style>
  <w:style w:type="paragraph" w:styleId="1372" w:customStyle="1">
    <w:name w:val="正文首行缩进 21"/>
    <w:basedOn w:val="866"/>
    <w:next w:val="1370"/>
    <w:uiPriority w:val="0"/>
    <w:qFormat/>
    <w:pPr>
      <w:ind w:left="200" w:firstLine="3784"/>
      <w:jc w:val="center"/>
      <w:spacing w:after="120" w:line="360" w:lineRule="auto"/>
    </w:pPr>
    <w:rPr>
      <w:rFonts w:ascii="Calibri" w:hAnsi="Calibri"/>
    </w:rPr>
  </w:style>
  <w:style w:type="paragraph" w:styleId="1373" w:customStyle="1">
    <w:name w:val="Char Char"/>
    <w:next w:val="1366"/>
    <w:uiPriority w:val="0"/>
    <w:qFormat/>
    <w:pPr>
      <w:ind w:firstLine="14"/>
      <w:spacing w:line="360" w:lineRule="auto"/>
      <w:shd w:val="clear" w:color="000000" w:fill="000080"/>
    </w:pPr>
    <w:rPr>
      <w:rFonts w:hint="default" w:ascii="Calibri" w:hAnsi="Calibri" w:eastAsia="宋体" w:cs="宋体"/>
    </w:rPr>
  </w:style>
  <w:style w:type="paragraph" w:styleId="1374" w:customStyle="1">
    <w:name w:val="正文_0_0"/>
    <w:next w:val="1208"/>
    <w:uiPriority w:val="0"/>
    <w:qFormat/>
    <w:pPr>
      <w:ind w:firstLine="3584"/>
      <w:jc w:val="both"/>
      <w:widowControl w:val="off"/>
    </w:pPr>
    <w:rPr>
      <w:rFonts w:hint="default" w:ascii="Calibri" w:hAnsi="Calibri" w:eastAsia="宋体" w:cs="宋体"/>
    </w:rPr>
  </w:style>
  <w:style w:type="paragraph" w:styleId="1375" w:customStyle="1">
    <w:name w:val="font7"/>
    <w:basedOn w:val="840"/>
    <w:next w:val="1376"/>
    <w:uiPriority w:val="0"/>
    <w:qFormat/>
    <w:pPr>
      <w:ind w:left="0" w:firstLine="3584"/>
      <w:spacing w:before="280" w:after="280" w:line="240" w:lineRule="auto"/>
    </w:pPr>
    <w:rPr>
      <w:rFonts w:ascii="Times New Roman" w:hAnsi="Times New Roman" w:cs="Times New Roman"/>
    </w:rPr>
  </w:style>
  <w:style w:type="paragraph" w:styleId="1376" w:customStyle="1">
    <w:name w:val="Char Char Char Char Char Char1 Char Char Char Char Char Char1 Char Char Char1"/>
    <w:basedOn w:val="840"/>
    <w:next w:val="1377"/>
    <w:uiPriority w:val="0"/>
    <w:qFormat/>
    <w:pPr>
      <w:ind w:left="0" w:firstLine="2560"/>
      <w:spacing w:before="0" w:after="0" w:line="240" w:lineRule="auto"/>
    </w:pPr>
    <w:rPr>
      <w:rFonts w:ascii="Times New Roman" w:hAnsi="Times New Roman" w:cs="Times New Roman"/>
    </w:rPr>
  </w:style>
  <w:style w:type="paragraph" w:styleId="1377" w:customStyle="1">
    <w:name w:val="xl64"/>
    <w:basedOn w:val="840"/>
    <w:next w:val="1345"/>
    <w:uiPriority w:val="0"/>
    <w:qFormat/>
    <w:pPr>
      <w:ind w:left="0" w:firstLine="3584"/>
      <w:spacing w:before="280" w:after="280" w:line="240" w:lineRule="auto"/>
    </w:pPr>
    <w:rPr>
      <w:rFonts w:ascii="Times New Roman" w:hAnsi="Times New Roman" w:cs="Times New Roman"/>
    </w:rPr>
  </w:style>
  <w:style w:type="paragraph" w:styleId="1378" w:customStyle="1">
    <w:name w:val="style16"/>
    <w:basedOn w:val="840"/>
    <w:next w:val="1371"/>
    <w:uiPriority w:val="0"/>
    <w:qFormat/>
    <w:pPr>
      <w:ind w:left="0" w:firstLine="2048"/>
      <w:spacing w:before="280" w:after="280" w:line="240" w:lineRule="auto"/>
    </w:pPr>
    <w:rPr>
      <w:rFonts w:ascii="Times New Roman" w:hAnsi="Times New Roman" w:cs="Times New Roman"/>
    </w:rPr>
  </w:style>
  <w:style w:type="paragraph" w:styleId="1379" w:customStyle="1">
    <w:name w:val="索引 11"/>
    <w:basedOn w:val="840"/>
    <w:next w:val="839"/>
    <w:uiPriority w:val="0"/>
    <w:qFormat/>
    <w:pPr>
      <w:ind w:left="0" w:firstLine="3584"/>
      <w:spacing w:before="0" w:after="0" w:line="240" w:lineRule="auto"/>
    </w:pPr>
    <w:rPr>
      <w:rFonts w:ascii="Times New Roman" w:hAnsi="Times New Roman" w:cs="Times New Roman"/>
    </w:rPr>
  </w:style>
  <w:style w:type="paragraph" w:styleId="1380" w:customStyle="1">
    <w:name w:val="H 3"/>
    <w:basedOn w:val="843"/>
    <w:next w:val="1381"/>
    <w:uiPriority w:val="0"/>
    <w:qFormat/>
    <w:pPr>
      <w:ind w:left="1429" w:firstLine="18"/>
      <w:spacing w:before="0" w:after="0" w:line="360" w:lineRule="auto"/>
      <w:outlineLvl w:val="2"/>
    </w:pPr>
  </w:style>
  <w:style w:type="paragraph" w:styleId="1381" w:customStyle="1">
    <w:name w:val="xl83"/>
    <w:basedOn w:val="840"/>
    <w:next w:val="1362"/>
    <w:uiPriority w:val="0"/>
    <w:qFormat/>
    <w:pPr>
      <w:ind w:left="0" w:firstLine="5120"/>
      <w:spacing w:before="280" w:after="280" w:line="240" w:lineRule="auto"/>
    </w:pPr>
    <w:rPr>
      <w:rFonts w:ascii="Times New Roman" w:hAnsi="Times New Roman" w:cs="Times New Roman"/>
    </w:rPr>
  </w:style>
  <w:style w:type="paragraph" w:styleId="1382" w:customStyle="1">
    <w:name w:val="表格文字（居中）"/>
    <w:basedOn w:val="840"/>
    <w:next w:val="1378"/>
    <w:uiPriority w:val="0"/>
    <w:qFormat/>
    <w:pPr>
      <w:ind w:left="0" w:firstLine="2560"/>
      <w:jc w:val="center"/>
      <w:spacing w:before="0" w:after="0" w:line="360" w:lineRule="auto"/>
    </w:pPr>
    <w:rPr>
      <w:rFonts w:ascii="Times New Roman" w:hAnsi="Times New Roman" w:cs="Times New Roman"/>
    </w:rPr>
  </w:style>
  <w:style w:type="paragraph" w:styleId="1383" w:customStyle="1">
    <w:name w:val="正文首行缩进两字符"/>
    <w:basedOn w:val="840"/>
    <w:next w:val="1365"/>
    <w:uiPriority w:val="0"/>
    <w:qFormat/>
    <w:pPr>
      <w:ind w:left="200" w:firstLine="3784"/>
      <w:spacing w:before="0" w:after="0" w:line="360" w:lineRule="auto"/>
    </w:pPr>
    <w:rPr>
      <w:rFonts w:ascii="Times New Roman" w:hAnsi="Times New Roman" w:cs="Times New Roman"/>
    </w:rPr>
  </w:style>
  <w:style w:type="paragraph" w:styleId="1384" w:customStyle="1">
    <w:name w:val="1"/>
    <w:basedOn w:val="840"/>
    <w:next w:val="874"/>
    <w:uiPriority w:val="0"/>
    <w:qFormat/>
    <w:pPr>
      <w:ind w:left="0" w:firstLine="2048"/>
      <w:spacing w:before="0" w:after="0" w:line="240" w:lineRule="auto"/>
    </w:pPr>
    <w:rPr>
      <w:rFonts w:ascii="Times New Roman" w:hAnsi="Times New Roman" w:cs="Times New Roman"/>
    </w:rPr>
  </w:style>
  <w:style w:type="paragraph" w:styleId="1385" w:customStyle="1">
    <w:name w:val="_Style 398"/>
    <w:basedOn w:val="840"/>
    <w:next w:val="83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6" w:customStyle="1">
    <w:name w:val="Table Paragraph"/>
    <w:basedOn w:val="839"/>
    <w:uiPriority w:val="1"/>
    <w:qFormat/>
    <w:rPr>
      <w:rFonts w:ascii="宋体" w:hAnsi="宋体"/>
      <w:lang w:val="zh-CN" w:bidi="zh-CN"/>
    </w:rPr>
  </w:style>
  <w:style w:type="paragraph" w:styleId="1387" w:customStyle="1">
    <w:name w:val="_Style 400"/>
    <w:uiPriority w:val="0"/>
    <w:qFormat/>
    <w:rPr>
      <w:rFonts w:hint="default" w:ascii="Calibri" w:hAnsi="Calibri" w:eastAsia="宋体" w:cs="宋体"/>
    </w:rPr>
  </w:style>
  <w:style w:type="paragraph" w:styleId="1388" w:customStyle="1">
    <w:name w:val="Style1"/>
    <w:basedOn w:val="83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9" w:customStyle="1">
    <w:name w:val="msolistparagraph"/>
    <w:basedOn w:val="840"/>
    <w:next w:val="1255"/>
    <w:uiPriority w:val="0"/>
    <w:qFormat/>
    <w:pPr>
      <w:ind w:left="420" w:firstLine="3748"/>
      <w:spacing w:before="0" w:after="0" w:line="240" w:lineRule="auto"/>
    </w:pPr>
    <w:rPr>
      <w:rFonts w:ascii="Times New Roman" w:hAnsi="Times New Roman" w:cs="Times New Roman"/>
    </w:rPr>
  </w:style>
  <w:style w:type="paragraph" w:styleId="1390" w:customStyle="1">
    <w:name w:val="Char1 Char Char Char"/>
    <w:basedOn w:val="840"/>
    <w:next w:val="1391"/>
    <w:uiPriority w:val="0"/>
    <w:qFormat/>
    <w:pPr>
      <w:ind w:left="0" w:firstLine="2560"/>
      <w:spacing w:before="0" w:after="0" w:line="240" w:lineRule="auto"/>
    </w:pPr>
    <w:rPr>
      <w:rFonts w:ascii="Times New Roman" w:hAnsi="Times New Roman" w:cs="Times New Roman"/>
    </w:rPr>
  </w:style>
  <w:style w:type="paragraph" w:styleId="1391" w:customStyle="1">
    <w:name w:val="xl24"/>
    <w:basedOn w:val="840"/>
    <w:next w:val="133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2" w:customStyle="1">
    <w:name w:val="表格文字"/>
    <w:next w:val="1350"/>
    <w:uiPriority w:val="0"/>
    <w:qFormat/>
    <w:pPr>
      <w:ind w:firstLine="3584"/>
    </w:pPr>
    <w:rPr>
      <w:rFonts w:hint="default" w:ascii="Calibri" w:hAnsi="Calibri" w:eastAsia="宋体" w:cs="宋体"/>
    </w:rPr>
  </w:style>
  <w:style w:type="paragraph" w:styleId="1393" w:customStyle="1">
    <w:name w:val="xl72"/>
    <w:basedOn w:val="840"/>
    <w:next w:val="1251"/>
    <w:uiPriority w:val="0"/>
    <w:qFormat/>
    <w:pPr>
      <w:ind w:left="0" w:firstLine="3584"/>
      <w:spacing w:before="280" w:after="280" w:line="240" w:lineRule="auto"/>
    </w:pPr>
    <w:rPr>
      <w:rFonts w:ascii="Times New Roman" w:hAnsi="Times New Roman" w:cs="Times New Roman"/>
    </w:rPr>
  </w:style>
  <w:style w:type="paragraph" w:styleId="1394" w:customStyle="1">
    <w:name w:val="插图"/>
    <w:next w:val="839"/>
    <w:uiPriority w:val="0"/>
    <w:qFormat/>
    <w:pPr>
      <w:ind w:firstLine="4608"/>
      <w:jc w:val="center"/>
    </w:pPr>
    <w:rPr>
      <w:rFonts w:hint="default" w:ascii="Calibri" w:hAnsi="Calibri" w:eastAsia="宋体" w:cs="宋体"/>
    </w:rPr>
  </w:style>
  <w:style w:type="paragraph" w:styleId="1395" w:customStyle="1">
    <w:name w:val="列出段落3"/>
    <w:basedOn w:val="840"/>
    <w:next w:val="1290"/>
    <w:uiPriority w:val="0"/>
    <w:qFormat/>
    <w:pPr>
      <w:ind w:left="420" w:firstLine="3748"/>
      <w:spacing w:before="0" w:after="0" w:line="240" w:lineRule="auto"/>
    </w:pPr>
    <w:rPr>
      <w:rFonts w:ascii="Times New Roman" w:hAnsi="Times New Roman" w:cs="Times New Roman"/>
    </w:rPr>
  </w:style>
  <w:style w:type="paragraph" w:styleId="1396" w:customStyle="1">
    <w:name w:val="目录标题"/>
    <w:basedOn w:val="840"/>
    <w:next w:val="839"/>
    <w:uiPriority w:val="0"/>
    <w:qFormat/>
    <w:pPr>
      <w:ind w:left="419" w:firstLine="7331"/>
      <w:jc w:val="center"/>
      <w:spacing w:before="566" w:after="544" w:line="566" w:lineRule="atLeast"/>
    </w:pPr>
    <w:rPr>
      <w:rFonts w:ascii="Times New Roman" w:hAnsi="Times New Roman" w:cs="Times New Roman"/>
    </w:rPr>
  </w:style>
  <w:style w:type="paragraph" w:styleId="1397" w:customStyle="1">
    <w:name w:val="默认段落字体 Para Char Char Char Char Char Char Char Char Char1 Char Char Char Char"/>
    <w:basedOn w:val="840"/>
    <w:next w:val="1293"/>
    <w:uiPriority w:val="0"/>
    <w:qFormat/>
    <w:pPr>
      <w:ind w:left="0" w:firstLine="2560"/>
      <w:spacing w:before="0" w:after="0" w:line="240" w:lineRule="auto"/>
    </w:pPr>
    <w:rPr>
      <w:rFonts w:ascii="Times New Roman" w:hAnsi="Times New Roman" w:cs="Times New Roman"/>
    </w:rPr>
  </w:style>
  <w:style w:type="paragraph" w:styleId="1398" w:customStyle="1">
    <w:name w:val="WPSOffice手动目录 2"/>
    <w:uiPriority w:val="0"/>
    <w:qFormat/>
    <w:pPr>
      <w:ind w:left="200"/>
    </w:pPr>
    <w:rPr>
      <w:rFonts w:hint="default" w:ascii="宋体" w:hAnsi="宋体" w:eastAsia="宋体" w:cs="宋体"/>
    </w:rPr>
  </w:style>
  <w:style w:type="paragraph" w:styleId="1399" w:customStyle="1">
    <w:name w:val="表内文字"/>
    <w:basedOn w:val="840"/>
    <w:next w:val="882"/>
    <w:uiPriority w:val="0"/>
    <w:qFormat/>
    <w:pPr>
      <w:ind w:left="0" w:firstLine="7680"/>
      <w:jc w:val="center"/>
      <w:spacing w:before="50" w:after="50" w:line="240" w:lineRule="auto"/>
    </w:pPr>
    <w:rPr>
      <w:rFonts w:ascii="Times New Roman" w:hAnsi="Times New Roman" w:cs="Times New Roman"/>
    </w:rPr>
  </w:style>
  <w:style w:type="paragraph" w:styleId="1400" w:customStyle="1">
    <w:name w:val="xl66"/>
    <w:basedOn w:val="840"/>
    <w:next w:val="1382"/>
    <w:uiPriority w:val="0"/>
    <w:qFormat/>
    <w:pPr>
      <w:ind w:left="0" w:firstLine="3584"/>
      <w:spacing w:before="280" w:after="280" w:line="240" w:lineRule="auto"/>
    </w:pPr>
    <w:rPr>
      <w:rFonts w:ascii="Times New Roman" w:hAnsi="Times New Roman" w:cs="Times New Roman"/>
    </w:rPr>
  </w:style>
  <w:style w:type="paragraph" w:styleId="1401" w:customStyle="1">
    <w:name w:val="*正文"/>
    <w:basedOn w:val="839"/>
    <w:uiPriority w:val="0"/>
    <w:qFormat/>
    <w:pPr>
      <w:ind w:left="0" w:firstLine="200"/>
      <w:spacing w:line="360" w:lineRule="auto"/>
    </w:pPr>
    <w:rPr>
      <w:rFonts w:ascii="仿宋_GB2312" w:hAnsi="Times New Roman" w:eastAsia="仿宋_GB2312" w:cs="Times New Roman"/>
      <w:sz w:val="24"/>
      <w:szCs w:val="28"/>
    </w:rPr>
  </w:style>
  <w:style w:type="paragraph" w:styleId="1402" w:customStyle="1">
    <w:name w:val="0"/>
    <w:basedOn w:val="840"/>
    <w:next w:val="1296"/>
    <w:uiPriority w:val="0"/>
    <w:qFormat/>
    <w:pPr>
      <w:ind w:left="0" w:firstLine="2815"/>
      <w:spacing w:before="0" w:after="0" w:line="360" w:lineRule="auto"/>
    </w:pPr>
    <w:rPr>
      <w:rFonts w:ascii="Times New Roman" w:hAnsi="Times New Roman" w:cs="Times New Roman"/>
    </w:rPr>
  </w:style>
  <w:style w:type="table" w:styleId="1403" w:customStyle="1">
    <w:name w:val="网格型1"/>
    <w:basedOn w:val="850"/>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4" w:customStyle="1">
    <w:name w:val="font61"/>
    <w:uiPriority w:val="0"/>
    <w:qFormat/>
    <w:rPr>
      <w:rFonts w:hint="default" w:ascii="Times New Roman" w:hAnsi="Times New Roman" w:cs="Times New Roman"/>
      <w:b/>
      <w:bCs/>
      <w:color w:val="000000"/>
      <w:sz w:val="24"/>
      <w:szCs w:val="24"/>
      <w:u w:val="none"/>
    </w:rPr>
  </w:style>
  <w:style w:type="table" w:styleId="1405" w:customStyle="1">
    <w:name w:val="Table Normal"/>
    <w:uiPriority w:val="0"/>
    <w:semiHidden/>
    <w:unhideWhenUsed/>
    <w:qFormat/>
    <w:rPr>
      <w:rFonts w:ascii="Calibri" w:hAnsi="Calibri" w:cs="Calibri" w:eastAsiaTheme="minorEastAsia"/>
    </w:rPr>
    <w:tblPr>
      <w:tblCellMar>
        <w:left w:w="0" w:type="dxa"/>
        <w:top w:w="0" w:type="dxa"/>
        <w:right w:w="0" w:type="dxa"/>
        <w:bottom w:w="0" w:type="dxa"/>
      </w:tblCellMar>
    </w:tblPr>
  </w:style>
  <w:style w:type="paragraph" w:styleId="1406" w:customStyle="1">
    <w:name w:val="纯文本11"/>
    <w:basedOn w:val="839"/>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宋体"/>
      <w:sz w:val="21"/>
      <w:szCs w:val="21"/>
      <w:lang w:val="en-US" w:eastAsia="zh-CN" w:bidi="ar"/>
    </w:rPr>
  </w:style>
  <w:style w:type="paragraph" w:styleId="1407" w:customStyle="1">
    <w:name w:val="纯文本111"/>
    <w:basedOn w:val="839"/>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宋体"/>
      <w:sz w:val="21"/>
      <w:szCs w:val="21"/>
      <w:lang w:val="en-US" w:eastAsia="zh-CN" w:bidi="ar"/>
    </w:rPr>
  </w:style>
  <w:style w:type="numbering" w:styleId="13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64C7407-6A65-483B-AACC-4483A54514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2</cp:revision>
  <dcterms:created xsi:type="dcterms:W3CDTF">2023-12-28T13:18:00Z</dcterms:created>
  <dcterms:modified xsi:type="dcterms:W3CDTF">2026-07-30T05:15:11Z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353929C0F8F8428F867B0CB8AB6B4DC4_13</vt:lpwstr>
  </property>
  <property fmtid="{D5CDD505-2E9C-101B-9397-08002B2CF9AE}" pid="4" name="commondata">
    <vt:lpwstr>eyJoZGlkIjoiMmU4NDdkODk2MjZlOTI5YjA5ZDk0Y2IwMDEyMjA1NGUifQ==</vt:lpwstr>
  </property>
  <property fmtid="{D5CDD505-2E9C-101B-9397-08002B2CF9AE}" pid="5" name="KSOTemplateDocerSaveRecord">
    <vt:lpwstr>eyJoZGlkIjoiNmQ3NDA0NjkwMGEyMTY3NDEwN2Y2MmRlNjRjZGRjMWEiLCJ1c2VySWQiOiIyMzkyNTg3OTUifQ==</vt:lpwstr>
  </property>
</Properties>
</file>