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873EF">
      <w:pPr>
        <w:ind w:firstLine="413"/>
        <w:rPr>
          <w:rFonts w:hint="eastAsia" w:ascii="宋体" w:hAnsi="宋体" w:cs="宋体"/>
          <w:caps/>
          <w:color w:val="000000"/>
          <w:sz w:val="32"/>
          <w:szCs w:val="32"/>
          <w:highlight w:val="none"/>
          <w:lang w:val="zh-CN"/>
        </w:rPr>
      </w:pPr>
    </w:p>
    <w:p w14:paraId="67047CE7">
      <w:pPr>
        <w:pStyle w:val="547"/>
        <w:jc w:val="center"/>
        <w:rPr>
          <w:rFonts w:eastAsia="黑体"/>
          <w:b/>
          <w:bCs/>
          <w:sz w:val="84"/>
          <w:highlight w:val="none"/>
        </w:rPr>
      </w:pPr>
    </w:p>
    <w:p w14:paraId="32388508">
      <w:pPr>
        <w:pStyle w:val="547"/>
        <w:jc w:val="center"/>
        <w:rPr>
          <w:rFonts w:eastAsia="黑体"/>
          <w:b/>
          <w:bCs/>
          <w:sz w:val="84"/>
          <w:highlight w:val="none"/>
        </w:rPr>
      </w:pPr>
      <w:r>
        <w:rPr>
          <w:rFonts w:hint="eastAsia" w:eastAsia="黑体"/>
          <w:b/>
          <w:bCs/>
          <w:sz w:val="84"/>
          <w:highlight w:val="none"/>
        </w:rPr>
        <w:t>招　标　文　件</w:t>
      </w:r>
    </w:p>
    <w:tbl>
      <w:tblPr>
        <w:tblStyle w:val="30"/>
        <w:tblW w:w="0" w:type="auto"/>
        <w:jc w:val="center"/>
        <w:tblLayout w:type="autofit"/>
        <w:tblCellMar>
          <w:top w:w="0" w:type="dxa"/>
          <w:left w:w="108" w:type="dxa"/>
          <w:bottom w:w="0" w:type="dxa"/>
          <w:right w:w="108" w:type="dxa"/>
        </w:tblCellMar>
      </w:tblPr>
      <w:tblGrid>
        <w:gridCol w:w="6940"/>
      </w:tblGrid>
      <w:tr w14:paraId="369048D1">
        <w:tblPrEx>
          <w:tblCellMar>
            <w:top w:w="0" w:type="dxa"/>
            <w:left w:w="108" w:type="dxa"/>
            <w:bottom w:w="0" w:type="dxa"/>
            <w:right w:w="108" w:type="dxa"/>
          </w:tblCellMar>
        </w:tblPrEx>
        <w:trPr>
          <w:trHeight w:val="1789" w:hRule="atLeast"/>
          <w:jc w:val="center"/>
        </w:trPr>
        <w:tc>
          <w:tcPr>
            <w:tcW w:w="6940" w:type="dxa"/>
            <w:tcBorders>
              <w:top w:val="nil"/>
              <w:left w:val="nil"/>
              <w:bottom w:val="nil"/>
              <w:right w:val="nil"/>
            </w:tcBorders>
          </w:tcPr>
          <w:p w14:paraId="3D5458F3">
            <w:pPr>
              <w:spacing w:line="360" w:lineRule="auto"/>
              <w:ind w:left="1506" w:hanging="1506"/>
              <w:jc w:val="center"/>
              <w:rPr>
                <w:b/>
                <w:sz w:val="30"/>
                <w:szCs w:val="30"/>
                <w:highlight w:val="none"/>
              </w:rPr>
            </w:pPr>
          </w:p>
          <w:p w14:paraId="67E54255">
            <w:pPr>
              <w:spacing w:line="360" w:lineRule="auto"/>
              <w:ind w:left="1506" w:hanging="1506"/>
              <w:jc w:val="center"/>
              <w:rPr>
                <w:b/>
                <w:sz w:val="30"/>
                <w:szCs w:val="30"/>
                <w:highlight w:val="none"/>
              </w:rPr>
            </w:pPr>
          </w:p>
          <w:p w14:paraId="612EB1D6">
            <w:pPr>
              <w:spacing w:line="360" w:lineRule="auto"/>
              <w:ind w:left="1506" w:hanging="1506"/>
              <w:jc w:val="center"/>
              <w:rPr>
                <w:b/>
                <w:sz w:val="32"/>
                <w:szCs w:val="32"/>
                <w:highlight w:val="none"/>
              </w:rPr>
            </w:pPr>
            <w:r>
              <w:rPr>
                <w:rFonts w:hint="eastAsia"/>
                <w:b/>
                <w:sz w:val="30"/>
                <w:szCs w:val="30"/>
                <w:highlight w:val="none"/>
              </w:rPr>
              <w:t>项目名称：</w:t>
            </w:r>
            <w:r>
              <w:rPr>
                <w:rFonts w:hint="eastAsia"/>
                <w:b/>
                <w:sz w:val="32"/>
                <w:szCs w:val="32"/>
                <w:highlight w:val="none"/>
              </w:rPr>
              <w:t>马诚山、马子山墓区综合服务采购</w:t>
            </w:r>
          </w:p>
          <w:p w14:paraId="57693B5A">
            <w:pPr>
              <w:spacing w:line="360" w:lineRule="auto"/>
              <w:jc w:val="center"/>
              <w:rPr>
                <w:b/>
                <w:sz w:val="30"/>
                <w:szCs w:val="30"/>
                <w:highlight w:val="none"/>
              </w:rPr>
            </w:pPr>
          </w:p>
          <w:p w14:paraId="7B16D903">
            <w:pPr>
              <w:spacing w:line="360" w:lineRule="auto"/>
              <w:jc w:val="center"/>
              <w:rPr>
                <w:rFonts w:hint="eastAsia" w:eastAsia="宋体"/>
                <w:b/>
                <w:sz w:val="30"/>
                <w:szCs w:val="30"/>
                <w:highlight w:val="none"/>
                <w:lang w:eastAsia="zh-CN"/>
              </w:rPr>
            </w:pPr>
            <w:r>
              <w:rPr>
                <w:rFonts w:hint="eastAsia"/>
                <w:b/>
                <w:sz w:val="30"/>
                <w:szCs w:val="30"/>
                <w:highlight w:val="none"/>
              </w:rPr>
              <w:t>项目编号：</w:t>
            </w:r>
            <w:r>
              <w:rPr>
                <w:rFonts w:hint="eastAsia"/>
                <w:b/>
                <w:sz w:val="30"/>
                <w:szCs w:val="30"/>
                <w:highlight w:val="none"/>
                <w:lang w:eastAsia="zh-CN"/>
              </w:rPr>
              <w:t>JSZC-320100-XMGL-G2026-0007</w:t>
            </w:r>
          </w:p>
        </w:tc>
      </w:tr>
    </w:tbl>
    <w:p w14:paraId="58465629">
      <w:pPr>
        <w:spacing w:line="360" w:lineRule="auto"/>
        <w:jc w:val="center"/>
        <w:rPr>
          <w:b/>
          <w:sz w:val="30"/>
          <w:szCs w:val="30"/>
          <w:highlight w:val="none"/>
        </w:rPr>
      </w:pPr>
    </w:p>
    <w:p w14:paraId="1D6453BD">
      <w:pPr>
        <w:spacing w:line="360" w:lineRule="auto"/>
        <w:jc w:val="center"/>
        <w:rPr>
          <w:b/>
          <w:sz w:val="30"/>
          <w:szCs w:val="30"/>
          <w:highlight w:val="none"/>
        </w:rPr>
      </w:pPr>
      <w:r>
        <w:rPr>
          <w:rFonts w:hint="eastAsia"/>
          <w:b/>
          <w:sz w:val="30"/>
          <w:szCs w:val="30"/>
          <w:highlight w:val="none"/>
        </w:rPr>
        <w:t>（非</w:t>
      </w:r>
      <w:r>
        <w:rPr>
          <w:rFonts w:hint="eastAsia" w:ascii="宋体" w:hAnsi="宋体" w:cs="宋体"/>
          <w:b/>
          <w:bCs/>
          <w:sz w:val="30"/>
          <w:szCs w:val="30"/>
          <w:highlight w:val="none"/>
        </w:rPr>
        <w:t>专门</w:t>
      </w:r>
      <w:r>
        <w:rPr>
          <w:rFonts w:hint="eastAsia"/>
          <w:b/>
          <w:sz w:val="30"/>
          <w:szCs w:val="30"/>
          <w:highlight w:val="none"/>
        </w:rPr>
        <w:t>面向中小企业）</w:t>
      </w:r>
    </w:p>
    <w:p w14:paraId="2CED4244">
      <w:pPr>
        <w:spacing w:line="360" w:lineRule="auto"/>
        <w:jc w:val="left"/>
        <w:rPr>
          <w:rFonts w:hint="eastAsia" w:ascii="宋体" w:hAnsi="宋体"/>
          <w:sz w:val="24"/>
          <w:highlight w:val="none"/>
        </w:rPr>
      </w:pPr>
    </w:p>
    <w:p w14:paraId="251404EB">
      <w:pPr>
        <w:spacing w:line="360" w:lineRule="auto"/>
        <w:jc w:val="left"/>
        <w:rPr>
          <w:rFonts w:hint="eastAsia" w:ascii="宋体" w:hAnsi="宋体"/>
          <w:sz w:val="24"/>
          <w:highlight w:val="none"/>
        </w:rPr>
      </w:pPr>
    </w:p>
    <w:p w14:paraId="0C0D7986">
      <w:pPr>
        <w:spacing w:line="360" w:lineRule="auto"/>
        <w:jc w:val="left"/>
        <w:rPr>
          <w:rFonts w:hint="eastAsia" w:ascii="宋体" w:hAnsi="宋体"/>
          <w:sz w:val="24"/>
          <w:highlight w:val="none"/>
        </w:rPr>
      </w:pPr>
    </w:p>
    <w:p w14:paraId="7BFBCE76">
      <w:pPr>
        <w:spacing w:line="360" w:lineRule="auto"/>
        <w:jc w:val="left"/>
        <w:rPr>
          <w:rFonts w:hint="eastAsia" w:ascii="宋体" w:hAnsi="宋体"/>
          <w:sz w:val="24"/>
          <w:highlight w:val="none"/>
        </w:rPr>
      </w:pPr>
    </w:p>
    <w:p w14:paraId="062C7B55">
      <w:pPr>
        <w:pStyle w:val="115"/>
        <w:rPr>
          <w:highlight w:val="none"/>
        </w:rPr>
      </w:pPr>
    </w:p>
    <w:p w14:paraId="73842618">
      <w:pPr>
        <w:pStyle w:val="115"/>
        <w:rPr>
          <w:highlight w:val="none"/>
        </w:rPr>
      </w:pPr>
    </w:p>
    <w:p w14:paraId="2FB66C18">
      <w:pPr>
        <w:pStyle w:val="115"/>
        <w:rPr>
          <w:highlight w:val="none"/>
        </w:rPr>
      </w:pPr>
    </w:p>
    <w:p w14:paraId="045D947D">
      <w:pPr>
        <w:pStyle w:val="115"/>
        <w:rPr>
          <w:highlight w:val="none"/>
        </w:rPr>
      </w:pPr>
    </w:p>
    <w:p w14:paraId="151622A1">
      <w:pPr>
        <w:pStyle w:val="115"/>
        <w:rPr>
          <w:highlight w:val="none"/>
        </w:rPr>
      </w:pPr>
    </w:p>
    <w:p w14:paraId="0D3B3C34">
      <w:pPr>
        <w:spacing w:line="360" w:lineRule="auto"/>
        <w:jc w:val="left"/>
        <w:rPr>
          <w:rFonts w:hint="eastAsia" w:ascii="宋体" w:hAnsi="宋体"/>
          <w:sz w:val="24"/>
          <w:highlight w:val="none"/>
        </w:rPr>
      </w:pPr>
    </w:p>
    <w:p w14:paraId="348155D5">
      <w:pPr>
        <w:spacing w:line="360" w:lineRule="auto"/>
        <w:jc w:val="left"/>
        <w:rPr>
          <w:rFonts w:hint="eastAsia" w:ascii="宋体" w:hAnsi="宋体"/>
          <w:sz w:val="24"/>
          <w:highlight w:val="none"/>
        </w:rPr>
      </w:pPr>
    </w:p>
    <w:p w14:paraId="60C69608">
      <w:pPr>
        <w:pStyle w:val="547"/>
        <w:spacing w:line="240" w:lineRule="auto"/>
        <w:jc w:val="center"/>
        <w:rPr>
          <w:b/>
          <w:bCs/>
          <w:sz w:val="32"/>
          <w:highlight w:val="none"/>
        </w:rPr>
      </w:pPr>
      <w:r>
        <w:rPr>
          <w:rFonts w:hint="eastAsia"/>
          <w:b/>
          <w:bCs/>
          <w:sz w:val="32"/>
          <w:highlight w:val="none"/>
        </w:rPr>
        <w:t>招标人：南京市回民殡葬服务所</w:t>
      </w:r>
    </w:p>
    <w:p w14:paraId="3D769FF3">
      <w:pPr>
        <w:pStyle w:val="547"/>
        <w:spacing w:line="240" w:lineRule="auto"/>
        <w:ind w:firstLine="0"/>
        <w:jc w:val="center"/>
        <w:rPr>
          <w:b/>
          <w:bCs/>
          <w:sz w:val="32"/>
          <w:highlight w:val="none"/>
        </w:rPr>
      </w:pPr>
      <w:r>
        <w:rPr>
          <w:rFonts w:hint="eastAsia"/>
          <w:b/>
          <w:bCs/>
          <w:sz w:val="32"/>
          <w:highlight w:val="none"/>
        </w:rPr>
        <w:t>采购代理机构：江苏全过程项目管理有限公司</w:t>
      </w:r>
    </w:p>
    <w:p w14:paraId="0AE30E77">
      <w:pPr>
        <w:jc w:val="center"/>
        <w:rPr>
          <w:szCs w:val="22"/>
          <w:highlight w:val="none"/>
        </w:rPr>
      </w:pPr>
      <w:r>
        <w:rPr>
          <w:b/>
          <w:sz w:val="32"/>
          <w:szCs w:val="32"/>
          <w:highlight w:val="none"/>
        </w:rPr>
        <w:t>2026</w:t>
      </w:r>
      <w:r>
        <w:rPr>
          <w:rFonts w:hint="eastAsia"/>
          <w:b/>
          <w:sz w:val="32"/>
          <w:szCs w:val="32"/>
          <w:highlight w:val="none"/>
        </w:rPr>
        <w:t>年7月</w:t>
      </w:r>
      <w:r>
        <w:rPr>
          <w:rFonts w:ascii="Arial" w:hAnsi="Arial"/>
          <w:sz w:val="24"/>
          <w:highlight w:val="none"/>
        </w:rPr>
        <w:t xml:space="preserve">                        </w:t>
      </w:r>
    </w:p>
    <w:sdt>
      <w:sdtPr>
        <w:rPr>
          <w:rFonts w:ascii="宋体" w:hAnsi="宋体" w:eastAsia="宋体" w:cs="Times New Roman"/>
          <w:sz w:val="21"/>
          <w:szCs w:val="24"/>
          <w:highlight w:val="none"/>
          <w:lang w:val="en-US" w:eastAsia="zh-CN" w:bidi="ar-SA"/>
        </w:rPr>
        <w:id w:val="147454445"/>
        <w15:color w:val="DBDBDB"/>
        <w:docPartObj>
          <w:docPartGallery w:val="Table of Contents"/>
          <w:docPartUnique/>
        </w:docPartObj>
      </w:sdtPr>
      <w:sdtEndPr>
        <w:rPr>
          <w:rFonts w:hint="eastAsia" w:ascii="宋体" w:hAnsi="宋体" w:eastAsia="宋体" w:cs="宋体"/>
          <w:bCs/>
          <w:color w:val="000000"/>
          <w:sz w:val="21"/>
          <w:szCs w:val="32"/>
          <w:highlight w:val="none"/>
          <w:lang w:val="en-US" w:eastAsia="zh-CN" w:bidi="ar-SA"/>
        </w:rPr>
      </w:sdtEndPr>
      <w:sdtContent>
        <w:p w14:paraId="19CAEE6A">
          <w:pPr>
            <w:spacing w:before="0" w:beforeLines="0" w:after="0" w:afterLines="0" w:line="240" w:lineRule="auto"/>
            <w:ind w:left="0" w:leftChars="0" w:right="0" w:rightChars="0" w:firstLine="0" w:firstLineChars="0"/>
            <w:jc w:val="center"/>
            <w:rPr>
              <w:rFonts w:hint="eastAsia" w:ascii="宋体" w:hAnsi="宋体" w:cs="宋体"/>
              <w:b/>
              <w:bCs/>
              <w:color w:val="000000"/>
              <w:sz w:val="32"/>
              <w:szCs w:val="32"/>
              <w:highlight w:val="none"/>
            </w:rPr>
          </w:pPr>
          <w:r>
            <w:rPr>
              <w:rStyle w:val="71"/>
              <w:rFonts w:hint="eastAsia"/>
              <w:highlight w:val="none"/>
            </w:rPr>
            <w:t>目录</w:t>
          </w:r>
        </w:p>
        <w:p w14:paraId="294B91BF">
          <w:pPr>
            <w:pStyle w:val="20"/>
            <w:tabs>
              <w:tab w:val="right" w:leader="dot" w:pos="8306"/>
            </w:tabs>
            <w:rPr>
              <w:b/>
              <w:bCs/>
              <w:highlight w:val="none"/>
            </w:rPr>
          </w:pPr>
          <w:r>
            <w:rPr>
              <w:rFonts w:hint="eastAsia" w:ascii="宋体" w:hAnsi="宋体" w:cs="宋体"/>
              <w:b/>
              <w:bCs/>
              <w:color w:val="000000"/>
              <w:sz w:val="32"/>
              <w:szCs w:val="32"/>
              <w:highlight w:val="none"/>
            </w:rPr>
            <w:fldChar w:fldCharType="begin"/>
          </w:r>
          <w:r>
            <w:rPr>
              <w:rFonts w:hint="eastAsia" w:ascii="宋体" w:hAnsi="宋体" w:cs="宋体"/>
              <w:b/>
              <w:bCs/>
              <w:color w:val="000000"/>
              <w:sz w:val="32"/>
              <w:szCs w:val="32"/>
              <w:highlight w:val="none"/>
            </w:rPr>
            <w:instrText xml:space="preserve">TOC \o "1-3" \h \u </w:instrText>
          </w:r>
          <w:r>
            <w:rPr>
              <w:rFonts w:hint="eastAsia" w:ascii="宋体" w:hAnsi="宋体" w:cs="宋体"/>
              <w:b/>
              <w:bCs/>
              <w:color w:val="000000"/>
              <w:sz w:val="32"/>
              <w:szCs w:val="32"/>
              <w:highlight w:val="none"/>
            </w:rPr>
            <w:fldChar w:fldCharType="separate"/>
          </w: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_Toc21772 </w:instrText>
          </w:r>
          <w:r>
            <w:rPr>
              <w:rFonts w:hint="eastAsia" w:ascii="宋体" w:hAnsi="宋体" w:cs="宋体"/>
              <w:b/>
              <w:bCs/>
              <w:szCs w:val="32"/>
              <w:highlight w:val="none"/>
            </w:rPr>
            <w:fldChar w:fldCharType="separate"/>
          </w:r>
          <w:r>
            <w:rPr>
              <w:rFonts w:hint="eastAsia" w:ascii="宋体" w:hAnsi="宋体" w:cs="宋体"/>
              <w:b/>
              <w:bCs/>
              <w:szCs w:val="32"/>
              <w:highlight w:val="none"/>
            </w:rPr>
            <w:t>第一章 投标邀请</w:t>
          </w:r>
          <w:r>
            <w:rPr>
              <w:b/>
              <w:bCs/>
              <w:highlight w:val="none"/>
            </w:rPr>
            <w:tab/>
          </w:r>
          <w:r>
            <w:rPr>
              <w:b/>
              <w:bCs/>
              <w:highlight w:val="none"/>
            </w:rPr>
            <w:fldChar w:fldCharType="begin"/>
          </w:r>
          <w:r>
            <w:rPr>
              <w:b/>
              <w:bCs/>
              <w:highlight w:val="none"/>
            </w:rPr>
            <w:instrText xml:space="preserve"> PAGEREF _Toc21772 \h </w:instrText>
          </w:r>
          <w:r>
            <w:rPr>
              <w:b/>
              <w:bCs/>
              <w:highlight w:val="none"/>
            </w:rPr>
            <w:fldChar w:fldCharType="separate"/>
          </w:r>
          <w:r>
            <w:rPr>
              <w:b/>
              <w:bCs/>
              <w:highlight w:val="none"/>
            </w:rPr>
            <w:t>1</w:t>
          </w:r>
          <w:r>
            <w:rPr>
              <w:b/>
              <w:bCs/>
              <w:highlight w:val="none"/>
            </w:rPr>
            <w:fldChar w:fldCharType="end"/>
          </w:r>
          <w:r>
            <w:rPr>
              <w:rFonts w:hint="eastAsia" w:ascii="宋体" w:hAnsi="宋体" w:cs="宋体"/>
              <w:b/>
              <w:bCs/>
              <w:color w:val="000000"/>
              <w:szCs w:val="32"/>
              <w:highlight w:val="none"/>
            </w:rPr>
            <w:fldChar w:fldCharType="end"/>
          </w:r>
        </w:p>
        <w:p w14:paraId="40EC38DC">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_Toc22012 </w:instrText>
          </w:r>
          <w:r>
            <w:rPr>
              <w:rFonts w:hint="eastAsia" w:ascii="宋体" w:hAnsi="宋体" w:cs="宋体"/>
              <w:b/>
              <w:bCs/>
              <w:szCs w:val="32"/>
              <w:highlight w:val="none"/>
            </w:rPr>
            <w:fldChar w:fldCharType="separate"/>
          </w:r>
          <w:r>
            <w:rPr>
              <w:rFonts w:hint="eastAsia" w:ascii="宋体" w:hAnsi="宋体" w:cs="宋体"/>
              <w:b/>
              <w:bCs/>
              <w:szCs w:val="21"/>
              <w:highlight w:val="none"/>
            </w:rPr>
            <w:t>一、项目基本情况</w:t>
          </w:r>
          <w:r>
            <w:rPr>
              <w:b/>
              <w:bCs/>
              <w:highlight w:val="none"/>
            </w:rPr>
            <w:tab/>
          </w:r>
          <w:r>
            <w:rPr>
              <w:b/>
              <w:bCs/>
              <w:highlight w:val="none"/>
            </w:rPr>
            <w:fldChar w:fldCharType="begin"/>
          </w:r>
          <w:r>
            <w:rPr>
              <w:b/>
              <w:bCs/>
              <w:highlight w:val="none"/>
            </w:rPr>
            <w:instrText xml:space="preserve"> PAGEREF _Toc22012 \h </w:instrText>
          </w:r>
          <w:r>
            <w:rPr>
              <w:b/>
              <w:bCs/>
              <w:highlight w:val="none"/>
            </w:rPr>
            <w:fldChar w:fldCharType="separate"/>
          </w:r>
          <w:r>
            <w:rPr>
              <w:b/>
              <w:bCs/>
              <w:highlight w:val="none"/>
            </w:rPr>
            <w:t>1</w:t>
          </w:r>
          <w:r>
            <w:rPr>
              <w:b/>
              <w:bCs/>
              <w:highlight w:val="none"/>
            </w:rPr>
            <w:fldChar w:fldCharType="end"/>
          </w:r>
          <w:r>
            <w:rPr>
              <w:rFonts w:hint="eastAsia" w:ascii="宋体" w:hAnsi="宋体" w:cs="宋体"/>
              <w:b/>
              <w:bCs/>
              <w:color w:val="000000"/>
              <w:szCs w:val="32"/>
              <w:highlight w:val="none"/>
            </w:rPr>
            <w:fldChar w:fldCharType="end"/>
          </w:r>
        </w:p>
        <w:p w14:paraId="025CCA44">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_Toc12220 </w:instrText>
          </w:r>
          <w:r>
            <w:rPr>
              <w:rFonts w:hint="eastAsia" w:ascii="宋体" w:hAnsi="宋体" w:cs="宋体"/>
              <w:b/>
              <w:bCs/>
              <w:szCs w:val="32"/>
              <w:highlight w:val="none"/>
            </w:rPr>
            <w:fldChar w:fldCharType="separate"/>
          </w:r>
          <w:r>
            <w:rPr>
              <w:rFonts w:hint="eastAsia" w:ascii="宋体" w:hAnsi="宋体" w:cs="宋体"/>
              <w:b/>
              <w:bCs/>
              <w:szCs w:val="21"/>
              <w:highlight w:val="none"/>
            </w:rPr>
            <w:t>二、申请人的资格要求：</w:t>
          </w:r>
          <w:r>
            <w:rPr>
              <w:b/>
              <w:bCs/>
              <w:highlight w:val="none"/>
            </w:rPr>
            <w:tab/>
          </w:r>
          <w:r>
            <w:rPr>
              <w:b/>
              <w:bCs/>
              <w:highlight w:val="none"/>
            </w:rPr>
            <w:fldChar w:fldCharType="begin"/>
          </w:r>
          <w:r>
            <w:rPr>
              <w:b/>
              <w:bCs/>
              <w:highlight w:val="none"/>
            </w:rPr>
            <w:instrText xml:space="preserve"> PAGEREF _Toc12220 \h </w:instrText>
          </w:r>
          <w:r>
            <w:rPr>
              <w:b/>
              <w:bCs/>
              <w:highlight w:val="none"/>
            </w:rPr>
            <w:fldChar w:fldCharType="separate"/>
          </w:r>
          <w:r>
            <w:rPr>
              <w:b/>
              <w:bCs/>
              <w:highlight w:val="none"/>
            </w:rPr>
            <w:t>1</w:t>
          </w:r>
          <w:r>
            <w:rPr>
              <w:b/>
              <w:bCs/>
              <w:highlight w:val="none"/>
            </w:rPr>
            <w:fldChar w:fldCharType="end"/>
          </w:r>
          <w:r>
            <w:rPr>
              <w:rFonts w:hint="eastAsia" w:ascii="宋体" w:hAnsi="宋体" w:cs="宋体"/>
              <w:b/>
              <w:bCs/>
              <w:color w:val="000000"/>
              <w:szCs w:val="32"/>
              <w:highlight w:val="none"/>
            </w:rPr>
            <w:fldChar w:fldCharType="end"/>
          </w:r>
        </w:p>
        <w:p w14:paraId="7A69B2FC">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_Toc28350 </w:instrText>
          </w:r>
          <w:r>
            <w:rPr>
              <w:rFonts w:hint="eastAsia" w:ascii="宋体" w:hAnsi="宋体" w:cs="宋体"/>
              <w:b/>
              <w:bCs/>
              <w:szCs w:val="32"/>
              <w:highlight w:val="none"/>
            </w:rPr>
            <w:fldChar w:fldCharType="separate"/>
          </w:r>
          <w:r>
            <w:rPr>
              <w:rFonts w:hint="eastAsia" w:ascii="宋体" w:hAnsi="宋体" w:cs="宋体"/>
              <w:b/>
              <w:bCs/>
              <w:szCs w:val="21"/>
              <w:highlight w:val="none"/>
            </w:rPr>
            <w:t>三、获取采购文件</w:t>
          </w:r>
          <w:r>
            <w:rPr>
              <w:b/>
              <w:bCs/>
              <w:highlight w:val="none"/>
            </w:rPr>
            <w:tab/>
          </w:r>
          <w:r>
            <w:rPr>
              <w:b/>
              <w:bCs/>
              <w:highlight w:val="none"/>
            </w:rPr>
            <w:fldChar w:fldCharType="begin"/>
          </w:r>
          <w:r>
            <w:rPr>
              <w:b/>
              <w:bCs/>
              <w:highlight w:val="none"/>
            </w:rPr>
            <w:instrText xml:space="preserve"> PAGEREF _Toc28350 \h </w:instrText>
          </w:r>
          <w:r>
            <w:rPr>
              <w:b/>
              <w:bCs/>
              <w:highlight w:val="none"/>
            </w:rPr>
            <w:fldChar w:fldCharType="separate"/>
          </w:r>
          <w:r>
            <w:rPr>
              <w:b/>
              <w:bCs/>
              <w:highlight w:val="none"/>
            </w:rPr>
            <w:t>2</w:t>
          </w:r>
          <w:r>
            <w:rPr>
              <w:b/>
              <w:bCs/>
              <w:highlight w:val="none"/>
            </w:rPr>
            <w:fldChar w:fldCharType="end"/>
          </w:r>
          <w:r>
            <w:rPr>
              <w:rFonts w:hint="eastAsia" w:ascii="宋体" w:hAnsi="宋体" w:cs="宋体"/>
              <w:b/>
              <w:bCs/>
              <w:color w:val="000000"/>
              <w:szCs w:val="32"/>
              <w:highlight w:val="none"/>
            </w:rPr>
            <w:fldChar w:fldCharType="end"/>
          </w:r>
        </w:p>
        <w:p w14:paraId="39FECA91">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_Toc26406 </w:instrText>
          </w:r>
          <w:r>
            <w:rPr>
              <w:rFonts w:hint="eastAsia" w:ascii="宋体" w:hAnsi="宋体" w:cs="宋体"/>
              <w:b/>
              <w:bCs/>
              <w:szCs w:val="32"/>
              <w:highlight w:val="none"/>
            </w:rPr>
            <w:fldChar w:fldCharType="separate"/>
          </w:r>
          <w:r>
            <w:rPr>
              <w:rFonts w:hint="eastAsia" w:ascii="宋体" w:hAnsi="宋体" w:cs="宋体"/>
              <w:b/>
              <w:bCs/>
              <w:szCs w:val="21"/>
              <w:highlight w:val="none"/>
            </w:rPr>
            <w:t>四、提交投标文件截止时间、开标时间和地点</w:t>
          </w:r>
          <w:r>
            <w:rPr>
              <w:b/>
              <w:bCs/>
              <w:highlight w:val="none"/>
            </w:rPr>
            <w:tab/>
          </w:r>
          <w:r>
            <w:rPr>
              <w:b/>
              <w:bCs/>
              <w:highlight w:val="none"/>
            </w:rPr>
            <w:fldChar w:fldCharType="begin"/>
          </w:r>
          <w:r>
            <w:rPr>
              <w:b/>
              <w:bCs/>
              <w:highlight w:val="none"/>
            </w:rPr>
            <w:instrText xml:space="preserve"> PAGEREF _Toc26406 \h </w:instrText>
          </w:r>
          <w:r>
            <w:rPr>
              <w:b/>
              <w:bCs/>
              <w:highlight w:val="none"/>
            </w:rPr>
            <w:fldChar w:fldCharType="separate"/>
          </w:r>
          <w:r>
            <w:rPr>
              <w:b/>
              <w:bCs/>
              <w:highlight w:val="none"/>
            </w:rPr>
            <w:t>2</w:t>
          </w:r>
          <w:r>
            <w:rPr>
              <w:b/>
              <w:bCs/>
              <w:highlight w:val="none"/>
            </w:rPr>
            <w:fldChar w:fldCharType="end"/>
          </w:r>
          <w:r>
            <w:rPr>
              <w:rFonts w:hint="eastAsia" w:ascii="宋体" w:hAnsi="宋体" w:cs="宋体"/>
              <w:b/>
              <w:bCs/>
              <w:color w:val="000000"/>
              <w:szCs w:val="32"/>
              <w:highlight w:val="none"/>
            </w:rPr>
            <w:fldChar w:fldCharType="end"/>
          </w:r>
        </w:p>
        <w:p w14:paraId="1F22FB78">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_Toc20245 </w:instrText>
          </w:r>
          <w:r>
            <w:rPr>
              <w:rFonts w:hint="eastAsia" w:ascii="宋体" w:hAnsi="宋体" w:cs="宋体"/>
              <w:b/>
              <w:bCs/>
              <w:szCs w:val="32"/>
              <w:highlight w:val="none"/>
            </w:rPr>
            <w:fldChar w:fldCharType="separate"/>
          </w:r>
          <w:r>
            <w:rPr>
              <w:rFonts w:hint="eastAsia" w:ascii="宋体" w:hAnsi="宋体" w:cs="宋体"/>
              <w:b/>
              <w:bCs/>
              <w:szCs w:val="21"/>
              <w:highlight w:val="none"/>
            </w:rPr>
            <w:t>五、公告期限</w:t>
          </w:r>
          <w:r>
            <w:rPr>
              <w:b/>
              <w:bCs/>
              <w:highlight w:val="none"/>
            </w:rPr>
            <w:tab/>
          </w:r>
          <w:r>
            <w:rPr>
              <w:b/>
              <w:bCs/>
              <w:highlight w:val="none"/>
            </w:rPr>
            <w:fldChar w:fldCharType="begin"/>
          </w:r>
          <w:r>
            <w:rPr>
              <w:b/>
              <w:bCs/>
              <w:highlight w:val="none"/>
            </w:rPr>
            <w:instrText xml:space="preserve"> PAGEREF _Toc20245 \h </w:instrText>
          </w:r>
          <w:r>
            <w:rPr>
              <w:b/>
              <w:bCs/>
              <w:highlight w:val="none"/>
            </w:rPr>
            <w:fldChar w:fldCharType="separate"/>
          </w:r>
          <w:r>
            <w:rPr>
              <w:b/>
              <w:bCs/>
              <w:highlight w:val="none"/>
            </w:rPr>
            <w:t>2</w:t>
          </w:r>
          <w:r>
            <w:rPr>
              <w:b/>
              <w:bCs/>
              <w:highlight w:val="none"/>
            </w:rPr>
            <w:fldChar w:fldCharType="end"/>
          </w:r>
          <w:r>
            <w:rPr>
              <w:rFonts w:hint="eastAsia" w:ascii="宋体" w:hAnsi="宋体" w:cs="宋体"/>
              <w:b/>
              <w:bCs/>
              <w:color w:val="000000"/>
              <w:szCs w:val="32"/>
              <w:highlight w:val="none"/>
            </w:rPr>
            <w:fldChar w:fldCharType="end"/>
          </w:r>
        </w:p>
        <w:p w14:paraId="080B3AD9">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_Toc3970 </w:instrText>
          </w:r>
          <w:r>
            <w:rPr>
              <w:rFonts w:hint="eastAsia" w:ascii="宋体" w:hAnsi="宋体" w:cs="宋体"/>
              <w:b/>
              <w:bCs/>
              <w:szCs w:val="32"/>
              <w:highlight w:val="none"/>
            </w:rPr>
            <w:fldChar w:fldCharType="separate"/>
          </w:r>
          <w:r>
            <w:rPr>
              <w:rFonts w:hint="eastAsia" w:ascii="宋体" w:hAnsi="宋体" w:cs="宋体"/>
              <w:b/>
              <w:bCs/>
              <w:szCs w:val="21"/>
              <w:highlight w:val="none"/>
            </w:rPr>
            <w:t>六、其他补充事宜</w:t>
          </w:r>
          <w:r>
            <w:rPr>
              <w:b/>
              <w:bCs/>
              <w:highlight w:val="none"/>
            </w:rPr>
            <w:tab/>
          </w:r>
          <w:r>
            <w:rPr>
              <w:b/>
              <w:bCs/>
              <w:highlight w:val="none"/>
            </w:rPr>
            <w:fldChar w:fldCharType="begin"/>
          </w:r>
          <w:r>
            <w:rPr>
              <w:b/>
              <w:bCs/>
              <w:highlight w:val="none"/>
            </w:rPr>
            <w:instrText xml:space="preserve"> PAGEREF _Toc3970 \h </w:instrText>
          </w:r>
          <w:r>
            <w:rPr>
              <w:b/>
              <w:bCs/>
              <w:highlight w:val="none"/>
            </w:rPr>
            <w:fldChar w:fldCharType="separate"/>
          </w:r>
          <w:r>
            <w:rPr>
              <w:b/>
              <w:bCs/>
              <w:highlight w:val="none"/>
            </w:rPr>
            <w:t>2</w:t>
          </w:r>
          <w:r>
            <w:rPr>
              <w:b/>
              <w:bCs/>
              <w:highlight w:val="none"/>
            </w:rPr>
            <w:fldChar w:fldCharType="end"/>
          </w:r>
          <w:r>
            <w:rPr>
              <w:rFonts w:hint="eastAsia" w:ascii="宋体" w:hAnsi="宋体" w:cs="宋体"/>
              <w:b/>
              <w:bCs/>
              <w:color w:val="000000"/>
              <w:szCs w:val="32"/>
              <w:highlight w:val="none"/>
            </w:rPr>
            <w:fldChar w:fldCharType="end"/>
          </w:r>
        </w:p>
        <w:p w14:paraId="0D461BCE">
          <w:pPr>
            <w:pStyle w:val="20"/>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_Toc25214 </w:instrText>
          </w:r>
          <w:r>
            <w:rPr>
              <w:rFonts w:hint="eastAsia" w:ascii="宋体" w:hAnsi="宋体" w:cs="宋体"/>
              <w:b/>
              <w:bCs/>
              <w:szCs w:val="32"/>
              <w:highlight w:val="none"/>
            </w:rPr>
            <w:fldChar w:fldCharType="separate"/>
          </w:r>
          <w:r>
            <w:rPr>
              <w:rFonts w:hint="eastAsia" w:ascii="宋体" w:hAnsi="宋体" w:cs="宋体"/>
              <w:b/>
              <w:bCs/>
              <w:szCs w:val="32"/>
              <w:highlight w:val="none"/>
              <w:lang w:val="zh-CN"/>
            </w:rPr>
            <w:t>第二章</w:t>
          </w:r>
          <w:r>
            <w:rPr>
              <w:rFonts w:hint="eastAsia" w:ascii="宋体" w:hAnsi="宋体" w:cs="宋体"/>
              <w:b/>
              <w:bCs/>
              <w:szCs w:val="32"/>
              <w:highlight w:val="none"/>
            </w:rPr>
            <w:t xml:space="preserve"> </w:t>
          </w:r>
          <w:r>
            <w:rPr>
              <w:rFonts w:hint="eastAsia" w:ascii="宋体" w:hAnsi="宋体" w:cs="宋体"/>
              <w:b/>
              <w:bCs/>
              <w:szCs w:val="32"/>
              <w:highlight w:val="none"/>
              <w:lang w:val="zh-CN"/>
            </w:rPr>
            <w:t>投标人须知</w:t>
          </w:r>
          <w:r>
            <w:rPr>
              <w:b/>
              <w:bCs/>
              <w:highlight w:val="none"/>
            </w:rPr>
            <w:tab/>
          </w:r>
          <w:r>
            <w:rPr>
              <w:b/>
              <w:bCs/>
              <w:highlight w:val="none"/>
            </w:rPr>
            <w:fldChar w:fldCharType="begin"/>
          </w:r>
          <w:r>
            <w:rPr>
              <w:b/>
              <w:bCs/>
              <w:highlight w:val="none"/>
            </w:rPr>
            <w:instrText xml:space="preserve"> PAGEREF _Toc25214 \h </w:instrText>
          </w:r>
          <w:r>
            <w:rPr>
              <w:b/>
              <w:bCs/>
              <w:highlight w:val="none"/>
            </w:rPr>
            <w:fldChar w:fldCharType="separate"/>
          </w:r>
          <w:r>
            <w:rPr>
              <w:b/>
              <w:bCs/>
              <w:highlight w:val="none"/>
            </w:rPr>
            <w:t>6</w:t>
          </w:r>
          <w:r>
            <w:rPr>
              <w:b/>
              <w:bCs/>
              <w:highlight w:val="none"/>
            </w:rPr>
            <w:fldChar w:fldCharType="end"/>
          </w:r>
          <w:r>
            <w:rPr>
              <w:rFonts w:hint="eastAsia" w:ascii="宋体" w:hAnsi="宋体" w:cs="宋体"/>
              <w:b/>
              <w:bCs/>
              <w:color w:val="000000"/>
              <w:szCs w:val="32"/>
              <w:highlight w:val="none"/>
            </w:rPr>
            <w:fldChar w:fldCharType="end"/>
          </w:r>
        </w:p>
        <w:p w14:paraId="7432B14B">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_Toc30199 </w:instrText>
          </w:r>
          <w:r>
            <w:rPr>
              <w:rFonts w:hint="eastAsia" w:ascii="宋体" w:hAnsi="宋体" w:cs="宋体"/>
              <w:b/>
              <w:bCs/>
              <w:szCs w:val="32"/>
              <w:highlight w:val="none"/>
            </w:rPr>
            <w:fldChar w:fldCharType="separate"/>
          </w:r>
          <w:r>
            <w:rPr>
              <w:rFonts w:hint="eastAsia" w:ascii="宋体"/>
              <w:b/>
              <w:bCs/>
              <w:szCs w:val="21"/>
              <w:highlight w:val="none"/>
              <w:lang w:val="zh-CN"/>
            </w:rPr>
            <w:t>一、总则</w:t>
          </w:r>
          <w:r>
            <w:rPr>
              <w:b/>
              <w:bCs/>
              <w:highlight w:val="none"/>
            </w:rPr>
            <w:tab/>
          </w:r>
          <w:r>
            <w:rPr>
              <w:b/>
              <w:bCs/>
              <w:highlight w:val="none"/>
            </w:rPr>
            <w:fldChar w:fldCharType="begin"/>
          </w:r>
          <w:r>
            <w:rPr>
              <w:b/>
              <w:bCs/>
              <w:highlight w:val="none"/>
            </w:rPr>
            <w:instrText xml:space="preserve"> PAGEREF _Toc30199 \h </w:instrText>
          </w:r>
          <w:r>
            <w:rPr>
              <w:b/>
              <w:bCs/>
              <w:highlight w:val="none"/>
            </w:rPr>
            <w:fldChar w:fldCharType="separate"/>
          </w:r>
          <w:r>
            <w:rPr>
              <w:b/>
              <w:bCs/>
              <w:highlight w:val="none"/>
            </w:rPr>
            <w:t>6</w:t>
          </w:r>
          <w:r>
            <w:rPr>
              <w:b/>
              <w:bCs/>
              <w:highlight w:val="none"/>
            </w:rPr>
            <w:fldChar w:fldCharType="end"/>
          </w:r>
          <w:r>
            <w:rPr>
              <w:rFonts w:hint="eastAsia" w:ascii="宋体" w:hAnsi="宋体" w:cs="宋体"/>
              <w:b/>
              <w:bCs/>
              <w:color w:val="000000"/>
              <w:szCs w:val="32"/>
              <w:highlight w:val="none"/>
            </w:rPr>
            <w:fldChar w:fldCharType="end"/>
          </w:r>
        </w:p>
        <w:p w14:paraId="53170E30">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_Toc31407 </w:instrText>
          </w:r>
          <w:r>
            <w:rPr>
              <w:rFonts w:hint="eastAsia" w:ascii="宋体" w:hAnsi="宋体" w:cs="宋体"/>
              <w:b/>
              <w:bCs/>
              <w:szCs w:val="32"/>
              <w:highlight w:val="none"/>
            </w:rPr>
            <w:fldChar w:fldCharType="separate"/>
          </w:r>
          <w:r>
            <w:rPr>
              <w:rFonts w:hint="eastAsia" w:ascii="宋体" w:hAnsi="宋体"/>
              <w:b/>
              <w:bCs/>
              <w:szCs w:val="21"/>
              <w:highlight w:val="none"/>
            </w:rPr>
            <w:t>二、招标文件</w:t>
          </w:r>
          <w:r>
            <w:rPr>
              <w:b/>
              <w:bCs/>
              <w:highlight w:val="none"/>
            </w:rPr>
            <w:tab/>
          </w:r>
          <w:r>
            <w:rPr>
              <w:b/>
              <w:bCs/>
              <w:highlight w:val="none"/>
            </w:rPr>
            <w:fldChar w:fldCharType="begin"/>
          </w:r>
          <w:r>
            <w:rPr>
              <w:b/>
              <w:bCs/>
              <w:highlight w:val="none"/>
            </w:rPr>
            <w:instrText xml:space="preserve"> PAGEREF _Toc31407 \h </w:instrText>
          </w:r>
          <w:r>
            <w:rPr>
              <w:b/>
              <w:bCs/>
              <w:highlight w:val="none"/>
            </w:rPr>
            <w:fldChar w:fldCharType="separate"/>
          </w:r>
          <w:r>
            <w:rPr>
              <w:b/>
              <w:bCs/>
              <w:highlight w:val="none"/>
            </w:rPr>
            <w:t>9</w:t>
          </w:r>
          <w:r>
            <w:rPr>
              <w:b/>
              <w:bCs/>
              <w:highlight w:val="none"/>
            </w:rPr>
            <w:fldChar w:fldCharType="end"/>
          </w:r>
          <w:r>
            <w:rPr>
              <w:rFonts w:hint="eastAsia" w:ascii="宋体" w:hAnsi="宋体" w:cs="宋体"/>
              <w:b/>
              <w:bCs/>
              <w:color w:val="000000"/>
              <w:szCs w:val="32"/>
              <w:highlight w:val="none"/>
            </w:rPr>
            <w:fldChar w:fldCharType="end"/>
          </w:r>
        </w:p>
        <w:p w14:paraId="4D4A0D6B">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_Toc16842 </w:instrText>
          </w:r>
          <w:r>
            <w:rPr>
              <w:rFonts w:hint="eastAsia" w:ascii="宋体" w:hAnsi="宋体" w:cs="宋体"/>
              <w:b/>
              <w:bCs/>
              <w:szCs w:val="32"/>
              <w:highlight w:val="none"/>
            </w:rPr>
            <w:fldChar w:fldCharType="separate"/>
          </w:r>
          <w:r>
            <w:rPr>
              <w:rFonts w:hint="eastAsia" w:ascii="宋体" w:hAnsi="宋体"/>
              <w:b/>
              <w:bCs/>
              <w:szCs w:val="21"/>
              <w:highlight w:val="none"/>
            </w:rPr>
            <w:t>三、投标</w:t>
          </w:r>
          <w:r>
            <w:rPr>
              <w:b/>
              <w:bCs/>
              <w:highlight w:val="none"/>
            </w:rPr>
            <w:tab/>
          </w:r>
          <w:r>
            <w:rPr>
              <w:b/>
              <w:bCs/>
              <w:highlight w:val="none"/>
            </w:rPr>
            <w:fldChar w:fldCharType="begin"/>
          </w:r>
          <w:r>
            <w:rPr>
              <w:b/>
              <w:bCs/>
              <w:highlight w:val="none"/>
            </w:rPr>
            <w:instrText xml:space="preserve"> PAGEREF _Toc16842 \h </w:instrText>
          </w:r>
          <w:r>
            <w:rPr>
              <w:b/>
              <w:bCs/>
              <w:highlight w:val="none"/>
            </w:rPr>
            <w:fldChar w:fldCharType="separate"/>
          </w:r>
          <w:r>
            <w:rPr>
              <w:b/>
              <w:bCs/>
              <w:highlight w:val="none"/>
            </w:rPr>
            <w:t>9</w:t>
          </w:r>
          <w:r>
            <w:rPr>
              <w:b/>
              <w:bCs/>
              <w:highlight w:val="none"/>
            </w:rPr>
            <w:fldChar w:fldCharType="end"/>
          </w:r>
          <w:r>
            <w:rPr>
              <w:rFonts w:hint="eastAsia" w:ascii="宋体" w:hAnsi="宋体" w:cs="宋体"/>
              <w:b/>
              <w:bCs/>
              <w:color w:val="000000"/>
              <w:szCs w:val="32"/>
              <w:highlight w:val="none"/>
            </w:rPr>
            <w:fldChar w:fldCharType="end"/>
          </w:r>
        </w:p>
        <w:p w14:paraId="7A645A03">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_Toc29862 </w:instrText>
          </w:r>
          <w:r>
            <w:rPr>
              <w:rFonts w:hint="eastAsia" w:ascii="宋体" w:hAnsi="宋体" w:cs="宋体"/>
              <w:b/>
              <w:bCs/>
              <w:szCs w:val="32"/>
              <w:highlight w:val="none"/>
            </w:rPr>
            <w:fldChar w:fldCharType="separate"/>
          </w:r>
          <w:r>
            <w:rPr>
              <w:rFonts w:hint="eastAsia" w:ascii="宋体" w:hAnsi="宋体"/>
              <w:b/>
              <w:bCs/>
              <w:szCs w:val="21"/>
              <w:highlight w:val="none"/>
            </w:rPr>
            <w:t>四、开标、评标与确定中标供应商</w:t>
          </w:r>
          <w:r>
            <w:rPr>
              <w:b/>
              <w:bCs/>
              <w:highlight w:val="none"/>
            </w:rPr>
            <w:tab/>
          </w:r>
          <w:r>
            <w:rPr>
              <w:b/>
              <w:bCs/>
              <w:highlight w:val="none"/>
            </w:rPr>
            <w:fldChar w:fldCharType="begin"/>
          </w:r>
          <w:r>
            <w:rPr>
              <w:b/>
              <w:bCs/>
              <w:highlight w:val="none"/>
            </w:rPr>
            <w:instrText xml:space="preserve"> PAGEREF _Toc29862 \h </w:instrText>
          </w:r>
          <w:r>
            <w:rPr>
              <w:b/>
              <w:bCs/>
              <w:highlight w:val="none"/>
            </w:rPr>
            <w:fldChar w:fldCharType="separate"/>
          </w:r>
          <w:r>
            <w:rPr>
              <w:b/>
              <w:bCs/>
              <w:highlight w:val="none"/>
            </w:rPr>
            <w:t>13</w:t>
          </w:r>
          <w:r>
            <w:rPr>
              <w:b/>
              <w:bCs/>
              <w:highlight w:val="none"/>
            </w:rPr>
            <w:fldChar w:fldCharType="end"/>
          </w:r>
          <w:r>
            <w:rPr>
              <w:rFonts w:hint="eastAsia" w:ascii="宋体" w:hAnsi="宋体" w:cs="宋体"/>
              <w:b/>
              <w:bCs/>
              <w:color w:val="000000"/>
              <w:szCs w:val="32"/>
              <w:highlight w:val="none"/>
            </w:rPr>
            <w:fldChar w:fldCharType="end"/>
          </w:r>
        </w:p>
        <w:p w14:paraId="5BCAB367">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_Toc27580 </w:instrText>
          </w:r>
          <w:r>
            <w:rPr>
              <w:rFonts w:hint="eastAsia" w:ascii="宋体" w:hAnsi="宋体" w:cs="宋体"/>
              <w:b/>
              <w:bCs/>
              <w:szCs w:val="32"/>
              <w:highlight w:val="none"/>
            </w:rPr>
            <w:fldChar w:fldCharType="separate"/>
          </w:r>
          <w:r>
            <w:rPr>
              <w:rFonts w:hint="eastAsia" w:ascii="宋体" w:hAnsi="宋体"/>
              <w:b/>
              <w:bCs/>
              <w:szCs w:val="21"/>
              <w:highlight w:val="none"/>
            </w:rPr>
            <w:t>五、签订合同</w:t>
          </w:r>
          <w:r>
            <w:rPr>
              <w:b/>
              <w:bCs/>
              <w:highlight w:val="none"/>
            </w:rPr>
            <w:tab/>
          </w:r>
          <w:r>
            <w:rPr>
              <w:b/>
              <w:bCs/>
              <w:highlight w:val="none"/>
            </w:rPr>
            <w:fldChar w:fldCharType="begin"/>
          </w:r>
          <w:r>
            <w:rPr>
              <w:b/>
              <w:bCs/>
              <w:highlight w:val="none"/>
            </w:rPr>
            <w:instrText xml:space="preserve"> PAGEREF _Toc27580 \h </w:instrText>
          </w:r>
          <w:r>
            <w:rPr>
              <w:b/>
              <w:bCs/>
              <w:highlight w:val="none"/>
            </w:rPr>
            <w:fldChar w:fldCharType="separate"/>
          </w:r>
          <w:r>
            <w:rPr>
              <w:b/>
              <w:bCs/>
              <w:highlight w:val="none"/>
            </w:rPr>
            <w:t>19</w:t>
          </w:r>
          <w:r>
            <w:rPr>
              <w:b/>
              <w:bCs/>
              <w:highlight w:val="none"/>
            </w:rPr>
            <w:fldChar w:fldCharType="end"/>
          </w:r>
          <w:r>
            <w:rPr>
              <w:rFonts w:hint="eastAsia" w:ascii="宋体" w:hAnsi="宋体" w:cs="宋体"/>
              <w:b/>
              <w:bCs/>
              <w:color w:val="000000"/>
              <w:szCs w:val="32"/>
              <w:highlight w:val="none"/>
            </w:rPr>
            <w:fldChar w:fldCharType="end"/>
          </w:r>
        </w:p>
        <w:p w14:paraId="1AA8630E">
          <w:pPr>
            <w:pStyle w:val="20"/>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_Toc7913 </w:instrText>
          </w:r>
          <w:r>
            <w:rPr>
              <w:rFonts w:hint="eastAsia" w:ascii="宋体" w:hAnsi="宋体" w:cs="宋体"/>
              <w:b/>
              <w:bCs/>
              <w:szCs w:val="32"/>
              <w:highlight w:val="none"/>
            </w:rPr>
            <w:fldChar w:fldCharType="separate"/>
          </w:r>
          <w:r>
            <w:rPr>
              <w:rFonts w:hint="eastAsia" w:ascii="宋体" w:hAnsi="宋体" w:cs="宋体"/>
              <w:b/>
              <w:bCs/>
              <w:szCs w:val="32"/>
              <w:highlight w:val="none"/>
            </w:rPr>
            <w:t>第三章 评标标准</w:t>
          </w:r>
          <w:r>
            <w:rPr>
              <w:b/>
              <w:bCs/>
              <w:highlight w:val="none"/>
            </w:rPr>
            <w:tab/>
          </w:r>
          <w:r>
            <w:rPr>
              <w:b/>
              <w:bCs/>
              <w:highlight w:val="none"/>
            </w:rPr>
            <w:fldChar w:fldCharType="begin"/>
          </w:r>
          <w:r>
            <w:rPr>
              <w:b/>
              <w:bCs/>
              <w:highlight w:val="none"/>
            </w:rPr>
            <w:instrText xml:space="preserve"> PAGEREF _Toc7913 \h </w:instrText>
          </w:r>
          <w:r>
            <w:rPr>
              <w:b/>
              <w:bCs/>
              <w:highlight w:val="none"/>
            </w:rPr>
            <w:fldChar w:fldCharType="separate"/>
          </w:r>
          <w:r>
            <w:rPr>
              <w:b/>
              <w:bCs/>
              <w:highlight w:val="none"/>
            </w:rPr>
            <w:t>21</w:t>
          </w:r>
          <w:r>
            <w:rPr>
              <w:b/>
              <w:bCs/>
              <w:highlight w:val="none"/>
            </w:rPr>
            <w:fldChar w:fldCharType="end"/>
          </w:r>
          <w:r>
            <w:rPr>
              <w:rFonts w:hint="eastAsia" w:ascii="宋体" w:hAnsi="宋体" w:cs="宋体"/>
              <w:b/>
              <w:bCs/>
              <w:color w:val="000000"/>
              <w:szCs w:val="32"/>
              <w:highlight w:val="none"/>
            </w:rPr>
            <w:fldChar w:fldCharType="end"/>
          </w:r>
        </w:p>
        <w:p w14:paraId="3EAFA4B9">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_Toc9671 </w:instrText>
          </w:r>
          <w:r>
            <w:rPr>
              <w:rFonts w:hint="eastAsia" w:ascii="宋体" w:hAnsi="宋体" w:cs="宋体"/>
              <w:b/>
              <w:bCs/>
              <w:szCs w:val="32"/>
              <w:highlight w:val="none"/>
            </w:rPr>
            <w:fldChar w:fldCharType="separate"/>
          </w:r>
          <w:r>
            <w:rPr>
              <w:rFonts w:hint="eastAsia" w:ascii="宋体" w:hAnsi="宋体" w:cs="宋体"/>
              <w:b/>
              <w:bCs/>
              <w:szCs w:val="21"/>
              <w:highlight w:val="none"/>
            </w:rPr>
            <w:t>一、评标方法：</w:t>
          </w:r>
          <w:r>
            <w:rPr>
              <w:b/>
              <w:bCs/>
              <w:highlight w:val="none"/>
            </w:rPr>
            <w:tab/>
          </w:r>
          <w:r>
            <w:rPr>
              <w:b/>
              <w:bCs/>
              <w:highlight w:val="none"/>
            </w:rPr>
            <w:fldChar w:fldCharType="begin"/>
          </w:r>
          <w:r>
            <w:rPr>
              <w:b/>
              <w:bCs/>
              <w:highlight w:val="none"/>
            </w:rPr>
            <w:instrText xml:space="preserve"> PAGEREF _Toc9671 \h </w:instrText>
          </w:r>
          <w:r>
            <w:rPr>
              <w:b/>
              <w:bCs/>
              <w:highlight w:val="none"/>
            </w:rPr>
            <w:fldChar w:fldCharType="separate"/>
          </w:r>
          <w:r>
            <w:rPr>
              <w:b/>
              <w:bCs/>
              <w:highlight w:val="none"/>
            </w:rPr>
            <w:t>21</w:t>
          </w:r>
          <w:r>
            <w:rPr>
              <w:b/>
              <w:bCs/>
              <w:highlight w:val="none"/>
            </w:rPr>
            <w:fldChar w:fldCharType="end"/>
          </w:r>
          <w:r>
            <w:rPr>
              <w:rFonts w:hint="eastAsia" w:ascii="宋体" w:hAnsi="宋体" w:cs="宋体"/>
              <w:b/>
              <w:bCs/>
              <w:color w:val="000000"/>
              <w:szCs w:val="32"/>
              <w:highlight w:val="none"/>
            </w:rPr>
            <w:fldChar w:fldCharType="end"/>
          </w:r>
        </w:p>
        <w:p w14:paraId="67CE8478">
          <w:pPr>
            <w:pStyle w:val="26"/>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_Toc13039 </w:instrText>
          </w:r>
          <w:r>
            <w:rPr>
              <w:rFonts w:hint="eastAsia" w:ascii="宋体" w:hAnsi="宋体" w:cs="宋体"/>
              <w:b/>
              <w:bCs/>
              <w:szCs w:val="32"/>
              <w:highlight w:val="none"/>
            </w:rPr>
            <w:fldChar w:fldCharType="separate"/>
          </w:r>
          <w:r>
            <w:rPr>
              <w:rFonts w:hint="eastAsia" w:ascii="宋体" w:hAnsi="宋体" w:cs="宋体"/>
              <w:b/>
              <w:bCs/>
              <w:szCs w:val="21"/>
              <w:highlight w:val="none"/>
            </w:rPr>
            <w:t>二、评标标准：</w:t>
          </w:r>
          <w:r>
            <w:rPr>
              <w:b/>
              <w:bCs/>
              <w:highlight w:val="none"/>
            </w:rPr>
            <w:tab/>
          </w:r>
          <w:r>
            <w:rPr>
              <w:b/>
              <w:bCs/>
              <w:highlight w:val="none"/>
            </w:rPr>
            <w:fldChar w:fldCharType="begin"/>
          </w:r>
          <w:r>
            <w:rPr>
              <w:b/>
              <w:bCs/>
              <w:highlight w:val="none"/>
            </w:rPr>
            <w:instrText xml:space="preserve"> PAGEREF _Toc13039 \h </w:instrText>
          </w:r>
          <w:r>
            <w:rPr>
              <w:b/>
              <w:bCs/>
              <w:highlight w:val="none"/>
            </w:rPr>
            <w:fldChar w:fldCharType="separate"/>
          </w:r>
          <w:r>
            <w:rPr>
              <w:b/>
              <w:bCs/>
              <w:highlight w:val="none"/>
            </w:rPr>
            <w:t>21</w:t>
          </w:r>
          <w:r>
            <w:rPr>
              <w:b/>
              <w:bCs/>
              <w:highlight w:val="none"/>
            </w:rPr>
            <w:fldChar w:fldCharType="end"/>
          </w:r>
          <w:r>
            <w:rPr>
              <w:rFonts w:hint="eastAsia" w:ascii="宋体" w:hAnsi="宋体" w:cs="宋体"/>
              <w:b/>
              <w:bCs/>
              <w:color w:val="000000"/>
              <w:szCs w:val="32"/>
              <w:highlight w:val="none"/>
            </w:rPr>
            <w:fldChar w:fldCharType="end"/>
          </w:r>
        </w:p>
        <w:p w14:paraId="4FA7DCBA">
          <w:pPr>
            <w:pStyle w:val="20"/>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_Toc23899 </w:instrText>
          </w:r>
          <w:r>
            <w:rPr>
              <w:rFonts w:hint="eastAsia" w:ascii="宋体" w:hAnsi="宋体" w:cs="宋体"/>
              <w:b/>
              <w:bCs/>
              <w:szCs w:val="32"/>
              <w:highlight w:val="none"/>
            </w:rPr>
            <w:fldChar w:fldCharType="separate"/>
          </w:r>
          <w:r>
            <w:rPr>
              <w:rFonts w:hint="eastAsia" w:ascii="宋体" w:hAnsi="宋体" w:cs="宋体"/>
              <w:b/>
              <w:bCs/>
              <w:szCs w:val="32"/>
              <w:highlight w:val="none"/>
              <w:lang w:val="en-US" w:eastAsia="zh-CN"/>
            </w:rPr>
            <w:t>第四章 招标项目的技术规格、要求和数量等</w:t>
          </w:r>
          <w:r>
            <w:rPr>
              <w:b/>
              <w:bCs/>
              <w:highlight w:val="none"/>
            </w:rPr>
            <w:tab/>
          </w:r>
          <w:r>
            <w:rPr>
              <w:b/>
              <w:bCs/>
              <w:highlight w:val="none"/>
            </w:rPr>
            <w:fldChar w:fldCharType="begin"/>
          </w:r>
          <w:r>
            <w:rPr>
              <w:b/>
              <w:bCs/>
              <w:highlight w:val="none"/>
            </w:rPr>
            <w:instrText xml:space="preserve"> PAGEREF _Toc23899 \h </w:instrText>
          </w:r>
          <w:r>
            <w:rPr>
              <w:b/>
              <w:bCs/>
              <w:highlight w:val="none"/>
            </w:rPr>
            <w:fldChar w:fldCharType="separate"/>
          </w:r>
          <w:r>
            <w:rPr>
              <w:b/>
              <w:bCs/>
              <w:highlight w:val="none"/>
            </w:rPr>
            <w:t>25</w:t>
          </w:r>
          <w:r>
            <w:rPr>
              <w:b/>
              <w:bCs/>
              <w:highlight w:val="none"/>
            </w:rPr>
            <w:fldChar w:fldCharType="end"/>
          </w:r>
          <w:r>
            <w:rPr>
              <w:rFonts w:hint="eastAsia" w:ascii="宋体" w:hAnsi="宋体" w:cs="宋体"/>
              <w:b/>
              <w:bCs/>
              <w:color w:val="000000"/>
              <w:szCs w:val="32"/>
              <w:highlight w:val="none"/>
            </w:rPr>
            <w:fldChar w:fldCharType="end"/>
          </w:r>
        </w:p>
        <w:p w14:paraId="3E7E7107">
          <w:pPr>
            <w:pStyle w:val="20"/>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_Toc732 </w:instrText>
          </w:r>
          <w:r>
            <w:rPr>
              <w:rFonts w:hint="eastAsia" w:ascii="宋体" w:hAnsi="宋体" w:cs="宋体"/>
              <w:b/>
              <w:bCs/>
              <w:szCs w:val="32"/>
              <w:highlight w:val="none"/>
            </w:rPr>
            <w:fldChar w:fldCharType="separate"/>
          </w:r>
          <w:r>
            <w:rPr>
              <w:rFonts w:hint="eastAsia" w:ascii="宋体" w:hAnsi="宋体" w:cs="宋体"/>
              <w:b/>
              <w:bCs/>
              <w:szCs w:val="32"/>
              <w:highlight w:val="none"/>
              <w:lang w:val="en-US" w:eastAsia="zh-CN"/>
            </w:rPr>
            <w:t xml:space="preserve">第五章 </w:t>
          </w:r>
          <w:r>
            <w:rPr>
              <w:rFonts w:hint="eastAsia" w:ascii="宋体" w:hAnsi="宋体" w:cs="宋体"/>
              <w:b/>
              <w:bCs/>
              <w:szCs w:val="32"/>
              <w:highlight w:val="none"/>
            </w:rPr>
            <w:t>合同主要条款及格式</w:t>
          </w:r>
          <w:r>
            <w:rPr>
              <w:b/>
              <w:bCs/>
              <w:highlight w:val="none"/>
            </w:rPr>
            <w:tab/>
          </w:r>
          <w:r>
            <w:rPr>
              <w:b/>
              <w:bCs/>
              <w:highlight w:val="none"/>
            </w:rPr>
            <w:fldChar w:fldCharType="begin"/>
          </w:r>
          <w:r>
            <w:rPr>
              <w:b/>
              <w:bCs/>
              <w:highlight w:val="none"/>
            </w:rPr>
            <w:instrText xml:space="preserve"> PAGEREF _Toc732 \h </w:instrText>
          </w:r>
          <w:r>
            <w:rPr>
              <w:b/>
              <w:bCs/>
              <w:highlight w:val="none"/>
            </w:rPr>
            <w:fldChar w:fldCharType="separate"/>
          </w:r>
          <w:r>
            <w:rPr>
              <w:b/>
              <w:bCs/>
              <w:highlight w:val="none"/>
            </w:rPr>
            <w:t>52</w:t>
          </w:r>
          <w:r>
            <w:rPr>
              <w:b/>
              <w:bCs/>
              <w:highlight w:val="none"/>
            </w:rPr>
            <w:fldChar w:fldCharType="end"/>
          </w:r>
          <w:r>
            <w:rPr>
              <w:rFonts w:hint="eastAsia" w:ascii="宋体" w:hAnsi="宋体" w:cs="宋体"/>
              <w:b/>
              <w:bCs/>
              <w:color w:val="000000"/>
              <w:szCs w:val="32"/>
              <w:highlight w:val="none"/>
            </w:rPr>
            <w:fldChar w:fldCharType="end"/>
          </w:r>
        </w:p>
        <w:p w14:paraId="49F879FE">
          <w:pPr>
            <w:pStyle w:val="20"/>
            <w:tabs>
              <w:tab w:val="right" w:leader="dot" w:pos="8306"/>
            </w:tabs>
            <w:rPr>
              <w:b/>
              <w:bCs/>
              <w:highlight w:val="none"/>
            </w:rPr>
          </w:pPr>
          <w:r>
            <w:rPr>
              <w:rFonts w:hint="eastAsia" w:ascii="宋体" w:hAnsi="宋体" w:cs="宋体"/>
              <w:b/>
              <w:bCs/>
              <w:color w:val="000000"/>
              <w:szCs w:val="32"/>
              <w:highlight w:val="none"/>
            </w:rPr>
            <w:fldChar w:fldCharType="begin"/>
          </w:r>
          <w:r>
            <w:rPr>
              <w:rFonts w:hint="eastAsia" w:ascii="宋体" w:hAnsi="宋体" w:cs="宋体"/>
              <w:b/>
              <w:bCs/>
              <w:szCs w:val="32"/>
              <w:highlight w:val="none"/>
            </w:rPr>
            <w:instrText xml:space="preserve"> HYPERLINK \l _Toc5307 </w:instrText>
          </w:r>
          <w:r>
            <w:rPr>
              <w:rFonts w:hint="eastAsia" w:ascii="宋体" w:hAnsi="宋体" w:cs="宋体"/>
              <w:b/>
              <w:bCs/>
              <w:szCs w:val="32"/>
              <w:highlight w:val="none"/>
            </w:rPr>
            <w:fldChar w:fldCharType="separate"/>
          </w:r>
          <w:r>
            <w:rPr>
              <w:rFonts w:hint="eastAsia" w:hAnsi="宋体" w:cs="宋体"/>
              <w:b/>
              <w:bCs/>
              <w:szCs w:val="32"/>
              <w:highlight w:val="none"/>
              <w:lang w:val="zh-CN"/>
            </w:rPr>
            <w:t>第六章</w:t>
          </w:r>
          <w:r>
            <w:rPr>
              <w:rFonts w:hint="eastAsia" w:hAnsi="宋体" w:cs="宋体"/>
              <w:b/>
              <w:bCs/>
              <w:szCs w:val="32"/>
              <w:highlight w:val="none"/>
              <w:lang w:val="en-US" w:eastAsia="zh-CN"/>
            </w:rPr>
            <w:t xml:space="preserve"> </w:t>
          </w:r>
          <w:r>
            <w:rPr>
              <w:rFonts w:hint="eastAsia" w:hAnsi="宋体" w:cs="宋体"/>
              <w:b/>
              <w:bCs/>
              <w:szCs w:val="32"/>
              <w:highlight w:val="none"/>
              <w:lang w:val="zh-CN"/>
            </w:rPr>
            <w:t>投标文件格式及附件</w:t>
          </w:r>
          <w:r>
            <w:rPr>
              <w:b/>
              <w:bCs/>
              <w:highlight w:val="none"/>
            </w:rPr>
            <w:tab/>
          </w:r>
          <w:r>
            <w:rPr>
              <w:b/>
              <w:bCs/>
              <w:highlight w:val="none"/>
            </w:rPr>
            <w:fldChar w:fldCharType="begin"/>
          </w:r>
          <w:r>
            <w:rPr>
              <w:b/>
              <w:bCs/>
              <w:highlight w:val="none"/>
            </w:rPr>
            <w:instrText xml:space="preserve"> PAGEREF _Toc5307 \h </w:instrText>
          </w:r>
          <w:r>
            <w:rPr>
              <w:b/>
              <w:bCs/>
              <w:highlight w:val="none"/>
            </w:rPr>
            <w:fldChar w:fldCharType="separate"/>
          </w:r>
          <w:r>
            <w:rPr>
              <w:b/>
              <w:bCs/>
              <w:highlight w:val="none"/>
            </w:rPr>
            <w:t>60</w:t>
          </w:r>
          <w:r>
            <w:rPr>
              <w:b/>
              <w:bCs/>
              <w:highlight w:val="none"/>
            </w:rPr>
            <w:fldChar w:fldCharType="end"/>
          </w:r>
          <w:r>
            <w:rPr>
              <w:rFonts w:hint="eastAsia" w:ascii="宋体" w:hAnsi="宋体" w:cs="宋体"/>
              <w:b/>
              <w:bCs/>
              <w:color w:val="000000"/>
              <w:szCs w:val="32"/>
              <w:highlight w:val="none"/>
            </w:rPr>
            <w:fldChar w:fldCharType="end"/>
          </w:r>
        </w:p>
        <w:p w14:paraId="43AE8EE5">
          <w:pPr>
            <w:ind w:firstLine="640"/>
            <w:jc w:val="center"/>
            <w:outlineLvl w:val="0"/>
            <w:rPr>
              <w:rFonts w:hint="eastAsia" w:ascii="宋体" w:hAnsi="宋体" w:eastAsia="宋体" w:cs="宋体"/>
              <w:bCs/>
              <w:color w:val="000000"/>
              <w:sz w:val="21"/>
              <w:szCs w:val="32"/>
              <w:highlight w:val="none"/>
              <w:lang w:val="en-US" w:eastAsia="zh-CN" w:bidi="ar-SA"/>
            </w:rPr>
          </w:pPr>
          <w:r>
            <w:rPr>
              <w:rFonts w:hint="eastAsia" w:ascii="宋体" w:hAnsi="宋体" w:cs="宋体"/>
              <w:b/>
              <w:bCs/>
              <w:color w:val="000000"/>
              <w:szCs w:val="32"/>
              <w:highlight w:val="none"/>
            </w:rPr>
            <w:fldChar w:fldCharType="end"/>
          </w:r>
        </w:p>
      </w:sdtContent>
    </w:sdt>
    <w:p w14:paraId="2EE4812A">
      <w:pPr>
        <w:ind w:firstLine="640"/>
        <w:jc w:val="center"/>
        <w:outlineLvl w:val="0"/>
        <w:rPr>
          <w:rFonts w:hint="eastAsia" w:ascii="宋体" w:hAnsi="宋体" w:eastAsia="宋体" w:cs="宋体"/>
          <w:bCs/>
          <w:color w:val="000000"/>
          <w:sz w:val="21"/>
          <w:szCs w:val="32"/>
          <w:highlight w:val="none"/>
          <w:lang w:val="en-US" w:eastAsia="zh-CN" w:bidi="ar-SA"/>
        </w:rPr>
        <w:sectPr>
          <w:footerReference r:id="rId3" w:type="default"/>
          <w:endnotePr>
            <w:numFmt w:val="decimal"/>
          </w:endnotePr>
          <w:pgSz w:w="11906" w:h="16838"/>
          <w:pgMar w:top="1440" w:right="1800" w:bottom="1440" w:left="1800" w:header="567" w:footer="720" w:gutter="0"/>
          <w:cols w:space="1701" w:num="1"/>
          <w:docGrid w:linePitch="360" w:charSpace="0"/>
        </w:sectPr>
      </w:pPr>
    </w:p>
    <w:p w14:paraId="1AACD2B7">
      <w:pPr>
        <w:ind w:firstLine="640"/>
        <w:jc w:val="center"/>
        <w:outlineLvl w:val="0"/>
        <w:rPr>
          <w:rFonts w:hint="eastAsia" w:ascii="宋体" w:hAnsi="宋体" w:cs="宋体"/>
          <w:bCs/>
          <w:color w:val="000000"/>
          <w:sz w:val="32"/>
          <w:szCs w:val="32"/>
          <w:highlight w:val="none"/>
        </w:rPr>
      </w:pPr>
      <w:bookmarkStart w:id="0" w:name="_Toc21772"/>
      <w:r>
        <w:rPr>
          <w:rFonts w:hint="eastAsia" w:ascii="宋体" w:hAnsi="宋体" w:cs="宋体"/>
          <w:b/>
          <w:bCs/>
          <w:color w:val="000000"/>
          <w:sz w:val="32"/>
          <w:szCs w:val="32"/>
          <w:highlight w:val="none"/>
        </w:rPr>
        <w:t>第一章 投标邀请</w:t>
      </w:r>
      <w:bookmarkEnd w:id="0"/>
    </w:p>
    <w:p w14:paraId="731C830E">
      <w:pPr>
        <w:pBdr>
          <w:top w:val="single" w:color="000000" w:sz="4" w:space="0"/>
          <w:left w:val="single" w:color="000000" w:sz="4" w:space="0"/>
          <w:bottom w:val="single" w:color="000000" w:sz="4" w:space="0"/>
          <w:right w:val="single" w:color="000000" w:sz="4" w:space="0"/>
        </w:pBd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项目概况</w:t>
      </w:r>
    </w:p>
    <w:p w14:paraId="27DCA25A">
      <w:pPr>
        <w:pBdr>
          <w:top w:val="single" w:color="000000" w:sz="4" w:space="0"/>
          <w:left w:val="single" w:color="000000" w:sz="4" w:space="0"/>
          <w:bottom w:val="single" w:color="000000" w:sz="4" w:space="0"/>
          <w:right w:val="single" w:color="000000" w:sz="4" w:space="0"/>
        </w:pBd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u w:val="single"/>
        </w:rPr>
        <w:t>马诚山、马子山墓区综合服务采购</w:t>
      </w:r>
      <w:r>
        <w:rPr>
          <w:rFonts w:hint="eastAsia" w:ascii="宋体" w:hAnsi="宋体" w:cs="宋体"/>
          <w:color w:val="000000"/>
          <w:szCs w:val="21"/>
          <w:highlight w:val="none"/>
        </w:rPr>
        <w:t>招标项目的潜在投标人应在</w:t>
      </w:r>
      <w:r>
        <w:rPr>
          <w:rFonts w:hint="eastAsia" w:ascii="宋体" w:hAnsi="宋体" w:cs="宋体"/>
          <w:color w:val="000000"/>
          <w:szCs w:val="21"/>
          <w:highlight w:val="none"/>
          <w:u w:val="single"/>
        </w:rPr>
        <w:t>江苏政府采购网</w:t>
      </w:r>
      <w:r>
        <w:rPr>
          <w:rFonts w:hint="eastAsia" w:ascii="宋体" w:hAnsi="宋体" w:cs="宋体"/>
          <w:color w:val="000000"/>
          <w:szCs w:val="21"/>
          <w:highlight w:val="none"/>
        </w:rPr>
        <w:t>获取招标文件，并于</w:t>
      </w:r>
      <w:r>
        <w:rPr>
          <w:rFonts w:hint="eastAsia" w:ascii="宋体" w:hAnsi="宋体" w:cs="宋体"/>
          <w:color w:val="000000"/>
          <w:szCs w:val="21"/>
          <w:highlight w:val="none"/>
          <w:u w:val="single"/>
        </w:rPr>
        <w:t>202</w:t>
      </w:r>
      <w:r>
        <w:rPr>
          <w:rFonts w:ascii="宋体" w:hAnsi="宋体" w:cs="宋体"/>
          <w:color w:val="000000"/>
          <w:szCs w:val="21"/>
          <w:highlight w:val="none"/>
          <w:u w:val="single"/>
        </w:rPr>
        <w:t>6</w:t>
      </w:r>
      <w:r>
        <w:rPr>
          <w:rFonts w:hint="eastAsia" w:ascii="宋体" w:hAnsi="宋体" w:cs="宋体"/>
          <w:color w:val="000000"/>
          <w:szCs w:val="21"/>
          <w:highlight w:val="none"/>
          <w:u w:val="single"/>
        </w:rPr>
        <w:t>年</w:t>
      </w:r>
      <w:r>
        <w:rPr>
          <w:rFonts w:hint="eastAsia" w:ascii="宋体" w:hAnsi="宋体" w:cs="宋体"/>
          <w:color w:val="000000"/>
          <w:szCs w:val="21"/>
          <w:highlight w:val="none"/>
          <w:u w:val="single"/>
          <w:lang w:val="en-US" w:eastAsia="zh-CN"/>
        </w:rPr>
        <w:t>8</w:t>
      </w:r>
      <w:r>
        <w:rPr>
          <w:rFonts w:hint="eastAsia" w:ascii="宋体" w:hAnsi="宋体" w:cs="宋体"/>
          <w:color w:val="000000"/>
          <w:szCs w:val="21"/>
          <w:highlight w:val="none"/>
          <w:u w:val="single"/>
        </w:rPr>
        <w:t>月</w:t>
      </w:r>
      <w:r>
        <w:rPr>
          <w:rFonts w:hint="eastAsia" w:ascii="宋体" w:hAnsi="宋体" w:cs="宋体"/>
          <w:color w:val="000000"/>
          <w:szCs w:val="21"/>
          <w:highlight w:val="none"/>
          <w:u w:val="single"/>
          <w:lang w:val="en-US" w:eastAsia="zh-CN"/>
        </w:rPr>
        <w:t>10</w:t>
      </w:r>
      <w:r>
        <w:rPr>
          <w:rFonts w:hint="eastAsia" w:ascii="宋体" w:hAnsi="宋体" w:cs="宋体"/>
          <w:color w:val="000000"/>
          <w:szCs w:val="21"/>
          <w:highlight w:val="none"/>
          <w:u w:val="single"/>
        </w:rPr>
        <w:t>日</w:t>
      </w:r>
      <w:r>
        <w:rPr>
          <w:rFonts w:hint="eastAsia" w:ascii="宋体" w:hAnsi="宋体" w:cs="宋体"/>
          <w:color w:val="000000"/>
          <w:szCs w:val="21"/>
          <w:highlight w:val="none"/>
          <w:u w:val="single"/>
          <w:lang w:val="en-US" w:eastAsia="zh-CN"/>
        </w:rPr>
        <w:t>14</w:t>
      </w:r>
      <w:r>
        <w:rPr>
          <w:rFonts w:hint="eastAsia" w:ascii="宋体" w:hAnsi="宋体" w:cs="宋体"/>
          <w:color w:val="000000"/>
          <w:szCs w:val="21"/>
          <w:highlight w:val="none"/>
          <w:u w:val="single"/>
        </w:rPr>
        <w:t>时</w:t>
      </w:r>
      <w:r>
        <w:rPr>
          <w:rFonts w:hint="eastAsia" w:ascii="宋体" w:hAnsi="宋体" w:cs="宋体"/>
          <w:color w:val="000000"/>
          <w:szCs w:val="21"/>
          <w:highlight w:val="none"/>
          <w:u w:val="single"/>
          <w:lang w:val="en-US" w:eastAsia="zh-CN"/>
        </w:rPr>
        <w:t>30</w:t>
      </w:r>
      <w:r>
        <w:rPr>
          <w:rFonts w:hint="eastAsia" w:ascii="宋体" w:hAnsi="宋体" w:cs="宋体"/>
          <w:color w:val="000000"/>
          <w:szCs w:val="21"/>
          <w:highlight w:val="none"/>
          <w:u w:val="single"/>
        </w:rPr>
        <w:t>分</w:t>
      </w:r>
      <w:r>
        <w:rPr>
          <w:rFonts w:hint="eastAsia" w:ascii="宋体" w:hAnsi="宋体" w:cs="宋体"/>
          <w:color w:val="000000"/>
          <w:szCs w:val="21"/>
          <w:highlight w:val="none"/>
        </w:rPr>
        <w:t>（北京时间）前递交投标文件。</w:t>
      </w:r>
    </w:p>
    <w:p w14:paraId="564D30AF">
      <w:pPr>
        <w:spacing w:line="360" w:lineRule="auto"/>
        <w:jc w:val="left"/>
        <w:outlineLvl w:val="1"/>
        <w:rPr>
          <w:rFonts w:hint="eastAsia" w:ascii="宋体" w:hAnsi="宋体" w:cs="宋体"/>
          <w:color w:val="000000"/>
          <w:szCs w:val="21"/>
          <w:highlight w:val="none"/>
        </w:rPr>
      </w:pPr>
      <w:bookmarkStart w:id="1" w:name="_Hlk24379207"/>
      <w:bookmarkEnd w:id="1"/>
      <w:bookmarkStart w:id="2" w:name="_Toc35393790"/>
      <w:bookmarkEnd w:id="2"/>
      <w:bookmarkStart w:id="3" w:name="_Toc35393621"/>
      <w:bookmarkEnd w:id="3"/>
      <w:bookmarkStart w:id="4" w:name="_Toc28359079"/>
      <w:bookmarkEnd w:id="4"/>
      <w:bookmarkStart w:id="5" w:name="_Toc28359002"/>
      <w:bookmarkEnd w:id="5"/>
      <w:bookmarkStart w:id="6" w:name="_Toc22012"/>
      <w:r>
        <w:rPr>
          <w:rFonts w:hint="eastAsia" w:ascii="宋体" w:hAnsi="宋体" w:cs="宋体"/>
          <w:color w:val="000000"/>
          <w:szCs w:val="21"/>
          <w:highlight w:val="none"/>
        </w:rPr>
        <w:t>一、项目基本情况</w:t>
      </w:r>
      <w:bookmarkEnd w:id="6"/>
    </w:p>
    <w:p w14:paraId="6A51892E">
      <w:pPr>
        <w:spacing w:line="360" w:lineRule="auto"/>
        <w:ind w:firstLine="560"/>
        <w:jc w:val="lef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项目编号：</w:t>
      </w:r>
      <w:r>
        <w:rPr>
          <w:rFonts w:hint="eastAsia" w:ascii="宋体" w:hAnsi="宋体" w:cs="宋体"/>
          <w:color w:val="000000"/>
          <w:szCs w:val="21"/>
          <w:highlight w:val="none"/>
          <w:lang w:eastAsia="zh-CN"/>
        </w:rPr>
        <w:t>JSZC-320100-XMGL-G2026-0007</w:t>
      </w:r>
    </w:p>
    <w:p w14:paraId="5508A138">
      <w:pPr>
        <w:spacing w:line="360" w:lineRule="auto"/>
        <w:ind w:firstLine="560"/>
        <w:jc w:val="left"/>
        <w:rPr>
          <w:rFonts w:hint="eastAsia" w:ascii="宋体" w:hAnsi="宋体" w:cs="宋体"/>
          <w:szCs w:val="21"/>
          <w:highlight w:val="none"/>
        </w:rPr>
      </w:pPr>
      <w:r>
        <w:rPr>
          <w:rFonts w:hint="eastAsia" w:ascii="宋体" w:hAnsi="宋体" w:cs="宋体"/>
          <w:color w:val="000000"/>
          <w:szCs w:val="21"/>
          <w:highlight w:val="none"/>
        </w:rPr>
        <w:t>项</w:t>
      </w:r>
      <w:r>
        <w:rPr>
          <w:rFonts w:hint="eastAsia" w:ascii="宋体" w:hAnsi="宋体" w:cs="宋体"/>
          <w:szCs w:val="21"/>
          <w:highlight w:val="none"/>
        </w:rPr>
        <w:t>目名称：马诚山、马子山墓区综合服务采购</w:t>
      </w:r>
    </w:p>
    <w:p w14:paraId="471DD6AE">
      <w:pPr>
        <w:spacing w:line="360" w:lineRule="auto"/>
        <w:ind w:firstLine="560"/>
        <w:jc w:val="left"/>
        <w:rPr>
          <w:rFonts w:hint="eastAsia" w:ascii="宋体" w:hAnsi="宋体" w:cs="宋体"/>
          <w:szCs w:val="21"/>
          <w:highlight w:val="none"/>
        </w:rPr>
      </w:pPr>
      <w:r>
        <w:rPr>
          <w:rFonts w:ascii="宋体" w:hAnsi="宋体" w:cs="宋体"/>
          <w:szCs w:val="21"/>
          <w:highlight w:val="none"/>
        </w:rPr>
        <w:t>招标方</w:t>
      </w:r>
      <w:r>
        <w:rPr>
          <w:rFonts w:hint="eastAsia" w:ascii="宋体" w:hAnsi="宋体" w:cs="宋体"/>
          <w:szCs w:val="21"/>
          <w:highlight w:val="none"/>
        </w:rPr>
        <w:t>式：公开招标</w:t>
      </w:r>
    </w:p>
    <w:p w14:paraId="5EC1BC48">
      <w:pPr>
        <w:spacing w:line="360" w:lineRule="auto"/>
        <w:ind w:firstLine="560"/>
        <w:jc w:val="left"/>
        <w:rPr>
          <w:rFonts w:hint="eastAsia" w:ascii="宋体" w:hAnsi="宋体" w:cs="宋体"/>
          <w:szCs w:val="21"/>
          <w:highlight w:val="none"/>
        </w:rPr>
      </w:pPr>
      <w:r>
        <w:rPr>
          <w:rFonts w:hint="eastAsia" w:ascii="宋体" w:hAnsi="宋体" w:cs="宋体"/>
          <w:szCs w:val="21"/>
          <w:highlight w:val="none"/>
        </w:rPr>
        <w:t>预算金额：540万元</w:t>
      </w:r>
      <w:r>
        <w:rPr>
          <w:rFonts w:hint="eastAsia" w:ascii="宋体" w:hAnsi="宋体" w:cs="宋体"/>
          <w:szCs w:val="21"/>
          <w:highlight w:val="none"/>
          <w:lang w:val="zh-CN"/>
        </w:rPr>
        <w:t>。</w:t>
      </w:r>
    </w:p>
    <w:p w14:paraId="496105A6">
      <w:pPr>
        <w:spacing w:line="360" w:lineRule="auto"/>
        <w:ind w:firstLine="560"/>
        <w:jc w:val="left"/>
        <w:rPr>
          <w:rFonts w:hint="eastAsia" w:ascii="宋体" w:hAnsi="宋体" w:cs="宋体"/>
          <w:szCs w:val="21"/>
          <w:highlight w:val="none"/>
        </w:rPr>
      </w:pPr>
      <w:r>
        <w:rPr>
          <w:rFonts w:hint="eastAsia" w:ascii="宋体" w:hAnsi="宋体" w:cs="宋体"/>
          <w:szCs w:val="21"/>
          <w:highlight w:val="none"/>
        </w:rPr>
        <w:t>最高限价：</w:t>
      </w:r>
      <w:r>
        <w:rPr>
          <w:rFonts w:hint="eastAsia" w:ascii="宋体" w:hAnsi="宋体" w:cs="宋体"/>
          <w:szCs w:val="21"/>
          <w:highlight w:val="none"/>
          <w:lang w:eastAsia="zh-CN"/>
        </w:rPr>
        <w:t>539.5635</w:t>
      </w:r>
      <w:r>
        <w:rPr>
          <w:rFonts w:hint="eastAsia" w:ascii="宋体" w:hAnsi="宋体" w:cs="宋体"/>
          <w:szCs w:val="21"/>
          <w:highlight w:val="none"/>
        </w:rPr>
        <w:t>万元。</w:t>
      </w:r>
    </w:p>
    <w:p w14:paraId="2A2295EF">
      <w:pPr>
        <w:spacing w:line="360" w:lineRule="auto"/>
        <w:ind w:firstLine="560"/>
        <w:jc w:val="left"/>
        <w:rPr>
          <w:rFonts w:hint="eastAsia" w:ascii="宋体" w:hAnsi="宋体" w:cs="宋体"/>
          <w:szCs w:val="21"/>
          <w:highlight w:val="none"/>
        </w:rPr>
      </w:pPr>
      <w:r>
        <w:rPr>
          <w:rFonts w:hint="eastAsia" w:ascii="宋体" w:hAnsi="宋体" w:cs="宋体"/>
          <w:szCs w:val="21"/>
          <w:highlight w:val="none"/>
        </w:rPr>
        <w:t>采购需求：</w:t>
      </w:r>
      <w:r>
        <w:rPr>
          <w:rFonts w:hint="eastAsia" w:ascii="宋体" w:hAnsi="宋体" w:cs="宋体"/>
          <w:szCs w:val="21"/>
          <w:highlight w:val="none"/>
          <w:lang w:val="zh-CN"/>
        </w:rPr>
        <w:t>马诚山、马子山墓区相关配套服务，包括但不限于墓穴基础建设、墓体安装、环境整治、绿化保洁、值守、材料保管零星维修服务等。服务期</w:t>
      </w:r>
      <w:r>
        <w:rPr>
          <w:rFonts w:hint="eastAsia" w:ascii="宋体" w:hAnsi="宋体" w:cs="宋体"/>
          <w:szCs w:val="21"/>
          <w:highlight w:val="none"/>
        </w:rPr>
        <w:t>三年，每年考核合格后可续签，最多续签2次</w:t>
      </w:r>
      <w:r>
        <w:rPr>
          <w:rFonts w:hint="eastAsia" w:ascii="宋体" w:hAnsi="宋体" w:cs="宋体"/>
          <w:szCs w:val="21"/>
          <w:highlight w:val="none"/>
          <w:lang w:val="zh-CN"/>
        </w:rPr>
        <w:t>，据实结算。</w:t>
      </w:r>
    </w:p>
    <w:p w14:paraId="0BDEC97E">
      <w:pPr>
        <w:spacing w:line="360" w:lineRule="auto"/>
        <w:ind w:firstLine="560"/>
        <w:jc w:val="left"/>
        <w:rPr>
          <w:rFonts w:hint="eastAsia" w:ascii="宋体" w:hAnsi="宋体" w:cs="宋体"/>
          <w:szCs w:val="21"/>
          <w:highlight w:val="none"/>
        </w:rPr>
      </w:pPr>
      <w:r>
        <w:rPr>
          <w:rFonts w:hint="eastAsia" w:ascii="宋体" w:hAnsi="宋体" w:cs="宋体"/>
          <w:szCs w:val="21"/>
          <w:highlight w:val="none"/>
        </w:rPr>
        <w:t>合同履行期限：三年，每年考核合格后可续签，最多续签2次。</w:t>
      </w:r>
    </w:p>
    <w:p w14:paraId="7CE4AE2D">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本项目不接受联合体投标。</w:t>
      </w:r>
    </w:p>
    <w:p w14:paraId="6BFAF885">
      <w:pPr>
        <w:spacing w:line="360" w:lineRule="auto"/>
        <w:ind w:firstLine="560"/>
        <w:jc w:val="left"/>
        <w:rPr>
          <w:rFonts w:hint="eastAsia" w:ascii="宋体" w:hAnsi="宋体" w:cs="宋体"/>
          <w:color w:val="000000"/>
          <w:szCs w:val="21"/>
          <w:highlight w:val="none"/>
        </w:rPr>
      </w:pPr>
      <w:bookmarkStart w:id="7" w:name="_Toc35393791"/>
      <w:bookmarkEnd w:id="7"/>
      <w:bookmarkStart w:id="8" w:name="_Toc35393622"/>
      <w:bookmarkEnd w:id="8"/>
      <w:bookmarkStart w:id="9" w:name="_Toc28359080"/>
      <w:bookmarkEnd w:id="9"/>
      <w:bookmarkStart w:id="10" w:name="_Toc28359003"/>
      <w:bookmarkEnd w:id="10"/>
      <w:r>
        <w:rPr>
          <w:rFonts w:hint="eastAsia" w:ascii="宋体" w:hAnsi="宋体" w:cs="宋体"/>
          <w:color w:val="000000"/>
          <w:szCs w:val="21"/>
          <w:highlight w:val="none"/>
        </w:rPr>
        <w:t>本项目采购标的所属行业为：其他未列明行业。</w:t>
      </w:r>
    </w:p>
    <w:p w14:paraId="161CF00B">
      <w:pPr>
        <w:spacing w:line="360" w:lineRule="auto"/>
        <w:jc w:val="left"/>
        <w:outlineLvl w:val="1"/>
        <w:rPr>
          <w:rFonts w:hint="eastAsia" w:ascii="宋体" w:hAnsi="宋体" w:cs="宋体"/>
          <w:color w:val="000000"/>
          <w:szCs w:val="21"/>
          <w:highlight w:val="none"/>
        </w:rPr>
      </w:pPr>
      <w:bookmarkStart w:id="11" w:name="_Toc12220"/>
      <w:r>
        <w:rPr>
          <w:rFonts w:hint="eastAsia" w:ascii="宋体" w:hAnsi="宋体" w:cs="宋体"/>
          <w:color w:val="000000"/>
          <w:szCs w:val="21"/>
          <w:highlight w:val="none"/>
        </w:rPr>
        <w:t>二、申请人的资格要求：</w:t>
      </w:r>
      <w:bookmarkEnd w:id="11"/>
    </w:p>
    <w:p w14:paraId="6F3194DC">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1.满足《中华人民共和国政府采购法》第二十二条规定；</w:t>
      </w:r>
    </w:p>
    <w:p w14:paraId="5C28A4F8">
      <w:pPr>
        <w:spacing w:line="360" w:lineRule="auto"/>
        <w:ind w:firstLine="560"/>
        <w:jc w:val="left"/>
        <w:rPr>
          <w:rFonts w:hint="eastAsia" w:ascii="宋体" w:hAnsi="宋体" w:cs="宋体"/>
          <w:color w:val="000000"/>
          <w:szCs w:val="21"/>
          <w:highlight w:val="none"/>
        </w:rPr>
      </w:pPr>
      <w:bookmarkStart w:id="12" w:name="_Toc28359081"/>
      <w:bookmarkEnd w:id="12"/>
      <w:bookmarkStart w:id="13" w:name="_Toc28359004"/>
      <w:bookmarkEnd w:id="13"/>
      <w:r>
        <w:rPr>
          <w:rFonts w:hint="eastAsia" w:ascii="宋体" w:hAnsi="宋体" w:cs="宋体"/>
          <w:color w:val="000000"/>
          <w:szCs w:val="21"/>
          <w:highlight w:val="none"/>
        </w:rPr>
        <w:t>（1）具有独立承担民事责任的能力（提供法人或者其他组织的营业执照，自然人的身份证明）；</w:t>
      </w:r>
    </w:p>
    <w:p w14:paraId="1E4DB169">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具有良好的商业信誉和健全的财务会计制度（提供参加本次政府采购活动上一年度的财务报表，或本次政府采购活动截止时间前六个月内银行出具的资信证明，或财政部门认可的政府采购专业担保机构出具的投标担保函）（法人或者其他组织成立未满一年的可以不提供）；</w:t>
      </w:r>
    </w:p>
    <w:p w14:paraId="259BD187">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（3）具有履行合同所必需的设备和专业技术能力（根据项目需求提供履行合同所必需的设备和专业技术能力的声明及证明材料）；</w:t>
      </w:r>
    </w:p>
    <w:p w14:paraId="65C1ED5A">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（4）有依法缴纳税收和社会保障资金的良好记录（投标人需要提供近六个月内任意一个月的依法缴纳税收和社会保障资金的记录（如依法免税或依法不需要缴纳社会保障资金的，提供相应证明文件））；</w:t>
      </w:r>
    </w:p>
    <w:p w14:paraId="5BBB7035">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（5）参加本次采购活动前三年内，在经营活动中没有重大违法或不良征信记录（提供参加本次采购活动前三年内在经营活动中没有重大违法记录的书面声明）；</w:t>
      </w:r>
    </w:p>
    <w:p w14:paraId="40CC8B47">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（6）法律、行政法规规定的其他条件。</w:t>
      </w:r>
    </w:p>
    <w:p w14:paraId="0207FD76">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2.落实政府采购政策需满足的资格要求：（如属于专门面向中小企业采购的项目，投标人应为中小微企业、监狱企业、残疾人福利性单位）本项目按照采用以下第（4）种方式落实政府采购促进中小企业发展的要求：</w:t>
      </w:r>
    </w:p>
    <w:p w14:paraId="0793431B">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（1）本项目整体专门面向中小企业采购货物。</w:t>
      </w:r>
    </w:p>
    <w:p w14:paraId="37820EDF">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（2）本项目整体专门面向小微企业采购货物。</w:t>
      </w:r>
    </w:p>
    <w:p w14:paraId="138143FE">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（3）本项目通过以下第（）种方式预留部分采购份额采购中小企业货物：</w:t>
      </w:r>
    </w:p>
    <w:p w14:paraId="611A1A4C">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①本项目要求投标人以联合体形式参加，中小企业合同金额应当达到的比例为 / %。</w:t>
      </w:r>
    </w:p>
    <w:p w14:paraId="416FCA33">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②本项目要求投标人进行合同分包，中小企业合同金额应当达到的比例为 / %。</w:t>
      </w:r>
    </w:p>
    <w:p w14:paraId="78ACD247">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（4）本项目为非预留份额的采购项目或采购包，执行价格扣除优惠政策，具体详见第三章。</w:t>
      </w:r>
    </w:p>
    <w:p w14:paraId="190BE023">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3.本项目的特定资格要求：无。</w:t>
      </w:r>
    </w:p>
    <w:p w14:paraId="77A25961">
      <w:pPr>
        <w:spacing w:line="360" w:lineRule="auto"/>
        <w:jc w:val="left"/>
        <w:outlineLvl w:val="1"/>
        <w:rPr>
          <w:rFonts w:hint="eastAsia" w:ascii="宋体" w:hAnsi="宋体" w:cs="宋体"/>
          <w:color w:val="000000"/>
          <w:szCs w:val="21"/>
          <w:highlight w:val="none"/>
        </w:rPr>
      </w:pPr>
      <w:bookmarkStart w:id="14" w:name="_Toc35393623"/>
      <w:bookmarkEnd w:id="14"/>
      <w:bookmarkStart w:id="15" w:name="_Toc35393792"/>
      <w:bookmarkEnd w:id="15"/>
      <w:bookmarkStart w:id="16" w:name="_Toc28350"/>
      <w:r>
        <w:rPr>
          <w:rFonts w:hint="eastAsia" w:ascii="宋体" w:hAnsi="宋体" w:cs="宋体"/>
          <w:color w:val="000000"/>
          <w:szCs w:val="21"/>
          <w:highlight w:val="none"/>
        </w:rPr>
        <w:t>三、获取采购文件</w:t>
      </w:r>
      <w:bookmarkEnd w:id="16"/>
    </w:p>
    <w:p w14:paraId="2A4BE70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1、时间：自招标文件公告发布之日起5个工作日。</w:t>
      </w:r>
    </w:p>
    <w:p w14:paraId="3CEBF800">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2、地点：江苏政府采购网。</w:t>
      </w:r>
    </w:p>
    <w:p w14:paraId="4395F1C4">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3、方式：</w:t>
      </w:r>
      <w:bookmarkStart w:id="17" w:name="OLE_LINK7"/>
      <w:r>
        <w:rPr>
          <w:rFonts w:hint="eastAsia" w:ascii="宋体" w:hAnsi="宋体" w:cs="宋体"/>
          <w:color w:val="000000"/>
          <w:szCs w:val="21"/>
          <w:highlight w:val="none"/>
        </w:rPr>
        <w:t>投标人登录“江苏政府采购网”，在网站首页点击“苏采云”→使用CA锁登录系统（新用户需进行“平台用户注册”）→“项目参与”进行登记，在“可参与项目”中选择“我要参与”，参与成功后到“已参与项目”中找到对应项目并进行操作。</w:t>
      </w:r>
      <w:bookmarkEnd w:id="17"/>
    </w:p>
    <w:p w14:paraId="6A68B6E8">
      <w:pPr>
        <w:spacing w:line="360" w:lineRule="auto"/>
        <w:jc w:val="left"/>
        <w:outlineLvl w:val="1"/>
        <w:rPr>
          <w:rFonts w:hint="eastAsia" w:ascii="宋体" w:hAnsi="宋体" w:cs="宋体"/>
          <w:color w:val="000000"/>
          <w:szCs w:val="21"/>
          <w:highlight w:val="none"/>
        </w:rPr>
      </w:pPr>
      <w:bookmarkStart w:id="18" w:name="_Toc26406"/>
      <w:r>
        <w:rPr>
          <w:rFonts w:hint="eastAsia" w:ascii="宋体" w:hAnsi="宋体" w:cs="宋体"/>
          <w:color w:val="000000"/>
          <w:szCs w:val="21"/>
          <w:highlight w:val="none"/>
        </w:rPr>
        <w:t>四、提交投标文件截止时间、开标时间和地点</w:t>
      </w:r>
      <w:bookmarkEnd w:id="18"/>
    </w:p>
    <w:p w14:paraId="4E3DBFCB">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时间：</w:t>
      </w:r>
      <w:r>
        <w:rPr>
          <w:rFonts w:hint="eastAsia" w:ascii="宋体" w:hAnsi="宋体" w:cs="宋体"/>
          <w:color w:val="000000"/>
          <w:szCs w:val="21"/>
          <w:highlight w:val="none"/>
          <w:u w:val="single"/>
        </w:rPr>
        <w:t>202</w:t>
      </w:r>
      <w:r>
        <w:rPr>
          <w:rFonts w:ascii="宋体" w:hAnsi="宋体" w:cs="宋体"/>
          <w:color w:val="000000"/>
          <w:szCs w:val="21"/>
          <w:highlight w:val="none"/>
          <w:u w:val="single"/>
        </w:rPr>
        <w:t>6</w:t>
      </w:r>
      <w:r>
        <w:rPr>
          <w:rFonts w:hint="eastAsia" w:ascii="宋体" w:hAnsi="宋体" w:cs="宋体"/>
          <w:color w:val="000000"/>
          <w:szCs w:val="21"/>
          <w:highlight w:val="none"/>
          <w:u w:val="single"/>
        </w:rPr>
        <w:t>年</w:t>
      </w:r>
      <w:r>
        <w:rPr>
          <w:rFonts w:hint="eastAsia" w:ascii="宋体" w:hAnsi="宋体" w:cs="宋体"/>
          <w:color w:val="000000"/>
          <w:szCs w:val="21"/>
          <w:highlight w:val="none"/>
          <w:u w:val="single"/>
          <w:lang w:val="en-US" w:eastAsia="zh-CN"/>
        </w:rPr>
        <w:t>8</w:t>
      </w:r>
      <w:r>
        <w:rPr>
          <w:rFonts w:hint="eastAsia" w:ascii="宋体" w:hAnsi="宋体" w:cs="宋体"/>
          <w:color w:val="000000"/>
          <w:szCs w:val="21"/>
          <w:highlight w:val="none"/>
          <w:u w:val="single"/>
        </w:rPr>
        <w:t>月</w:t>
      </w:r>
      <w:r>
        <w:rPr>
          <w:rFonts w:hint="eastAsia" w:ascii="宋体" w:hAnsi="宋体" w:cs="宋体"/>
          <w:color w:val="000000"/>
          <w:szCs w:val="21"/>
          <w:highlight w:val="none"/>
          <w:u w:val="single"/>
          <w:lang w:val="en-US" w:eastAsia="zh-CN"/>
        </w:rPr>
        <w:t>10</w:t>
      </w:r>
      <w:r>
        <w:rPr>
          <w:rFonts w:hint="eastAsia" w:ascii="宋体" w:hAnsi="宋体" w:cs="宋体"/>
          <w:color w:val="000000"/>
          <w:szCs w:val="21"/>
          <w:highlight w:val="none"/>
          <w:u w:val="single"/>
        </w:rPr>
        <w:t>日</w:t>
      </w:r>
      <w:r>
        <w:rPr>
          <w:rFonts w:hint="eastAsia" w:ascii="宋体" w:hAnsi="宋体" w:cs="宋体"/>
          <w:color w:val="000000"/>
          <w:szCs w:val="21"/>
          <w:highlight w:val="none"/>
          <w:u w:val="single"/>
          <w:lang w:val="en-US" w:eastAsia="zh-CN"/>
        </w:rPr>
        <w:t>14</w:t>
      </w:r>
      <w:r>
        <w:rPr>
          <w:rFonts w:hint="eastAsia" w:ascii="宋体" w:hAnsi="宋体" w:cs="宋体"/>
          <w:color w:val="000000"/>
          <w:szCs w:val="21"/>
          <w:highlight w:val="none"/>
          <w:u w:val="single"/>
        </w:rPr>
        <w:t>时</w:t>
      </w:r>
      <w:r>
        <w:rPr>
          <w:rFonts w:ascii="宋体" w:hAnsi="宋体" w:cs="宋体"/>
          <w:color w:val="000000"/>
          <w:szCs w:val="21"/>
          <w:highlight w:val="none"/>
          <w:u w:val="single"/>
        </w:rPr>
        <w:t>30</w:t>
      </w:r>
      <w:r>
        <w:rPr>
          <w:rFonts w:hint="eastAsia" w:ascii="宋体" w:hAnsi="宋体" w:cs="宋体"/>
          <w:color w:val="000000"/>
          <w:szCs w:val="21"/>
          <w:highlight w:val="none"/>
          <w:u w:val="single"/>
        </w:rPr>
        <w:t>分</w:t>
      </w:r>
      <w:r>
        <w:rPr>
          <w:rFonts w:hint="eastAsia" w:ascii="宋体" w:hAnsi="宋体" w:cs="宋体"/>
          <w:color w:val="000000"/>
          <w:szCs w:val="21"/>
          <w:highlight w:val="none"/>
        </w:rPr>
        <w:t>（北京时间）</w:t>
      </w:r>
    </w:p>
    <w:p w14:paraId="31F39C99">
      <w:pPr>
        <w:spacing w:line="360"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地点：</w:t>
      </w:r>
      <w:r>
        <w:rPr>
          <w:rFonts w:hint="eastAsia" w:ascii="宋体" w:hAnsi="宋体" w:cs="宋体"/>
          <w:color w:val="000000"/>
          <w:szCs w:val="21"/>
          <w:highlight w:val="none"/>
          <w:u w:val="single"/>
        </w:rPr>
        <w:t>江苏省政府采购交易系统（以下简称“苏采云系统”）网上开标大厅</w:t>
      </w:r>
    </w:p>
    <w:p w14:paraId="69CB68DB">
      <w:pPr>
        <w:spacing w:line="360" w:lineRule="auto"/>
        <w:jc w:val="left"/>
        <w:outlineLvl w:val="1"/>
        <w:rPr>
          <w:rFonts w:hint="eastAsia" w:ascii="宋体" w:hAnsi="宋体" w:cs="宋体"/>
          <w:color w:val="000000"/>
          <w:szCs w:val="21"/>
          <w:highlight w:val="none"/>
        </w:rPr>
      </w:pPr>
      <w:bookmarkStart w:id="19" w:name="_Toc28359007"/>
      <w:bookmarkEnd w:id="19"/>
      <w:bookmarkStart w:id="20" w:name="_Toc28359084"/>
      <w:bookmarkEnd w:id="20"/>
      <w:bookmarkStart w:id="21" w:name="_Toc35393625"/>
      <w:bookmarkEnd w:id="21"/>
      <w:bookmarkStart w:id="22" w:name="_Toc35393794"/>
      <w:bookmarkEnd w:id="22"/>
      <w:bookmarkStart w:id="23" w:name="_Toc20245"/>
      <w:r>
        <w:rPr>
          <w:rFonts w:hint="eastAsia" w:ascii="宋体" w:hAnsi="宋体" w:cs="宋体"/>
          <w:color w:val="000000"/>
          <w:szCs w:val="21"/>
          <w:highlight w:val="none"/>
        </w:rPr>
        <w:t>五、公告期限</w:t>
      </w:r>
      <w:bookmarkEnd w:id="23"/>
    </w:p>
    <w:p w14:paraId="3B827A24">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自本公告在法定媒体发布之日起5个工作日。</w:t>
      </w:r>
    </w:p>
    <w:p w14:paraId="17949617">
      <w:pPr>
        <w:spacing w:line="360" w:lineRule="auto"/>
        <w:jc w:val="left"/>
        <w:outlineLvl w:val="1"/>
        <w:rPr>
          <w:rFonts w:hint="eastAsia" w:ascii="宋体" w:hAnsi="宋体" w:cs="宋体"/>
          <w:color w:val="000000"/>
          <w:szCs w:val="21"/>
          <w:highlight w:val="none"/>
        </w:rPr>
      </w:pPr>
      <w:bookmarkStart w:id="24" w:name="_Toc35393795"/>
      <w:bookmarkEnd w:id="24"/>
      <w:bookmarkStart w:id="25" w:name="_Toc35393626"/>
      <w:bookmarkEnd w:id="25"/>
      <w:bookmarkStart w:id="26" w:name="_Toc3970"/>
      <w:r>
        <w:rPr>
          <w:rFonts w:hint="eastAsia" w:ascii="宋体" w:hAnsi="宋体" w:cs="宋体"/>
          <w:color w:val="000000"/>
          <w:szCs w:val="21"/>
          <w:highlight w:val="none"/>
        </w:rPr>
        <w:t>六、其他补充事宜</w:t>
      </w:r>
      <w:bookmarkEnd w:id="26"/>
    </w:p>
    <w:p w14:paraId="3A4EB01F">
      <w:pPr>
        <w:pBdr>
          <w:top w:val="none" w:color="000000" w:sz="0" w:space="0"/>
          <w:left w:val="none" w:color="000000" w:sz="0" w:space="0"/>
          <w:bottom w:val="none" w:color="000000" w:sz="0" w:space="0"/>
          <w:right w:val="none" w:color="000000" w:sz="0" w:space="0"/>
        </w:pBdr>
        <w:spacing w:line="360" w:lineRule="auto"/>
        <w:ind w:firstLine="561"/>
        <w:rPr>
          <w:highlight w:val="none"/>
        </w:rPr>
      </w:pPr>
      <w:r>
        <w:rPr>
          <w:rFonts w:hint="eastAsia" w:ascii="宋体" w:hAnsi="宋体" w:cs="宋体"/>
          <w:color w:val="000000"/>
          <w:szCs w:val="21"/>
          <w:highlight w:val="none"/>
        </w:rPr>
        <w:t>1.</w:t>
      </w:r>
      <w:r>
        <w:rPr>
          <w:rFonts w:ascii="宋体" w:hAnsi="宋体" w:cs="宋体"/>
          <w:color w:val="000000"/>
          <w:highlight w:val="none"/>
        </w:rPr>
        <w:t>预算金额：</w:t>
      </w:r>
      <w:r>
        <w:rPr>
          <w:rFonts w:hint="eastAsia" w:ascii="宋体" w:hAnsi="宋体" w:cs="宋体"/>
          <w:color w:val="000000"/>
          <w:highlight w:val="none"/>
        </w:rPr>
        <w:t>540万元</w:t>
      </w:r>
    </w:p>
    <w:p w14:paraId="77C75ED7">
      <w:pPr>
        <w:spacing w:line="360" w:lineRule="auto"/>
        <w:ind w:firstLine="561"/>
        <w:jc w:val="left"/>
        <w:rPr>
          <w:rFonts w:hint="eastAsia" w:ascii="宋体" w:hAnsi="宋体" w:cs="宋体"/>
          <w:color w:val="000000"/>
          <w:highlight w:val="none"/>
        </w:rPr>
      </w:pPr>
      <w:r>
        <w:rPr>
          <w:rFonts w:hint="eastAsia" w:ascii="宋体" w:hAnsi="宋体" w:cs="宋体"/>
          <w:color w:val="000000"/>
          <w:szCs w:val="21"/>
          <w:highlight w:val="none"/>
        </w:rPr>
        <w:t>2.拒绝下述投标人参加本次采购活动：</w:t>
      </w:r>
    </w:p>
    <w:p w14:paraId="368E462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（1）投标人单位负责人为同一人或者存在直接控股、管理关系的不同投标人，不得参加同一合同项下的政府采购活动；</w:t>
      </w:r>
    </w:p>
    <w:p w14:paraId="0B27381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（2）为采购项目提供整体设计、规范编制或者项目管理、监理、检测等服务的投标人，不得参加本项目的采购活动；</w:t>
      </w:r>
    </w:p>
    <w:p w14:paraId="7A9F9AFA">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（3）投标人被“信用中国”网站（www.creditchina.gov.cn）、“中国政府采购网”（www.ccgp.gov.cn）列入失信被执行人、重大税收违法失信主体、政府采购严重违法失信行为记录名单。</w:t>
      </w:r>
    </w:p>
    <w:p w14:paraId="580953BE">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3.集中考察或答疑：</w:t>
      </w:r>
    </w:p>
    <w:p w14:paraId="78DE81A7">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招标人不组织，投标人可自行联系招标人。未踏勘现场或踏勘工作不详细的投标人中标后，不得以不完全了解现场情况为理由而向招标人提出任何索赔或其他要求，对此招标人不承担任何责任并将不作任何答复。</w:t>
      </w:r>
    </w:p>
    <w:p w14:paraId="0B20D783">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4.</w:t>
      </w:r>
      <w:bookmarkStart w:id="27" w:name="OLE_LINK8"/>
      <w:r>
        <w:rPr>
          <w:rFonts w:hint="eastAsia" w:ascii="宋体" w:hAnsi="宋体" w:cs="宋体"/>
          <w:color w:val="000000"/>
          <w:szCs w:val="21"/>
          <w:highlight w:val="none"/>
        </w:rPr>
        <w:t>投标文件制作：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下载地址：http://www.ccgp</w:t>
      </w:r>
      <w:r>
        <w:rPr>
          <w:rFonts w:ascii="宋体" w:hAnsi="宋体" w:cs="宋体"/>
          <w:color w:val="000000"/>
          <w:szCs w:val="21"/>
          <w:highlight w:val="none"/>
        </w:rPr>
        <w:t>-</w:t>
      </w:r>
      <w:r>
        <w:rPr>
          <w:rFonts w:hint="eastAsia" w:ascii="宋体" w:hAnsi="宋体" w:cs="宋体"/>
          <w:color w:val="000000"/>
          <w:szCs w:val="21"/>
          <w:highlight w:val="none"/>
        </w:rPr>
        <w:t>jiangsu.gov.cn/jiangsu/zlxz/ee/ee3a4bc5a3454aa2b0d9312230633ce9.html</w:t>
      </w:r>
      <w:bookmarkEnd w:id="27"/>
      <w:r>
        <w:rPr>
          <w:rFonts w:hint="eastAsia" w:ascii="宋体" w:hAnsi="宋体" w:cs="宋体"/>
          <w:color w:val="000000"/>
          <w:szCs w:val="21"/>
          <w:highlight w:val="none"/>
        </w:rPr>
        <w:t>。</w:t>
      </w:r>
    </w:p>
    <w:p w14:paraId="05F8692D">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5.公告媒体</w:t>
      </w:r>
    </w:p>
    <w:p w14:paraId="25E799B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（1）本公告在江苏政府采购网（http：//www.ccgp-jiangsu.gov.cn/）和南京公共采购信息网（https：//njgc.jfh.com/）公示发布，敬请各投标人关注；</w:t>
      </w:r>
    </w:p>
    <w:p w14:paraId="4102094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（2）若有关本次采购存在变动或修改，敬请各投标人及时关注江苏政府采购网（http：//www.ccgp-jiangsu.gov.cn/）和南京公共采购信息网（https：//njgc.jfh.com/）发布的关于本项目的信息更正公告。</w:t>
      </w:r>
    </w:p>
    <w:p w14:paraId="062AE14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6.采购项目需要落实的政府采购政策：</w:t>
      </w:r>
    </w:p>
    <w:p w14:paraId="36113DA1">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（1）政府采购促进中小企业发展</w:t>
      </w:r>
    </w:p>
    <w:p w14:paraId="4E76255A">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（2）政府采购支持监狱企业发展</w:t>
      </w:r>
    </w:p>
    <w:p w14:paraId="2583BBB3">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（3）政府采购促进残疾人就业</w:t>
      </w:r>
    </w:p>
    <w:p w14:paraId="49C478E0">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（4）政府采购鼓励采购节能环保产品</w:t>
      </w:r>
    </w:p>
    <w:p w14:paraId="115E01B8">
      <w:pPr>
        <w:spacing w:line="360" w:lineRule="auto"/>
        <w:ind w:firstLine="560"/>
        <w:jc w:val="left"/>
        <w:rPr>
          <w:rFonts w:hint="eastAsia" w:ascii="宋体" w:hAnsi="宋体" w:cs="宋体"/>
          <w:color w:val="000000"/>
          <w:szCs w:val="21"/>
          <w:highlight w:val="none"/>
        </w:rPr>
      </w:pPr>
      <w:bookmarkStart w:id="28" w:name="_Toc35393627"/>
      <w:bookmarkEnd w:id="28"/>
      <w:bookmarkStart w:id="29" w:name="_Toc28359085"/>
      <w:bookmarkEnd w:id="29"/>
      <w:bookmarkStart w:id="30" w:name="_Toc28359008"/>
      <w:bookmarkEnd w:id="30"/>
      <w:bookmarkStart w:id="31" w:name="_Toc35393796"/>
      <w:bookmarkEnd w:id="31"/>
      <w:r>
        <w:rPr>
          <w:rFonts w:hint="eastAsia" w:ascii="宋体" w:hAnsi="宋体" w:cs="宋体"/>
          <w:color w:val="000000"/>
          <w:szCs w:val="21"/>
          <w:highlight w:val="none"/>
        </w:rPr>
        <w:t>7.政府采购信用承诺：根据《关于在政府采购活动中推行信用承诺制的通知》宁财购通〔2021〕5号规定，参加南京地区政府采购活动的投标人，应以书面形式向招标人或政府采购代理机构作出信用承诺。信用承诺以《南京市政府采购供应商信用记录表暨信用承诺书》体现。投标人应尽早做好承诺书工作，点击‘南京公共采购信息网’首页（https://njgc.jfh.com/）‘南京市政府采购供应商诚信档案’系统链接打开系统页面（http://180.101.238.212:8280/hodeframe2018_cxda/index.action;jsessionid=769BA9C8E1729422E7173B991C8EC1E5）登录（未注册的投标人应先点击‘投标人注册点这里’并按要求完成注册），然后在“信用记录”模块页面点击“信用记录打印”下载本单位信用记录表，由法人代表签字并加盖单位公章，随响应文件一并提供。</w:t>
      </w:r>
    </w:p>
    <w:p w14:paraId="5E74A93D">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在政府采购资格审查环节，投标人只需提供书面《南京市政府采购供应商信用记录表暨信用承诺书》，即可替代以下证明材料：</w:t>
      </w:r>
    </w:p>
    <w:p w14:paraId="3C8D683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（1）符合国家相关规定的财务状况报告；</w:t>
      </w:r>
    </w:p>
    <w:p w14:paraId="17E4FF9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（2）依法缴纳税收的证明材料；</w:t>
      </w:r>
    </w:p>
    <w:p w14:paraId="472F3C3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（3）依法缴纳社会保障资金的证明材料；</w:t>
      </w:r>
    </w:p>
    <w:p w14:paraId="7A2618CA">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（4）具备履行政府采购合同所必需的设备和专业技术能力的证明材料；</w:t>
      </w:r>
    </w:p>
    <w:p w14:paraId="2292058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（5）参加政府采购活动前三年内在经营活动中没有重大违法记录的证明材料；</w:t>
      </w:r>
    </w:p>
    <w:p w14:paraId="56EAE788">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（6）未被列入失信被执行人、重大税收违法失信主体、政府采购严重违法失信行为记录名单的证明材料。</w:t>
      </w:r>
    </w:p>
    <w:p w14:paraId="0CC11DE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投标人在中标（成交）后，应提供上述由信用承诺书替代的证明材料（一式伍份），加盖公章按采购文件要求胶装提交招标人或采购代理机构核验。经核验无误后，由招标人或采购代理机构发出中标（成交）通知书。</w:t>
      </w:r>
    </w:p>
    <w:p w14:paraId="67A5FEE9">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投标人涉及以下情形的，不适用信用承诺，仍须提供上述证明材料：</w:t>
      </w:r>
    </w:p>
    <w:p w14:paraId="66312D79">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（1）投标人被列入严重失信主体名单；</w:t>
      </w:r>
    </w:p>
    <w:p w14:paraId="07AA6C54">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（2）被相关监管部门作出行政处罚且尚在处罚有效期内；</w:t>
      </w:r>
    </w:p>
    <w:p w14:paraId="300A7F2D">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（3）其他法律、行政法规规定的不适用信用承诺的情形。</w:t>
      </w:r>
    </w:p>
    <w:p w14:paraId="1DBD9EB7">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投标人对信用承诺内容的真实性、合法性、有效性负责。如作出虚假信用承诺，视同为“提供虚假材料谋取中标、成交”的违法行为。</w:t>
      </w:r>
    </w:p>
    <w:p w14:paraId="0E7EA342">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七、对本次招标提出询问，请按以下方式联系。</w:t>
      </w:r>
    </w:p>
    <w:p w14:paraId="2B49C71C">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1.招标人信息</w:t>
      </w:r>
    </w:p>
    <w:p w14:paraId="4868567C">
      <w:pPr>
        <w:spacing w:line="360" w:lineRule="auto"/>
        <w:ind w:firstLine="560"/>
        <w:jc w:val="left"/>
        <w:rPr>
          <w:rFonts w:hint="eastAsia" w:ascii="宋体" w:hAnsi="宋体" w:cs="宋体"/>
          <w:color w:val="000000"/>
          <w:szCs w:val="21"/>
          <w:highlight w:val="none"/>
        </w:rPr>
      </w:pPr>
      <w:bookmarkStart w:id="32" w:name="_Toc28359086"/>
      <w:bookmarkEnd w:id="32"/>
      <w:bookmarkStart w:id="33" w:name="_Toc28359009"/>
      <w:bookmarkEnd w:id="33"/>
      <w:r>
        <w:rPr>
          <w:rFonts w:hint="eastAsia" w:ascii="宋体" w:hAnsi="宋体" w:cs="宋体"/>
          <w:color w:val="000000"/>
          <w:szCs w:val="21"/>
          <w:highlight w:val="none"/>
        </w:rPr>
        <w:t>名称：</w:t>
      </w:r>
      <w:r>
        <w:rPr>
          <w:rFonts w:hint="eastAsia" w:ascii="宋体" w:hAnsi="宋体" w:cs="宋体"/>
          <w:color w:val="000000"/>
          <w:szCs w:val="21"/>
          <w:highlight w:val="none"/>
          <w:u w:val="single"/>
        </w:rPr>
        <w:t>南京市回民殡葬服务所</w:t>
      </w:r>
    </w:p>
    <w:p w14:paraId="65CAC0AA">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地址：</w:t>
      </w:r>
      <w:r>
        <w:rPr>
          <w:rFonts w:hint="eastAsia" w:ascii="宋体" w:hAnsi="宋体" w:cs="宋体"/>
          <w:color w:val="000000"/>
          <w:szCs w:val="21"/>
          <w:highlight w:val="none"/>
          <w:u w:val="single"/>
        </w:rPr>
        <w:t>南京市雨花台区大周路198号</w:t>
      </w:r>
    </w:p>
    <w:p w14:paraId="2E4E2FF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联系方式：</w:t>
      </w:r>
      <w:r>
        <w:rPr>
          <w:rFonts w:hint="eastAsia" w:ascii="宋体" w:hAnsi="宋体" w:cs="宋体"/>
          <w:color w:val="000000"/>
          <w:szCs w:val="21"/>
          <w:highlight w:val="none"/>
          <w:u w:val="single"/>
        </w:rPr>
        <w:t>周先生、陈先生025-52891801</w:t>
      </w:r>
    </w:p>
    <w:p w14:paraId="0894153E">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2.采购代理机构信息</w:t>
      </w:r>
    </w:p>
    <w:p w14:paraId="33FFA991">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名称：</w:t>
      </w:r>
      <w:r>
        <w:rPr>
          <w:rFonts w:hint="eastAsia" w:ascii="宋体" w:hAnsi="宋体" w:cs="宋体"/>
          <w:color w:val="000000"/>
          <w:szCs w:val="21"/>
          <w:highlight w:val="none"/>
          <w:u w:val="single"/>
        </w:rPr>
        <w:t>江苏全过程项目管理有限公司</w:t>
      </w:r>
    </w:p>
    <w:p w14:paraId="7218E26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地址：</w:t>
      </w:r>
      <w:r>
        <w:rPr>
          <w:rFonts w:hint="eastAsia" w:ascii="宋体" w:hAnsi="宋体" w:cs="宋体"/>
          <w:color w:val="000000"/>
          <w:szCs w:val="21"/>
          <w:highlight w:val="none"/>
          <w:u w:val="single"/>
        </w:rPr>
        <w:t>南京市秦淮区双龙科技创新产业园18-1幢</w:t>
      </w:r>
    </w:p>
    <w:p w14:paraId="3FB3B675">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联系方式：</w:t>
      </w:r>
      <w:bookmarkStart w:id="34" w:name="_Toc28359087"/>
      <w:bookmarkEnd w:id="34"/>
      <w:bookmarkStart w:id="35" w:name="_Toc28359010"/>
      <w:bookmarkEnd w:id="35"/>
      <w:r>
        <w:rPr>
          <w:rFonts w:hint="eastAsia" w:ascii="宋体" w:hAnsi="宋体" w:cs="宋体"/>
          <w:color w:val="000000"/>
          <w:szCs w:val="21"/>
          <w:highlight w:val="none"/>
          <w:u w:val="single"/>
        </w:rPr>
        <w:t>基业欣 18551711233</w:t>
      </w:r>
    </w:p>
    <w:p w14:paraId="6C6B8356">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3.项目联系方式</w:t>
      </w:r>
    </w:p>
    <w:p w14:paraId="739A7C77">
      <w:pPr>
        <w:spacing w:line="360"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项目联系人：</w:t>
      </w:r>
      <w:r>
        <w:rPr>
          <w:rFonts w:hint="eastAsia" w:ascii="宋体" w:hAnsi="宋体" w:cs="宋体"/>
          <w:color w:val="000000"/>
          <w:szCs w:val="21"/>
          <w:highlight w:val="none"/>
          <w:u w:val="single"/>
        </w:rPr>
        <w:t>基业欣</w:t>
      </w:r>
    </w:p>
    <w:p w14:paraId="08A5D5BF">
      <w:pPr>
        <w:spacing w:line="360"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电话：</w:t>
      </w:r>
      <w:r>
        <w:rPr>
          <w:rFonts w:hint="eastAsia" w:ascii="宋体" w:hAnsi="宋体" w:cs="宋体"/>
          <w:color w:val="000000"/>
          <w:szCs w:val="21"/>
          <w:highlight w:val="none"/>
          <w:u w:val="single"/>
        </w:rPr>
        <w:t>18551711233</w:t>
      </w:r>
    </w:p>
    <w:p w14:paraId="5D05C53F">
      <w:pPr>
        <w:jc w:val="center"/>
        <w:outlineLvl w:val="0"/>
        <w:rPr>
          <w:rFonts w:hint="eastAsia" w:ascii="宋体" w:hAnsi="宋体" w:cs="宋体"/>
          <w:color w:val="000000"/>
          <w:sz w:val="32"/>
          <w:szCs w:val="32"/>
          <w:highlight w:val="none"/>
        </w:rPr>
      </w:pPr>
      <w:r>
        <w:rPr>
          <w:rFonts w:hint="eastAsia" w:ascii="宋体" w:hAnsi="宋体" w:cs="宋体"/>
          <w:color w:val="000000"/>
          <w:sz w:val="32"/>
          <w:szCs w:val="32"/>
          <w:highlight w:val="none"/>
        </w:rPr>
        <w:br w:type="page" w:clear="all"/>
      </w:r>
      <w:bookmarkStart w:id="36" w:name="_Toc25214"/>
      <w:r>
        <w:rPr>
          <w:rFonts w:hint="eastAsia" w:ascii="宋体" w:hAnsi="宋体" w:cs="宋体"/>
          <w:b/>
          <w:bCs/>
          <w:color w:val="000000"/>
          <w:sz w:val="32"/>
          <w:szCs w:val="32"/>
          <w:highlight w:val="none"/>
          <w:lang w:val="zh-CN"/>
        </w:rPr>
        <w:t>第二章</w:t>
      </w:r>
      <w:r>
        <w:rPr>
          <w:rFonts w:hint="eastAsia" w:ascii="宋体" w:hAnsi="宋体" w:cs="宋体"/>
          <w:b/>
          <w:bCs/>
          <w:color w:val="000000"/>
          <w:sz w:val="32"/>
          <w:szCs w:val="32"/>
          <w:highlight w:val="none"/>
        </w:rPr>
        <w:t xml:space="preserve"> </w:t>
      </w:r>
      <w:r>
        <w:rPr>
          <w:rFonts w:hint="eastAsia" w:ascii="宋体" w:hAnsi="宋体" w:cs="宋体"/>
          <w:b/>
          <w:bCs/>
          <w:color w:val="000000"/>
          <w:sz w:val="32"/>
          <w:szCs w:val="32"/>
          <w:highlight w:val="none"/>
          <w:lang w:val="zh-CN"/>
        </w:rPr>
        <w:t>投标人须知</w:t>
      </w:r>
      <w:bookmarkEnd w:id="36"/>
    </w:p>
    <w:p w14:paraId="416CD8F4">
      <w:pPr>
        <w:spacing w:line="360" w:lineRule="auto"/>
        <w:ind w:firstLine="420"/>
        <w:outlineLvl w:val="1"/>
        <w:rPr>
          <w:rFonts w:ascii="宋体"/>
          <w:b/>
          <w:bCs/>
          <w:color w:val="000000"/>
          <w:szCs w:val="21"/>
          <w:highlight w:val="none"/>
          <w:lang w:val="zh-CN"/>
        </w:rPr>
      </w:pPr>
      <w:bookmarkStart w:id="37" w:name="_Toc30199"/>
      <w:r>
        <w:rPr>
          <w:rFonts w:hint="eastAsia" w:ascii="宋体"/>
          <w:b/>
          <w:bCs/>
          <w:color w:val="000000"/>
          <w:szCs w:val="21"/>
          <w:highlight w:val="none"/>
          <w:lang w:val="zh-CN"/>
        </w:rPr>
        <w:t>一、总则</w:t>
      </w:r>
      <w:bookmarkEnd w:id="37"/>
    </w:p>
    <w:p w14:paraId="07CBE508">
      <w:pPr>
        <w:spacing w:line="360" w:lineRule="auto"/>
        <w:ind w:firstLine="420"/>
        <w:rPr>
          <w:rFonts w:ascii="宋体"/>
          <w:b/>
          <w:color w:val="000000"/>
          <w:szCs w:val="21"/>
          <w:highlight w:val="none"/>
          <w:lang w:val="zh-CN"/>
        </w:rPr>
      </w:pPr>
      <w:r>
        <w:rPr>
          <w:rFonts w:ascii="宋体"/>
          <w:b/>
          <w:color w:val="000000"/>
          <w:szCs w:val="21"/>
          <w:highlight w:val="none"/>
          <w:lang w:val="zh-CN"/>
        </w:rPr>
        <w:t>1</w:t>
      </w:r>
      <w:r>
        <w:rPr>
          <w:rFonts w:hint="eastAsia" w:ascii="宋体"/>
          <w:b/>
          <w:color w:val="000000"/>
          <w:szCs w:val="21"/>
          <w:highlight w:val="none"/>
          <w:lang w:val="zh-CN"/>
        </w:rPr>
        <w:t>、适用法律</w:t>
      </w:r>
    </w:p>
    <w:p w14:paraId="341E15F6">
      <w:pPr>
        <w:spacing w:line="360" w:lineRule="auto"/>
        <w:ind w:firstLine="420"/>
        <w:rPr>
          <w:rFonts w:ascii="宋体"/>
          <w:color w:val="000000"/>
          <w:szCs w:val="21"/>
          <w:highlight w:val="none"/>
          <w:lang w:val="zh-CN"/>
        </w:rPr>
      </w:pPr>
      <w:r>
        <w:rPr>
          <w:rFonts w:ascii="宋体"/>
          <w:color w:val="000000"/>
          <w:szCs w:val="21"/>
          <w:highlight w:val="none"/>
          <w:lang w:val="zh-CN"/>
        </w:rPr>
        <w:t>1.1</w:t>
      </w:r>
      <w:r>
        <w:rPr>
          <w:rFonts w:hint="eastAsia" w:ascii="宋体"/>
          <w:color w:val="000000"/>
          <w:szCs w:val="21"/>
          <w:highlight w:val="none"/>
          <w:lang w:val="zh-CN"/>
        </w:rPr>
        <w:t xml:space="preserve"> 《中华人民共和国政府采购法》《中华人民共和国政府采购法实施条例》《政府采购货物和服务招标投标管理办法》等有关法律、规章和规定等。</w:t>
      </w:r>
    </w:p>
    <w:p w14:paraId="013D3EBC">
      <w:pPr>
        <w:spacing w:line="360" w:lineRule="auto"/>
        <w:ind w:firstLine="420"/>
        <w:rPr>
          <w:rFonts w:ascii="宋体"/>
          <w:b/>
          <w:color w:val="000000"/>
          <w:szCs w:val="21"/>
          <w:highlight w:val="none"/>
          <w:lang w:val="zh-CN"/>
        </w:rPr>
      </w:pPr>
      <w:r>
        <w:rPr>
          <w:rFonts w:ascii="宋体"/>
          <w:b/>
          <w:color w:val="000000"/>
          <w:szCs w:val="21"/>
          <w:highlight w:val="none"/>
          <w:lang w:val="zh-CN"/>
        </w:rPr>
        <w:t>2</w:t>
      </w:r>
      <w:r>
        <w:rPr>
          <w:rFonts w:hint="eastAsia" w:ascii="宋体"/>
          <w:b/>
          <w:color w:val="000000"/>
          <w:szCs w:val="21"/>
          <w:highlight w:val="none"/>
          <w:lang w:val="zh-CN"/>
        </w:rPr>
        <w:t>、定义</w:t>
      </w:r>
    </w:p>
    <w:p w14:paraId="259C66E6">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1 “供应商”“投标人”是指参加投标竞争，并符合招标文件规定资格条件的法人、其他组织或者自然人。</w:t>
      </w:r>
    </w:p>
    <w:p w14:paraId="7C244CA9">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2 “产品”指本招标文件中所述产品及相关服务。</w:t>
      </w:r>
    </w:p>
    <w:p w14:paraId="179DE333">
      <w:pPr>
        <w:spacing w:line="360" w:lineRule="auto"/>
        <w:ind w:firstLine="420"/>
        <w:rPr>
          <w:rFonts w:ascii="宋体"/>
          <w:color w:val="000000"/>
          <w:szCs w:val="21"/>
          <w:highlight w:val="none"/>
          <w:lang w:val="zh-CN"/>
        </w:rPr>
      </w:pPr>
      <w:r>
        <w:rPr>
          <w:rFonts w:ascii="宋体"/>
          <w:color w:val="000000"/>
          <w:szCs w:val="21"/>
          <w:highlight w:val="none"/>
          <w:lang w:val="zh-CN"/>
        </w:rPr>
        <w:t>2.</w:t>
      </w:r>
      <w:r>
        <w:rPr>
          <w:rFonts w:hint="eastAsia" w:ascii="宋体"/>
          <w:color w:val="000000"/>
          <w:szCs w:val="21"/>
          <w:highlight w:val="none"/>
          <w:lang w:val="zh-CN"/>
        </w:rPr>
        <w:t>3 “用户或使用单位”是指使用货物、服务的单位。</w:t>
      </w:r>
    </w:p>
    <w:p w14:paraId="1F21D7B2">
      <w:pPr>
        <w:spacing w:line="360" w:lineRule="auto"/>
        <w:ind w:firstLine="420"/>
        <w:rPr>
          <w:rFonts w:hint="eastAsia" w:ascii="宋体" w:hAnsi="宋体"/>
          <w:b/>
          <w:color w:val="000000"/>
          <w:szCs w:val="21"/>
          <w:highlight w:val="none"/>
          <w:lang w:val="zh-CN"/>
        </w:rPr>
      </w:pPr>
      <w:r>
        <w:rPr>
          <w:rFonts w:hint="eastAsia" w:ascii="宋体" w:hAnsi="宋体"/>
          <w:b/>
          <w:color w:val="000000"/>
          <w:szCs w:val="21"/>
          <w:highlight w:val="none"/>
          <w:lang w:val="zh-CN"/>
        </w:rPr>
        <w:t>3、政策功能</w:t>
      </w:r>
    </w:p>
    <w:p w14:paraId="705C9C08">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3.1 政府采购促进中小企业发展，在政府采购活动中，投标人提供的货物、工程或者服务符合下列情形的，享受中小企业扶持政策：</w:t>
      </w:r>
    </w:p>
    <w:p w14:paraId="2BDACCFA">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（1）在货物采购项目中，货物由中小企业制造，即货物由中小企业生产且使用该中小企业商号或者注册商标；</w:t>
      </w:r>
    </w:p>
    <w:p w14:paraId="03F66638">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（2）在工程采购项目中，工程由中小企业承建，即工程施工单位为中小企业；</w:t>
      </w:r>
    </w:p>
    <w:p w14:paraId="1EBC2C31">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（3）在服务采购项目中，服务由中小企业承接，即提供服务的人员为中小企业依照《中华人民共和国劳动合同法》订立劳动合同的从业人员。</w:t>
      </w:r>
    </w:p>
    <w:p w14:paraId="33F80FF8">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在货物采购项目中，供应商提供的货物既有中小企业制造货物，也有大型企业制造货物的，不享受中小企业扶持政策。</w:t>
      </w:r>
    </w:p>
    <w:p w14:paraId="4E897176">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p>
    <w:p w14:paraId="09D2A9F1">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71CE2F81">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p>
    <w:p w14:paraId="0E016778">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p>
    <w:p w14:paraId="66EB26F5">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66425FF7">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3.5 提供的产品属于信息安全产品的，供应商应当选择经国家认证的信息安全产品投标，并提供由中国信息安全认证中心按国家标准认证颁发的有效认证证书复印件。</w:t>
      </w:r>
    </w:p>
    <w:p w14:paraId="1B687434">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3.6 提供的产品属于政府强制采购节能产品的，供应商应当选择依据国家标准中二级能效（水效）指标认证的节能产品投标，并提供有效的节能产品认证证书复印件。</w:t>
      </w:r>
    </w:p>
    <w:p w14:paraId="113EB0D5">
      <w:pPr>
        <w:spacing w:line="360" w:lineRule="auto"/>
        <w:ind w:firstLine="47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3.7 提供的产品属于环境标志产品的，供应商应当选择依据相关标准的最新版本认证的环境标志产品投标，并提供有效的环境标志产品认证证书复印件。</w:t>
      </w:r>
    </w:p>
    <w:p w14:paraId="2D1288DD">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w:t>
      </w:r>
      <w:r>
        <w:rPr>
          <w:rFonts w:ascii="宋体" w:hAnsi="宋体" w:cs="宋体"/>
          <w:szCs w:val="21"/>
          <w:highlight w:val="none"/>
          <w:lang w:val="zh-CN"/>
        </w:rPr>
        <w:t xml:space="preserve"> </w:t>
      </w:r>
      <w:r>
        <w:rPr>
          <w:rFonts w:hint="eastAsia" w:ascii="宋体" w:hAnsi="宋体" w:cs="宋体"/>
          <w:szCs w:val="21"/>
          <w:highlight w:val="none"/>
          <w:lang w:val="zh-CN"/>
        </w:rPr>
        <w:t>实施本国产品标准及相关政策</w:t>
      </w:r>
    </w:p>
    <w:p w14:paraId="3B194394">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3.8.1</w:t>
      </w:r>
      <w:r>
        <w:rPr>
          <w:rFonts w:ascii="宋体" w:hAnsi="宋体" w:cs="宋体"/>
          <w:szCs w:val="21"/>
          <w:highlight w:val="none"/>
          <w:lang w:val="zh-CN"/>
        </w:rPr>
        <w:t xml:space="preserve"> </w:t>
      </w:r>
      <w:r>
        <w:rPr>
          <w:rFonts w:hint="eastAsia" w:ascii="宋体" w:hAnsi="宋体" w:cs="宋体"/>
          <w:szCs w:val="21"/>
          <w:highlight w:val="none"/>
          <w:lang w:val="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p>
    <w:p w14:paraId="53424E92">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3.8.2</w:t>
      </w:r>
      <w:r>
        <w:rPr>
          <w:rFonts w:ascii="宋体" w:hAnsi="宋体" w:cs="宋体"/>
          <w:szCs w:val="21"/>
          <w:highlight w:val="none"/>
          <w:lang w:val="zh-CN"/>
        </w:rPr>
        <w:t xml:space="preserve"> </w:t>
      </w:r>
      <w:r>
        <w:rPr>
          <w:rFonts w:hint="eastAsia" w:ascii="宋体" w:hAnsi="宋体" w:cs="宋体"/>
          <w:szCs w:val="21"/>
          <w:highlight w:val="none"/>
          <w:lang w:val="zh-CN"/>
        </w:rPr>
        <w:t>本国产品应当符合以下条件：</w:t>
      </w:r>
    </w:p>
    <w:p w14:paraId="31CD0DA8">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（1） 在中国境内生产</w:t>
      </w:r>
    </w:p>
    <w:p w14:paraId="2291BEF9">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C58213C">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BFFDF46">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 在中国境内生产的组件成本占比达到规定比例</w:t>
      </w:r>
    </w:p>
    <w:p w14:paraId="52257086">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p>
    <w:p w14:paraId="015A9455">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 特定产品的关键组件、关键工序符合相关要求</w:t>
      </w:r>
    </w:p>
    <w:p w14:paraId="0AF93795">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对特定产品，在符合本通知第一条第（一）项和第（二）项条件的基础上，应当符合财政部会同有关行业主管部门确定的其关键组件、关键工序在中国境内生产、完成等要求。</w:t>
      </w:r>
    </w:p>
    <w:p w14:paraId="15D5F32C">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3.8.3</w:t>
      </w:r>
      <w:r>
        <w:rPr>
          <w:rFonts w:ascii="宋体" w:hAnsi="宋体" w:cs="宋体"/>
          <w:szCs w:val="21"/>
          <w:highlight w:val="none"/>
          <w:lang w:val="zh-CN"/>
        </w:rPr>
        <w:t xml:space="preserve"> </w:t>
      </w:r>
      <w:r>
        <w:rPr>
          <w:rFonts w:hint="eastAsia" w:ascii="宋体" w:hAnsi="宋体" w:cs="宋体"/>
          <w:szCs w:val="21"/>
          <w:highlight w:val="none"/>
          <w:lang w:val="zh-CN"/>
        </w:rPr>
        <w:t>本国产品标准的适用范围</w:t>
      </w:r>
    </w:p>
    <w:p w14:paraId="4BDEAC1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食品、饮料和烟草原料、无形资产。</w:t>
      </w:r>
    </w:p>
    <w:p w14:paraId="387E0E3F">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3.8.4</w:t>
      </w:r>
      <w:r>
        <w:rPr>
          <w:rFonts w:ascii="宋体" w:hAnsi="宋体" w:cs="宋体"/>
          <w:szCs w:val="21"/>
          <w:highlight w:val="none"/>
          <w:lang w:val="zh-CN"/>
        </w:rPr>
        <w:t xml:space="preserve"> </w:t>
      </w:r>
      <w:r>
        <w:rPr>
          <w:rFonts w:hint="eastAsia" w:ascii="宋体" w:hAnsi="宋体" w:cs="宋体"/>
          <w:szCs w:val="21"/>
          <w:highlight w:val="none"/>
          <w:lang w:val="zh-CN"/>
        </w:rPr>
        <w:t>对本国产品的支持政策</w:t>
      </w:r>
    </w:p>
    <w:p w14:paraId="56F5551C">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本项目如既有本国产品又有非本国产品参与竞争，依法对本国产品给予价格评审优惠，具体详见第三章。</w:t>
      </w:r>
    </w:p>
    <w:p w14:paraId="1CCF054A">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3.8.5</w:t>
      </w:r>
      <w:r>
        <w:rPr>
          <w:rFonts w:ascii="宋体" w:hAnsi="宋体" w:cs="宋体"/>
          <w:szCs w:val="21"/>
          <w:highlight w:val="none"/>
          <w:lang w:val="zh-CN"/>
        </w:rPr>
        <w:t xml:space="preserve"> </w:t>
      </w:r>
      <w:r>
        <w:rPr>
          <w:rFonts w:hint="eastAsia" w:ascii="宋体" w:hAnsi="宋体" w:cs="宋体"/>
          <w:szCs w:val="21"/>
          <w:highlight w:val="none"/>
          <w:lang w:val="zh-CN"/>
        </w:rPr>
        <w:t>政策执行要求</w:t>
      </w:r>
    </w:p>
    <w:p w14:paraId="4D0AB3DC">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（1） 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p>
    <w:p w14:paraId="2EA2DFCE">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（2） 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3970B65B">
      <w:pPr>
        <w:spacing w:line="360" w:lineRule="auto"/>
        <w:ind w:firstLine="420"/>
        <w:rPr>
          <w:rFonts w:hint="eastAsia" w:ascii="宋体" w:hAnsi="宋体" w:cs="宋体"/>
          <w:szCs w:val="21"/>
          <w:highlight w:val="none"/>
          <w:lang w:val="zh-CN"/>
        </w:rPr>
      </w:pPr>
      <w:r>
        <w:rPr>
          <w:rFonts w:hint="eastAsia" w:ascii="宋体" w:hAnsi="宋体" w:cs="宋体"/>
          <w:szCs w:val="21"/>
          <w:highlight w:val="none"/>
          <w:lang w:val="zh-CN"/>
        </w:rPr>
        <w:t>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p>
    <w:p w14:paraId="341096B4">
      <w:pPr>
        <w:spacing w:line="360" w:lineRule="auto"/>
        <w:ind w:left="479"/>
        <w:outlineLvl w:val="1"/>
        <w:rPr>
          <w:rFonts w:hint="eastAsia" w:ascii="宋体" w:hAnsi="宋体"/>
          <w:b/>
          <w:szCs w:val="21"/>
          <w:highlight w:val="none"/>
        </w:rPr>
      </w:pPr>
      <w:bookmarkStart w:id="38" w:name="_Toc31407"/>
      <w:r>
        <w:rPr>
          <w:rFonts w:hint="eastAsia" w:ascii="宋体" w:hAnsi="宋体"/>
          <w:b/>
          <w:szCs w:val="21"/>
          <w:highlight w:val="none"/>
        </w:rPr>
        <w:t>二、招标文件</w:t>
      </w:r>
      <w:bookmarkEnd w:id="38"/>
    </w:p>
    <w:p w14:paraId="7B724277">
      <w:pPr>
        <w:spacing w:line="360" w:lineRule="auto"/>
        <w:ind w:firstLine="482"/>
        <w:rPr>
          <w:rFonts w:hint="eastAsia" w:ascii="宋体" w:hAnsi="宋体"/>
          <w:bCs/>
          <w:szCs w:val="21"/>
          <w:highlight w:val="none"/>
        </w:rPr>
      </w:pPr>
      <w:r>
        <w:rPr>
          <w:rFonts w:hint="eastAsia" w:ascii="宋体" w:hAnsi="宋体"/>
          <w:b/>
          <w:szCs w:val="21"/>
          <w:highlight w:val="none"/>
        </w:rPr>
        <w:t>4.</w:t>
      </w:r>
      <w:r>
        <w:rPr>
          <w:rFonts w:ascii="宋体" w:hAnsi="宋体"/>
          <w:b/>
          <w:szCs w:val="21"/>
          <w:highlight w:val="none"/>
        </w:rPr>
        <w:t xml:space="preserve"> </w:t>
      </w:r>
      <w:r>
        <w:rPr>
          <w:rFonts w:hint="eastAsia" w:ascii="宋体" w:hAnsi="宋体"/>
          <w:b/>
          <w:szCs w:val="21"/>
          <w:highlight w:val="none"/>
        </w:rPr>
        <w:t>招标文件组成</w:t>
      </w:r>
    </w:p>
    <w:p w14:paraId="696CCF95">
      <w:pPr>
        <w:spacing w:line="360" w:lineRule="auto"/>
        <w:ind w:firstLine="480"/>
        <w:rPr>
          <w:rFonts w:hint="eastAsia" w:ascii="宋体" w:hAnsi="宋体"/>
          <w:bCs/>
          <w:szCs w:val="21"/>
          <w:highlight w:val="none"/>
        </w:rPr>
      </w:pPr>
      <w:r>
        <w:rPr>
          <w:rFonts w:hint="eastAsia" w:ascii="宋体" w:hAnsi="宋体"/>
          <w:bCs/>
          <w:szCs w:val="21"/>
          <w:highlight w:val="none"/>
        </w:rPr>
        <w:t>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p>
    <w:p w14:paraId="0E6466D1">
      <w:pPr>
        <w:spacing w:line="360" w:lineRule="auto"/>
        <w:ind w:firstLine="480"/>
        <w:rPr>
          <w:rFonts w:hint="eastAsia" w:ascii="宋体" w:hAnsi="宋体"/>
          <w:bCs/>
          <w:szCs w:val="21"/>
          <w:highlight w:val="none"/>
        </w:rPr>
      </w:pPr>
      <w:r>
        <w:rPr>
          <w:rFonts w:hint="eastAsia" w:ascii="宋体" w:hAnsi="宋体"/>
          <w:bCs/>
          <w:szCs w:val="21"/>
          <w:highlight w:val="none"/>
        </w:rPr>
        <w:t>4.2 招标的最小单位是包。招标服务数量及技术要求中未分包的，供应商对要求提供的服务不得部分投标；招标服务数量及技术要求中已经分包的，应当以包为单位投标。</w:t>
      </w:r>
    </w:p>
    <w:p w14:paraId="3CC911AE">
      <w:pPr>
        <w:spacing w:line="360" w:lineRule="auto"/>
        <w:ind w:firstLine="480"/>
        <w:rPr>
          <w:rFonts w:hint="eastAsia" w:ascii="宋体" w:hAnsi="宋体"/>
          <w:bCs/>
          <w:szCs w:val="21"/>
          <w:highlight w:val="none"/>
        </w:rPr>
      </w:pPr>
      <w:r>
        <w:rPr>
          <w:rFonts w:hint="eastAsia" w:ascii="宋体" w:hAnsi="宋体"/>
          <w:bCs/>
          <w:szCs w:val="21"/>
          <w:highlight w:val="none"/>
        </w:rPr>
        <w:t>4.3 招标文件如果要求供应商提交备选投标方案的，供应商可以提交备选方案，否则，不接受备选方案。</w:t>
      </w:r>
    </w:p>
    <w:p w14:paraId="08B80B11">
      <w:pPr>
        <w:spacing w:line="360" w:lineRule="auto"/>
        <w:ind w:firstLine="482"/>
        <w:rPr>
          <w:rFonts w:hint="eastAsia" w:ascii="宋体" w:hAnsi="宋体"/>
          <w:bCs/>
          <w:szCs w:val="21"/>
          <w:highlight w:val="none"/>
        </w:rPr>
      </w:pPr>
      <w:r>
        <w:rPr>
          <w:rFonts w:hint="eastAsia" w:ascii="宋体" w:hAnsi="宋体"/>
          <w:b/>
          <w:szCs w:val="21"/>
          <w:highlight w:val="none"/>
        </w:rPr>
        <w:t>5.</w:t>
      </w:r>
      <w:r>
        <w:rPr>
          <w:rFonts w:ascii="宋体" w:hAnsi="宋体"/>
          <w:b/>
          <w:szCs w:val="21"/>
          <w:highlight w:val="none"/>
        </w:rPr>
        <w:t xml:space="preserve"> </w:t>
      </w:r>
      <w:r>
        <w:rPr>
          <w:rFonts w:hint="eastAsia" w:ascii="宋体" w:hAnsi="宋体"/>
          <w:b/>
          <w:szCs w:val="21"/>
          <w:highlight w:val="none"/>
        </w:rPr>
        <w:t>招标文件的澄清修改</w:t>
      </w:r>
    </w:p>
    <w:p w14:paraId="178D5043">
      <w:pPr>
        <w:spacing w:line="360" w:lineRule="auto"/>
        <w:ind w:firstLine="480"/>
        <w:rPr>
          <w:rFonts w:hint="eastAsia" w:ascii="宋体" w:hAnsi="宋体"/>
          <w:bCs/>
          <w:szCs w:val="21"/>
          <w:highlight w:val="none"/>
        </w:rPr>
      </w:pPr>
      <w:r>
        <w:rPr>
          <w:rFonts w:hint="eastAsia" w:ascii="宋体" w:hAnsi="宋体"/>
          <w:bCs/>
          <w:szCs w:val="21"/>
          <w:highlight w:val="none"/>
        </w:rPr>
        <w:t>5.1 任何要求对招标文件进行澄清的投标人，应在投标截止期十日前按招标公告中的通讯地址，以书面形式通知代理机构。</w:t>
      </w:r>
    </w:p>
    <w:p w14:paraId="234CDFF3">
      <w:pPr>
        <w:spacing w:line="360" w:lineRule="auto"/>
        <w:ind w:firstLine="480"/>
        <w:rPr>
          <w:rFonts w:hint="eastAsia" w:ascii="宋体" w:hAnsi="宋体"/>
          <w:bCs/>
          <w:color w:val="000000"/>
          <w:szCs w:val="21"/>
          <w:highlight w:val="none"/>
        </w:rPr>
      </w:pPr>
      <w:r>
        <w:rPr>
          <w:rFonts w:hint="eastAsia" w:ascii="宋体" w:hAnsi="宋体"/>
          <w:bCs/>
          <w:szCs w:val="21"/>
          <w:highlight w:val="none"/>
        </w:rPr>
        <w:t>5.2 代理机构对已发出的招标文件进行必要澄清或者修改的，将在招标文件要求提交投标文件截止时间十五日前，在原招标公告媒体发布更正公告，该澄清或者修改的内容为招标文件的</w:t>
      </w:r>
      <w:r>
        <w:rPr>
          <w:rFonts w:hint="eastAsia" w:ascii="宋体" w:hAnsi="宋体"/>
          <w:bCs/>
          <w:color w:val="000000"/>
          <w:szCs w:val="21"/>
          <w:highlight w:val="none"/>
        </w:rPr>
        <w:t>组成部分。</w:t>
      </w:r>
    </w:p>
    <w:p w14:paraId="57383D4D">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5.3 代理机构在招标文件要求提交投标文件截止时间前，有权决定延长投标截止时间和开标时间，并在原采购信息发布媒体上发布变更公告。</w:t>
      </w:r>
    </w:p>
    <w:p w14:paraId="23948C8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5.4供应商应在投标截止时间前关注原采购信息发布媒体上有关本招标项目有无变更公告。根据更正公告内容自行决定是否需要重新制作和提交投标文件，并承担由此产生的相应责任。</w:t>
      </w:r>
    </w:p>
    <w:p w14:paraId="14DF59C1">
      <w:pPr>
        <w:spacing w:line="360" w:lineRule="auto"/>
        <w:ind w:firstLine="482"/>
        <w:outlineLvl w:val="1"/>
        <w:rPr>
          <w:rFonts w:hint="eastAsia" w:ascii="宋体" w:hAnsi="宋体"/>
          <w:bCs/>
          <w:color w:val="000000"/>
          <w:szCs w:val="21"/>
          <w:highlight w:val="none"/>
        </w:rPr>
      </w:pPr>
      <w:bookmarkStart w:id="39" w:name="_Toc16842"/>
      <w:r>
        <w:rPr>
          <w:rFonts w:hint="eastAsia" w:ascii="宋体" w:hAnsi="宋体"/>
          <w:b/>
          <w:color w:val="000000"/>
          <w:szCs w:val="21"/>
          <w:highlight w:val="none"/>
        </w:rPr>
        <w:t>三、投标</w:t>
      </w:r>
      <w:bookmarkEnd w:id="39"/>
    </w:p>
    <w:p w14:paraId="5783049F">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6.</w:t>
      </w:r>
      <w:r>
        <w:rPr>
          <w:rFonts w:ascii="宋体" w:hAnsi="宋体"/>
          <w:b/>
          <w:color w:val="000000"/>
          <w:szCs w:val="21"/>
          <w:highlight w:val="none"/>
        </w:rPr>
        <w:t xml:space="preserve"> </w:t>
      </w:r>
      <w:r>
        <w:rPr>
          <w:rFonts w:hint="eastAsia" w:ascii="宋体" w:hAnsi="宋体"/>
          <w:b/>
          <w:color w:val="000000"/>
          <w:szCs w:val="21"/>
          <w:highlight w:val="none"/>
        </w:rPr>
        <w:t>投标文件的语言、计量单位、货币、技术标准和编制</w:t>
      </w:r>
    </w:p>
    <w:p w14:paraId="58553ADA">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p>
    <w:p w14:paraId="58BF9708">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6.2 供应商所使用的计量单位应为国家法定计量单位。</w:t>
      </w:r>
    </w:p>
    <w:p w14:paraId="491205F1">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6.3 供应商应用人民币报价。</w:t>
      </w:r>
    </w:p>
    <w:p w14:paraId="537AC7F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6.4 如标书制作工具中格式和内容与“江苏政府采购网”发布的招标文件不一致，以“江苏政府采购网”发布的招标文件为准。</w:t>
      </w:r>
    </w:p>
    <w:p w14:paraId="285536C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6.5 供应商应在投标文件中写清相应的项目编号、项目名称、供应商全称、地址、电话、传真等。</w:t>
      </w:r>
    </w:p>
    <w:p w14:paraId="68233C0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6.6 供应商所使用的技术标准应遵循国家最新标准及规范。</w:t>
      </w:r>
    </w:p>
    <w:p w14:paraId="2AC36457">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7.</w:t>
      </w:r>
      <w:r>
        <w:rPr>
          <w:rFonts w:ascii="宋体" w:hAnsi="宋体"/>
          <w:b/>
          <w:color w:val="000000"/>
          <w:szCs w:val="21"/>
          <w:highlight w:val="none"/>
        </w:rPr>
        <w:t xml:space="preserve"> </w:t>
      </w:r>
      <w:r>
        <w:rPr>
          <w:rFonts w:hint="eastAsia" w:ascii="宋体" w:hAnsi="宋体"/>
          <w:b/>
          <w:color w:val="000000"/>
          <w:szCs w:val="21"/>
          <w:highlight w:val="none"/>
        </w:rPr>
        <w:t>联合体及分包：本项目不接受联合体投标。</w:t>
      </w:r>
    </w:p>
    <w:p w14:paraId="24ED182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7.1 采购项目如接受联合体投标的，两个以上的自然人、法人或者其他组织可以组成一个联合体，以一个供应商的身份共同参加投标。</w:t>
      </w:r>
    </w:p>
    <w:p w14:paraId="36C3582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p>
    <w:p w14:paraId="7F19591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7.3 政府采购合同分包履行的，中标供应商就采购项目和分包项目向招标人负责，分包项目供应商就分包项目承担责任，中标供应商与分包供应商之间应该签订分包意向协议。</w:t>
      </w:r>
    </w:p>
    <w:p w14:paraId="0A7B6C1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7.4 享受中小企业扶持政策获得政府采购合同的，小微企业不得将合同分包给大中型企业，中型企业不得将合同分包给大型企业。</w:t>
      </w:r>
    </w:p>
    <w:p w14:paraId="3BEDC8A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14:paraId="2C388265">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8.</w:t>
      </w:r>
      <w:r>
        <w:rPr>
          <w:rFonts w:ascii="宋体" w:hAnsi="宋体"/>
          <w:b/>
          <w:color w:val="000000"/>
          <w:szCs w:val="21"/>
          <w:highlight w:val="none"/>
        </w:rPr>
        <w:t xml:space="preserve"> </w:t>
      </w:r>
      <w:r>
        <w:rPr>
          <w:rFonts w:hint="eastAsia" w:ascii="宋体" w:hAnsi="宋体"/>
          <w:b/>
          <w:color w:val="000000"/>
          <w:szCs w:val="21"/>
          <w:highlight w:val="none"/>
        </w:rPr>
        <w:t>投标费用</w:t>
      </w:r>
    </w:p>
    <w:p w14:paraId="0EEF259A">
      <w:pPr>
        <w:spacing w:line="360" w:lineRule="auto"/>
        <w:ind w:firstLine="420"/>
        <w:contextualSpacing/>
        <w:rPr>
          <w:rFonts w:hint="eastAsia" w:ascii="宋体" w:hAnsi="宋体" w:cs="宋体"/>
          <w:color w:val="000000"/>
          <w:szCs w:val="21"/>
          <w:highlight w:val="none"/>
          <w:lang w:val="zh-CN"/>
        </w:rPr>
      </w:pPr>
      <w:r>
        <w:rPr>
          <w:rFonts w:hint="eastAsia" w:ascii="宋体" w:hAnsi="宋体" w:cs="宋体"/>
          <w:color w:val="000000"/>
          <w:szCs w:val="21"/>
          <w:highlight w:val="none"/>
        </w:rPr>
        <w:t>8.1</w:t>
      </w:r>
      <w:r>
        <w:rPr>
          <w:rFonts w:hint="eastAsia" w:ascii="宋体" w:hAnsi="宋体" w:cs="宋体"/>
          <w:color w:val="000000"/>
          <w:szCs w:val="21"/>
          <w:highlight w:val="none"/>
          <w:lang w:val="zh-CN"/>
        </w:rPr>
        <w:t>供应商应承担所有与准备和参加投标有关的费用，无论采购结果如何，代理机构和招标人在任何情况下均无义务和责任承担这些费用。</w:t>
      </w:r>
    </w:p>
    <w:p w14:paraId="07822E4F">
      <w:pPr>
        <w:tabs>
          <w:tab w:val="left" w:pos="956"/>
        </w:tabs>
        <w:spacing w:line="360" w:lineRule="auto"/>
        <w:ind w:firstLine="420"/>
        <w:contextualSpacing/>
        <w:jc w:val="left"/>
        <w:rPr>
          <w:rFonts w:hint="eastAsia" w:ascii="宋体" w:hAnsi="宋体" w:cs="宋体"/>
          <w:color w:val="000000"/>
          <w:szCs w:val="21"/>
          <w:highlight w:val="none"/>
          <w:lang w:val="zh-CN" w:bidi="zh-CN"/>
        </w:rPr>
      </w:pPr>
      <w:r>
        <w:rPr>
          <w:rFonts w:hint="eastAsia" w:ascii="宋体" w:hAnsi="宋体" w:cs="宋体"/>
          <w:color w:val="000000"/>
          <w:szCs w:val="21"/>
          <w:highlight w:val="none"/>
          <w:lang w:val="zh-CN" w:bidi="zh-CN"/>
        </w:rPr>
        <w:t>8.2</w:t>
      </w:r>
      <w:r>
        <w:rPr>
          <w:rFonts w:ascii="宋体" w:hAnsi="宋体" w:cs="宋体"/>
          <w:color w:val="000000"/>
          <w:szCs w:val="21"/>
          <w:highlight w:val="none"/>
          <w:lang w:val="zh-CN" w:bidi="zh-CN"/>
        </w:rPr>
        <w:t xml:space="preserve"> </w:t>
      </w:r>
      <w:r>
        <w:rPr>
          <w:rFonts w:hint="eastAsia" w:ascii="宋体" w:hAnsi="宋体" w:cs="宋体"/>
          <w:color w:val="000000"/>
          <w:szCs w:val="21"/>
          <w:highlight w:val="none"/>
          <w:lang w:val="zh-CN" w:bidi="zh-CN"/>
        </w:rPr>
        <w:t>招标代理服务费：本次招标，代理机构按《招标代理服务费管理暂行办法》（国家发展计划委员会计价格〔2002〕1980号）代理服务招标收费基准费率的</w:t>
      </w:r>
      <w:r>
        <w:rPr>
          <w:rFonts w:hint="eastAsia" w:ascii="宋体" w:hAnsi="宋体" w:cs="宋体"/>
          <w:color w:val="000000"/>
          <w:szCs w:val="21"/>
          <w:highlight w:val="none"/>
          <w:lang w:bidi="zh-CN"/>
        </w:rPr>
        <w:t>9.8</w:t>
      </w:r>
      <w:r>
        <w:rPr>
          <w:rFonts w:hint="eastAsia" w:ascii="宋体" w:hAnsi="宋体" w:cs="宋体"/>
          <w:color w:val="000000"/>
          <w:szCs w:val="21"/>
          <w:highlight w:val="none"/>
          <w:lang w:val="zh-CN" w:bidi="zh-CN"/>
        </w:rPr>
        <w:t>%计算招标服务费，招标服务费</w:t>
      </w:r>
      <w:r>
        <w:rPr>
          <w:rFonts w:hint="eastAsia" w:ascii="宋体" w:hAnsi="宋体" w:cs="宋体"/>
          <w:color w:val="000000"/>
          <w:szCs w:val="21"/>
          <w:highlight w:val="none"/>
          <w:lang w:bidi="zh-CN"/>
        </w:rPr>
        <w:t>在</w:t>
      </w:r>
      <w:r>
        <w:rPr>
          <w:rFonts w:hint="eastAsia" w:ascii="宋体" w:hAnsi="宋体" w:cs="宋体"/>
          <w:color w:val="000000"/>
          <w:szCs w:val="21"/>
          <w:highlight w:val="none"/>
          <w:lang w:val="zh-CN" w:bidi="zh-CN"/>
        </w:rPr>
        <w:t>中标人领取中标通知书后</w:t>
      </w:r>
      <w:r>
        <w:rPr>
          <w:rFonts w:hint="eastAsia" w:ascii="宋体" w:hAnsi="宋体" w:cs="宋体"/>
          <w:color w:val="000000"/>
          <w:szCs w:val="21"/>
          <w:highlight w:val="none"/>
          <w:lang w:bidi="zh-CN"/>
        </w:rPr>
        <w:t>30日内</w:t>
      </w:r>
      <w:r>
        <w:rPr>
          <w:rFonts w:hint="eastAsia" w:ascii="宋体" w:hAnsi="宋体" w:cs="宋体"/>
          <w:color w:val="000000"/>
          <w:szCs w:val="21"/>
          <w:highlight w:val="none"/>
          <w:lang w:val="zh-CN" w:bidi="zh-CN"/>
        </w:rPr>
        <w:t>，由招标人一次性支付给招标代理机构。</w:t>
      </w:r>
    </w:p>
    <w:p w14:paraId="28374A5E">
      <w:pPr>
        <w:tabs>
          <w:tab w:val="left" w:pos="956"/>
        </w:tabs>
        <w:spacing w:line="360" w:lineRule="auto"/>
        <w:ind w:firstLine="420"/>
        <w:contextualSpacing/>
        <w:jc w:val="left"/>
        <w:rPr>
          <w:rFonts w:hint="eastAsia" w:ascii="宋体" w:hAnsi="宋体" w:cs="宋体"/>
          <w:color w:val="000000"/>
          <w:szCs w:val="21"/>
          <w:highlight w:val="none"/>
          <w:lang w:bidi="zh-CN"/>
        </w:rPr>
      </w:pPr>
      <w:r>
        <w:rPr>
          <w:rFonts w:hint="eastAsia" w:ascii="宋体" w:hAnsi="宋体" w:cs="宋体"/>
          <w:color w:val="000000"/>
          <w:szCs w:val="21"/>
          <w:highlight w:val="none"/>
          <w:lang w:bidi="zh-CN"/>
        </w:rPr>
        <w:t>8.3专家评审费按实计取，中标人在领取中标通知书后，由招标人按《政府采购评审专家管理办法》（财库〔2016〕198号）直接转账到专家账户。</w:t>
      </w:r>
    </w:p>
    <w:p w14:paraId="6C2CBE6E">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9.</w:t>
      </w:r>
      <w:r>
        <w:rPr>
          <w:rFonts w:ascii="宋体" w:hAnsi="宋体"/>
          <w:b/>
          <w:color w:val="000000"/>
          <w:szCs w:val="21"/>
          <w:highlight w:val="none"/>
        </w:rPr>
        <w:t xml:space="preserve"> </w:t>
      </w:r>
      <w:r>
        <w:rPr>
          <w:rFonts w:hint="eastAsia" w:ascii="宋体" w:hAnsi="宋体"/>
          <w:b/>
          <w:color w:val="000000"/>
          <w:szCs w:val="21"/>
          <w:highlight w:val="none"/>
        </w:rPr>
        <w:t>投标文件组成</w:t>
      </w:r>
    </w:p>
    <w:p w14:paraId="0B926A5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9.1 投标人编写的投标文件应包括资格证明文件、符合性证明文件、投标分项报价表、响应及偏离表、其他证明文件、投标函、开标一览表等部分。</w:t>
      </w:r>
    </w:p>
    <w:p w14:paraId="0B064022">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p>
    <w:p w14:paraId="09D7187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9.3 供应商根据招标文件载明的采购项目实际情况，拟在中标后将中标项目的非主体、非关键性工作交由他人完成的，应当在投标文件中载明。</w:t>
      </w:r>
    </w:p>
    <w:p w14:paraId="1BD35FD5">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10.</w:t>
      </w:r>
      <w:r>
        <w:rPr>
          <w:rFonts w:ascii="宋体" w:hAnsi="宋体"/>
          <w:b/>
          <w:color w:val="000000"/>
          <w:szCs w:val="21"/>
          <w:highlight w:val="none"/>
        </w:rPr>
        <w:t xml:space="preserve"> </w:t>
      </w:r>
      <w:r>
        <w:rPr>
          <w:rFonts w:hint="eastAsia" w:ascii="宋体" w:hAnsi="宋体"/>
          <w:b/>
          <w:color w:val="000000"/>
          <w:szCs w:val="21"/>
          <w:highlight w:val="none"/>
        </w:rPr>
        <w:t>投标文件的商务部分</w:t>
      </w:r>
    </w:p>
    <w:p w14:paraId="171041DA">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10.1 商务部分是证明供应商有资格参加投标和中标后有能力履行合同的文件，这些文件应能满足招标的要求，包括但不限于下列文件，其中加“★”项目不得有缺失或无效：</w:t>
      </w:r>
    </w:p>
    <w:p w14:paraId="65BB0902">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（1）★投标函（投标申请及声明）；</w:t>
      </w:r>
    </w:p>
    <w:p w14:paraId="5355702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（2）★法定代表人授权委托书及授权委托人的身份证复印件（有授权委托的），或法定代表人身份证复印件（无授权委托的）；</w:t>
      </w:r>
    </w:p>
    <w:p w14:paraId="0FBBC37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（3）★第一章投标邀请中二、申请人的资格要求：1.《中华人民共和国政府采购法》规定的资格条件证明文件；</w:t>
      </w:r>
    </w:p>
    <w:p w14:paraId="31464A0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（4）★第一章投标邀请中二、申请人的资格要求：3.招标人根据采购项目的特殊要求规定的特定条件证明文件；</w:t>
      </w:r>
    </w:p>
    <w:p w14:paraId="7093B9CC">
      <w:pPr>
        <w:spacing w:line="360" w:lineRule="auto"/>
        <w:ind w:firstLine="480"/>
        <w:rPr>
          <w:rFonts w:hint="eastAsia" w:ascii="宋体" w:hAnsi="宋体" w:cs="宋体"/>
          <w:color w:val="000000"/>
          <w:szCs w:val="21"/>
          <w:highlight w:val="none"/>
          <w:lang w:val="zh-CN" w:bidi="zh-CN"/>
        </w:rPr>
      </w:pPr>
      <w:r>
        <w:rPr>
          <w:rFonts w:hint="eastAsia" w:ascii="宋体" w:hAnsi="宋体"/>
          <w:bCs/>
          <w:color w:val="000000"/>
          <w:szCs w:val="21"/>
          <w:highlight w:val="none"/>
        </w:rPr>
        <w:t>（5）</w:t>
      </w:r>
      <w:r>
        <w:rPr>
          <w:rFonts w:hint="eastAsia" w:ascii="宋体" w:hAnsi="宋体" w:cs="宋体"/>
          <w:color w:val="000000"/>
          <w:szCs w:val="21"/>
          <w:highlight w:val="none"/>
          <w:lang w:val="zh-CN" w:bidi="zh-CN"/>
        </w:rPr>
        <w:t>★南京市政府采购供应商信用记录表</w:t>
      </w:r>
      <w:r>
        <w:rPr>
          <w:rFonts w:hint="eastAsia" w:ascii="宋体" w:hAnsi="宋体"/>
          <w:bCs/>
          <w:color w:val="000000"/>
          <w:szCs w:val="21"/>
          <w:highlight w:val="none"/>
        </w:rPr>
        <w:t>；</w:t>
      </w:r>
    </w:p>
    <w:p w14:paraId="6E4BC89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（6）《商务条款偏离表》；</w:t>
      </w:r>
    </w:p>
    <w:p w14:paraId="6C5AF789">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（7）合同条款；</w:t>
      </w:r>
    </w:p>
    <w:p w14:paraId="78D722E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（8）供应商认为需要提供的其他资格证明文件和商务资料。</w:t>
      </w:r>
    </w:p>
    <w:p w14:paraId="7062D38D">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11.</w:t>
      </w:r>
      <w:r>
        <w:rPr>
          <w:rFonts w:ascii="宋体" w:hAnsi="宋体"/>
          <w:b/>
          <w:color w:val="000000"/>
          <w:szCs w:val="21"/>
          <w:highlight w:val="none"/>
        </w:rPr>
        <w:t xml:space="preserve"> </w:t>
      </w:r>
      <w:r>
        <w:rPr>
          <w:rFonts w:hint="eastAsia" w:ascii="宋体" w:hAnsi="宋体"/>
          <w:b/>
          <w:color w:val="000000"/>
          <w:szCs w:val="21"/>
          <w:highlight w:val="none"/>
        </w:rPr>
        <w:t>投标文件的技术部分</w:t>
      </w:r>
    </w:p>
    <w:p w14:paraId="1A5ACE1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11.1 技术部分是证明供应商提供的服务是合格的、并符合招标文件要求的证明文件，以及对投标报价表中的服务的详细说明，这些文件可以是文字资料、图纸和数据等。</w:t>
      </w:r>
    </w:p>
    <w:p w14:paraId="28A2458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11.2 若提供的服务与招标文件要求有不符之处，应说明其差别之所在。</w:t>
      </w:r>
    </w:p>
    <w:p w14:paraId="7451B30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11.3 投标文件应按照招标文件要求提供服务说明，技术资料、文件和有关证明，包括但不限于以下材料，其中加“★”项目不得有缺失或无效：</w:t>
      </w:r>
    </w:p>
    <w:p w14:paraId="7D4D8707">
      <w:pPr>
        <w:spacing w:line="360" w:lineRule="auto"/>
        <w:ind w:firstLine="482"/>
        <w:rPr>
          <w:rFonts w:hint="eastAsia" w:ascii="宋体" w:hAnsi="宋体"/>
          <w:bCs/>
          <w:color w:val="000000"/>
          <w:szCs w:val="21"/>
          <w:highlight w:val="none"/>
        </w:rPr>
      </w:pPr>
      <w:r>
        <w:rPr>
          <w:rFonts w:hint="eastAsia" w:ascii="宋体" w:hAnsi="宋体"/>
          <w:bCs/>
          <w:color w:val="000000"/>
          <w:szCs w:val="21"/>
          <w:highlight w:val="none"/>
        </w:rPr>
        <w:t>（1）技术说明或服务方案；</w:t>
      </w:r>
    </w:p>
    <w:p w14:paraId="22420B02">
      <w:pPr>
        <w:spacing w:line="360" w:lineRule="auto"/>
        <w:ind w:firstLine="482"/>
        <w:rPr>
          <w:rFonts w:hint="eastAsia" w:ascii="宋体" w:hAnsi="宋体"/>
          <w:bCs/>
          <w:color w:val="000000"/>
          <w:szCs w:val="21"/>
          <w:highlight w:val="none"/>
        </w:rPr>
      </w:pPr>
      <w:r>
        <w:rPr>
          <w:rFonts w:hint="eastAsia" w:ascii="宋体" w:hAnsi="宋体"/>
          <w:bCs/>
          <w:color w:val="000000"/>
          <w:szCs w:val="21"/>
          <w:highlight w:val="none"/>
        </w:rPr>
        <w:t>（2）《技术条款偏离表》；</w:t>
      </w:r>
    </w:p>
    <w:p w14:paraId="5AAD221E">
      <w:pPr>
        <w:spacing w:line="360" w:lineRule="auto"/>
        <w:ind w:firstLine="482"/>
        <w:rPr>
          <w:rFonts w:hint="eastAsia" w:ascii="宋体" w:hAnsi="宋体"/>
          <w:bCs/>
          <w:color w:val="000000"/>
          <w:szCs w:val="21"/>
          <w:highlight w:val="none"/>
        </w:rPr>
      </w:pPr>
      <w:r>
        <w:rPr>
          <w:rFonts w:hint="eastAsia" w:ascii="宋体" w:hAnsi="宋体"/>
          <w:bCs/>
          <w:color w:val="000000"/>
          <w:szCs w:val="21"/>
          <w:highlight w:val="none"/>
        </w:rPr>
        <w:t>（3）服务承诺；</w:t>
      </w:r>
    </w:p>
    <w:p w14:paraId="3F02C34C">
      <w:pPr>
        <w:spacing w:line="360" w:lineRule="auto"/>
        <w:ind w:firstLine="482"/>
        <w:rPr>
          <w:rFonts w:hint="eastAsia" w:ascii="宋体" w:hAnsi="宋体"/>
          <w:bCs/>
          <w:color w:val="000000"/>
          <w:szCs w:val="21"/>
          <w:highlight w:val="none"/>
        </w:rPr>
      </w:pPr>
      <w:r>
        <w:rPr>
          <w:rFonts w:hint="eastAsia" w:ascii="宋体" w:hAnsi="宋体"/>
          <w:bCs/>
          <w:color w:val="000000"/>
          <w:szCs w:val="21"/>
          <w:highlight w:val="none"/>
        </w:rPr>
        <w:t>（4）投标人拟投入本项目的设备、人员情况一览表；</w:t>
      </w:r>
    </w:p>
    <w:p w14:paraId="680B11C0">
      <w:pPr>
        <w:spacing w:line="360" w:lineRule="auto"/>
        <w:ind w:firstLine="482"/>
        <w:rPr>
          <w:rFonts w:hint="eastAsia" w:ascii="宋体" w:hAnsi="宋体"/>
          <w:bCs/>
          <w:color w:val="000000"/>
          <w:szCs w:val="21"/>
          <w:highlight w:val="none"/>
        </w:rPr>
      </w:pPr>
      <w:r>
        <w:rPr>
          <w:rFonts w:hint="eastAsia" w:ascii="宋体" w:hAnsi="宋体"/>
          <w:bCs/>
          <w:color w:val="000000"/>
          <w:szCs w:val="21"/>
          <w:highlight w:val="none"/>
        </w:rPr>
        <w:t>（5）投标人认为需要提供的其他技术资料。</w:t>
      </w:r>
    </w:p>
    <w:p w14:paraId="0BB4D61C">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12.</w:t>
      </w:r>
      <w:r>
        <w:rPr>
          <w:rFonts w:ascii="宋体" w:hAnsi="宋体"/>
          <w:b/>
          <w:color w:val="000000"/>
          <w:szCs w:val="21"/>
          <w:highlight w:val="none"/>
        </w:rPr>
        <w:t xml:space="preserve"> </w:t>
      </w:r>
      <w:r>
        <w:rPr>
          <w:rFonts w:hint="eastAsia" w:ascii="宋体" w:hAnsi="宋体"/>
          <w:b/>
          <w:color w:val="000000"/>
          <w:szCs w:val="21"/>
          <w:highlight w:val="none"/>
        </w:rPr>
        <w:t>投标文件的价格部分</w:t>
      </w:r>
    </w:p>
    <w:p w14:paraId="33869E1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12.1 价格部分是对投标服务价格构成的说明，每一项服务仅接受一个价格。投标人应按照招标文件规定格式填报投标分项报价表。</w:t>
      </w:r>
    </w:p>
    <w:p w14:paraId="4E6C328C">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12.2 投标人的投标报价应涵盖服务期内完成本项目全部约定服务内容、履行全部合同义务所需的所有费用，包括但不限于：各岗位人员工资、社保、福利、劳保、培训费用；基建、安装、维修、养护、消杀等全流程所需的辅材、耗材、苗木费用；作业机具设备的租赁/折旧、运维、燃油费用；安全文明施工、人员意外保险、第三者责任保险、应急保障费用；项目管理、合规税费、利润以及服务期内应对祭扫高峰临时保障、突发任务处置等所有不可预见成本。请投标人认真测算，项目实施过程中所需一切费用应在投标报价时一并考虑。项目实施过程中不再变更任何费用。</w:t>
      </w:r>
    </w:p>
    <w:p w14:paraId="27DBFC4D">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12.3 供应商的任何错漏、优惠、竞争性报价不得作为减轻责任、减少服务、增加收费、降低质量的理由。</w:t>
      </w:r>
    </w:p>
    <w:p w14:paraId="3D6AEED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p>
    <w:p w14:paraId="4A5971EA">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12.5 《开标一览表》须加盖电子公章。</w:t>
      </w:r>
    </w:p>
    <w:p w14:paraId="6474069B">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13.</w:t>
      </w:r>
      <w:r>
        <w:rPr>
          <w:rFonts w:ascii="宋体" w:hAnsi="宋体"/>
          <w:b/>
          <w:color w:val="000000"/>
          <w:szCs w:val="21"/>
          <w:highlight w:val="none"/>
        </w:rPr>
        <w:t xml:space="preserve"> </w:t>
      </w:r>
      <w:r>
        <w:rPr>
          <w:rFonts w:hint="eastAsia" w:ascii="宋体" w:hAnsi="宋体"/>
          <w:b/>
          <w:color w:val="000000"/>
          <w:szCs w:val="21"/>
          <w:highlight w:val="none"/>
        </w:rPr>
        <w:t>投标文件的其他部分</w:t>
      </w:r>
    </w:p>
    <w:p w14:paraId="522E580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供应商编制投标文件需要提供的其他相关文件。</w:t>
      </w:r>
    </w:p>
    <w:p w14:paraId="56F3D7B6">
      <w:pPr>
        <w:spacing w:line="360" w:lineRule="auto"/>
        <w:ind w:firstLine="482"/>
        <w:rPr>
          <w:rFonts w:hint="eastAsia" w:ascii="宋体" w:hAnsi="宋体"/>
          <w:b/>
          <w:color w:val="000000"/>
          <w:szCs w:val="21"/>
          <w:highlight w:val="none"/>
        </w:rPr>
      </w:pPr>
      <w:r>
        <w:rPr>
          <w:rFonts w:hint="eastAsia" w:ascii="宋体" w:hAnsi="宋体"/>
          <w:b/>
          <w:color w:val="000000"/>
          <w:szCs w:val="21"/>
          <w:highlight w:val="none"/>
        </w:rPr>
        <w:t>14.</w:t>
      </w:r>
      <w:r>
        <w:rPr>
          <w:rFonts w:ascii="宋体" w:hAnsi="宋体"/>
          <w:b/>
          <w:color w:val="000000"/>
          <w:szCs w:val="21"/>
          <w:highlight w:val="none"/>
        </w:rPr>
        <w:t xml:space="preserve"> </w:t>
      </w:r>
      <w:r>
        <w:rPr>
          <w:rFonts w:hint="eastAsia" w:ascii="宋体" w:hAnsi="宋体"/>
          <w:b/>
          <w:color w:val="000000"/>
          <w:szCs w:val="21"/>
          <w:highlight w:val="none"/>
        </w:rPr>
        <w:t>投标保证金：无。</w:t>
      </w:r>
    </w:p>
    <w:p w14:paraId="63A752C8">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15.</w:t>
      </w:r>
      <w:r>
        <w:rPr>
          <w:rFonts w:ascii="宋体" w:hAnsi="宋体"/>
          <w:b/>
          <w:color w:val="000000"/>
          <w:szCs w:val="21"/>
          <w:highlight w:val="none"/>
        </w:rPr>
        <w:t xml:space="preserve"> </w:t>
      </w:r>
      <w:r>
        <w:rPr>
          <w:rFonts w:hint="eastAsia" w:ascii="宋体" w:hAnsi="宋体"/>
          <w:b/>
          <w:color w:val="000000"/>
          <w:szCs w:val="21"/>
          <w:highlight w:val="none"/>
        </w:rPr>
        <w:t>投标有效期</w:t>
      </w:r>
    </w:p>
    <w:p w14:paraId="251FB18D">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15.1 自开标之日起六十日内投标有效。</w:t>
      </w:r>
    </w:p>
    <w:p w14:paraId="4BEB4178">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15.2 特殊情况下，在原投标有效期截止之前，代理机构可要求供应商同意延长投标有效期，这种要求与答复均以书面形式提交。供应商可拒绝这种要求，但接受延长投标有效期的供应商将不会要求和允许修正其投标。</w:t>
      </w:r>
    </w:p>
    <w:p w14:paraId="1B3B6ADE">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16.</w:t>
      </w:r>
      <w:r>
        <w:rPr>
          <w:rFonts w:ascii="宋体" w:hAnsi="宋体"/>
          <w:b/>
          <w:color w:val="000000"/>
          <w:szCs w:val="21"/>
          <w:highlight w:val="none"/>
        </w:rPr>
        <w:t xml:space="preserve"> </w:t>
      </w:r>
      <w:r>
        <w:rPr>
          <w:rFonts w:hint="eastAsia" w:ascii="宋体" w:hAnsi="宋体"/>
          <w:b/>
          <w:color w:val="000000"/>
          <w:szCs w:val="21"/>
          <w:highlight w:val="none"/>
        </w:rPr>
        <w:t>投标文件的签署</w:t>
      </w:r>
    </w:p>
    <w:p w14:paraId="517F8B0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16.1 除供应商对错处做必要修改外，投标文件不得行间插字、涂改或增删。如有修改错漏处，必须由投标文件签署人签字或加盖电子公章。</w:t>
      </w:r>
    </w:p>
    <w:p w14:paraId="25069212">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17.</w:t>
      </w:r>
      <w:r>
        <w:rPr>
          <w:rFonts w:ascii="宋体" w:hAnsi="宋体"/>
          <w:b/>
          <w:color w:val="000000"/>
          <w:szCs w:val="21"/>
          <w:highlight w:val="none"/>
        </w:rPr>
        <w:t xml:space="preserve"> </w:t>
      </w:r>
      <w:r>
        <w:rPr>
          <w:rFonts w:hint="eastAsia" w:ascii="宋体" w:hAnsi="宋体"/>
          <w:b/>
          <w:color w:val="000000"/>
          <w:szCs w:val="21"/>
          <w:highlight w:val="none"/>
        </w:rPr>
        <w:t>投标文件的递交</w:t>
      </w:r>
    </w:p>
    <w:p w14:paraId="081E8B4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17.1 投标人应当按照《操作手册》规定，在招标公告规定的投标截止时间前制作并上传电子投标文件。</w:t>
      </w:r>
    </w:p>
    <w:p w14:paraId="16D26C0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17.2 投标人应充分考虑网络环境、网络带宽等因素可能对投标产生的影响，如因投标人自身原因造成的电子投标文件上传不成功的，按照本招标文件第二章第21.2.2.4 条规定作无效投标处理。</w:t>
      </w:r>
    </w:p>
    <w:p w14:paraId="21880438">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17.3 代理机构有权通过修改招标文件酌情延长投标截止时间，在此情况下，投标人的所有权利和义务均以延长后新的截止时间为准。</w:t>
      </w:r>
    </w:p>
    <w:p w14:paraId="7A16957B">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18.</w:t>
      </w:r>
      <w:r>
        <w:rPr>
          <w:rFonts w:ascii="宋体" w:hAnsi="宋体"/>
          <w:b/>
          <w:color w:val="000000"/>
          <w:szCs w:val="21"/>
          <w:highlight w:val="none"/>
        </w:rPr>
        <w:t xml:space="preserve"> </w:t>
      </w:r>
      <w:r>
        <w:rPr>
          <w:rFonts w:hint="eastAsia" w:ascii="宋体" w:hAnsi="宋体"/>
          <w:b/>
          <w:color w:val="000000"/>
          <w:szCs w:val="21"/>
          <w:highlight w:val="none"/>
        </w:rPr>
        <w:t>有下列情形之一的投标文件将被拒收：</w:t>
      </w:r>
    </w:p>
    <w:p w14:paraId="4F71984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18.1 在招标文件要求提交投标文件的截止时间之后上传的。</w:t>
      </w:r>
    </w:p>
    <w:p w14:paraId="53EBBABA">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19.</w:t>
      </w:r>
      <w:r>
        <w:rPr>
          <w:rFonts w:ascii="宋体" w:hAnsi="宋体"/>
          <w:b/>
          <w:color w:val="000000"/>
          <w:szCs w:val="21"/>
          <w:highlight w:val="none"/>
        </w:rPr>
        <w:t xml:space="preserve"> </w:t>
      </w:r>
      <w:r>
        <w:rPr>
          <w:rFonts w:hint="eastAsia" w:ascii="宋体" w:hAnsi="宋体"/>
          <w:b/>
          <w:color w:val="000000"/>
          <w:szCs w:val="21"/>
          <w:highlight w:val="none"/>
        </w:rPr>
        <w:t>投标文件的修改和撤回</w:t>
      </w:r>
    </w:p>
    <w:p w14:paraId="156750BB">
      <w:pPr>
        <w:spacing w:line="360" w:lineRule="auto"/>
        <w:ind w:firstLine="480"/>
        <w:rPr>
          <w:rFonts w:hint="eastAsia"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w:t>
      </w:r>
      <w:r>
        <w:rPr>
          <w:rFonts w:hint="eastAsia" w:ascii="宋体" w:hAnsi="宋体"/>
          <w:bCs/>
          <w:color w:val="000000"/>
          <w:szCs w:val="21"/>
          <w:highlight w:val="none"/>
        </w:rPr>
        <w:t>1</w:t>
      </w:r>
      <w:r>
        <w:rPr>
          <w:rFonts w:hint="eastAsia" w:ascii="宋体" w:hAnsi="宋体"/>
          <w:bCs/>
          <w:color w:val="000000"/>
          <w:szCs w:val="21"/>
          <w:highlight w:val="none"/>
          <w:lang w:val="zh-CN"/>
        </w:rPr>
        <w:t xml:space="preserve"> 投标文件的修改</w:t>
      </w:r>
    </w:p>
    <w:p w14:paraId="3790E3A3">
      <w:pPr>
        <w:spacing w:line="360" w:lineRule="auto"/>
        <w:ind w:firstLine="480"/>
        <w:rPr>
          <w:rFonts w:hint="eastAsia"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.2.1</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投标人可在投标截止时间前对其电子投标文件进行修改，具体操作方法见《操作手册》。</w:t>
      </w:r>
    </w:p>
    <w:p w14:paraId="4C79A58D">
      <w:pPr>
        <w:spacing w:line="360" w:lineRule="auto"/>
        <w:ind w:firstLine="480"/>
        <w:rPr>
          <w:rFonts w:hint="eastAsia"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.2.2</w:t>
      </w:r>
      <w:r>
        <w:rPr>
          <w:rFonts w:hint="eastAsia" w:ascii="宋体" w:hAnsi="宋体"/>
          <w:bCs/>
          <w:color w:val="000000"/>
          <w:szCs w:val="21"/>
          <w:highlight w:val="none"/>
        </w:rPr>
        <w:t xml:space="preserve"> </w:t>
      </w:r>
      <w:r>
        <w:rPr>
          <w:rFonts w:hint="eastAsia" w:ascii="宋体" w:hAnsi="宋体"/>
          <w:bCs/>
          <w:color w:val="000000"/>
          <w:szCs w:val="21"/>
          <w:highlight w:val="none"/>
          <w:lang w:val="zh-CN"/>
        </w:rPr>
        <w:t>投标截止时间之后，投标人不得对其电子投标文件作任何修改。</w:t>
      </w:r>
    </w:p>
    <w:p w14:paraId="71D0FB0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19.2 投标文件的撤回</w:t>
      </w:r>
    </w:p>
    <w:p w14:paraId="793BD99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19.2.1  投标人可在投标截止时间前撤回其电子投标文件，具体操作方法见《操作手册》。</w:t>
      </w:r>
    </w:p>
    <w:p w14:paraId="08186FB9">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19.2.2 投标人撤回电子投标文件，则认为其不再参与本项目投标活动。</w:t>
      </w:r>
    </w:p>
    <w:p w14:paraId="2C82C049">
      <w:pPr>
        <w:spacing w:line="360" w:lineRule="auto"/>
        <w:ind w:firstLine="480"/>
        <w:rPr>
          <w:rFonts w:hint="eastAsia" w:ascii="宋体" w:hAnsi="宋体"/>
          <w:bCs/>
          <w:color w:val="000000"/>
          <w:szCs w:val="21"/>
          <w:highlight w:val="none"/>
          <w:lang w:val="zh-CN"/>
        </w:rPr>
      </w:pPr>
      <w:r>
        <w:rPr>
          <w:rFonts w:hint="eastAsia" w:ascii="宋体" w:hAnsi="宋体"/>
          <w:bCs/>
          <w:color w:val="000000"/>
          <w:szCs w:val="21"/>
          <w:highlight w:val="none"/>
        </w:rPr>
        <w:t>19</w:t>
      </w:r>
      <w:r>
        <w:rPr>
          <w:rFonts w:hint="eastAsia" w:ascii="宋体" w:hAnsi="宋体"/>
          <w:bCs/>
          <w:color w:val="000000"/>
          <w:szCs w:val="21"/>
          <w:highlight w:val="none"/>
          <w:lang w:val="zh-CN"/>
        </w:rPr>
        <w:t>.</w:t>
      </w:r>
      <w:r>
        <w:rPr>
          <w:rFonts w:hint="eastAsia" w:ascii="宋体" w:hAnsi="宋体"/>
          <w:bCs/>
          <w:color w:val="000000"/>
          <w:szCs w:val="21"/>
          <w:highlight w:val="none"/>
        </w:rPr>
        <w:t>2.</w:t>
      </w:r>
      <w:r>
        <w:rPr>
          <w:rFonts w:hint="eastAsia" w:ascii="宋体" w:hAnsi="宋体"/>
          <w:bCs/>
          <w:color w:val="000000"/>
          <w:szCs w:val="21"/>
          <w:highlight w:val="none"/>
          <w:lang w:val="zh-CN"/>
        </w:rPr>
        <w:t>3 在投标截止时间至招标文件中规定的投标有效期满之间的这段时间内，投标人不得撤回其投标。</w:t>
      </w:r>
      <w:bookmarkStart w:id="40" w:name="_Toc120614218"/>
      <w:bookmarkEnd w:id="40"/>
      <w:bookmarkStart w:id="41" w:name="_Toc513029229"/>
      <w:bookmarkEnd w:id="41"/>
      <w:bookmarkStart w:id="42" w:name="_Toc16938545"/>
      <w:bookmarkEnd w:id="42"/>
      <w:bookmarkStart w:id="43" w:name="_Toc20823301"/>
      <w:bookmarkEnd w:id="43"/>
    </w:p>
    <w:p w14:paraId="2F176D36">
      <w:pPr>
        <w:spacing w:line="360" w:lineRule="auto"/>
        <w:ind w:firstLine="482"/>
        <w:outlineLvl w:val="1"/>
        <w:rPr>
          <w:rFonts w:hint="eastAsia" w:ascii="宋体" w:hAnsi="宋体"/>
          <w:bCs/>
          <w:color w:val="000000"/>
          <w:szCs w:val="21"/>
          <w:highlight w:val="none"/>
        </w:rPr>
      </w:pPr>
      <w:bookmarkStart w:id="44" w:name="_Toc29862"/>
      <w:r>
        <w:rPr>
          <w:rFonts w:hint="eastAsia" w:ascii="宋体" w:hAnsi="宋体"/>
          <w:b/>
          <w:color w:val="000000"/>
          <w:szCs w:val="21"/>
          <w:highlight w:val="none"/>
        </w:rPr>
        <w:t>四、开标、评标与确定中标供应商</w:t>
      </w:r>
      <w:bookmarkEnd w:id="44"/>
    </w:p>
    <w:p w14:paraId="30C58F67">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20.</w:t>
      </w:r>
      <w:r>
        <w:rPr>
          <w:rFonts w:ascii="宋体" w:hAnsi="宋体"/>
          <w:b/>
          <w:color w:val="000000"/>
          <w:szCs w:val="21"/>
          <w:highlight w:val="none"/>
        </w:rPr>
        <w:t xml:space="preserve"> </w:t>
      </w:r>
      <w:r>
        <w:rPr>
          <w:rFonts w:hint="eastAsia" w:ascii="宋体" w:hAnsi="宋体"/>
          <w:b/>
          <w:color w:val="000000"/>
          <w:szCs w:val="21"/>
          <w:highlight w:val="none"/>
        </w:rPr>
        <w:t>开标</w:t>
      </w:r>
    </w:p>
    <w:p w14:paraId="261B33A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20.1 代理机构将在招标文件确定的时间和地点进行公开开标。投标人按照《操作手册》规定参加开标活动，并在苏采云系统规定的时间内对投标文件进行解密。苏采云系统公布各投标人名称和投标价格。</w:t>
      </w:r>
    </w:p>
    <w:p w14:paraId="7C98F08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20.2 投标人在开标过程中涉及的投标文件解密、开标结果确认等工作，应按照《操作手册》规定执行。</w:t>
      </w:r>
    </w:p>
    <w:p w14:paraId="1250054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20.3 投标人如果对开标过程和开标结果有疑义，应当根据《操作手册》规定提出，苏采云系统中《开标记录表》公布后5分钟内未提出的，视同认可开标结果。</w:t>
      </w:r>
    </w:p>
    <w:p w14:paraId="22E6F1B9">
      <w:pPr>
        <w:spacing w:line="360" w:lineRule="auto"/>
        <w:ind w:firstLine="420"/>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21.</w:t>
      </w:r>
      <w:r>
        <w:rPr>
          <w:rFonts w:ascii="宋体" w:hAnsi="宋体" w:cs="宋体"/>
          <w:b/>
          <w:bCs/>
          <w:color w:val="000000"/>
          <w:szCs w:val="21"/>
          <w:highlight w:val="none"/>
          <w:lang w:val="zh-CN"/>
        </w:rPr>
        <w:t xml:space="preserve"> </w:t>
      </w:r>
      <w:r>
        <w:rPr>
          <w:rFonts w:hint="eastAsia" w:ascii="宋体" w:hAnsi="宋体" w:cs="宋体"/>
          <w:b/>
          <w:bCs/>
          <w:color w:val="000000"/>
          <w:szCs w:val="21"/>
          <w:highlight w:val="none"/>
          <w:lang w:val="zh-CN"/>
        </w:rPr>
        <w:t>评标</w:t>
      </w:r>
    </w:p>
    <w:p w14:paraId="10D40EE4">
      <w:pPr>
        <w:spacing w:line="360" w:lineRule="auto"/>
        <w:ind w:firstLine="482"/>
        <w:rPr>
          <w:rFonts w:hint="eastAsia" w:ascii="宋体" w:hAnsi="宋体" w:cs="宋体"/>
          <w:b/>
          <w:bCs/>
          <w:color w:val="000000"/>
          <w:szCs w:val="21"/>
          <w:highlight w:val="none"/>
          <w:lang w:val="zh-CN"/>
        </w:rPr>
      </w:pPr>
      <w:r>
        <w:rPr>
          <w:rFonts w:hint="eastAsia" w:ascii="宋体" w:hAnsi="宋体" w:cs="宋体"/>
          <w:b/>
          <w:color w:val="000000"/>
          <w:szCs w:val="21"/>
          <w:highlight w:val="none"/>
          <w:lang w:val="zh-CN"/>
        </w:rPr>
        <w:t>21.1</w:t>
      </w:r>
      <w:r>
        <w:rPr>
          <w:rFonts w:hint="eastAsia" w:ascii="宋体" w:hAnsi="宋体" w:cs="宋体"/>
          <w:b/>
          <w:bCs/>
          <w:color w:val="000000"/>
          <w:szCs w:val="21"/>
          <w:highlight w:val="none"/>
          <w:lang w:val="zh-CN"/>
        </w:rPr>
        <w:t xml:space="preserve"> 评标组织</w:t>
      </w:r>
    </w:p>
    <w:p w14:paraId="324BFBA6">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lang w:val="zh-CN"/>
        </w:rPr>
        <w:t>21.1.1评标工作由代理机构组织评标委员会（以下简称“评委会”）进行，具体评标事务由依法组建的评标委员会负责，并独立履行</w:t>
      </w:r>
      <w:r>
        <w:rPr>
          <w:rFonts w:hint="eastAsia" w:ascii="宋体" w:hAnsi="宋体" w:cs="宋体"/>
          <w:color w:val="000000"/>
          <w:szCs w:val="21"/>
          <w:highlight w:val="none"/>
        </w:rPr>
        <w:t>下列职责：</w:t>
      </w:r>
    </w:p>
    <w:p w14:paraId="2801D956">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（1）审查、评价投标文件是否符合招标文件的商务、技术等实质性要求；</w:t>
      </w:r>
    </w:p>
    <w:p w14:paraId="69FB7D66">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（2）要求供应商对投标文件有关事项作出澄清或者说明；</w:t>
      </w:r>
    </w:p>
    <w:p w14:paraId="7006A4FE">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（3）对投标文件进行比较和评价；</w:t>
      </w:r>
    </w:p>
    <w:p w14:paraId="49F4968A">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（4）推荐中标候选人或根据招标人委托直接确定中标供应商；</w:t>
      </w:r>
    </w:p>
    <w:p w14:paraId="4740061F">
      <w:pPr>
        <w:spacing w:line="360" w:lineRule="auto"/>
        <w:ind w:firstLine="480"/>
        <w:rPr>
          <w:rFonts w:hint="eastAsia" w:ascii="宋体" w:hAnsi="宋体" w:cs="宋体"/>
          <w:color w:val="000000"/>
          <w:szCs w:val="21"/>
          <w:highlight w:val="none"/>
        </w:rPr>
      </w:pPr>
      <w:r>
        <w:rPr>
          <w:rFonts w:hint="eastAsia" w:ascii="宋体" w:hAnsi="宋体" w:cs="宋体"/>
          <w:color w:val="000000"/>
          <w:szCs w:val="21"/>
          <w:highlight w:val="none"/>
        </w:rPr>
        <w:t>（5）向招标人、财政部门报告评标中发现的违法行为。</w:t>
      </w:r>
    </w:p>
    <w:p w14:paraId="7E37B2DE">
      <w:pPr>
        <w:spacing w:line="360" w:lineRule="auto"/>
        <w:ind w:firstLine="420"/>
        <w:rPr>
          <w:rFonts w:hint="eastAsia" w:ascii="宋体" w:hAnsi="宋体" w:cs="宋体"/>
          <w:color w:val="000000"/>
          <w:szCs w:val="21"/>
          <w:highlight w:val="none"/>
          <w:lang w:val="zh-CN"/>
        </w:rPr>
      </w:pPr>
      <w:r>
        <w:rPr>
          <w:rFonts w:hint="eastAsia" w:ascii="宋体" w:hAnsi="宋体" w:cs="宋体"/>
          <w:bCs/>
          <w:color w:val="000000"/>
          <w:szCs w:val="21"/>
          <w:highlight w:val="none"/>
          <w:lang w:val="zh-CN"/>
        </w:rPr>
        <w:t xml:space="preserve">21.1.2 </w:t>
      </w:r>
      <w:r>
        <w:rPr>
          <w:rFonts w:hint="eastAsia" w:ascii="宋体" w:hAnsi="宋体" w:cs="宋体"/>
          <w:color w:val="000000"/>
          <w:szCs w:val="21"/>
          <w:highlight w:val="none"/>
          <w:lang w:val="zh-CN"/>
        </w:rPr>
        <w:t xml:space="preserve">评标委员会由有关技术、经济等方面的专家组成，在江苏省政府采购评审专家库中随机抽取产生，并独立开展评审工作。 </w:t>
      </w:r>
    </w:p>
    <w:p w14:paraId="39D5E629">
      <w:pPr>
        <w:spacing w:line="360" w:lineRule="auto"/>
        <w:ind w:firstLine="420"/>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21.2 评标程序</w:t>
      </w:r>
    </w:p>
    <w:p w14:paraId="5DEB81F1">
      <w:pPr>
        <w:spacing w:line="360" w:lineRule="auto"/>
        <w:ind w:firstLine="420"/>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21.2.1 投标文件的资格审查</w:t>
      </w:r>
    </w:p>
    <w:p w14:paraId="2EE4EC98">
      <w:pPr>
        <w:pStyle w:val="28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21.2.1.1</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招标人代表依法对供应商的资格进行审查。</w:t>
      </w:r>
    </w:p>
    <w:p w14:paraId="1F55483B">
      <w:pPr>
        <w:pStyle w:val="287"/>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21.2.1.2</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招标人代表依据法律法规和招标文件的规定，对投标文件中的资格证明文件、</w:t>
      </w:r>
      <w:r>
        <w:rPr>
          <w:rFonts w:hint="eastAsia" w:ascii="宋体" w:hAnsi="宋体" w:cs="宋体"/>
          <w:bCs/>
          <w:color w:val="000000"/>
          <w:szCs w:val="21"/>
          <w:highlight w:val="none"/>
          <w:lang w:val="zh-CN"/>
        </w:rPr>
        <w:t>南京市政府采购供应商信用记录表暨信用承诺书</w:t>
      </w:r>
      <w:r>
        <w:rPr>
          <w:rFonts w:hint="eastAsia" w:ascii="宋体" w:hAnsi="宋体" w:cs="宋体"/>
          <w:color w:val="000000"/>
          <w:szCs w:val="21"/>
          <w:highlight w:val="none"/>
          <w:lang w:val="zh-CN"/>
        </w:rPr>
        <w:t>等进行审查，以确定投标供应商是否具备投标资格。</w:t>
      </w:r>
    </w:p>
    <w:p w14:paraId="25C0BE13">
      <w:pPr>
        <w:spacing w:line="360" w:lineRule="auto"/>
        <w:ind w:firstLine="48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21.2.1.3</w:t>
      </w:r>
      <w:r>
        <w:rPr>
          <w:rFonts w:ascii="宋体" w:hAnsi="宋体" w:cs="宋体"/>
          <w:color w:val="000000"/>
          <w:szCs w:val="21"/>
          <w:highlight w:val="none"/>
          <w:lang w:val="zh-CN"/>
        </w:rPr>
        <w:t xml:space="preserve"> </w:t>
      </w:r>
      <w:r>
        <w:rPr>
          <w:rFonts w:hint="eastAsia" w:ascii="宋体" w:hAnsi="宋体" w:cs="宋体"/>
          <w:color w:val="000000"/>
          <w:szCs w:val="21"/>
          <w:highlight w:val="none"/>
          <w:lang w:val="zh-CN"/>
        </w:rPr>
        <w:t>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p>
    <w:p w14:paraId="6E48B30B">
      <w:pPr>
        <w:widowControl/>
        <w:spacing w:line="360" w:lineRule="auto"/>
        <w:ind w:firstLine="420"/>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21.2.1.4</w:t>
      </w:r>
      <w:r>
        <w:rPr>
          <w:rFonts w:hint="eastAsia" w:ascii="宋体" w:hAnsi="宋体" w:cs="宋体"/>
          <w:color w:val="000000"/>
          <w:szCs w:val="21"/>
          <w:highlight w:val="none"/>
          <w:lang w:val="zh-CN"/>
        </w:rPr>
        <w:t xml:space="preserve"> </w:t>
      </w:r>
      <w:r>
        <w:rPr>
          <w:rFonts w:ascii="宋体" w:hAnsi="宋体" w:cs="宋体"/>
          <w:color w:val="000000"/>
          <w:szCs w:val="21"/>
          <w:highlight w:val="none"/>
          <w:lang w:val="zh-CN"/>
        </w:rPr>
        <w:t xml:space="preserve"> </w:t>
      </w:r>
      <w:r>
        <w:rPr>
          <w:rFonts w:hint="eastAsia" w:ascii="宋体" w:hAnsi="宋体" w:cs="宋体"/>
          <w:b/>
          <w:color w:val="000000"/>
          <w:szCs w:val="21"/>
          <w:highlight w:val="none"/>
          <w:lang w:val="zh-CN"/>
        </w:rPr>
        <w:t>投标文件有下列情况之一的，在资格性审查时按照无效投标处理</w:t>
      </w:r>
    </w:p>
    <w:p w14:paraId="7609AC85">
      <w:pPr>
        <w:widowControl/>
        <w:spacing w:line="360" w:lineRule="auto"/>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（1）不具备招标文件规定资格条件的； </w:t>
      </w:r>
    </w:p>
    <w:p w14:paraId="6C2C7083">
      <w:pPr>
        <w:widowControl/>
        <w:spacing w:line="360" w:lineRule="auto"/>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信用记录；</w:t>
      </w:r>
    </w:p>
    <w:p w14:paraId="7FE537B7">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3</w:t>
      </w:r>
      <w:r>
        <w:rPr>
          <w:rFonts w:hint="eastAsia" w:ascii="宋体" w:hAnsi="宋体" w:cs="宋体"/>
          <w:bCs/>
          <w:color w:val="000000"/>
          <w:szCs w:val="21"/>
          <w:highlight w:val="none"/>
          <w:lang w:val="zh-CN"/>
        </w:rPr>
        <w:t>）未提供《南京市政府采购供应商信用记录表暨信用承诺书》。</w:t>
      </w:r>
    </w:p>
    <w:p w14:paraId="17975780">
      <w:pPr>
        <w:spacing w:line="360" w:lineRule="auto"/>
        <w:ind w:firstLine="482"/>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21.2.2 投标文件的符合性审查</w:t>
      </w:r>
    </w:p>
    <w:p w14:paraId="24049242">
      <w:pP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21.2.2.1评标委员会将依据法律法规和招标文件的规定，对投标文件的有效性、完整性和对招标文件的响应程度进行审查，以确定是否对招标文件的实质性要求作出响应。</w:t>
      </w:r>
    </w:p>
    <w:p w14:paraId="5E6BAFC3">
      <w:pPr>
        <w:spacing w:line="360" w:lineRule="auto"/>
        <w:ind w:firstLine="48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21.2.2.2 实质性要求是指本招标文件中带“★”的商务和技术要求。</w:t>
      </w:r>
    </w:p>
    <w:p w14:paraId="6442B81C">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lang w:val="zh-CN"/>
        </w:rPr>
        <w:t>21.2.2.3 如果投标文件实质上没有响应招标文件的要求，评标委员会将予以拒绝，</w:t>
      </w:r>
      <w:r>
        <w:rPr>
          <w:rFonts w:hint="eastAsia" w:ascii="宋体" w:hAnsi="宋体" w:cs="宋体"/>
          <w:bCs/>
          <w:color w:val="000000"/>
          <w:szCs w:val="21"/>
          <w:highlight w:val="none"/>
        </w:rPr>
        <w:t>供应商不得通过修改或撤销不符合要求的偏离而使其投标成为实质性响应的投标。</w:t>
      </w:r>
    </w:p>
    <w:p w14:paraId="6E9DF611">
      <w:pPr>
        <w:spacing w:line="360" w:lineRule="auto"/>
        <w:ind w:firstLine="482"/>
        <w:rPr>
          <w:rFonts w:hint="eastAsia" w:ascii="宋体" w:hAnsi="宋体" w:cs="宋体"/>
          <w:b/>
          <w:color w:val="000000"/>
          <w:szCs w:val="21"/>
          <w:highlight w:val="none"/>
          <w:lang w:val="zh-CN"/>
        </w:rPr>
      </w:pPr>
      <w:r>
        <w:rPr>
          <w:rFonts w:hint="eastAsia" w:ascii="宋体" w:hAnsi="宋体" w:cs="宋体"/>
          <w:b/>
          <w:bCs/>
          <w:color w:val="000000"/>
          <w:szCs w:val="21"/>
          <w:highlight w:val="none"/>
        </w:rPr>
        <w:t xml:space="preserve">21.2.2.4 </w:t>
      </w:r>
      <w:r>
        <w:rPr>
          <w:rFonts w:hint="eastAsia" w:ascii="宋体" w:hAnsi="宋体" w:cs="宋体"/>
          <w:b/>
          <w:color w:val="000000"/>
          <w:szCs w:val="21"/>
          <w:highlight w:val="none"/>
          <w:lang w:val="zh-CN"/>
        </w:rPr>
        <w:t>投标文件有下列情况之一的，在符合性审查时按照无效投标处理。</w:t>
      </w:r>
    </w:p>
    <w:p w14:paraId="3CF5D998">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（1）未按招标文件规定签署、盖章的；</w:t>
      </w:r>
    </w:p>
    <w:p w14:paraId="3EA979F4">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（2）没有《开标一览表》或《开标一览表》未按招标文件要求盖章的；</w:t>
      </w:r>
    </w:p>
    <w:p w14:paraId="06B86866">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（3）投标总价超出采购预算金额或者最高限价的；</w:t>
      </w:r>
    </w:p>
    <w:p w14:paraId="6B89D3F7">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（4）不同供应商的投标文件由同一单位或者个人编制；</w:t>
      </w:r>
    </w:p>
    <w:p w14:paraId="21958C70">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（5）不同供应商委托同一单位或者个人办理投标事宜；</w:t>
      </w:r>
    </w:p>
    <w:p w14:paraId="01397923">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（6）不同供应商的投标文件载明的项目管理成员或者联系人员为同一人；</w:t>
      </w:r>
    </w:p>
    <w:p w14:paraId="14E8DC07">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（7）不同供应商的投标文件异常一致或者投标报价呈规律性差异；</w:t>
      </w:r>
    </w:p>
    <w:p w14:paraId="444DC7BE">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（8）不同供应商的投标文件相互混装；</w:t>
      </w:r>
    </w:p>
    <w:p w14:paraId="76F4A923">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（9）不同供应商的法定代表人或委托代理人有夫妻、直系血亲关系的；</w:t>
      </w:r>
    </w:p>
    <w:p w14:paraId="23099575">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w:t>
      </w:r>
      <w:r>
        <w:rPr>
          <w:rFonts w:hint="eastAsia" w:ascii="宋体" w:hAnsi="宋体" w:cs="宋体"/>
          <w:color w:val="000000"/>
          <w:szCs w:val="21"/>
          <w:highlight w:val="none"/>
        </w:rPr>
        <w:t>10</w:t>
      </w:r>
      <w:r>
        <w:rPr>
          <w:rFonts w:hint="eastAsia" w:ascii="宋体" w:hAnsi="宋体" w:cs="宋体"/>
          <w:color w:val="000000"/>
          <w:szCs w:val="21"/>
          <w:highlight w:val="none"/>
          <w:lang w:val="zh-CN"/>
        </w:rPr>
        <w:t>）不同供应商的负责人为同一人或者存在控股、管理关系的；</w:t>
      </w:r>
    </w:p>
    <w:p w14:paraId="41B77927">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1</w:t>
      </w:r>
      <w:r>
        <w:rPr>
          <w:rFonts w:hint="eastAsia" w:ascii="宋体" w:hAnsi="宋体" w:cs="宋体"/>
          <w:color w:val="000000"/>
          <w:szCs w:val="21"/>
          <w:highlight w:val="none"/>
          <w:lang w:val="zh-CN"/>
        </w:rPr>
        <w:t>）不同供应商的委托代理人（或法定代表人、项目经理、项目总监、项目负责人等）在招标文件发布日上月至投标截止日当月在同一单位缴纳社会保险的；</w:t>
      </w:r>
    </w:p>
    <w:p w14:paraId="36AFAA3B">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2</w:t>
      </w:r>
      <w:r>
        <w:rPr>
          <w:rFonts w:hint="eastAsia" w:ascii="宋体" w:hAnsi="宋体" w:cs="宋体"/>
          <w:color w:val="000000"/>
          <w:szCs w:val="21"/>
          <w:highlight w:val="none"/>
          <w:lang w:val="zh-CN"/>
        </w:rPr>
        <w:t>）属于投标邀请中拒绝参加本次采购活动供应商的；</w:t>
      </w:r>
    </w:p>
    <w:p w14:paraId="0C2263D7">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3</w:t>
      </w:r>
      <w:r>
        <w:rPr>
          <w:rFonts w:hint="eastAsia" w:ascii="宋体" w:hAnsi="宋体" w:cs="宋体"/>
          <w:color w:val="000000"/>
          <w:szCs w:val="21"/>
          <w:highlight w:val="none"/>
          <w:lang w:val="zh-CN"/>
        </w:rPr>
        <w:t>）投标文件含有招标人不能接受的附加条件的；</w:t>
      </w:r>
    </w:p>
    <w:p w14:paraId="1E5CF0BF">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4</w:t>
      </w:r>
      <w:r>
        <w:rPr>
          <w:rFonts w:hint="eastAsia" w:ascii="宋体" w:hAnsi="宋体" w:cs="宋体"/>
          <w:color w:val="000000"/>
          <w:szCs w:val="21"/>
          <w:highlight w:val="none"/>
          <w:lang w:val="zh-CN"/>
        </w:rPr>
        <w:t>）评标委员会认为供应商的报价明显低于其他通过符合性审查供应商的报价，有可能影响服务质量或者不能诚信履约的，未在评标现场合理的时间内提供书面说明或相关证明材料，不能证明其报价合理的；</w:t>
      </w:r>
    </w:p>
    <w:p w14:paraId="6E8C875B">
      <w:pPr>
        <w:widowControl/>
        <w:spacing w:line="360" w:lineRule="auto"/>
        <w:ind w:firstLine="420"/>
        <w:rPr>
          <w:rFonts w:hint="eastAsia" w:ascii="宋体" w:hAnsi="宋体" w:cs="宋体"/>
          <w:bCs/>
          <w:color w:val="000000"/>
          <w:szCs w:val="21"/>
          <w:highlight w:val="none"/>
          <w:lang w:val="zh-CN"/>
        </w:rPr>
      </w:pPr>
      <w:r>
        <w:rPr>
          <w:rFonts w:hint="eastAsia" w:ascii="宋体" w:hAnsi="宋体" w:cs="宋体"/>
          <w:color w:val="000000"/>
          <w:szCs w:val="21"/>
          <w:highlight w:val="none"/>
          <w:lang w:val="zh-CN"/>
        </w:rPr>
        <w:t>（</w:t>
      </w:r>
      <w:r>
        <w:rPr>
          <w:rFonts w:hint="eastAsia" w:ascii="宋体" w:hAnsi="宋体" w:cs="宋体"/>
          <w:color w:val="000000"/>
          <w:szCs w:val="21"/>
          <w:highlight w:val="none"/>
        </w:rPr>
        <w:t>15</w:t>
      </w:r>
      <w:r>
        <w:rPr>
          <w:rFonts w:hint="eastAsia" w:ascii="宋体" w:hAnsi="宋体" w:cs="宋体"/>
          <w:color w:val="000000"/>
          <w:szCs w:val="21"/>
          <w:highlight w:val="none"/>
          <w:lang w:val="zh-CN"/>
        </w:rPr>
        <w:t>）</w:t>
      </w:r>
      <w:r>
        <w:rPr>
          <w:rFonts w:hint="eastAsia" w:ascii="宋体" w:hAnsi="宋体" w:cs="宋体"/>
          <w:bCs/>
          <w:color w:val="000000"/>
          <w:szCs w:val="21"/>
          <w:highlight w:val="none"/>
          <w:lang w:val="zh-CN"/>
        </w:rPr>
        <w:t>投标人在苏采云系统规定的时间内未成功解密电子投标文件</w:t>
      </w:r>
      <w:r>
        <w:rPr>
          <w:rFonts w:hint="eastAsia" w:ascii="宋体" w:hAnsi="宋体" w:cs="宋体"/>
          <w:color w:val="000000"/>
          <w:szCs w:val="21"/>
          <w:highlight w:val="none"/>
          <w:lang w:val="zh-CN"/>
        </w:rPr>
        <w:t>；</w:t>
      </w:r>
    </w:p>
    <w:p w14:paraId="2031A233">
      <w:pPr>
        <w:widowControl/>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16</w:t>
      </w:r>
      <w:r>
        <w:rPr>
          <w:rFonts w:hint="eastAsia" w:ascii="宋体" w:hAnsi="宋体" w:cs="宋体"/>
          <w:bCs/>
          <w:color w:val="000000"/>
          <w:szCs w:val="21"/>
          <w:highlight w:val="none"/>
          <w:lang w:val="zh-CN"/>
        </w:rPr>
        <w:t>）投标人未按照招标文件要求上传电子投标文件</w:t>
      </w:r>
      <w:r>
        <w:rPr>
          <w:rFonts w:hint="eastAsia" w:ascii="宋体" w:hAnsi="宋体" w:cs="宋体"/>
          <w:color w:val="000000"/>
          <w:szCs w:val="21"/>
          <w:highlight w:val="none"/>
          <w:lang w:val="zh-CN"/>
        </w:rPr>
        <w:t>；</w:t>
      </w:r>
    </w:p>
    <w:p w14:paraId="2B2846FC">
      <w:pPr>
        <w:widowControl/>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17</w:t>
      </w:r>
      <w:r>
        <w:rPr>
          <w:rFonts w:hint="eastAsia" w:ascii="宋体" w:hAnsi="宋体" w:cs="宋体"/>
          <w:bCs/>
          <w:color w:val="000000"/>
          <w:szCs w:val="21"/>
          <w:highlight w:val="none"/>
          <w:lang w:val="zh-CN"/>
        </w:rPr>
        <w:t>）同一投标人提交两个（含两个）以上不同的投标报价</w:t>
      </w:r>
      <w:r>
        <w:rPr>
          <w:rFonts w:hint="eastAsia" w:ascii="宋体" w:hAnsi="宋体" w:cs="宋体"/>
          <w:color w:val="000000"/>
          <w:szCs w:val="21"/>
          <w:highlight w:val="none"/>
          <w:lang w:val="zh-CN"/>
        </w:rPr>
        <w:t>；</w:t>
      </w:r>
    </w:p>
    <w:p w14:paraId="4337FDD3">
      <w:pPr>
        <w:widowControl/>
        <w:spacing w:line="360" w:lineRule="auto"/>
        <w:ind w:firstLine="420"/>
        <w:rPr>
          <w:rFonts w:hint="eastAsia" w:ascii="宋体" w:hAnsi="宋体" w:cs="宋体"/>
          <w:bCs/>
          <w:color w:val="000000"/>
          <w:szCs w:val="21"/>
          <w:highlight w:val="none"/>
          <w:lang w:val="zh-CN"/>
        </w:rPr>
      </w:pPr>
      <w:r>
        <w:rPr>
          <w:rFonts w:hint="eastAsia" w:ascii="宋体" w:hAnsi="宋体" w:cs="宋体"/>
          <w:bCs/>
          <w:color w:val="000000"/>
          <w:szCs w:val="21"/>
          <w:highlight w:val="none"/>
          <w:lang w:val="zh-CN"/>
        </w:rPr>
        <w:t>（</w:t>
      </w:r>
      <w:r>
        <w:rPr>
          <w:rFonts w:hint="eastAsia" w:ascii="宋体" w:hAnsi="宋体" w:cs="宋体"/>
          <w:bCs/>
          <w:color w:val="000000"/>
          <w:szCs w:val="21"/>
          <w:highlight w:val="none"/>
        </w:rPr>
        <w:t>18</w:t>
      </w:r>
      <w:r>
        <w:rPr>
          <w:rFonts w:hint="eastAsia" w:ascii="宋体" w:hAnsi="宋体" w:cs="宋体"/>
          <w:bCs/>
          <w:color w:val="000000"/>
          <w:szCs w:val="21"/>
          <w:highlight w:val="none"/>
          <w:lang w:val="zh-CN"/>
        </w:rPr>
        <w:t>）采购产品被财政部、国家发展改革委、生态环境部等列入“节能产品品目清单”强制采购范围，而投标人提供的产品不在强制采购范围内</w:t>
      </w:r>
      <w:r>
        <w:rPr>
          <w:rFonts w:hint="eastAsia" w:ascii="宋体" w:hAnsi="宋体" w:cs="宋体"/>
          <w:color w:val="000000"/>
          <w:szCs w:val="21"/>
          <w:highlight w:val="none"/>
          <w:lang w:val="zh-CN"/>
        </w:rPr>
        <w:t>；</w:t>
      </w:r>
    </w:p>
    <w:p w14:paraId="56115E0B">
      <w:pPr>
        <w:spacing w:line="360" w:lineRule="auto"/>
        <w:ind w:firstLine="482"/>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21.2.</w:t>
      </w:r>
      <w:r>
        <w:rPr>
          <w:rFonts w:hint="eastAsia" w:ascii="宋体" w:hAnsi="宋体" w:cs="宋体"/>
          <w:b/>
          <w:color w:val="000000"/>
          <w:szCs w:val="21"/>
          <w:highlight w:val="none"/>
        </w:rPr>
        <w:t xml:space="preserve">2.5 </w:t>
      </w:r>
      <w:r>
        <w:rPr>
          <w:rFonts w:hint="eastAsia" w:ascii="宋体" w:hAnsi="宋体" w:cs="宋体"/>
          <w:b/>
          <w:color w:val="000000"/>
          <w:szCs w:val="21"/>
          <w:highlight w:val="none"/>
          <w:lang w:val="zh-CN"/>
        </w:rPr>
        <w:t>废标</w:t>
      </w:r>
    </w:p>
    <w:p w14:paraId="7351B664">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1 符合资格条件的供应商或者对招标文件作实质响应的供应商不足三家。</w:t>
      </w:r>
    </w:p>
    <w:p w14:paraId="20CF17D6">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2 出现影响采购公正的违法、违规行为。</w:t>
      </w:r>
    </w:p>
    <w:p w14:paraId="43D229CF">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3 因重大变故采购任务取消。</w:t>
      </w:r>
    </w:p>
    <w:p w14:paraId="709AC576">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4 评委会认定招标文件存在歧义、重大缺陷导致评审工作无法进行。</w:t>
      </w:r>
    </w:p>
    <w:p w14:paraId="7C9622D8">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21.2.2.5.</w:t>
      </w:r>
      <w:r>
        <w:rPr>
          <w:rFonts w:hint="eastAsia" w:ascii="宋体" w:hAnsi="宋体" w:cs="宋体"/>
          <w:bCs/>
          <w:color w:val="000000"/>
          <w:szCs w:val="21"/>
          <w:highlight w:val="none"/>
          <w:lang w:val="zh-CN"/>
        </w:rPr>
        <w:t>5</w:t>
      </w:r>
      <w:r>
        <w:rPr>
          <w:rFonts w:hint="eastAsia" w:ascii="宋体" w:hAnsi="宋体" w:cs="宋体"/>
          <w:bCs/>
          <w:color w:val="000000"/>
          <w:szCs w:val="21"/>
          <w:highlight w:val="none"/>
        </w:rPr>
        <w:t xml:space="preserve"> </w:t>
      </w:r>
      <w:r>
        <w:rPr>
          <w:rFonts w:hint="eastAsia" w:ascii="宋体" w:hAnsi="宋体" w:cs="宋体"/>
          <w:bCs/>
          <w:color w:val="000000"/>
          <w:szCs w:val="21"/>
          <w:highlight w:val="none"/>
          <w:lang w:val="zh-CN"/>
        </w:rPr>
        <w:t>预留份额的采购项目或采购包，通过发布公告方式邀请供应商后，符合资格条件的中小企业数量不足3家的。</w:t>
      </w:r>
    </w:p>
    <w:p w14:paraId="26C3B6BA">
      <w:pPr>
        <w:spacing w:line="360" w:lineRule="auto"/>
        <w:ind w:firstLine="480"/>
        <w:rPr>
          <w:rFonts w:hint="eastAsia" w:ascii="宋体" w:hAnsi="宋体" w:cs="宋体"/>
          <w:bCs/>
          <w:color w:val="000000"/>
          <w:szCs w:val="21"/>
          <w:highlight w:val="none"/>
          <w:lang w:val="zh-CN"/>
        </w:rPr>
      </w:pPr>
      <w:r>
        <w:rPr>
          <w:rFonts w:hint="eastAsia" w:ascii="宋体" w:hAnsi="宋体" w:cs="宋体"/>
          <w:bCs/>
          <w:color w:val="000000"/>
          <w:szCs w:val="21"/>
          <w:highlight w:val="none"/>
        </w:rPr>
        <w:t xml:space="preserve">21.2.2.5.6 </w:t>
      </w:r>
      <w:r>
        <w:rPr>
          <w:rFonts w:hint="eastAsia" w:ascii="宋体" w:hAnsi="宋体" w:cs="宋体"/>
          <w:bCs/>
          <w:color w:val="000000"/>
          <w:szCs w:val="21"/>
          <w:highlight w:val="none"/>
          <w:lang w:val="zh-CN"/>
        </w:rPr>
        <w:t>因苏采云系统故障造成开标不成功。</w:t>
      </w:r>
    </w:p>
    <w:p w14:paraId="3D45B398">
      <w:pPr>
        <w:spacing w:line="360" w:lineRule="auto"/>
        <w:ind w:firstLine="482"/>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21.2.3</w:t>
      </w:r>
      <w:r>
        <w:rPr>
          <w:rFonts w:hint="eastAsia" w:ascii="宋体" w:hAnsi="宋体" w:cs="宋体"/>
          <w:b/>
          <w:color w:val="000000"/>
          <w:szCs w:val="21"/>
          <w:highlight w:val="none"/>
        </w:rPr>
        <w:t xml:space="preserve"> </w:t>
      </w:r>
      <w:r>
        <w:rPr>
          <w:rFonts w:hint="eastAsia" w:ascii="宋体" w:hAnsi="宋体" w:cs="宋体"/>
          <w:b/>
          <w:color w:val="000000"/>
          <w:szCs w:val="21"/>
          <w:highlight w:val="none"/>
          <w:lang w:val="zh-CN"/>
        </w:rPr>
        <w:t>投标文件的进一步评审</w:t>
      </w:r>
    </w:p>
    <w:p w14:paraId="3607A6A3">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lang w:val="zh-CN"/>
        </w:rPr>
        <w:t>21.2.3.1 评</w:t>
      </w:r>
      <w:r>
        <w:rPr>
          <w:rFonts w:hint="eastAsia" w:ascii="宋体" w:hAnsi="宋体" w:cs="宋体"/>
          <w:bCs/>
          <w:color w:val="000000"/>
          <w:szCs w:val="21"/>
          <w:highlight w:val="none"/>
        </w:rPr>
        <w:t>标委员会将对确定为实质性响应的投标文件进行进一步评审，看其是否有计算上或累加上的算术错误，修正错误的原则如下：</w:t>
      </w:r>
    </w:p>
    <w:p w14:paraId="5E907B94">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lang w:val="zh-CN"/>
        </w:rPr>
        <w:t>（1）</w:t>
      </w:r>
      <w:r>
        <w:rPr>
          <w:rFonts w:hint="eastAsia" w:ascii="宋体" w:hAnsi="宋体" w:cs="宋体"/>
          <w:bCs/>
          <w:color w:val="000000"/>
          <w:szCs w:val="21"/>
          <w:highlight w:val="none"/>
        </w:rPr>
        <w:t>如果用数字表示的金额和用文字表示的金额不一致时，应以文字表示的金额为准进行修正；</w:t>
      </w:r>
    </w:p>
    <w:p w14:paraId="67E1B7BA">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lang w:val="zh-CN"/>
        </w:rPr>
        <w:t>（2）</w:t>
      </w:r>
      <w:r>
        <w:rPr>
          <w:rFonts w:hint="eastAsia" w:ascii="宋体" w:hAnsi="宋体" w:cs="宋体"/>
          <w:bCs/>
          <w:color w:val="000000"/>
          <w:szCs w:val="21"/>
          <w:highlight w:val="none"/>
        </w:rPr>
        <w:t>当单价与数量的乘积和总价不一致时，以单价为准进行修正。只有在评标委员会认为单价有明显的小数点错误时，才能以标出的总价为准，并修改单价。</w:t>
      </w:r>
    </w:p>
    <w:p w14:paraId="5952480A">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rPr>
        <w:t>21.2.3.2</w:t>
      </w:r>
      <w:r>
        <w:rPr>
          <w:rFonts w:hint="eastAsia" w:ascii="宋体" w:hAnsi="宋体" w:cs="宋体"/>
          <w:bCs/>
          <w:color w:val="000000"/>
          <w:szCs w:val="21"/>
          <w:highlight w:val="none"/>
        </w:rPr>
        <w:t xml:space="preserve"> 评标委员会将按上述修正错误的方法调整投标文件中的投标报价，并通过苏采云系统告知投标人，调整后的价格对投标人具有约束力。如果投标人不接受修正后的价格，则其投标将被拒绝。</w:t>
      </w:r>
    </w:p>
    <w:p w14:paraId="44A28FEF">
      <w:pPr>
        <w:spacing w:line="360" w:lineRule="auto"/>
        <w:ind w:firstLine="480"/>
        <w:rPr>
          <w:rFonts w:hint="eastAsia" w:ascii="宋体" w:hAnsi="宋体" w:cs="宋体"/>
          <w:bCs/>
          <w:color w:val="000000"/>
          <w:szCs w:val="21"/>
          <w:highlight w:val="none"/>
        </w:rPr>
      </w:pPr>
      <w:r>
        <w:rPr>
          <w:rFonts w:hint="eastAsia" w:ascii="宋体" w:hAnsi="宋体" w:cs="宋体"/>
          <w:color w:val="000000"/>
          <w:szCs w:val="21"/>
          <w:highlight w:val="none"/>
        </w:rPr>
        <w:t xml:space="preserve">21.2.3.3 </w:t>
      </w:r>
      <w:r>
        <w:rPr>
          <w:rFonts w:hint="eastAsia" w:ascii="宋体" w:hAnsi="宋体" w:cs="宋体"/>
          <w:bCs/>
          <w:color w:val="000000"/>
          <w:szCs w:val="21"/>
          <w:highlight w:val="none"/>
        </w:rPr>
        <w:t>评标委员会将允许修正投标文件中不构成重大偏离的、微小的、非正规的、不一致的或不规则的地方，但这些修改不能影响任何供应商相应的名次排列。</w:t>
      </w:r>
    </w:p>
    <w:p w14:paraId="2B7897AC">
      <w:pPr>
        <w:widowControl/>
        <w:spacing w:line="360" w:lineRule="auto"/>
        <w:ind w:firstLine="42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14:paraId="4C5F5EC6">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21.2.3.5 比较与评价。按照招标文件中规定的评标方法和标准，对资格性检查和符合性检查合格的投标文件进行商务和技术评估，综合比较与评价。</w:t>
      </w:r>
    </w:p>
    <w:p w14:paraId="01C3C21A">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 xml:space="preserve">21.2.3.6 </w:t>
      </w:r>
      <w:r>
        <w:rPr>
          <w:rFonts w:hint="eastAsia" w:ascii="宋体" w:hAnsi="宋体" w:cs="宋体"/>
          <w:szCs w:val="21"/>
          <w:highlight w:val="none"/>
          <w:lang w:val="zh-CN"/>
        </w:rPr>
        <w:t>投标人在开、评标全过程中应保持通信畅通，及时登录苏采云系统查阅、答复相关信息，并安排专人与</w:t>
      </w:r>
      <w:r>
        <w:rPr>
          <w:rFonts w:hint="eastAsia" w:ascii="宋体" w:hAnsi="宋体" w:cs="宋体"/>
          <w:szCs w:val="21"/>
          <w:highlight w:val="none"/>
        </w:rPr>
        <w:t>代理机构</w:t>
      </w:r>
      <w:r>
        <w:rPr>
          <w:rFonts w:hint="eastAsia" w:ascii="宋体" w:hAnsi="宋体" w:cs="宋体"/>
          <w:szCs w:val="21"/>
          <w:highlight w:val="none"/>
          <w:lang w:val="zh-CN"/>
        </w:rPr>
        <w:t>及评委会联系。</w:t>
      </w:r>
    </w:p>
    <w:p w14:paraId="4DFA0FB3">
      <w:pPr>
        <w:spacing w:line="360" w:lineRule="auto"/>
        <w:ind w:firstLine="480"/>
        <w:rPr>
          <w:rFonts w:hint="eastAsia" w:ascii="宋体" w:hAnsi="宋体" w:cs="宋体"/>
          <w:bCs/>
          <w:szCs w:val="21"/>
          <w:highlight w:val="none"/>
          <w:lang w:val="zh-CN"/>
        </w:rPr>
      </w:pPr>
      <w:r>
        <w:rPr>
          <w:rFonts w:hint="eastAsia" w:ascii="宋体" w:hAnsi="宋体" w:cs="宋体"/>
          <w:bCs/>
          <w:szCs w:val="21"/>
          <w:highlight w:val="none"/>
          <w:lang w:val="zh-CN"/>
        </w:rPr>
        <w:t>2</w:t>
      </w:r>
      <w:r>
        <w:rPr>
          <w:rFonts w:hint="eastAsia" w:ascii="宋体" w:hAnsi="宋体" w:cs="宋体"/>
          <w:bCs/>
          <w:szCs w:val="21"/>
          <w:highlight w:val="none"/>
        </w:rPr>
        <w:t>1</w:t>
      </w:r>
      <w:r>
        <w:rPr>
          <w:rFonts w:hint="eastAsia" w:ascii="宋体" w:hAnsi="宋体" w:cs="宋体"/>
          <w:bCs/>
          <w:szCs w:val="21"/>
          <w:highlight w:val="none"/>
          <w:lang w:val="zh-CN"/>
        </w:rPr>
        <w:t>.</w:t>
      </w:r>
      <w:r>
        <w:rPr>
          <w:rFonts w:hint="eastAsia" w:ascii="宋体" w:hAnsi="宋体" w:cs="宋体"/>
          <w:bCs/>
          <w:szCs w:val="21"/>
          <w:highlight w:val="none"/>
        </w:rPr>
        <w:t>2.</w:t>
      </w:r>
      <w:r>
        <w:rPr>
          <w:rFonts w:hint="eastAsia" w:ascii="宋体" w:hAnsi="宋体" w:cs="宋体"/>
          <w:bCs/>
          <w:szCs w:val="21"/>
          <w:highlight w:val="none"/>
          <w:lang w:val="zh-CN"/>
        </w:rPr>
        <w:t>3</w:t>
      </w:r>
      <w:r>
        <w:rPr>
          <w:rFonts w:hint="eastAsia" w:ascii="宋体" w:hAnsi="宋体" w:cs="宋体"/>
          <w:bCs/>
          <w:szCs w:val="21"/>
          <w:highlight w:val="none"/>
        </w:rPr>
        <w:t>.7</w:t>
      </w:r>
      <w:r>
        <w:rPr>
          <w:rFonts w:hint="eastAsia" w:ascii="宋体" w:hAnsi="宋体" w:cs="宋体"/>
          <w:bCs/>
          <w:szCs w:val="21"/>
          <w:highlight w:val="none"/>
          <w:lang w:val="zh-CN"/>
        </w:rPr>
        <w:t xml:space="preserve"> 如出现投标截止时间后参加投标的供应商或者对招标文件作出实质性响应的供应商不足三家的情况，按政府采购相关规定执行。</w:t>
      </w:r>
    </w:p>
    <w:p w14:paraId="0D391EF9">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21.2.4 关于异常低价的审查</w:t>
      </w:r>
    </w:p>
    <w:p w14:paraId="6365F1E0">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 xml:space="preserve">21.2.4.1 </w:t>
      </w:r>
      <w:r>
        <w:rPr>
          <w:rFonts w:ascii="宋体" w:hAnsi="宋体" w:cs="宋体"/>
          <w:szCs w:val="21"/>
          <w:highlight w:val="none"/>
          <w:lang w:val="zh-CN"/>
        </w:rPr>
        <w:t>评审过程中出现下列情形之一的，评审委员会应当启动异常低价投标（响应）审查程序：</w:t>
      </w:r>
    </w:p>
    <w:p w14:paraId="58FCF9C9">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（1）投标（响应）报价低于全部通过符合性审查供应商投标（响应）报价平均值50%的，即投标（响应）报价&lt;全部通过符合性审查供应商投标（响应）报价平均值×50%；</w:t>
      </w:r>
    </w:p>
    <w:p w14:paraId="7C0784EF">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（2）投标（响应）报价低于通过符合性审查的次低报价供应商投标（响应）报价50%的，即投标（响应）报价&lt;通过符合性审查的次低报价供应商投标（响应）报价×50%；</w:t>
      </w:r>
    </w:p>
    <w:p w14:paraId="4783BAC3">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（3）投标（响应）报价低于采购项目最高限价45%的，即投标（响应）报价&lt;采购项目最高限价×45%；</w:t>
      </w:r>
    </w:p>
    <w:p w14:paraId="23A0A116">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rPr>
        <w:t>4</w:t>
      </w:r>
      <w:r>
        <w:rPr>
          <w:rFonts w:hint="eastAsia" w:ascii="宋体" w:hAnsi="宋体" w:cs="宋体"/>
          <w:szCs w:val="21"/>
          <w:highlight w:val="none"/>
          <w:lang w:val="zh-CN"/>
        </w:rPr>
        <w:t>）评审委员会认定的供应商报价过低、有可能影响产品质量或者不能诚信履约的其他情形。</w:t>
      </w:r>
    </w:p>
    <w:p w14:paraId="64507F17">
      <w:pPr>
        <w:spacing w:line="360" w:lineRule="auto"/>
        <w:ind w:firstLine="480"/>
        <w:rPr>
          <w:rFonts w:hint="eastAsia" w:ascii="宋体" w:hAnsi="宋体" w:cs="宋体"/>
          <w:szCs w:val="21"/>
          <w:highlight w:val="none"/>
          <w:lang w:val="zh-CN"/>
        </w:rPr>
      </w:pPr>
      <w:r>
        <w:rPr>
          <w:rFonts w:hint="eastAsia" w:ascii="宋体" w:hAnsi="宋体" w:cs="宋体"/>
          <w:szCs w:val="21"/>
          <w:highlight w:val="none"/>
        </w:rPr>
        <w:t>招标</w:t>
      </w:r>
      <w:r>
        <w:rPr>
          <w:rFonts w:hint="eastAsia" w:ascii="宋体" w:hAnsi="宋体" w:cs="宋体"/>
          <w:szCs w:val="21"/>
          <w:highlight w:val="none"/>
          <w:lang w:val="zh-CN"/>
        </w:rPr>
        <w:t>人可以结合具体项目实际情况，提高上述第1项至第3项中启动异常低价投标（响应）审查的数值标准，但是最高不得超过65%。</w:t>
      </w:r>
    </w:p>
    <w:p w14:paraId="7F2874BC">
      <w:pPr>
        <w:spacing w:line="360" w:lineRule="auto"/>
        <w:ind w:firstLine="480"/>
        <w:rPr>
          <w:rFonts w:hint="eastAsia" w:ascii="宋体" w:hAnsi="宋体" w:cs="宋体"/>
          <w:szCs w:val="21"/>
          <w:highlight w:val="none"/>
          <w:lang w:val="zh-CN"/>
        </w:rPr>
      </w:pPr>
      <w:r>
        <w:rPr>
          <w:rFonts w:hint="eastAsia" w:ascii="宋体" w:hAnsi="宋体" w:cs="宋体"/>
          <w:szCs w:val="21"/>
          <w:highlight w:val="none"/>
          <w:lang w:val="zh-CN"/>
        </w:rPr>
        <w:t>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4E135944">
      <w:pPr>
        <w:spacing w:line="360" w:lineRule="auto"/>
        <w:ind w:firstLine="480"/>
        <w:rPr>
          <w:rFonts w:hint="eastAsia" w:ascii="宋体" w:hAnsi="宋体" w:cs="宋体"/>
          <w:szCs w:val="21"/>
          <w:highlight w:val="none"/>
        </w:rPr>
      </w:pPr>
      <w:r>
        <w:rPr>
          <w:rFonts w:hint="eastAsia" w:ascii="宋体" w:hAnsi="宋体" w:cs="宋体"/>
          <w:szCs w:val="21"/>
          <w:highlight w:val="none"/>
        </w:rPr>
        <w:t>21.2.4.3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754610A">
      <w:pPr>
        <w:spacing w:line="360" w:lineRule="auto"/>
        <w:ind w:firstLine="480"/>
        <w:rPr>
          <w:rFonts w:hint="eastAsia" w:ascii="宋体" w:hAnsi="宋体" w:cs="宋体"/>
          <w:szCs w:val="21"/>
          <w:highlight w:val="none"/>
        </w:rPr>
      </w:pPr>
      <w:r>
        <w:rPr>
          <w:rFonts w:hint="eastAsia" w:ascii="宋体" w:hAnsi="宋体" w:cs="宋体"/>
          <w:szCs w:val="21"/>
          <w:highlight w:val="none"/>
        </w:rPr>
        <w:t>招标人、招标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B1BA695">
      <w:pPr>
        <w:spacing w:line="360" w:lineRule="auto"/>
        <w:ind w:firstLine="480"/>
        <w:rPr>
          <w:rFonts w:hint="eastAsia" w:ascii="宋体" w:hAnsi="宋体" w:cs="宋体"/>
          <w:szCs w:val="21"/>
          <w:highlight w:val="none"/>
        </w:rPr>
      </w:pPr>
      <w:r>
        <w:rPr>
          <w:rFonts w:hint="eastAsia" w:ascii="宋体" w:hAnsi="宋体" w:cs="宋体"/>
          <w:szCs w:val="21"/>
          <w:highlight w:val="none"/>
        </w:rPr>
        <w:t>异常低价投标（响应）审查的启动原因、审查意见和审查结果应当在评审报告中记录，并随投标人提供的相关书面说明及证明材料，以及评审委员会有关互联网浏览、查询历史一并归档。</w:t>
      </w:r>
    </w:p>
    <w:p w14:paraId="4ED275D3">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21.3 评标方法和标准</w:t>
      </w:r>
    </w:p>
    <w:p w14:paraId="7AFEF55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21.3.1 采用综合评分法。即在投标文件满足招标文件全部实质性要求前提下，按照评审因素的量化指标评分。</w:t>
      </w:r>
      <w:r>
        <w:rPr>
          <w:rFonts w:hint="eastAsia" w:ascii="宋体" w:hAnsi="宋体" w:cs="宋体"/>
          <w:color w:val="000000"/>
          <w:szCs w:val="21"/>
          <w:highlight w:val="none"/>
          <w:lang w:val="zh-CN"/>
        </w:rPr>
        <w:t>未中标的投标人可于中标结果公告期限届满之日起通过苏采云系统查看本单位的评审情况。</w:t>
      </w:r>
    </w:p>
    <w:p w14:paraId="22180F8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21.3.2 综合评分的主要因素详见文件第三章。</w:t>
      </w:r>
    </w:p>
    <w:p w14:paraId="1019B6E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21.3.3 评分标准详见文件第三章。</w:t>
      </w:r>
    </w:p>
    <w:p w14:paraId="458A2FC8">
      <w:pPr>
        <w:spacing w:line="360" w:lineRule="auto"/>
        <w:ind w:firstLine="482"/>
        <w:rPr>
          <w:rFonts w:hint="eastAsia" w:ascii="宋体" w:hAnsi="宋体"/>
          <w:bCs/>
          <w:szCs w:val="21"/>
          <w:highlight w:val="none"/>
        </w:rPr>
      </w:pPr>
      <w:r>
        <w:rPr>
          <w:rFonts w:hint="eastAsia" w:ascii="宋体" w:hAnsi="宋体"/>
          <w:b/>
          <w:szCs w:val="21"/>
          <w:highlight w:val="none"/>
        </w:rPr>
        <w:t>22.</w:t>
      </w:r>
      <w:r>
        <w:rPr>
          <w:rFonts w:ascii="宋体" w:hAnsi="宋体"/>
          <w:b/>
          <w:szCs w:val="21"/>
          <w:highlight w:val="none"/>
        </w:rPr>
        <w:t xml:space="preserve"> </w:t>
      </w:r>
      <w:r>
        <w:rPr>
          <w:rFonts w:hint="eastAsia" w:ascii="宋体" w:hAnsi="宋体"/>
          <w:b/>
          <w:szCs w:val="21"/>
          <w:highlight w:val="none"/>
        </w:rPr>
        <w:t>确定中标供应商</w:t>
      </w:r>
    </w:p>
    <w:p w14:paraId="6157D529">
      <w:pPr>
        <w:spacing w:line="360" w:lineRule="auto"/>
        <w:ind w:firstLine="480"/>
        <w:rPr>
          <w:rFonts w:hint="eastAsia" w:ascii="宋体" w:hAnsi="宋体"/>
          <w:bCs/>
          <w:szCs w:val="21"/>
          <w:highlight w:val="none"/>
        </w:rPr>
      </w:pPr>
      <w:r>
        <w:rPr>
          <w:rFonts w:ascii="宋体" w:hAnsi="宋体"/>
          <w:bCs/>
          <w:szCs w:val="21"/>
          <w:highlight w:val="none"/>
        </w:rPr>
        <w:t>22</w:t>
      </w:r>
      <w:r>
        <w:rPr>
          <w:rFonts w:hint="eastAsia" w:ascii="宋体" w:hAnsi="宋体"/>
          <w:bCs/>
          <w:szCs w:val="21"/>
          <w:highlight w:val="none"/>
        </w:rPr>
        <w:t>.1评委会根据本招标文件规定评分办法与评分标准综合打分，并按综合得分由高到低顺序向项目招标人推荐3名中标候选人。中标人拒绝与招标人签订合同的，招标人可以按照评审报告推荐的中标候选人名单排序，确定下一候选人为中标人，也可以重新开展政府采购活动。</w:t>
      </w:r>
    </w:p>
    <w:p w14:paraId="01996701">
      <w:pPr>
        <w:spacing w:line="360" w:lineRule="auto"/>
        <w:ind w:firstLine="480"/>
        <w:rPr>
          <w:rFonts w:hint="eastAsia" w:ascii="宋体" w:hAnsi="宋体"/>
          <w:bCs/>
          <w:szCs w:val="21"/>
          <w:highlight w:val="none"/>
        </w:rPr>
      </w:pPr>
      <w:r>
        <w:rPr>
          <w:rFonts w:ascii="宋体" w:hAnsi="宋体"/>
          <w:bCs/>
          <w:szCs w:val="21"/>
          <w:highlight w:val="none"/>
        </w:rPr>
        <w:t>22</w:t>
      </w:r>
      <w:r>
        <w:rPr>
          <w:rFonts w:hint="eastAsia" w:ascii="宋体" w:hAnsi="宋体"/>
          <w:bCs/>
          <w:szCs w:val="21"/>
          <w:highlight w:val="none"/>
        </w:rPr>
        <w:t>.2 招标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7511546C">
      <w:pPr>
        <w:spacing w:line="360" w:lineRule="auto"/>
        <w:ind w:firstLine="480"/>
        <w:rPr>
          <w:rFonts w:hint="eastAsia" w:ascii="宋体" w:hAnsi="宋体"/>
          <w:bCs/>
          <w:color w:val="000000"/>
          <w:szCs w:val="21"/>
          <w:highlight w:val="none"/>
        </w:rPr>
      </w:pPr>
      <w:r>
        <w:rPr>
          <w:rFonts w:hint="eastAsia" w:ascii="宋体" w:hAnsi="宋体"/>
          <w:bCs/>
          <w:szCs w:val="21"/>
          <w:highlight w:val="none"/>
        </w:rPr>
        <w:t>22.3 中标供应商确定之日起两个工作日内，将在财政部门指定的政府采购信息发布媒体上</w:t>
      </w:r>
      <w:r>
        <w:rPr>
          <w:rFonts w:hint="eastAsia" w:ascii="宋体" w:hAnsi="宋体"/>
          <w:bCs/>
          <w:color w:val="000000"/>
          <w:szCs w:val="21"/>
          <w:highlight w:val="none"/>
        </w:rPr>
        <w:t>公告。</w:t>
      </w:r>
    </w:p>
    <w:p w14:paraId="34E0A2E1">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22.4 《中标通知书》对招标人和中标供应商具有同等法律效力。</w:t>
      </w:r>
    </w:p>
    <w:p w14:paraId="28D5697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22.5 《中标通知书》发出后，中标供应商无正当理由不与招标人签订合同的，应当依法承担法律责任。</w:t>
      </w:r>
    </w:p>
    <w:p w14:paraId="1E3C621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22.6</w:t>
      </w:r>
      <w:r>
        <w:rPr>
          <w:rFonts w:ascii="宋体" w:hAnsi="宋体"/>
          <w:bCs/>
          <w:color w:val="000000"/>
          <w:szCs w:val="21"/>
          <w:highlight w:val="none"/>
        </w:rPr>
        <w:t xml:space="preserve"> </w:t>
      </w:r>
      <w:r>
        <w:rPr>
          <w:rFonts w:hint="eastAsia" w:ascii="宋体" w:hAnsi="宋体"/>
          <w:bCs/>
          <w:color w:val="000000"/>
          <w:szCs w:val="21"/>
          <w:highlight w:val="none"/>
        </w:rPr>
        <w:t>代理机构和评标委员会对未中标的供应商不作未中标原因的解释。</w:t>
      </w:r>
    </w:p>
    <w:p w14:paraId="0D8AB324">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23.</w:t>
      </w:r>
      <w:r>
        <w:rPr>
          <w:rFonts w:ascii="宋体" w:hAnsi="宋体"/>
          <w:b/>
          <w:color w:val="000000"/>
          <w:szCs w:val="21"/>
          <w:highlight w:val="none"/>
        </w:rPr>
        <w:t xml:space="preserve"> </w:t>
      </w:r>
      <w:r>
        <w:rPr>
          <w:rFonts w:hint="eastAsia" w:ascii="宋体" w:hAnsi="宋体"/>
          <w:b/>
          <w:color w:val="000000"/>
          <w:szCs w:val="21"/>
          <w:highlight w:val="none"/>
        </w:rPr>
        <w:t>编写评审报告</w:t>
      </w:r>
    </w:p>
    <w:p w14:paraId="1D072FD1">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评标委员会根据全体评标成员签字的原始评标记录和评标结果编写评审报告。</w:t>
      </w:r>
    </w:p>
    <w:p w14:paraId="37C22032">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24.</w:t>
      </w:r>
      <w:r>
        <w:rPr>
          <w:rFonts w:ascii="宋体" w:hAnsi="宋体"/>
          <w:b/>
          <w:color w:val="000000"/>
          <w:szCs w:val="21"/>
          <w:highlight w:val="none"/>
        </w:rPr>
        <w:t xml:space="preserve"> </w:t>
      </w:r>
      <w:r>
        <w:rPr>
          <w:rFonts w:hint="eastAsia" w:ascii="宋体" w:hAnsi="宋体"/>
          <w:b/>
          <w:color w:val="000000"/>
          <w:szCs w:val="21"/>
          <w:highlight w:val="none"/>
        </w:rPr>
        <w:t>评标过程的保密</w:t>
      </w:r>
    </w:p>
    <w:p w14:paraId="2D59EBA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24.1 代理机构将采取必要措施，保证评标在严格保密的情况下进行。</w:t>
      </w:r>
    </w:p>
    <w:p w14:paraId="6DB1C55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24.2 任何单位和个人不得非法干预、影响评标办法的确定，以及评标过程和结果。</w:t>
      </w:r>
    </w:p>
    <w:p w14:paraId="57EDC2B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24.3 凡是与审查、澄清、评价和比较投标的有关资料等，均不得向供应商及与评标无关的人员透露。</w:t>
      </w:r>
    </w:p>
    <w:p w14:paraId="57532A2A">
      <w:pPr>
        <w:spacing w:line="360" w:lineRule="auto"/>
        <w:ind w:firstLine="482"/>
        <w:outlineLvl w:val="1"/>
        <w:rPr>
          <w:rFonts w:hint="eastAsia" w:ascii="宋体" w:hAnsi="宋体"/>
          <w:b/>
          <w:color w:val="000000"/>
          <w:szCs w:val="21"/>
          <w:highlight w:val="none"/>
        </w:rPr>
      </w:pPr>
      <w:bookmarkStart w:id="45" w:name="_Toc27580"/>
      <w:r>
        <w:rPr>
          <w:rFonts w:hint="eastAsia" w:ascii="宋体" w:hAnsi="宋体"/>
          <w:b/>
          <w:color w:val="000000"/>
          <w:szCs w:val="21"/>
          <w:highlight w:val="none"/>
        </w:rPr>
        <w:t>五、签订合同</w:t>
      </w:r>
      <w:bookmarkEnd w:id="45"/>
    </w:p>
    <w:p w14:paraId="2C855EA2">
      <w:pPr>
        <w:spacing w:line="360" w:lineRule="auto"/>
        <w:ind w:firstLine="482"/>
        <w:rPr>
          <w:rFonts w:hint="eastAsia" w:ascii="宋体" w:hAnsi="宋体"/>
          <w:b/>
          <w:color w:val="000000"/>
          <w:szCs w:val="21"/>
          <w:highlight w:val="none"/>
        </w:rPr>
      </w:pPr>
      <w:r>
        <w:rPr>
          <w:rFonts w:hint="eastAsia" w:ascii="宋体" w:hAnsi="宋体"/>
          <w:b/>
          <w:color w:val="000000"/>
          <w:szCs w:val="21"/>
          <w:highlight w:val="none"/>
        </w:rPr>
        <w:t>25.</w:t>
      </w:r>
      <w:r>
        <w:rPr>
          <w:rFonts w:ascii="宋体" w:hAnsi="宋体"/>
          <w:b/>
          <w:color w:val="000000"/>
          <w:szCs w:val="21"/>
          <w:highlight w:val="none"/>
        </w:rPr>
        <w:t xml:space="preserve"> </w:t>
      </w:r>
      <w:r>
        <w:rPr>
          <w:rFonts w:hint="eastAsia" w:ascii="宋体" w:hAnsi="宋体"/>
          <w:b/>
          <w:color w:val="000000"/>
          <w:szCs w:val="21"/>
          <w:highlight w:val="none"/>
        </w:rPr>
        <w:t>签订合同</w:t>
      </w:r>
    </w:p>
    <w:p w14:paraId="138C2A5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25.1 招标人应当自《中标通知书》发出之日起三十日内，按照招标文件和中标供应商投标文件与中标供应商签订书面合同。所签订的合同不得对招标文件确定事项和中标供应商投标文件作实质性修改。</w:t>
      </w:r>
    </w:p>
    <w:p w14:paraId="034236DD">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25.2 招标人不得向中标供应商提出任何不合理的要求作为签订合同的条件，不得与中标供应商私下订立背离合同实质性内容的协议。</w:t>
      </w:r>
    </w:p>
    <w:p w14:paraId="1E3F602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25.3 中标供应商拒绝与招标人签订合同，或因不可抗力或者自身原因不能履行政府采购合同的，招标人可以按照评审报告推荐的中标候选人名单排序，确定下一候选人为中标供应商，也可以重新开展政府采购活动。评审报告未推荐中标候选人的，应重新开展政府采购活动。</w:t>
      </w:r>
    </w:p>
    <w:p w14:paraId="0059786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25.4 采购合同履行中，招标人需追加与合同标的相同货物的，在不改变合同其他条款的前提下，可以与供应商协商签订补充合同，但所有补充合同的采购金额不得超过原合同采购金额的百分之十。</w:t>
      </w:r>
    </w:p>
    <w:p w14:paraId="036D51BA">
      <w:pPr>
        <w:spacing w:line="360" w:lineRule="auto"/>
        <w:ind w:firstLine="482"/>
        <w:rPr>
          <w:rFonts w:hint="eastAsia" w:ascii="宋体" w:hAnsi="宋体"/>
          <w:b/>
          <w:color w:val="000000"/>
          <w:szCs w:val="21"/>
          <w:highlight w:val="none"/>
        </w:rPr>
      </w:pPr>
      <w:r>
        <w:rPr>
          <w:rFonts w:hint="eastAsia" w:ascii="宋体" w:hAnsi="宋体"/>
          <w:b/>
          <w:color w:val="000000"/>
          <w:szCs w:val="21"/>
          <w:highlight w:val="none"/>
        </w:rPr>
        <w:t>六、询问、质疑、投诉和诚实信用</w:t>
      </w:r>
    </w:p>
    <w:p w14:paraId="13E51089">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26.</w:t>
      </w:r>
      <w:r>
        <w:rPr>
          <w:rFonts w:ascii="宋体" w:hAnsi="宋体"/>
          <w:b/>
          <w:color w:val="000000"/>
          <w:szCs w:val="21"/>
          <w:highlight w:val="none"/>
        </w:rPr>
        <w:t xml:space="preserve"> </w:t>
      </w:r>
      <w:r>
        <w:rPr>
          <w:rFonts w:hint="eastAsia" w:ascii="宋体" w:hAnsi="宋体"/>
          <w:b/>
          <w:color w:val="000000"/>
          <w:szCs w:val="21"/>
          <w:highlight w:val="none"/>
        </w:rPr>
        <w:t>询问</w:t>
      </w:r>
    </w:p>
    <w:p w14:paraId="55B80FF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供应商对招标活动事项有疑问的，可以向代理机构或招标人提出询问，代理机构或招标人将在两个工作日内作出答复，但答复的内容不涉及商业秘密。</w:t>
      </w:r>
    </w:p>
    <w:p w14:paraId="1148CF6F">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27.</w:t>
      </w:r>
      <w:r>
        <w:rPr>
          <w:rFonts w:ascii="宋体" w:hAnsi="宋体"/>
          <w:b/>
          <w:color w:val="000000"/>
          <w:szCs w:val="21"/>
          <w:highlight w:val="none"/>
        </w:rPr>
        <w:t xml:space="preserve"> </w:t>
      </w:r>
      <w:r>
        <w:rPr>
          <w:rFonts w:hint="eastAsia" w:ascii="宋体" w:hAnsi="宋体"/>
          <w:b/>
          <w:color w:val="000000"/>
          <w:szCs w:val="21"/>
          <w:highlight w:val="none"/>
        </w:rPr>
        <w:t>质疑</w:t>
      </w:r>
    </w:p>
    <w:p w14:paraId="314A9191">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27.1 供应商认为采购文件、采购过程和中标结果使自己的合法权益受到损害的，可以在知道或者应当知道其权益受到损害之日起七个工作日内，将质疑文件原件以书面形式送达代理机构。</w:t>
      </w:r>
    </w:p>
    <w:p w14:paraId="14BF430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27.2</w:t>
      </w:r>
      <w:r>
        <w:rPr>
          <w:rFonts w:ascii="宋体" w:hAnsi="宋体"/>
          <w:bCs/>
          <w:color w:val="000000"/>
          <w:szCs w:val="21"/>
          <w:highlight w:val="none"/>
        </w:rPr>
        <w:t xml:space="preserve"> </w:t>
      </w:r>
      <w:r>
        <w:rPr>
          <w:rFonts w:hint="eastAsia" w:ascii="宋体" w:hAnsi="宋体"/>
          <w:bCs/>
          <w:color w:val="000000"/>
          <w:szCs w:val="21"/>
          <w:highlight w:val="none"/>
        </w:rPr>
        <w:t>质疑供应商的质疑行为应符合财政部94号令相关规定，未参加采购活动的供应商或在采购活动中自身权益未受到损害的供应商所提出的质疑不予受理。</w:t>
      </w:r>
    </w:p>
    <w:p w14:paraId="087AB40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27.3 上述应知其权益受到损害之日是指：</w:t>
      </w:r>
    </w:p>
    <w:p w14:paraId="6659B75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（1）对招标文件提出质疑的，为招标文件公告期限届满之日起计算；</w:t>
      </w:r>
    </w:p>
    <w:p w14:paraId="1ADAE73C">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（2）对招标过程提出质疑的，自招标程序环节结束之日起计算；</w:t>
      </w:r>
    </w:p>
    <w:p w14:paraId="5AE5BAD8">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 xml:space="preserve">（3）对中标结果提出质疑的，自中标结果公告期限届满之日起计算。  </w:t>
      </w:r>
    </w:p>
    <w:p w14:paraId="3A3DC65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27.4 质疑供应商在法定质疑期内应当一次性提出针对同一招标环节的质疑事项。</w:t>
      </w:r>
    </w:p>
    <w:p w14:paraId="6EEEB139">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27.5 代理机构在收到供应商的质疑后将及时组织调查核实，在七个工作日内作出答复，答复的内容不涉及商业秘密。</w:t>
      </w:r>
    </w:p>
    <w:p w14:paraId="5611CBB2">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27.6 代理机构遵循“谁过错谁负担”的原则，有过错的一方承担调查论证费用。</w:t>
      </w:r>
    </w:p>
    <w:p w14:paraId="03C04C67">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28.</w:t>
      </w:r>
      <w:r>
        <w:rPr>
          <w:rFonts w:ascii="宋体" w:hAnsi="宋体"/>
          <w:b/>
          <w:color w:val="000000"/>
          <w:szCs w:val="21"/>
          <w:highlight w:val="none"/>
        </w:rPr>
        <w:t xml:space="preserve"> </w:t>
      </w:r>
      <w:r>
        <w:rPr>
          <w:rFonts w:hint="eastAsia" w:ascii="宋体" w:hAnsi="宋体"/>
          <w:b/>
          <w:color w:val="000000"/>
          <w:szCs w:val="21"/>
          <w:highlight w:val="none"/>
        </w:rPr>
        <w:t>投诉</w:t>
      </w:r>
    </w:p>
    <w:p w14:paraId="033FABA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质疑供应商对代理机构的答复不满意，或代理机构未在规定的时间内作出答复的，可以在答复期满后十五个工作日内向采购项目同级财政部门投诉。</w:t>
      </w:r>
    </w:p>
    <w:p w14:paraId="3CA86A1A">
      <w:pPr>
        <w:spacing w:line="360" w:lineRule="auto"/>
        <w:ind w:firstLine="482"/>
        <w:rPr>
          <w:rFonts w:hint="eastAsia" w:ascii="宋体" w:hAnsi="宋体"/>
          <w:bCs/>
          <w:color w:val="000000"/>
          <w:szCs w:val="21"/>
          <w:highlight w:val="none"/>
        </w:rPr>
      </w:pPr>
      <w:r>
        <w:rPr>
          <w:rFonts w:hint="eastAsia" w:ascii="宋体" w:hAnsi="宋体"/>
          <w:b/>
          <w:color w:val="000000"/>
          <w:szCs w:val="21"/>
          <w:highlight w:val="none"/>
        </w:rPr>
        <w:t>29.</w:t>
      </w:r>
      <w:r>
        <w:rPr>
          <w:rFonts w:ascii="宋体" w:hAnsi="宋体"/>
          <w:b/>
          <w:color w:val="000000"/>
          <w:szCs w:val="21"/>
          <w:highlight w:val="none"/>
        </w:rPr>
        <w:t xml:space="preserve"> </w:t>
      </w:r>
      <w:r>
        <w:rPr>
          <w:rFonts w:hint="eastAsia" w:ascii="宋体" w:hAnsi="宋体"/>
          <w:b/>
          <w:color w:val="000000"/>
          <w:szCs w:val="21"/>
          <w:highlight w:val="none"/>
        </w:rPr>
        <w:t>诚实信用</w:t>
      </w:r>
    </w:p>
    <w:p w14:paraId="23FB31C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29.1 供应商之间不得相互串通投标报价，不得妨碍其他供应商的公平竞争，不得损害招标人和其他供应商的合法权益。</w:t>
      </w:r>
    </w:p>
    <w:p w14:paraId="76B170F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29.2 供应商不得以向代理机构工作人员、评标委员会成员行贿或者采取其他不正当手段谋取中标。经查实供应商有此行为的，政府采购管理部门将供应商列入不良行为记录名单，按照《中华人民共和国政府采购法》有关规定处理。</w:t>
      </w:r>
    </w:p>
    <w:p w14:paraId="10478D2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p>
    <w:p w14:paraId="23FDAC9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29.4 供应商不得虚假承诺，否则，按照提供虚假材料谋取中标处理。</w:t>
      </w:r>
    </w:p>
    <w:p w14:paraId="55D1E308">
      <w:pPr>
        <w:spacing w:line="360" w:lineRule="auto"/>
        <w:ind w:firstLine="480"/>
        <w:rPr>
          <w:rFonts w:hint="eastAsia" w:ascii="宋体" w:hAnsi="宋体" w:cs="宋体"/>
          <w:b/>
          <w:bCs/>
          <w:color w:val="000000"/>
          <w:sz w:val="32"/>
          <w:szCs w:val="32"/>
          <w:highlight w:val="none"/>
        </w:rPr>
      </w:pPr>
      <w:r>
        <w:rPr>
          <w:rFonts w:hint="eastAsia" w:ascii="宋体" w:hAnsi="宋体"/>
          <w:bCs/>
          <w:color w:val="000000"/>
          <w:szCs w:val="21"/>
          <w:highlight w:val="none"/>
        </w:rPr>
        <w:t>29.5 供应商应自觉遵守开标、评标纪律，扰乱开标评标现场秩序的，属于失信行为，根据《江苏省政府采购供应商监督管理暂行办法》，失信行为将被记入供应商诚信档案</w:t>
      </w:r>
      <w:r>
        <w:rPr>
          <w:rFonts w:hint="eastAsia" w:ascii="宋体" w:hAnsi="宋体"/>
          <w:bCs/>
          <w:color w:val="000000"/>
          <w:szCs w:val="21"/>
          <w:highlight w:val="none"/>
          <w:lang w:val="zh-CN"/>
        </w:rPr>
        <w:t>。</w:t>
      </w:r>
    </w:p>
    <w:p w14:paraId="6FFF9820">
      <w:pPr>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br w:type="page"/>
      </w:r>
    </w:p>
    <w:p w14:paraId="3B7BE4E2">
      <w:pPr>
        <w:ind w:firstLine="420"/>
        <w:jc w:val="center"/>
        <w:outlineLvl w:val="0"/>
        <w:rPr>
          <w:rFonts w:hint="eastAsia" w:ascii="宋体" w:hAnsi="宋体" w:cs="宋体"/>
          <w:b/>
          <w:bCs/>
          <w:color w:val="000000"/>
          <w:sz w:val="32"/>
          <w:szCs w:val="32"/>
          <w:highlight w:val="none"/>
        </w:rPr>
      </w:pPr>
      <w:bookmarkStart w:id="46" w:name="_Toc7913"/>
      <w:r>
        <w:rPr>
          <w:rFonts w:hint="eastAsia" w:ascii="宋体" w:hAnsi="宋体" w:cs="宋体"/>
          <w:b/>
          <w:bCs/>
          <w:color w:val="000000"/>
          <w:sz w:val="32"/>
          <w:szCs w:val="32"/>
          <w:highlight w:val="none"/>
        </w:rPr>
        <w:t>第三章 评标标准</w:t>
      </w:r>
      <w:bookmarkEnd w:id="46"/>
    </w:p>
    <w:p w14:paraId="1B088340">
      <w:pPr>
        <w:spacing w:line="360" w:lineRule="auto"/>
        <w:jc w:val="left"/>
        <w:outlineLvl w:val="1"/>
        <w:rPr>
          <w:rFonts w:hint="eastAsia" w:ascii="宋体" w:hAnsi="宋体" w:cs="宋体"/>
          <w:bCs/>
          <w:szCs w:val="21"/>
          <w:highlight w:val="none"/>
        </w:rPr>
      </w:pPr>
      <w:bookmarkStart w:id="47" w:name="_Toc9671"/>
      <w:r>
        <w:rPr>
          <w:rFonts w:hint="eastAsia" w:ascii="宋体" w:hAnsi="宋体" w:cs="宋体"/>
          <w:bCs/>
          <w:color w:val="000000"/>
          <w:szCs w:val="21"/>
          <w:highlight w:val="none"/>
        </w:rPr>
        <w:t>一、评标方法：</w:t>
      </w:r>
      <w:bookmarkEnd w:id="47"/>
    </w:p>
    <w:p w14:paraId="309FFD3A">
      <w:pPr>
        <w:spacing w:line="360" w:lineRule="auto"/>
        <w:ind w:firstLine="420"/>
        <w:jc w:val="left"/>
        <w:rPr>
          <w:rFonts w:hint="eastAsia" w:ascii="宋体" w:hAnsi="宋体" w:cs="宋体"/>
          <w:bCs/>
          <w:szCs w:val="21"/>
          <w:highlight w:val="none"/>
        </w:rPr>
      </w:pPr>
      <w:r>
        <w:rPr>
          <w:rFonts w:hint="eastAsia" w:ascii="宋体" w:hAnsi="宋体" w:cs="宋体"/>
          <w:bCs/>
          <w:szCs w:val="21"/>
          <w:highlight w:val="none"/>
        </w:rPr>
        <w:t>本项目评标方法采用综合评分法，评标结果按评审后得分由高到低顺序排列。得分相同的，按投标报价由低到高顺序排列。得分且投标报价相同的并列。投标文件满足招标文件全部实质性要求，且按照评审因素的量化指标评审得分排名第一</w:t>
      </w:r>
      <w:r>
        <w:rPr>
          <w:rFonts w:hint="eastAsia" w:ascii="宋体" w:hAnsi="宋体"/>
          <w:bCs/>
          <w:szCs w:val="21"/>
          <w:highlight w:val="none"/>
        </w:rPr>
        <w:t>的投标人</w:t>
      </w:r>
      <w:r>
        <w:rPr>
          <w:rFonts w:hint="eastAsia" w:ascii="宋体" w:hAnsi="宋体" w:cs="宋体"/>
          <w:bCs/>
          <w:szCs w:val="21"/>
          <w:highlight w:val="none"/>
        </w:rPr>
        <w:t>为第一中标候选人。</w:t>
      </w:r>
    </w:p>
    <w:p w14:paraId="04C25EC9">
      <w:pPr>
        <w:spacing w:line="360" w:lineRule="auto"/>
        <w:jc w:val="left"/>
        <w:outlineLvl w:val="1"/>
        <w:rPr>
          <w:rFonts w:hint="eastAsia" w:ascii="宋体" w:hAnsi="宋体" w:cs="宋体"/>
          <w:bCs/>
          <w:szCs w:val="21"/>
          <w:highlight w:val="none"/>
        </w:rPr>
      </w:pPr>
      <w:bookmarkStart w:id="48" w:name="_Toc13039"/>
      <w:r>
        <w:rPr>
          <w:rFonts w:hint="eastAsia" w:ascii="宋体" w:hAnsi="宋体" w:cs="宋体"/>
          <w:bCs/>
          <w:szCs w:val="21"/>
          <w:highlight w:val="none"/>
        </w:rPr>
        <w:t>二、评标标准：</w:t>
      </w:r>
      <w:bookmarkEnd w:id="48"/>
    </w:p>
    <w:tbl>
      <w:tblPr>
        <w:tblStyle w:val="30"/>
        <w:tblW w:w="9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9"/>
        <w:gridCol w:w="1365"/>
        <w:gridCol w:w="6662"/>
        <w:gridCol w:w="823"/>
      </w:tblGrid>
      <w:tr w14:paraId="4338A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49" w:type="dxa"/>
          </w:tcPr>
          <w:p w14:paraId="2FBAE7CA">
            <w:pPr>
              <w:jc w:val="center"/>
              <w:rPr>
                <w:rFonts w:hint="eastAsia" w:ascii="宋体" w:hAnsi="宋体" w:cs="宋体"/>
                <w:color w:val="000000"/>
                <w:szCs w:val="21"/>
                <w:highlight w:val="none"/>
              </w:rPr>
            </w:pPr>
            <w:r>
              <w:rPr>
                <w:rFonts w:hint="eastAsia" w:ascii="宋体" w:hAnsi="宋体" w:cs="宋体"/>
                <w:color w:val="000000"/>
                <w:szCs w:val="21"/>
                <w:highlight w:val="none"/>
              </w:rPr>
              <w:t>序号</w:t>
            </w:r>
          </w:p>
        </w:tc>
        <w:tc>
          <w:tcPr>
            <w:tcW w:w="1365" w:type="dxa"/>
          </w:tcPr>
          <w:p w14:paraId="305AEEA6">
            <w:pPr>
              <w:jc w:val="center"/>
              <w:rPr>
                <w:rFonts w:hint="eastAsia" w:ascii="宋体" w:hAnsi="宋体" w:cs="宋体"/>
                <w:color w:val="000000"/>
                <w:szCs w:val="21"/>
                <w:highlight w:val="none"/>
              </w:rPr>
            </w:pPr>
            <w:r>
              <w:rPr>
                <w:rFonts w:hint="eastAsia" w:ascii="宋体" w:hAnsi="宋体" w:cs="宋体"/>
                <w:color w:val="000000"/>
                <w:szCs w:val="21"/>
                <w:highlight w:val="none"/>
              </w:rPr>
              <w:t>评分因素</w:t>
            </w:r>
          </w:p>
        </w:tc>
        <w:tc>
          <w:tcPr>
            <w:tcW w:w="6662" w:type="dxa"/>
          </w:tcPr>
          <w:p w14:paraId="2B822DF9">
            <w:pPr>
              <w:jc w:val="center"/>
              <w:rPr>
                <w:rFonts w:hint="eastAsia" w:ascii="宋体" w:hAnsi="宋体" w:cs="宋体"/>
                <w:color w:val="000000"/>
                <w:szCs w:val="21"/>
                <w:highlight w:val="none"/>
              </w:rPr>
            </w:pPr>
            <w:r>
              <w:rPr>
                <w:rFonts w:hint="eastAsia" w:ascii="宋体" w:hAnsi="宋体" w:cs="宋体"/>
                <w:color w:val="000000"/>
                <w:szCs w:val="21"/>
                <w:highlight w:val="none"/>
              </w:rPr>
              <w:t>评审标准</w:t>
            </w:r>
          </w:p>
        </w:tc>
        <w:tc>
          <w:tcPr>
            <w:tcW w:w="823" w:type="dxa"/>
          </w:tcPr>
          <w:p w14:paraId="3C2A70DD">
            <w:pPr>
              <w:jc w:val="center"/>
              <w:rPr>
                <w:rFonts w:hint="eastAsia" w:ascii="宋体" w:hAnsi="宋体" w:cs="宋体"/>
                <w:color w:val="000000"/>
                <w:szCs w:val="21"/>
                <w:highlight w:val="none"/>
              </w:rPr>
            </w:pPr>
            <w:r>
              <w:rPr>
                <w:rFonts w:hint="eastAsia" w:ascii="宋体" w:hAnsi="宋体" w:cs="宋体"/>
                <w:color w:val="000000"/>
                <w:szCs w:val="21"/>
                <w:highlight w:val="none"/>
              </w:rPr>
              <w:t>分值</w:t>
            </w:r>
          </w:p>
        </w:tc>
      </w:tr>
      <w:tr w14:paraId="73BFC8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3" w:hRule="atLeast"/>
          <w:jc w:val="center"/>
        </w:trPr>
        <w:tc>
          <w:tcPr>
            <w:tcW w:w="649" w:type="dxa"/>
            <w:vAlign w:val="center"/>
          </w:tcPr>
          <w:p w14:paraId="702EFE71">
            <w:pPr>
              <w:jc w:val="center"/>
              <w:rPr>
                <w:rFonts w:hint="eastAsia" w:ascii="宋体" w:hAnsi="宋体" w:cs="宋体"/>
                <w:color w:val="000000"/>
                <w:szCs w:val="21"/>
                <w:highlight w:val="none"/>
              </w:rPr>
            </w:pPr>
            <w:r>
              <w:rPr>
                <w:rFonts w:hint="eastAsia" w:ascii="宋体" w:hAnsi="宋体" w:cs="宋体"/>
                <w:color w:val="000000"/>
                <w:szCs w:val="21"/>
                <w:highlight w:val="none"/>
              </w:rPr>
              <w:t>1</w:t>
            </w:r>
          </w:p>
        </w:tc>
        <w:tc>
          <w:tcPr>
            <w:tcW w:w="1365" w:type="dxa"/>
            <w:vAlign w:val="center"/>
          </w:tcPr>
          <w:p w14:paraId="55E41A34">
            <w:pPr>
              <w:jc w:val="center"/>
              <w:rPr>
                <w:rFonts w:hint="eastAsia" w:ascii="宋体" w:hAnsi="宋体" w:cs="宋体"/>
                <w:color w:val="000000"/>
                <w:szCs w:val="21"/>
                <w:highlight w:val="none"/>
              </w:rPr>
            </w:pPr>
            <w:r>
              <w:rPr>
                <w:rFonts w:hint="eastAsia" w:ascii="宋体" w:hAnsi="宋体" w:cs="宋体"/>
                <w:color w:val="000000"/>
                <w:szCs w:val="21"/>
                <w:highlight w:val="none"/>
              </w:rPr>
              <w:t>价格</w:t>
            </w:r>
          </w:p>
        </w:tc>
        <w:tc>
          <w:tcPr>
            <w:tcW w:w="6662" w:type="dxa"/>
            <w:vAlign w:val="center"/>
          </w:tcPr>
          <w:p w14:paraId="2ACE1F20">
            <w:pPr>
              <w:spacing w:line="240" w:lineRule="atLeast"/>
              <w:rPr>
                <w:rFonts w:hint="eastAsia" w:ascii="宋体" w:hAnsi="宋体" w:cs="宋体"/>
                <w:szCs w:val="21"/>
                <w:highlight w:val="none"/>
              </w:rPr>
            </w:pPr>
            <w:r>
              <w:rPr>
                <w:rFonts w:hint="eastAsia" w:ascii="宋体" w:hAnsi="宋体" w:cs="宋体"/>
                <w:szCs w:val="21"/>
                <w:highlight w:val="none"/>
              </w:rPr>
              <w:t>采用低价优先法计算，即满足招标文件要求且投标价格最低的投标报价为评标基准价，其价格分为满分。其他投标人的价格分统一按照下列公式计算：投标报价得分=（评标基准价/投标报价）×价格分值（小数点保留两位）</w:t>
            </w:r>
          </w:p>
        </w:tc>
        <w:tc>
          <w:tcPr>
            <w:tcW w:w="823" w:type="dxa"/>
            <w:vAlign w:val="center"/>
          </w:tcPr>
          <w:p w14:paraId="408CC71F">
            <w:pPr>
              <w:jc w:val="center"/>
              <w:rPr>
                <w:rFonts w:hint="eastAsia" w:ascii="宋体" w:hAnsi="宋体" w:cs="宋体"/>
                <w:color w:val="000000"/>
                <w:szCs w:val="21"/>
                <w:highlight w:val="none"/>
              </w:rPr>
            </w:pPr>
            <w:r>
              <w:rPr>
                <w:rFonts w:hint="eastAsia" w:ascii="宋体" w:hAnsi="宋体" w:cs="宋体"/>
                <w:szCs w:val="21"/>
                <w:highlight w:val="none"/>
              </w:rPr>
              <w:t>20</w:t>
            </w:r>
          </w:p>
        </w:tc>
      </w:tr>
      <w:tr w14:paraId="69315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restart"/>
            <w:vAlign w:val="center"/>
          </w:tcPr>
          <w:p w14:paraId="1F79DBF7">
            <w:pPr>
              <w:jc w:val="center"/>
              <w:rPr>
                <w:rFonts w:hint="eastAsia" w:ascii="宋体" w:hAnsi="宋体" w:cs="宋体"/>
                <w:color w:val="000000"/>
                <w:szCs w:val="21"/>
                <w:highlight w:val="none"/>
              </w:rPr>
            </w:pPr>
            <w:r>
              <w:rPr>
                <w:rFonts w:hint="eastAsia" w:ascii="宋体" w:hAnsi="宋体" w:cs="宋体"/>
                <w:color w:val="000000"/>
                <w:szCs w:val="21"/>
                <w:highlight w:val="none"/>
              </w:rPr>
              <w:t>2</w:t>
            </w:r>
          </w:p>
        </w:tc>
        <w:tc>
          <w:tcPr>
            <w:tcW w:w="1365" w:type="dxa"/>
            <w:vMerge w:val="restart"/>
            <w:vAlign w:val="center"/>
          </w:tcPr>
          <w:p w14:paraId="20F853B2">
            <w:pPr>
              <w:jc w:val="center"/>
              <w:rPr>
                <w:rFonts w:hint="eastAsia" w:ascii="宋体" w:hAnsi="宋体" w:cs="宋体"/>
                <w:color w:val="000000"/>
                <w:szCs w:val="21"/>
                <w:highlight w:val="none"/>
              </w:rPr>
            </w:pPr>
            <w:r>
              <w:rPr>
                <w:rFonts w:hint="eastAsia" w:ascii="宋体" w:hAnsi="宋体" w:cs="宋体"/>
                <w:color w:val="000000"/>
                <w:szCs w:val="21"/>
                <w:highlight w:val="none"/>
              </w:rPr>
              <w:t>服务方案</w:t>
            </w:r>
          </w:p>
        </w:tc>
        <w:tc>
          <w:tcPr>
            <w:tcW w:w="6662" w:type="dxa"/>
            <w:vAlign w:val="center"/>
          </w:tcPr>
          <w:p w14:paraId="71AF99A5">
            <w:pPr>
              <w:rPr>
                <w:rFonts w:hint="eastAsia" w:ascii="宋体" w:hAnsi="宋体" w:cs="宋体"/>
                <w:color w:val="000000"/>
                <w:szCs w:val="21"/>
                <w:highlight w:val="none"/>
              </w:rPr>
            </w:pPr>
            <w:r>
              <w:rPr>
                <w:rFonts w:hint="eastAsia" w:ascii="宋体" w:hAnsi="宋体" w:cs="宋体"/>
                <w:color w:val="000000"/>
                <w:szCs w:val="21"/>
                <w:highlight w:val="none"/>
              </w:rPr>
              <w:t>墓体基础建设及亡人落葬服务方案（15分）</w:t>
            </w:r>
          </w:p>
          <w:p w14:paraId="78A641CE">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评委根据投标人提供的墓体基础建设专项方案评分，方案需包含针对性施工组织设计、地基处理工艺规范、质量管控措施、安全文明施工细则、突发施工问题应急处置预案等内容。</w:t>
            </w:r>
          </w:p>
          <w:p w14:paraId="1D376736">
            <w:pPr>
              <w:rPr>
                <w:rFonts w:hint="eastAsia" w:ascii="宋体" w:hAnsi="宋体" w:cs="宋体"/>
                <w:color w:val="000000"/>
                <w:szCs w:val="21"/>
                <w:highlight w:val="none"/>
              </w:rPr>
            </w:pPr>
            <w:r>
              <w:rPr>
                <w:rFonts w:hint="eastAsia" w:ascii="宋体" w:hAnsi="宋体" w:cs="宋体"/>
                <w:color w:val="000000"/>
                <w:szCs w:val="21"/>
                <w:highlight w:val="none"/>
              </w:rPr>
              <w:t>方案内容全面详实、贴合墓区实际需求、可操作性强、安全质量管控逻辑严谨的，得15分；</w:t>
            </w:r>
          </w:p>
          <w:p w14:paraId="717F4154">
            <w:pPr>
              <w:rPr>
                <w:rFonts w:hint="eastAsia" w:ascii="宋体" w:hAnsi="宋体" w:cs="宋体"/>
                <w:color w:val="000000"/>
                <w:szCs w:val="21"/>
                <w:highlight w:val="none"/>
              </w:rPr>
            </w:pPr>
            <w:r>
              <w:rPr>
                <w:rFonts w:hint="eastAsia" w:ascii="宋体" w:hAnsi="宋体" w:cs="宋体"/>
                <w:color w:val="000000"/>
                <w:szCs w:val="21"/>
                <w:highlight w:val="none"/>
              </w:rPr>
              <w:t>方案内容较全面、有一定适配性、可操作性较好的，得10分；</w:t>
            </w:r>
          </w:p>
          <w:p w14:paraId="39FA34FE">
            <w:pPr>
              <w:rPr>
                <w:rFonts w:hint="eastAsia" w:ascii="宋体" w:hAnsi="宋体" w:cs="宋体"/>
                <w:color w:val="000000"/>
                <w:sz w:val="18"/>
                <w:szCs w:val="18"/>
                <w:highlight w:val="none"/>
              </w:rPr>
            </w:pPr>
            <w:r>
              <w:rPr>
                <w:rFonts w:hint="eastAsia" w:ascii="宋体" w:hAnsi="宋体" w:cs="宋体"/>
                <w:color w:val="000000"/>
                <w:szCs w:val="21"/>
                <w:highlight w:val="none"/>
              </w:rPr>
              <w:t>方案</w:t>
            </w:r>
            <w:r>
              <w:rPr>
                <w:rFonts w:hint="eastAsia" w:ascii="宋体" w:hAnsi="宋体" w:cs="宋体"/>
                <w:color w:val="000000"/>
                <w:sz w:val="18"/>
                <w:szCs w:val="18"/>
                <w:highlight w:val="none"/>
              </w:rPr>
              <w:t>内容完整性、针对性、可操作性一般的，得5分；</w:t>
            </w:r>
          </w:p>
          <w:p w14:paraId="4ECFC951">
            <w:pPr>
              <w:rPr>
                <w:rFonts w:hint="eastAsia" w:ascii="宋体" w:hAnsi="宋体" w:cs="宋体"/>
                <w:color w:val="000000"/>
                <w:szCs w:val="21"/>
                <w:highlight w:val="none"/>
              </w:rPr>
            </w:pPr>
            <w:r>
              <w:rPr>
                <w:rFonts w:hint="eastAsia" w:ascii="宋体" w:hAnsi="宋体" w:cs="宋体"/>
                <w:color w:val="000000"/>
                <w:sz w:val="18"/>
                <w:szCs w:val="18"/>
                <w:highlight w:val="none"/>
              </w:rPr>
              <w:t>未提供方案或方案明显不符合项目要</w:t>
            </w:r>
            <w:r>
              <w:rPr>
                <w:rFonts w:hint="eastAsia" w:ascii="宋体" w:hAnsi="宋体" w:cs="宋体"/>
                <w:color w:val="000000"/>
                <w:szCs w:val="21"/>
                <w:highlight w:val="none"/>
              </w:rPr>
              <w:t>求的，得0分。</w:t>
            </w:r>
          </w:p>
        </w:tc>
        <w:tc>
          <w:tcPr>
            <w:tcW w:w="823" w:type="dxa"/>
            <w:vAlign w:val="center"/>
          </w:tcPr>
          <w:p w14:paraId="146B087D">
            <w:pPr>
              <w:jc w:val="center"/>
              <w:rPr>
                <w:rFonts w:hint="eastAsia" w:ascii="宋体" w:hAnsi="宋体" w:cs="宋体"/>
                <w:color w:val="000000"/>
                <w:szCs w:val="21"/>
                <w:highlight w:val="none"/>
              </w:rPr>
            </w:pPr>
            <w:r>
              <w:rPr>
                <w:rFonts w:hint="eastAsia" w:ascii="宋体" w:hAnsi="宋体" w:cs="宋体"/>
                <w:szCs w:val="21"/>
                <w:highlight w:val="none"/>
              </w:rPr>
              <w:t>15</w:t>
            </w:r>
          </w:p>
        </w:tc>
      </w:tr>
      <w:tr w14:paraId="71409C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vAlign w:val="center"/>
          </w:tcPr>
          <w:p w14:paraId="2415DD31">
            <w:pPr>
              <w:jc w:val="center"/>
              <w:rPr>
                <w:rFonts w:hint="eastAsia" w:ascii="宋体" w:hAnsi="宋体" w:cs="宋体"/>
                <w:color w:val="000000"/>
                <w:szCs w:val="21"/>
                <w:highlight w:val="none"/>
              </w:rPr>
            </w:pPr>
          </w:p>
        </w:tc>
        <w:tc>
          <w:tcPr>
            <w:tcW w:w="1365" w:type="dxa"/>
            <w:vMerge w:val="continue"/>
            <w:vAlign w:val="center"/>
          </w:tcPr>
          <w:p w14:paraId="75D367C1">
            <w:pPr>
              <w:jc w:val="center"/>
              <w:rPr>
                <w:rFonts w:hint="eastAsia" w:ascii="宋体" w:hAnsi="宋体" w:cs="宋体"/>
                <w:color w:val="000000"/>
                <w:szCs w:val="21"/>
                <w:highlight w:val="none"/>
              </w:rPr>
            </w:pPr>
          </w:p>
        </w:tc>
        <w:tc>
          <w:tcPr>
            <w:tcW w:w="6662" w:type="dxa"/>
            <w:vAlign w:val="center"/>
          </w:tcPr>
          <w:p w14:paraId="4A4057D7">
            <w:pPr>
              <w:rPr>
                <w:rFonts w:hint="eastAsia" w:ascii="宋体" w:hAnsi="宋体" w:cs="宋体"/>
                <w:color w:val="000000"/>
                <w:szCs w:val="21"/>
                <w:highlight w:val="none"/>
              </w:rPr>
            </w:pPr>
            <w:r>
              <w:rPr>
                <w:rFonts w:hint="eastAsia" w:ascii="宋体" w:hAnsi="宋体" w:cs="宋体"/>
                <w:color w:val="000000"/>
                <w:szCs w:val="21"/>
                <w:highlight w:val="none"/>
              </w:rPr>
              <w:t>墓体安装服务方案（15分）</w:t>
            </w:r>
          </w:p>
          <w:p w14:paraId="2176AF58">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评委根据投标人提供的墓体安装专项方案评分，方案需包含墓体安装工序规范、安装精度管控标准、墓体防沉降防倾斜加固措施、成品保护机制、安装后核验流程等内容。</w:t>
            </w:r>
          </w:p>
          <w:p w14:paraId="61318D72">
            <w:pPr>
              <w:rPr>
                <w:rFonts w:hint="eastAsia" w:ascii="宋体" w:hAnsi="宋体" w:cs="宋体"/>
                <w:color w:val="000000"/>
                <w:szCs w:val="21"/>
                <w:highlight w:val="none"/>
              </w:rPr>
            </w:pPr>
            <w:r>
              <w:rPr>
                <w:rFonts w:hint="eastAsia" w:ascii="宋体" w:hAnsi="宋体" w:cs="宋体"/>
                <w:color w:val="000000"/>
                <w:szCs w:val="21"/>
                <w:highlight w:val="none"/>
              </w:rPr>
              <w:t>方案贴合墓区墓型实际、安装管控标准明确、质量保障措施完善、可落地性强的，得15分；</w:t>
            </w:r>
          </w:p>
          <w:p w14:paraId="450C3D62">
            <w:pPr>
              <w:rPr>
                <w:rFonts w:hint="eastAsia" w:ascii="宋体" w:hAnsi="宋体" w:cs="宋体"/>
                <w:color w:val="000000"/>
                <w:szCs w:val="21"/>
                <w:highlight w:val="none"/>
              </w:rPr>
            </w:pPr>
            <w:r>
              <w:rPr>
                <w:rFonts w:hint="eastAsia" w:ascii="宋体" w:hAnsi="宋体" w:cs="宋体"/>
                <w:color w:val="000000"/>
                <w:szCs w:val="21"/>
                <w:highlight w:val="none"/>
              </w:rPr>
              <w:t>方案内容较完整、管控标准较明确、有基本质量保障措施的，得10分；</w:t>
            </w:r>
          </w:p>
          <w:p w14:paraId="019BB2D2">
            <w:pPr>
              <w:rPr>
                <w:rFonts w:hint="eastAsia" w:ascii="宋体" w:hAnsi="宋体" w:cs="宋体"/>
                <w:color w:val="000000"/>
                <w:szCs w:val="21"/>
                <w:highlight w:val="none"/>
              </w:rPr>
            </w:pPr>
            <w:r>
              <w:rPr>
                <w:rFonts w:hint="eastAsia" w:ascii="宋体" w:hAnsi="宋体" w:cs="宋体"/>
                <w:color w:val="000000"/>
                <w:szCs w:val="21"/>
                <w:highlight w:val="none"/>
              </w:rPr>
              <w:t>方案内容有缺失、管控标准模糊、可落地性一般的，得5分；</w:t>
            </w:r>
          </w:p>
          <w:p w14:paraId="4D27CA13">
            <w:pPr>
              <w:rPr>
                <w:rFonts w:hint="eastAsia" w:ascii="宋体" w:hAnsi="宋体" w:cs="宋体"/>
                <w:color w:val="000000"/>
                <w:szCs w:val="21"/>
                <w:highlight w:val="none"/>
              </w:rPr>
            </w:pPr>
            <w:r>
              <w:rPr>
                <w:rFonts w:hint="eastAsia" w:ascii="宋体" w:hAnsi="宋体" w:cs="宋体"/>
                <w:color w:val="000000"/>
                <w:szCs w:val="21"/>
                <w:highlight w:val="none"/>
              </w:rPr>
              <w:t>未提供方案或方案明显不符合要求的，得0分。</w:t>
            </w:r>
          </w:p>
        </w:tc>
        <w:tc>
          <w:tcPr>
            <w:tcW w:w="823" w:type="dxa"/>
            <w:vAlign w:val="center"/>
          </w:tcPr>
          <w:p w14:paraId="0A80260E">
            <w:pPr>
              <w:jc w:val="center"/>
              <w:rPr>
                <w:rFonts w:hint="eastAsia" w:ascii="宋体" w:hAnsi="宋体" w:cs="宋体"/>
                <w:szCs w:val="21"/>
                <w:highlight w:val="none"/>
              </w:rPr>
            </w:pPr>
            <w:r>
              <w:rPr>
                <w:rFonts w:hint="eastAsia" w:ascii="宋体" w:hAnsi="宋体" w:cs="宋体"/>
                <w:szCs w:val="21"/>
                <w:highlight w:val="none"/>
              </w:rPr>
              <w:t>15</w:t>
            </w:r>
          </w:p>
        </w:tc>
      </w:tr>
      <w:tr w14:paraId="3EB98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vAlign w:val="center"/>
          </w:tcPr>
          <w:p w14:paraId="56B87502">
            <w:pPr>
              <w:jc w:val="center"/>
              <w:rPr>
                <w:rFonts w:hint="eastAsia" w:ascii="宋体" w:hAnsi="宋体" w:cs="宋体"/>
                <w:color w:val="000000"/>
                <w:szCs w:val="21"/>
                <w:highlight w:val="none"/>
              </w:rPr>
            </w:pPr>
          </w:p>
        </w:tc>
        <w:tc>
          <w:tcPr>
            <w:tcW w:w="1365" w:type="dxa"/>
            <w:vMerge w:val="continue"/>
            <w:vAlign w:val="center"/>
          </w:tcPr>
          <w:p w14:paraId="7D6DBB7E">
            <w:pPr>
              <w:jc w:val="center"/>
              <w:rPr>
                <w:rFonts w:hint="eastAsia" w:ascii="宋体" w:hAnsi="宋体" w:cs="宋体"/>
                <w:color w:val="000000"/>
                <w:szCs w:val="21"/>
                <w:highlight w:val="none"/>
              </w:rPr>
            </w:pPr>
          </w:p>
        </w:tc>
        <w:tc>
          <w:tcPr>
            <w:tcW w:w="6662" w:type="dxa"/>
            <w:vAlign w:val="center"/>
          </w:tcPr>
          <w:p w14:paraId="75BED4F2">
            <w:pPr>
              <w:rPr>
                <w:rFonts w:hint="eastAsia" w:ascii="宋体" w:hAnsi="宋体" w:cs="宋体"/>
                <w:color w:val="000000"/>
                <w:szCs w:val="21"/>
                <w:highlight w:val="none"/>
              </w:rPr>
            </w:pPr>
            <w:r>
              <w:rPr>
                <w:rFonts w:hint="eastAsia" w:ascii="宋体" w:hAnsi="宋体" w:cs="宋体"/>
                <w:color w:val="000000"/>
                <w:szCs w:val="21"/>
                <w:highlight w:val="none"/>
              </w:rPr>
              <w:t>环境整治及绿化保洁服务方案（5分）</w:t>
            </w:r>
          </w:p>
          <w:p w14:paraId="34FC31A4">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评委根据投标人提供的墓区环境整治专项方案评分，方案需包含墓区现状环境问题摸排清单、分类整治实施细则、整治时序安排、整治效果核验标准、后续效果初步维护机制等内容。</w:t>
            </w:r>
          </w:p>
          <w:p w14:paraId="4A091F71">
            <w:pPr>
              <w:rPr>
                <w:rFonts w:hint="eastAsia" w:ascii="宋体" w:hAnsi="宋体" w:cs="宋体"/>
                <w:color w:val="000000"/>
                <w:szCs w:val="21"/>
                <w:highlight w:val="none"/>
              </w:rPr>
            </w:pPr>
            <w:r>
              <w:rPr>
                <w:rFonts w:hint="eastAsia" w:ascii="宋体" w:hAnsi="宋体" w:cs="宋体"/>
                <w:color w:val="000000"/>
                <w:szCs w:val="21"/>
                <w:highlight w:val="none"/>
              </w:rPr>
              <w:t>方案摸排问题全面、整治措施适配墓区使用场景、时序安排合理、核验标准清晰的，得5分；</w:t>
            </w:r>
          </w:p>
          <w:p w14:paraId="5B081B19">
            <w:pPr>
              <w:rPr>
                <w:rFonts w:hint="eastAsia" w:ascii="宋体" w:hAnsi="宋体" w:cs="宋体"/>
                <w:color w:val="000000"/>
                <w:szCs w:val="21"/>
                <w:highlight w:val="none"/>
              </w:rPr>
            </w:pPr>
            <w:r>
              <w:rPr>
                <w:rFonts w:hint="eastAsia" w:ascii="宋体" w:hAnsi="宋体" w:cs="宋体"/>
                <w:color w:val="000000"/>
                <w:szCs w:val="21"/>
                <w:highlight w:val="none"/>
              </w:rPr>
              <w:t>方案摸排问题较全面、整治措施基本适配、安排较合理的，得3分；</w:t>
            </w:r>
          </w:p>
          <w:p w14:paraId="6104813F">
            <w:pPr>
              <w:rPr>
                <w:rFonts w:hint="eastAsia" w:ascii="宋体" w:hAnsi="宋体" w:cs="宋体"/>
                <w:color w:val="000000"/>
                <w:szCs w:val="21"/>
                <w:highlight w:val="none"/>
              </w:rPr>
            </w:pPr>
            <w:r>
              <w:rPr>
                <w:rFonts w:hint="eastAsia" w:ascii="宋体" w:hAnsi="宋体" w:cs="宋体"/>
                <w:color w:val="000000"/>
                <w:szCs w:val="21"/>
                <w:highlight w:val="none"/>
              </w:rPr>
              <w:t>方案摸排有遗漏、整治措施针对性一般的，得1分；</w:t>
            </w:r>
          </w:p>
          <w:p w14:paraId="04DF2EB3">
            <w:pPr>
              <w:rPr>
                <w:rFonts w:hint="eastAsia" w:ascii="宋体" w:hAnsi="宋体" w:cs="宋体"/>
                <w:color w:val="000000"/>
                <w:szCs w:val="21"/>
                <w:highlight w:val="none"/>
              </w:rPr>
            </w:pPr>
            <w:r>
              <w:rPr>
                <w:rFonts w:hint="eastAsia" w:ascii="宋体" w:hAnsi="宋体" w:cs="宋体"/>
                <w:color w:val="000000"/>
                <w:szCs w:val="21"/>
                <w:highlight w:val="none"/>
              </w:rPr>
              <w:t>未提供方案或方案不符合要求的，得0分。</w:t>
            </w:r>
          </w:p>
        </w:tc>
        <w:tc>
          <w:tcPr>
            <w:tcW w:w="823" w:type="dxa"/>
            <w:vAlign w:val="center"/>
          </w:tcPr>
          <w:p w14:paraId="010F3038">
            <w:pPr>
              <w:jc w:val="center"/>
              <w:rPr>
                <w:rFonts w:hint="eastAsia" w:ascii="宋体" w:hAnsi="宋体" w:cs="宋体"/>
                <w:szCs w:val="21"/>
                <w:highlight w:val="none"/>
              </w:rPr>
            </w:pPr>
            <w:r>
              <w:rPr>
                <w:rFonts w:hint="eastAsia" w:ascii="宋体" w:hAnsi="宋体" w:cs="宋体"/>
                <w:szCs w:val="21"/>
                <w:highlight w:val="none"/>
              </w:rPr>
              <w:t>5</w:t>
            </w:r>
          </w:p>
        </w:tc>
      </w:tr>
      <w:tr w14:paraId="20ED9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vAlign w:val="center"/>
          </w:tcPr>
          <w:p w14:paraId="6E997517">
            <w:pPr>
              <w:jc w:val="center"/>
              <w:rPr>
                <w:rFonts w:hint="eastAsia" w:ascii="宋体" w:hAnsi="宋体" w:cs="宋体"/>
                <w:color w:val="000000"/>
                <w:szCs w:val="21"/>
                <w:highlight w:val="none"/>
              </w:rPr>
            </w:pPr>
          </w:p>
        </w:tc>
        <w:tc>
          <w:tcPr>
            <w:tcW w:w="1365" w:type="dxa"/>
            <w:vMerge w:val="continue"/>
            <w:vAlign w:val="center"/>
          </w:tcPr>
          <w:p w14:paraId="102DDC55">
            <w:pPr>
              <w:jc w:val="center"/>
              <w:rPr>
                <w:rFonts w:hint="eastAsia" w:ascii="宋体" w:hAnsi="宋体" w:cs="宋体"/>
                <w:color w:val="000000"/>
                <w:szCs w:val="21"/>
                <w:highlight w:val="none"/>
              </w:rPr>
            </w:pPr>
          </w:p>
        </w:tc>
        <w:tc>
          <w:tcPr>
            <w:tcW w:w="6662" w:type="dxa"/>
            <w:vAlign w:val="center"/>
          </w:tcPr>
          <w:p w14:paraId="4A6A6EC9">
            <w:pPr>
              <w:rPr>
                <w:rFonts w:hint="eastAsia" w:ascii="宋体" w:hAnsi="宋体" w:cs="宋体"/>
                <w:color w:val="000000"/>
                <w:szCs w:val="21"/>
                <w:highlight w:val="none"/>
              </w:rPr>
            </w:pPr>
            <w:r>
              <w:rPr>
                <w:rFonts w:hint="eastAsia" w:ascii="宋体" w:hAnsi="宋体" w:cs="宋体"/>
                <w:color w:val="000000"/>
                <w:szCs w:val="21"/>
                <w:highlight w:val="none"/>
              </w:rPr>
              <w:t>公墓安保值守及材料保管服务方案（5分）</w:t>
            </w:r>
          </w:p>
          <w:p w14:paraId="702900EA">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公墓值守及材料保管专项方案评分，方案需包含但不限于24小时值守机制、值守人员岗位职责（墓区安全与设施巡查、防火防盗、异常情况处置上报、祭扫秩序引导等）、施工/维保材料分类存储规则、出入库台账管理制度、材料防火防潮防盗保障措施、定期盘点机制等内容。</w:t>
            </w:r>
          </w:p>
          <w:p w14:paraId="7015006C">
            <w:pPr>
              <w:rPr>
                <w:rFonts w:hint="eastAsia" w:ascii="宋体" w:hAnsi="宋体" w:cs="宋体"/>
                <w:color w:val="000000"/>
                <w:szCs w:val="21"/>
                <w:highlight w:val="none"/>
              </w:rPr>
            </w:pPr>
            <w:r>
              <w:rPr>
                <w:rFonts w:hint="eastAsia" w:ascii="宋体" w:hAnsi="宋体" w:cs="宋体"/>
                <w:color w:val="000000"/>
                <w:szCs w:val="21"/>
                <w:highlight w:val="none"/>
              </w:rPr>
              <w:t>方案职责清晰、制度完善、贴合墓区安全管理需求、可操作性强的，得5分；</w:t>
            </w:r>
          </w:p>
          <w:p w14:paraId="70BE3355">
            <w:pPr>
              <w:rPr>
                <w:rFonts w:hint="eastAsia" w:ascii="宋体" w:hAnsi="宋体" w:cs="宋体"/>
                <w:color w:val="000000"/>
                <w:szCs w:val="21"/>
                <w:highlight w:val="none"/>
              </w:rPr>
            </w:pPr>
            <w:r>
              <w:rPr>
                <w:rFonts w:hint="eastAsia" w:ascii="宋体" w:hAnsi="宋体" w:cs="宋体"/>
                <w:color w:val="000000"/>
                <w:szCs w:val="21"/>
                <w:highlight w:val="none"/>
              </w:rPr>
              <w:t>方案职责较清晰、有基本管理制度、可操作性较好的，得3分；</w:t>
            </w:r>
          </w:p>
          <w:p w14:paraId="4BC426B5">
            <w:pPr>
              <w:rPr>
                <w:rFonts w:hint="eastAsia" w:ascii="宋体" w:hAnsi="宋体" w:cs="宋体"/>
                <w:color w:val="000000"/>
                <w:szCs w:val="21"/>
                <w:highlight w:val="none"/>
              </w:rPr>
            </w:pPr>
            <w:r>
              <w:rPr>
                <w:rFonts w:hint="eastAsia" w:ascii="宋体" w:hAnsi="宋体" w:cs="宋体"/>
                <w:color w:val="000000"/>
                <w:szCs w:val="21"/>
                <w:highlight w:val="none"/>
              </w:rPr>
              <w:t>方案职责模糊、制度有缺失、可操作性一般的，得1分；</w:t>
            </w:r>
          </w:p>
          <w:p w14:paraId="3F0DDE12">
            <w:pPr>
              <w:rPr>
                <w:rFonts w:hint="eastAsia" w:ascii="宋体" w:hAnsi="宋体" w:cs="宋体"/>
                <w:color w:val="000000"/>
                <w:szCs w:val="21"/>
                <w:highlight w:val="none"/>
              </w:rPr>
            </w:pPr>
            <w:r>
              <w:rPr>
                <w:rFonts w:hint="eastAsia" w:ascii="宋体" w:hAnsi="宋体" w:cs="宋体"/>
                <w:color w:val="000000"/>
                <w:szCs w:val="21"/>
                <w:highlight w:val="none"/>
              </w:rPr>
              <w:t>未提供方案或方案不符合要求的，得0分。</w:t>
            </w:r>
          </w:p>
        </w:tc>
        <w:tc>
          <w:tcPr>
            <w:tcW w:w="823" w:type="dxa"/>
            <w:vAlign w:val="center"/>
          </w:tcPr>
          <w:p w14:paraId="120D3D19">
            <w:pPr>
              <w:jc w:val="center"/>
              <w:rPr>
                <w:rFonts w:hint="eastAsia" w:ascii="宋体" w:hAnsi="宋体" w:cs="宋体"/>
                <w:szCs w:val="21"/>
                <w:highlight w:val="none"/>
              </w:rPr>
            </w:pPr>
            <w:r>
              <w:rPr>
                <w:rFonts w:hint="eastAsia" w:ascii="宋体" w:hAnsi="宋体" w:cs="宋体"/>
                <w:szCs w:val="21"/>
                <w:highlight w:val="none"/>
              </w:rPr>
              <w:t>5</w:t>
            </w:r>
          </w:p>
        </w:tc>
      </w:tr>
      <w:tr w14:paraId="1896A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jc w:val="center"/>
        </w:trPr>
        <w:tc>
          <w:tcPr>
            <w:tcW w:w="649" w:type="dxa"/>
            <w:vMerge w:val="continue"/>
            <w:vAlign w:val="center"/>
          </w:tcPr>
          <w:p w14:paraId="5516DE66">
            <w:pPr>
              <w:jc w:val="center"/>
              <w:rPr>
                <w:rFonts w:hint="eastAsia" w:ascii="宋体" w:hAnsi="宋体" w:cs="宋体"/>
                <w:color w:val="000000"/>
                <w:szCs w:val="21"/>
                <w:highlight w:val="none"/>
              </w:rPr>
            </w:pPr>
          </w:p>
        </w:tc>
        <w:tc>
          <w:tcPr>
            <w:tcW w:w="1365" w:type="dxa"/>
            <w:vMerge w:val="continue"/>
            <w:vAlign w:val="center"/>
          </w:tcPr>
          <w:p w14:paraId="695ECC7D">
            <w:pPr>
              <w:jc w:val="center"/>
              <w:rPr>
                <w:rFonts w:hint="eastAsia" w:ascii="宋体" w:hAnsi="宋体" w:cs="宋体"/>
                <w:color w:val="000000"/>
                <w:szCs w:val="21"/>
                <w:highlight w:val="none"/>
              </w:rPr>
            </w:pPr>
          </w:p>
        </w:tc>
        <w:tc>
          <w:tcPr>
            <w:tcW w:w="6662" w:type="dxa"/>
            <w:vAlign w:val="center"/>
          </w:tcPr>
          <w:p w14:paraId="74D7C4A7">
            <w:pPr>
              <w:rPr>
                <w:rFonts w:hint="eastAsia" w:ascii="宋体" w:hAnsi="宋体" w:cs="宋体"/>
                <w:color w:val="000000"/>
                <w:szCs w:val="21"/>
                <w:highlight w:val="none"/>
              </w:rPr>
            </w:pPr>
            <w:r>
              <w:rPr>
                <w:rFonts w:hint="eastAsia" w:ascii="宋体" w:hAnsi="宋体" w:cs="宋体"/>
                <w:color w:val="000000"/>
                <w:szCs w:val="21"/>
                <w:highlight w:val="none"/>
              </w:rPr>
              <w:t>零星维修服务方案（10分）</w:t>
            </w:r>
          </w:p>
          <w:p w14:paraId="14A0346E">
            <w:pPr>
              <w:rPr>
                <w:rFonts w:hint="eastAsia" w:ascii="宋体" w:hAnsi="宋体" w:cs="宋体"/>
                <w:color w:val="000000"/>
                <w:szCs w:val="21"/>
                <w:highlight w:val="none"/>
              </w:rPr>
            </w:pPr>
            <w:r>
              <w:rPr>
                <w:rFonts w:hint="eastAsia" w:ascii="宋体" w:hAnsi="宋体" w:cs="宋体"/>
                <w:color w:val="000000"/>
                <w:szCs w:val="21"/>
                <w:highlight w:val="none"/>
              </w:rPr>
              <w:t>评委根据投标人提供的零星维修专项方案评分，方案需包含维修响应时效承诺、零星维修覆盖范围明细、维修质量保修规则、耗材质量管控标准、应急维修快速处置流程、维修台账登记及回访机制等内容。</w:t>
            </w:r>
          </w:p>
          <w:p w14:paraId="610819E1">
            <w:pPr>
              <w:rPr>
                <w:rFonts w:hint="eastAsia" w:ascii="宋体" w:hAnsi="宋体" w:cs="宋体"/>
                <w:color w:val="000000"/>
                <w:szCs w:val="21"/>
                <w:highlight w:val="none"/>
              </w:rPr>
            </w:pPr>
            <w:r>
              <w:rPr>
                <w:rFonts w:hint="eastAsia" w:ascii="宋体" w:hAnsi="宋体" w:cs="宋体"/>
                <w:color w:val="000000"/>
                <w:szCs w:val="21"/>
                <w:highlight w:val="none"/>
              </w:rPr>
              <w:t>方案响应时效明确、覆盖范围全面、质量保障措施完善、适配墓区零星维修高频需求的，得10分；</w:t>
            </w:r>
          </w:p>
          <w:p w14:paraId="0ED5B63E">
            <w:pPr>
              <w:rPr>
                <w:rFonts w:hint="eastAsia" w:ascii="宋体" w:hAnsi="宋体" w:cs="宋体"/>
                <w:color w:val="000000"/>
                <w:szCs w:val="21"/>
                <w:highlight w:val="none"/>
              </w:rPr>
            </w:pPr>
            <w:r>
              <w:rPr>
                <w:rFonts w:hint="eastAsia" w:ascii="宋体" w:hAnsi="宋体" w:cs="宋体"/>
                <w:color w:val="000000"/>
                <w:szCs w:val="21"/>
                <w:highlight w:val="none"/>
              </w:rPr>
              <w:t>方案响应时效较明确、有基本质量保障措施、适配性较好的，得6分；</w:t>
            </w:r>
          </w:p>
          <w:p w14:paraId="37BD1269">
            <w:pPr>
              <w:rPr>
                <w:rFonts w:hint="eastAsia" w:ascii="宋体" w:hAnsi="宋体" w:cs="宋体"/>
                <w:color w:val="000000"/>
                <w:szCs w:val="21"/>
                <w:highlight w:val="none"/>
              </w:rPr>
            </w:pPr>
            <w:r>
              <w:rPr>
                <w:rFonts w:hint="eastAsia" w:ascii="宋体" w:hAnsi="宋体" w:cs="宋体"/>
                <w:color w:val="000000"/>
                <w:szCs w:val="21"/>
                <w:highlight w:val="none"/>
              </w:rPr>
              <w:t>方案响应要求模糊、保障措施有缺失、适配性一般的，得2分；</w:t>
            </w:r>
          </w:p>
          <w:p w14:paraId="6B780E39">
            <w:pPr>
              <w:rPr>
                <w:rFonts w:hint="eastAsia" w:ascii="宋体" w:hAnsi="宋体" w:cs="宋体"/>
                <w:color w:val="000000"/>
                <w:szCs w:val="21"/>
                <w:highlight w:val="none"/>
              </w:rPr>
            </w:pPr>
            <w:r>
              <w:rPr>
                <w:rFonts w:hint="eastAsia" w:ascii="宋体" w:hAnsi="宋体" w:cs="宋体"/>
                <w:color w:val="000000"/>
                <w:szCs w:val="21"/>
                <w:highlight w:val="none"/>
              </w:rPr>
              <w:t>未提供方案或方案不符合要求的，得0分。</w:t>
            </w:r>
          </w:p>
        </w:tc>
        <w:tc>
          <w:tcPr>
            <w:tcW w:w="823" w:type="dxa"/>
            <w:vAlign w:val="center"/>
          </w:tcPr>
          <w:p w14:paraId="77C696DE">
            <w:pPr>
              <w:jc w:val="center"/>
              <w:rPr>
                <w:rFonts w:hint="eastAsia" w:ascii="宋体" w:hAnsi="宋体" w:cs="宋体"/>
                <w:szCs w:val="21"/>
                <w:highlight w:val="none"/>
              </w:rPr>
            </w:pPr>
            <w:r>
              <w:rPr>
                <w:rFonts w:hint="eastAsia" w:ascii="宋体" w:hAnsi="宋体" w:cs="宋体"/>
                <w:szCs w:val="21"/>
                <w:highlight w:val="none"/>
              </w:rPr>
              <w:t>10</w:t>
            </w:r>
          </w:p>
        </w:tc>
      </w:tr>
      <w:tr w14:paraId="682D9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649" w:type="dxa"/>
            <w:vAlign w:val="center"/>
          </w:tcPr>
          <w:p w14:paraId="67935B69">
            <w:pPr>
              <w:jc w:val="center"/>
              <w:rPr>
                <w:rFonts w:hint="eastAsia" w:ascii="宋体" w:hAnsi="宋体" w:cs="宋体"/>
                <w:color w:val="000000"/>
                <w:szCs w:val="21"/>
                <w:highlight w:val="none"/>
              </w:rPr>
            </w:pPr>
            <w:r>
              <w:rPr>
                <w:rFonts w:hint="eastAsia" w:ascii="宋体" w:hAnsi="宋体" w:cs="宋体"/>
                <w:color w:val="000000"/>
                <w:szCs w:val="21"/>
                <w:highlight w:val="none"/>
              </w:rPr>
              <w:t>3</w:t>
            </w:r>
          </w:p>
        </w:tc>
        <w:tc>
          <w:tcPr>
            <w:tcW w:w="1365" w:type="dxa"/>
            <w:vAlign w:val="center"/>
          </w:tcPr>
          <w:p w14:paraId="1B26B6BE">
            <w:pPr>
              <w:jc w:val="center"/>
              <w:rPr>
                <w:rFonts w:hint="eastAsia" w:ascii="宋体" w:hAnsi="宋体" w:cs="宋体"/>
                <w:color w:val="000000"/>
                <w:szCs w:val="21"/>
                <w:highlight w:val="none"/>
              </w:rPr>
            </w:pPr>
            <w:r>
              <w:rPr>
                <w:rFonts w:hint="eastAsia" w:ascii="宋体" w:hAnsi="宋体" w:cs="宋体"/>
                <w:color w:val="000000"/>
                <w:szCs w:val="21"/>
                <w:highlight w:val="none"/>
              </w:rPr>
              <w:t>业绩</w:t>
            </w:r>
          </w:p>
        </w:tc>
        <w:tc>
          <w:tcPr>
            <w:tcW w:w="6662" w:type="dxa"/>
            <w:vAlign w:val="center"/>
          </w:tcPr>
          <w:p w14:paraId="373D6A92">
            <w:pPr>
              <w:pStyle w:val="115"/>
              <w:rPr>
                <w:rFonts w:hint="eastAsia" w:ascii="宋体" w:hAnsi="宋体" w:cs="宋体"/>
                <w:color w:val="000000"/>
                <w:szCs w:val="21"/>
                <w:highlight w:val="none"/>
              </w:rPr>
            </w:pPr>
            <w:r>
              <w:rPr>
                <w:rFonts w:hint="eastAsia" w:ascii="宋体" w:hAnsi="宋体" w:cs="宋体"/>
                <w:color w:val="000000"/>
                <w:szCs w:val="21"/>
                <w:highlight w:val="none"/>
              </w:rPr>
              <w:t>自2023年</w:t>
            </w:r>
            <w:r>
              <w:rPr>
                <w:rFonts w:hint="eastAsia" w:ascii="宋体" w:hAnsi="宋体" w:cs="宋体"/>
                <w:color w:val="000000"/>
                <w:szCs w:val="21"/>
                <w:highlight w:val="none"/>
                <w:lang w:val="en-US" w:eastAsia="zh-CN"/>
              </w:rPr>
              <w:t>7</w:t>
            </w:r>
            <w:r>
              <w:rPr>
                <w:rFonts w:hint="eastAsia" w:ascii="宋体" w:hAnsi="宋体" w:cs="宋体"/>
                <w:color w:val="000000"/>
                <w:szCs w:val="21"/>
                <w:highlight w:val="none"/>
              </w:rPr>
              <w:t>月1日（含）以来，投标人具有类似项目案例（服务内容至少包括墓区配套服务），每提供一个案例得3分，最高得9分。（提供合同扫描件加盖公章，时间以合同签订日期为准，合同须能清晰可见项目名称、服务内容，签订时间和签章等主要内容。同时提供该合同发票扫描件或电子件。未提供或提供的材料不能反映相关内容的不得分）。</w:t>
            </w:r>
          </w:p>
        </w:tc>
        <w:tc>
          <w:tcPr>
            <w:tcW w:w="823" w:type="dxa"/>
            <w:vAlign w:val="center"/>
          </w:tcPr>
          <w:p w14:paraId="4A2E2AD2">
            <w:pPr>
              <w:jc w:val="center"/>
              <w:rPr>
                <w:rFonts w:hint="eastAsia" w:ascii="宋体" w:hAnsi="宋体" w:cs="宋体"/>
                <w:color w:val="000000"/>
                <w:szCs w:val="21"/>
                <w:highlight w:val="none"/>
              </w:rPr>
            </w:pPr>
            <w:r>
              <w:rPr>
                <w:rFonts w:hint="eastAsia" w:ascii="宋体" w:hAnsi="宋体" w:cs="宋体"/>
                <w:color w:val="000000"/>
                <w:szCs w:val="21"/>
                <w:highlight w:val="none"/>
              </w:rPr>
              <w:t>9</w:t>
            </w:r>
          </w:p>
        </w:tc>
      </w:tr>
      <w:tr w14:paraId="0A29E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6" w:hRule="atLeast"/>
          <w:jc w:val="center"/>
        </w:trPr>
        <w:tc>
          <w:tcPr>
            <w:tcW w:w="649" w:type="dxa"/>
            <w:vAlign w:val="center"/>
          </w:tcPr>
          <w:p w14:paraId="37A9C6E3">
            <w:pPr>
              <w:jc w:val="center"/>
              <w:rPr>
                <w:rFonts w:hint="eastAsia" w:ascii="宋体" w:hAnsi="宋体" w:cs="宋体"/>
                <w:color w:val="FF0000"/>
                <w:szCs w:val="21"/>
                <w:highlight w:val="none"/>
              </w:rPr>
            </w:pPr>
            <w:r>
              <w:rPr>
                <w:rFonts w:hint="eastAsia" w:ascii="宋体" w:hAnsi="宋体" w:cs="宋体"/>
                <w:color w:val="000000"/>
                <w:szCs w:val="21"/>
                <w:highlight w:val="none"/>
              </w:rPr>
              <w:t>4</w:t>
            </w:r>
          </w:p>
        </w:tc>
        <w:tc>
          <w:tcPr>
            <w:tcW w:w="1365" w:type="dxa"/>
            <w:vAlign w:val="center"/>
          </w:tcPr>
          <w:p w14:paraId="073FB322">
            <w:pPr>
              <w:jc w:val="center"/>
              <w:rPr>
                <w:rFonts w:hint="eastAsia" w:ascii="宋体" w:hAnsi="宋体" w:cs="宋体"/>
                <w:color w:val="000000"/>
                <w:szCs w:val="21"/>
                <w:highlight w:val="none"/>
              </w:rPr>
            </w:pPr>
            <w:r>
              <w:rPr>
                <w:rFonts w:hint="eastAsia" w:ascii="宋体" w:hAnsi="宋体" w:cs="宋体"/>
                <w:color w:val="000000"/>
                <w:szCs w:val="21"/>
                <w:highlight w:val="none"/>
              </w:rPr>
              <w:t>用户评价</w:t>
            </w:r>
          </w:p>
        </w:tc>
        <w:tc>
          <w:tcPr>
            <w:tcW w:w="6662" w:type="dxa"/>
          </w:tcPr>
          <w:p w14:paraId="31C7C976">
            <w:pPr>
              <w:rPr>
                <w:rFonts w:hint="eastAsia" w:ascii="宋体" w:hAnsi="宋体" w:cs="宋体"/>
                <w:color w:val="000000"/>
                <w:szCs w:val="21"/>
                <w:highlight w:val="none"/>
              </w:rPr>
            </w:pPr>
            <w:r>
              <w:rPr>
                <w:rFonts w:hint="eastAsia" w:ascii="宋体" w:hAnsi="宋体" w:cs="宋体"/>
                <w:color w:val="000000"/>
                <w:szCs w:val="21"/>
                <w:highlight w:val="none"/>
              </w:rPr>
              <w:t>针对投标人所提供的类似项目案例，获得业主评价结果为优秀或满意的评价材料，每提供1份得2分，最高得6分（提供用户盖章的评价材料复印件，须体现评价时间、项目内容及评价结果，否则不予认可；同一业主单位的多份评价意见业绩，不重复计分）。</w:t>
            </w:r>
          </w:p>
        </w:tc>
        <w:tc>
          <w:tcPr>
            <w:tcW w:w="823" w:type="dxa"/>
            <w:vAlign w:val="center"/>
          </w:tcPr>
          <w:p w14:paraId="588890DA">
            <w:pPr>
              <w:jc w:val="center"/>
              <w:rPr>
                <w:rFonts w:hint="eastAsia" w:ascii="宋体" w:hAnsi="宋体" w:cs="宋体"/>
                <w:color w:val="000000"/>
                <w:szCs w:val="21"/>
                <w:highlight w:val="none"/>
              </w:rPr>
            </w:pPr>
            <w:r>
              <w:rPr>
                <w:rFonts w:hint="eastAsia" w:ascii="宋体" w:hAnsi="宋体" w:cs="宋体"/>
                <w:color w:val="000000"/>
                <w:szCs w:val="21"/>
                <w:highlight w:val="none"/>
              </w:rPr>
              <w:t>6</w:t>
            </w:r>
          </w:p>
        </w:tc>
      </w:tr>
      <w:tr w14:paraId="50BC7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9" w:type="dxa"/>
            <w:vMerge w:val="restart"/>
            <w:vAlign w:val="center"/>
          </w:tcPr>
          <w:p w14:paraId="0442D066">
            <w:pPr>
              <w:jc w:val="center"/>
              <w:rPr>
                <w:rFonts w:hint="eastAsia" w:ascii="宋体" w:hAnsi="宋体" w:cs="宋体"/>
                <w:color w:val="000000"/>
                <w:szCs w:val="21"/>
                <w:highlight w:val="none"/>
              </w:rPr>
            </w:pPr>
            <w:r>
              <w:rPr>
                <w:rFonts w:hint="eastAsia" w:ascii="宋体" w:hAnsi="宋体" w:cs="宋体"/>
                <w:color w:val="000000"/>
                <w:szCs w:val="21"/>
                <w:highlight w:val="none"/>
              </w:rPr>
              <w:t>5</w:t>
            </w:r>
          </w:p>
        </w:tc>
        <w:tc>
          <w:tcPr>
            <w:tcW w:w="1365" w:type="dxa"/>
            <w:vMerge w:val="restart"/>
            <w:vAlign w:val="center"/>
          </w:tcPr>
          <w:p w14:paraId="124190A8">
            <w:pPr>
              <w:jc w:val="center"/>
              <w:rPr>
                <w:rFonts w:hint="eastAsia" w:ascii="宋体" w:hAnsi="宋体" w:cs="宋体"/>
                <w:color w:val="000000"/>
                <w:szCs w:val="21"/>
                <w:highlight w:val="none"/>
              </w:rPr>
            </w:pPr>
            <w:r>
              <w:rPr>
                <w:rFonts w:hint="eastAsia" w:ascii="宋体" w:hAnsi="宋体" w:cs="宋体"/>
                <w:color w:val="000000"/>
                <w:szCs w:val="21"/>
                <w:highlight w:val="none"/>
              </w:rPr>
              <w:t>人员</w:t>
            </w:r>
          </w:p>
        </w:tc>
        <w:tc>
          <w:tcPr>
            <w:tcW w:w="6662" w:type="dxa"/>
          </w:tcPr>
          <w:p w14:paraId="785727F6">
            <w:pPr>
              <w:rPr>
                <w:rFonts w:hint="eastAsia" w:ascii="宋体" w:hAnsi="宋体" w:cs="宋体"/>
                <w:color w:val="000000"/>
                <w:szCs w:val="21"/>
                <w:highlight w:val="none"/>
              </w:rPr>
            </w:pPr>
            <w:r>
              <w:rPr>
                <w:rFonts w:hint="eastAsia" w:ascii="宋体" w:hAnsi="宋体" w:cs="宋体"/>
                <w:color w:val="000000"/>
                <w:szCs w:val="21"/>
                <w:highlight w:val="none"/>
              </w:rPr>
              <w:t>拟派项目负责人具有</w:t>
            </w:r>
            <w:r>
              <w:rPr>
                <w:rFonts w:hint="eastAsia" w:ascii="宋体" w:hAnsi="宋体" w:cs="宋体"/>
                <w:color w:val="000000"/>
                <w:szCs w:val="21"/>
                <w:highlight w:val="none"/>
                <w:lang w:val="en-US" w:eastAsia="zh-CN"/>
              </w:rPr>
              <w:t>房建或市政类</w:t>
            </w:r>
            <w:r>
              <w:rPr>
                <w:rFonts w:hint="eastAsia" w:ascii="宋体" w:hAnsi="宋体" w:cs="宋体"/>
                <w:color w:val="000000"/>
                <w:szCs w:val="21"/>
                <w:highlight w:val="none"/>
              </w:rPr>
              <w:t>中级及以上职称的，得3分；（需提供证书、投标人为其缴纳的近3个月社保证明扫描件）。</w:t>
            </w:r>
          </w:p>
        </w:tc>
        <w:tc>
          <w:tcPr>
            <w:tcW w:w="823" w:type="dxa"/>
            <w:vAlign w:val="center"/>
          </w:tcPr>
          <w:p w14:paraId="42A50BA4">
            <w:pPr>
              <w:jc w:val="center"/>
              <w:rPr>
                <w:rFonts w:hint="eastAsia" w:ascii="宋体" w:hAnsi="宋体" w:cs="宋体"/>
                <w:color w:val="000000"/>
                <w:szCs w:val="21"/>
                <w:highlight w:val="none"/>
              </w:rPr>
            </w:pPr>
            <w:r>
              <w:rPr>
                <w:rFonts w:hint="eastAsia" w:ascii="宋体" w:hAnsi="宋体" w:cs="宋体"/>
                <w:color w:val="000000"/>
                <w:szCs w:val="21"/>
                <w:highlight w:val="none"/>
              </w:rPr>
              <w:t>3</w:t>
            </w:r>
          </w:p>
        </w:tc>
      </w:tr>
      <w:tr w14:paraId="47145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9" w:type="dxa"/>
            <w:vMerge w:val="continue"/>
            <w:vAlign w:val="center"/>
          </w:tcPr>
          <w:p w14:paraId="68F10706">
            <w:pPr>
              <w:jc w:val="center"/>
              <w:rPr>
                <w:rFonts w:hint="eastAsia" w:ascii="宋体" w:hAnsi="宋体" w:cs="宋体"/>
                <w:color w:val="000000"/>
                <w:szCs w:val="21"/>
                <w:highlight w:val="none"/>
              </w:rPr>
            </w:pPr>
          </w:p>
        </w:tc>
        <w:tc>
          <w:tcPr>
            <w:tcW w:w="1365" w:type="dxa"/>
            <w:vMerge w:val="continue"/>
            <w:vAlign w:val="center"/>
          </w:tcPr>
          <w:p w14:paraId="01A74EC5">
            <w:pPr>
              <w:jc w:val="center"/>
              <w:rPr>
                <w:rFonts w:hint="eastAsia" w:ascii="宋体" w:hAnsi="宋体" w:cs="宋体"/>
                <w:color w:val="000000"/>
                <w:szCs w:val="21"/>
                <w:highlight w:val="none"/>
              </w:rPr>
            </w:pPr>
          </w:p>
        </w:tc>
        <w:tc>
          <w:tcPr>
            <w:tcW w:w="6662" w:type="dxa"/>
          </w:tcPr>
          <w:p w14:paraId="0A858A07">
            <w:pPr>
              <w:rPr>
                <w:rFonts w:hint="eastAsia" w:ascii="宋体" w:hAnsi="宋体" w:cs="宋体"/>
                <w:color w:val="000000"/>
                <w:szCs w:val="21"/>
                <w:highlight w:val="none"/>
              </w:rPr>
            </w:pPr>
            <w:r>
              <w:rPr>
                <w:rFonts w:hint="eastAsia" w:ascii="宋体" w:hAnsi="宋体" w:cs="宋体"/>
                <w:color w:val="000000"/>
                <w:szCs w:val="21"/>
                <w:highlight w:val="none"/>
              </w:rPr>
              <w:t>拟派项目组成员中（除项目负责人外），每具有一个</w:t>
            </w:r>
            <w:r>
              <w:rPr>
                <w:rFonts w:hint="eastAsia" w:ascii="宋体" w:hAnsi="宋体" w:cs="宋体"/>
                <w:color w:val="000000"/>
                <w:szCs w:val="21"/>
                <w:highlight w:val="none"/>
                <w:lang w:val="en-US" w:eastAsia="zh-CN"/>
              </w:rPr>
              <w:t>房建或市政类</w:t>
            </w:r>
            <w:r>
              <w:rPr>
                <w:rFonts w:hint="eastAsia" w:ascii="宋体" w:hAnsi="宋体" w:cs="宋体"/>
                <w:color w:val="000000"/>
                <w:szCs w:val="21"/>
                <w:highlight w:val="none"/>
              </w:rPr>
              <w:t>中级及以上职称的，得2分，最多得6分；（需提供证书、投标人为其缴纳的近3个月社保证明扫描件）。</w:t>
            </w:r>
          </w:p>
        </w:tc>
        <w:tc>
          <w:tcPr>
            <w:tcW w:w="823" w:type="dxa"/>
            <w:vAlign w:val="center"/>
          </w:tcPr>
          <w:p w14:paraId="400CD356">
            <w:pPr>
              <w:jc w:val="center"/>
              <w:rPr>
                <w:rFonts w:hint="eastAsia" w:ascii="宋体" w:hAnsi="宋体" w:cs="宋体"/>
                <w:color w:val="000000"/>
                <w:szCs w:val="21"/>
                <w:highlight w:val="none"/>
              </w:rPr>
            </w:pPr>
            <w:r>
              <w:rPr>
                <w:rFonts w:hint="eastAsia" w:ascii="宋体" w:hAnsi="宋体" w:cs="宋体"/>
                <w:color w:val="000000"/>
                <w:szCs w:val="21"/>
                <w:highlight w:val="none"/>
              </w:rPr>
              <w:t>6</w:t>
            </w:r>
          </w:p>
        </w:tc>
      </w:tr>
      <w:tr w14:paraId="4E500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1" w:hRule="atLeast"/>
          <w:jc w:val="center"/>
        </w:trPr>
        <w:tc>
          <w:tcPr>
            <w:tcW w:w="649" w:type="dxa"/>
            <w:vAlign w:val="center"/>
          </w:tcPr>
          <w:p w14:paraId="715ADD57">
            <w:pPr>
              <w:jc w:val="center"/>
              <w:rPr>
                <w:rFonts w:hint="eastAsia" w:ascii="宋体" w:hAnsi="宋体" w:cs="宋体"/>
                <w:color w:val="000000"/>
                <w:szCs w:val="21"/>
                <w:highlight w:val="none"/>
              </w:rPr>
            </w:pPr>
            <w:r>
              <w:rPr>
                <w:rFonts w:hint="eastAsia" w:ascii="宋体" w:hAnsi="宋体" w:cs="宋体"/>
                <w:color w:val="000000"/>
                <w:szCs w:val="21"/>
                <w:highlight w:val="none"/>
              </w:rPr>
              <w:t>6</w:t>
            </w:r>
          </w:p>
        </w:tc>
        <w:tc>
          <w:tcPr>
            <w:tcW w:w="1365" w:type="dxa"/>
            <w:vAlign w:val="center"/>
          </w:tcPr>
          <w:p w14:paraId="45EA343D">
            <w:pPr>
              <w:jc w:val="center"/>
              <w:rPr>
                <w:rFonts w:hint="eastAsia" w:ascii="宋体" w:hAnsi="宋体" w:cs="宋体"/>
                <w:color w:val="000000"/>
                <w:szCs w:val="21"/>
                <w:highlight w:val="none"/>
              </w:rPr>
            </w:pPr>
            <w:r>
              <w:rPr>
                <w:rFonts w:hint="eastAsia" w:ascii="宋体" w:hAnsi="宋体" w:cs="宋体"/>
                <w:color w:val="000000"/>
                <w:szCs w:val="21"/>
                <w:highlight w:val="none"/>
              </w:rPr>
              <w:t>服务承诺</w:t>
            </w:r>
          </w:p>
        </w:tc>
        <w:tc>
          <w:tcPr>
            <w:tcW w:w="6662" w:type="dxa"/>
          </w:tcPr>
          <w:p w14:paraId="44E2D5B6">
            <w:pPr>
              <w:rPr>
                <w:rFonts w:hint="eastAsia" w:ascii="宋体" w:hAnsi="宋体" w:cs="宋体"/>
                <w:color w:val="000000"/>
                <w:szCs w:val="21"/>
                <w:highlight w:val="none"/>
              </w:rPr>
            </w:pPr>
            <w:r>
              <w:rPr>
                <w:rFonts w:hint="eastAsia" w:ascii="宋体" w:hAnsi="宋体" w:cs="宋体"/>
                <w:color w:val="000000"/>
                <w:szCs w:val="21"/>
                <w:highlight w:val="none"/>
              </w:rPr>
              <w:t>针对投标人提供包含但不限于：墓穴基础建设、墓体安装、环境整治、绿化保洁、值守、材料保管、零星维修服务、质保承诺等项目内容的承诺进行综合评价。</w:t>
            </w:r>
          </w:p>
          <w:p w14:paraId="4D2D80E1">
            <w:pPr>
              <w:rPr>
                <w:rFonts w:hint="eastAsia" w:ascii="宋体" w:hAnsi="宋体" w:cs="宋体"/>
                <w:color w:val="000000"/>
                <w:szCs w:val="21"/>
                <w:highlight w:val="none"/>
              </w:rPr>
            </w:pPr>
            <w:r>
              <w:rPr>
                <w:rFonts w:hint="eastAsia" w:ascii="宋体" w:hAnsi="宋体" w:cs="宋体"/>
                <w:color w:val="000000"/>
                <w:szCs w:val="21"/>
                <w:highlight w:val="none"/>
              </w:rPr>
              <w:t>服务承诺普遍优于项目需求的得6分；</w:t>
            </w:r>
          </w:p>
          <w:p w14:paraId="65B628CE">
            <w:pPr>
              <w:rPr>
                <w:rFonts w:hint="eastAsia" w:ascii="宋体" w:hAnsi="宋体" w:cs="宋体"/>
                <w:color w:val="000000"/>
                <w:szCs w:val="21"/>
                <w:highlight w:val="none"/>
              </w:rPr>
            </w:pPr>
            <w:r>
              <w:rPr>
                <w:rFonts w:hint="eastAsia" w:ascii="宋体" w:hAnsi="宋体" w:cs="宋体"/>
                <w:color w:val="000000"/>
                <w:szCs w:val="21"/>
                <w:highlight w:val="none"/>
              </w:rPr>
              <w:t>服务承诺部分优于项目需求的得4分；</w:t>
            </w:r>
          </w:p>
          <w:p w14:paraId="18484459">
            <w:pPr>
              <w:rPr>
                <w:rFonts w:hint="eastAsia" w:ascii="宋体" w:hAnsi="宋体" w:cs="宋体"/>
                <w:color w:val="000000"/>
                <w:szCs w:val="21"/>
                <w:highlight w:val="none"/>
              </w:rPr>
            </w:pPr>
            <w:r>
              <w:rPr>
                <w:rFonts w:hint="eastAsia" w:ascii="宋体" w:hAnsi="宋体" w:cs="宋体"/>
                <w:color w:val="000000"/>
                <w:szCs w:val="21"/>
                <w:highlight w:val="none"/>
              </w:rPr>
              <w:t>服务承诺少量优于项目需求的得2分；</w:t>
            </w:r>
          </w:p>
          <w:p w14:paraId="2772D82F">
            <w:pPr>
              <w:rPr>
                <w:rFonts w:hint="eastAsia" w:ascii="宋体" w:hAnsi="宋体" w:cs="宋体"/>
                <w:color w:val="000000"/>
                <w:szCs w:val="21"/>
                <w:highlight w:val="none"/>
              </w:rPr>
            </w:pPr>
            <w:r>
              <w:rPr>
                <w:rFonts w:hint="eastAsia" w:ascii="宋体" w:hAnsi="宋体" w:cs="宋体"/>
                <w:color w:val="000000"/>
                <w:szCs w:val="21"/>
                <w:highlight w:val="none"/>
              </w:rPr>
              <w:t>服务承诺未优于项目需求的得0分；</w:t>
            </w:r>
          </w:p>
        </w:tc>
        <w:tc>
          <w:tcPr>
            <w:tcW w:w="823" w:type="dxa"/>
            <w:vAlign w:val="center"/>
          </w:tcPr>
          <w:p w14:paraId="7BDC5258">
            <w:pPr>
              <w:jc w:val="center"/>
              <w:rPr>
                <w:rFonts w:hint="eastAsia" w:ascii="宋体" w:hAnsi="宋体" w:cs="宋体"/>
                <w:color w:val="000000"/>
                <w:szCs w:val="21"/>
                <w:highlight w:val="none"/>
              </w:rPr>
            </w:pPr>
            <w:r>
              <w:rPr>
                <w:rFonts w:hint="eastAsia" w:ascii="宋体" w:hAnsi="宋体" w:cs="宋体"/>
                <w:color w:val="000000"/>
                <w:szCs w:val="21"/>
                <w:highlight w:val="none"/>
              </w:rPr>
              <w:t>6</w:t>
            </w:r>
          </w:p>
        </w:tc>
      </w:tr>
      <w:tr w14:paraId="328E1A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676" w:type="dxa"/>
            <w:gridSpan w:val="3"/>
            <w:vAlign w:val="center"/>
          </w:tcPr>
          <w:p w14:paraId="6E3FF017">
            <w:pPr>
              <w:jc w:val="center"/>
              <w:rPr>
                <w:rFonts w:hint="eastAsia" w:ascii="宋体" w:hAnsi="宋体" w:cs="宋体"/>
                <w:color w:val="000000"/>
                <w:szCs w:val="21"/>
                <w:highlight w:val="none"/>
              </w:rPr>
            </w:pPr>
            <w:r>
              <w:rPr>
                <w:rFonts w:hint="eastAsia" w:ascii="宋体" w:hAnsi="宋体" w:cs="宋体"/>
                <w:color w:val="000000"/>
                <w:szCs w:val="21"/>
                <w:highlight w:val="none"/>
              </w:rPr>
              <w:t>合计</w:t>
            </w:r>
          </w:p>
        </w:tc>
        <w:tc>
          <w:tcPr>
            <w:tcW w:w="823" w:type="dxa"/>
            <w:vAlign w:val="center"/>
          </w:tcPr>
          <w:p w14:paraId="25EA8F74">
            <w:pPr>
              <w:jc w:val="center"/>
              <w:rPr>
                <w:rFonts w:hint="eastAsia" w:ascii="宋体" w:hAnsi="宋体" w:cs="宋体"/>
                <w:color w:val="000000"/>
                <w:szCs w:val="21"/>
                <w:highlight w:val="none"/>
              </w:rPr>
            </w:pPr>
            <w:r>
              <w:rPr>
                <w:rFonts w:hint="eastAsia" w:ascii="宋体" w:hAnsi="宋体" w:cs="宋体"/>
                <w:color w:val="000000"/>
                <w:szCs w:val="21"/>
                <w:highlight w:val="none"/>
              </w:rPr>
              <w:t>100分</w:t>
            </w:r>
          </w:p>
        </w:tc>
      </w:tr>
    </w:tbl>
    <w:p w14:paraId="109F4809">
      <w:pPr>
        <w:spacing w:line="360" w:lineRule="auto"/>
        <w:ind w:firstLine="480"/>
        <w:rPr>
          <w:rFonts w:hint="eastAsia" w:ascii="宋体" w:hAnsi="宋体"/>
          <w:bCs/>
          <w:color w:val="000000"/>
          <w:szCs w:val="21"/>
          <w:highlight w:val="none"/>
        </w:rPr>
      </w:pPr>
    </w:p>
    <w:p w14:paraId="499B3CB0">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说明：</w:t>
      </w:r>
    </w:p>
    <w:p w14:paraId="63740759">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一、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p>
    <w:p w14:paraId="754AD23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二、小微企业的价格扣除（如专门面向中小企业的，则本条不适用）</w:t>
      </w:r>
    </w:p>
    <w:p w14:paraId="5270B0D3">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p>
    <w:p w14:paraId="483C64E5">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2.价格扣除比例或者价格分加分比例对小型企业和微型企业同等对待，不作区分。</w:t>
      </w:r>
    </w:p>
    <w:p w14:paraId="4FF781A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三、监狱和戒毒企业的价格扣除</w:t>
      </w:r>
    </w:p>
    <w:p w14:paraId="6535C30D">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1.本项目对监狱和戒毒企业（简称监狱企业）视同小型、微型企业，享受相同的价格扣除优惠政策。</w:t>
      </w:r>
    </w:p>
    <w:p w14:paraId="5A88AC54">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2.监狱企业需提供由省级以上监狱管理局、戒毒管理局（含新疆生产建设兵团）出具的属于监狱企业的证明文件。</w:t>
      </w:r>
    </w:p>
    <w:p w14:paraId="4847EDDA">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3.监狱企业标准请参照《关于政府采购支持监狱企业发展有关问题的通知》（财库〔2014〕68号）。</w:t>
      </w:r>
    </w:p>
    <w:p w14:paraId="0A7CAE2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四、残疾人福利性单位的价格扣除</w:t>
      </w:r>
    </w:p>
    <w:p w14:paraId="6C319522">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1.本项目对残疾人福利性单位视同小型、微型企业，享受相同的价格扣除优惠政策。</w:t>
      </w:r>
    </w:p>
    <w:p w14:paraId="4533356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2.残疾人福利性单位需按照招标文件的要求提供《残疾人福利性单位声明函》。</w:t>
      </w:r>
    </w:p>
    <w:p w14:paraId="5895B55F">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3.残疾人福利性单位标准请参照《关于促进残疾人就业政府采购政策的通知》（财库〔2017〕141号）。</w:t>
      </w:r>
    </w:p>
    <w:p w14:paraId="025BD362">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五、监狱企业、残疾人福利性单位属于小型、微型企业的，不重复享受政策。</w:t>
      </w:r>
    </w:p>
    <w:p w14:paraId="17C91039">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六、采购本国产品的支持政策</w:t>
      </w:r>
    </w:p>
    <w:p w14:paraId="17802856">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1. 本项目政府采购活动中既有本国产品又有非本国产品参与竞争的，依法对本国产品给予价格评审优惠，对本国产品的报价给予20%的价格扣除，用扣除后的价格参与评审。</w:t>
      </w:r>
    </w:p>
    <w:p w14:paraId="2A983C9E">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2D5A36EB">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3. 供应商需按照招标文件的要求提供《关于符合本国产品标准的声明函》，如不提供将不享受本国产品价格评审优惠。</w:t>
      </w:r>
    </w:p>
    <w:p w14:paraId="78F98DB7">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4. 供应商需在《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p>
    <w:p w14:paraId="18BE961A">
      <w:pPr>
        <w:spacing w:line="360" w:lineRule="auto"/>
        <w:ind w:firstLine="480"/>
        <w:rPr>
          <w:rFonts w:hint="eastAsia" w:ascii="宋体" w:hAnsi="宋体"/>
          <w:bCs/>
          <w:color w:val="000000"/>
          <w:szCs w:val="21"/>
          <w:highlight w:val="none"/>
        </w:rPr>
      </w:pPr>
      <w:r>
        <w:rPr>
          <w:rFonts w:hint="eastAsia" w:ascii="宋体" w:hAnsi="宋体"/>
          <w:bCs/>
          <w:color w:val="000000"/>
          <w:szCs w:val="21"/>
          <w:highlight w:val="none"/>
        </w:rPr>
        <w:t>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62911738">
      <w:pPr>
        <w:widowControl/>
        <w:shd w:val="clear" w:color="auto" w:fill="FFFFFF"/>
        <w:spacing w:line="360" w:lineRule="auto"/>
        <w:ind w:firstLine="480"/>
        <w:jc w:val="left"/>
        <w:rPr>
          <w:rFonts w:hint="eastAsia" w:ascii="宋体" w:hAnsi="宋体" w:cs="宋体"/>
          <w:bCs/>
          <w:color w:val="000000"/>
          <w:sz w:val="28"/>
          <w:szCs w:val="28"/>
          <w:highlight w:val="none"/>
        </w:rPr>
      </w:pPr>
    </w:p>
    <w:p w14:paraId="6F9FD4C2">
      <w:pPr>
        <w:widowControl/>
        <w:shd w:val="clear" w:color="auto" w:fill="FFFFFF"/>
        <w:spacing w:line="360" w:lineRule="auto"/>
        <w:ind w:firstLine="480"/>
        <w:jc w:val="center"/>
        <w:outlineLvl w:val="0"/>
        <w:rPr>
          <w:rFonts w:hint="eastAsia" w:ascii="宋体" w:hAnsi="宋体" w:cs="宋体"/>
          <w:b/>
          <w:color w:val="000000"/>
          <w:sz w:val="32"/>
          <w:szCs w:val="32"/>
          <w:highlight w:val="none"/>
          <w:lang w:val="en-US" w:eastAsia="zh-CN"/>
        </w:rPr>
      </w:pPr>
      <w:r>
        <w:rPr>
          <w:rFonts w:hint="eastAsia" w:ascii="宋体" w:hAnsi="宋体" w:cs="宋体"/>
          <w:bCs/>
          <w:color w:val="000000"/>
          <w:sz w:val="28"/>
          <w:szCs w:val="28"/>
          <w:highlight w:val="none"/>
        </w:rPr>
        <w:br w:type="page" w:clear="all"/>
      </w:r>
      <w:bookmarkStart w:id="49" w:name="_Toc23899"/>
      <w:r>
        <w:rPr>
          <w:rFonts w:hint="eastAsia" w:ascii="宋体" w:hAnsi="宋体" w:cs="宋体"/>
          <w:b/>
          <w:color w:val="000000"/>
          <w:sz w:val="32"/>
          <w:szCs w:val="32"/>
          <w:highlight w:val="none"/>
          <w:lang w:val="en-US" w:eastAsia="zh-CN"/>
        </w:rPr>
        <w:t>第四章 招标项目的技术规格、要求和数量等</w:t>
      </w:r>
      <w:bookmarkEnd w:id="49"/>
    </w:p>
    <w:p w14:paraId="7D1702EE">
      <w:pPr>
        <w:rPr>
          <w:rFonts w:hint="eastAsia" w:ascii="宋体" w:hAnsi="宋体" w:eastAsia="宋体" w:cs="宋体"/>
          <w:highlight w:val="none"/>
          <w:u w:val="none"/>
        </w:rPr>
      </w:pPr>
    </w:p>
    <w:p w14:paraId="679D4AEA">
      <w:pPr>
        <w:rPr>
          <w:rFonts w:hint="eastAsia" w:ascii="宋体" w:hAnsi="宋体" w:eastAsia="宋体" w:cs="宋体"/>
          <w:b/>
          <w:bCs/>
          <w:sz w:val="30"/>
          <w:szCs w:val="30"/>
          <w:highlight w:val="none"/>
          <w:u w:val="none"/>
        </w:rPr>
      </w:pPr>
      <w:r>
        <w:rPr>
          <w:rFonts w:hint="eastAsia" w:ascii="宋体" w:hAnsi="宋体" w:eastAsia="宋体" w:cs="宋体"/>
          <w:b/>
          <w:bCs/>
          <w:sz w:val="30"/>
          <w:szCs w:val="30"/>
          <w:highlight w:val="none"/>
          <w:u w:val="none"/>
        </w:rPr>
        <w:t>一、项目概况</w:t>
      </w:r>
    </w:p>
    <w:p w14:paraId="35A9EB20">
      <w:pPr>
        <w:rPr>
          <w:rFonts w:hint="eastAsia" w:ascii="宋体" w:hAnsi="宋体" w:eastAsia="宋体" w:cs="宋体"/>
          <w:b/>
          <w:bCs/>
          <w:highlight w:val="none"/>
          <w:u w:val="none"/>
        </w:rPr>
      </w:pPr>
      <w:r>
        <w:rPr>
          <w:rFonts w:hint="eastAsia" w:ascii="宋体" w:hAnsi="宋体" w:eastAsia="宋体" w:cs="宋体"/>
          <w:b/>
          <w:bCs/>
          <w:highlight w:val="none"/>
          <w:u w:val="none"/>
        </w:rPr>
        <w:t>项目名称：</w:t>
      </w:r>
    </w:p>
    <w:p w14:paraId="585FDB9E">
      <w:pPr>
        <w:ind w:firstLine="420" w:firstLineChars="200"/>
        <w:rPr>
          <w:rFonts w:hint="eastAsia" w:ascii="宋体" w:hAnsi="宋体" w:eastAsia="宋体" w:cs="宋体"/>
          <w:b/>
          <w:bCs/>
          <w:highlight w:val="none"/>
          <w:u w:val="none"/>
        </w:rPr>
      </w:pPr>
      <w:r>
        <w:rPr>
          <w:rFonts w:hint="eastAsia" w:ascii="宋体" w:hAnsi="宋体" w:eastAsia="宋体" w:cs="宋体"/>
          <w:highlight w:val="none"/>
          <w:u w:val="none"/>
        </w:rPr>
        <w:t>马诚山、马子山墓区综合服务采购</w:t>
      </w:r>
    </w:p>
    <w:p w14:paraId="5844758D">
      <w:pPr>
        <w:rPr>
          <w:rFonts w:hint="eastAsia" w:ascii="宋体" w:hAnsi="宋体" w:eastAsia="宋体" w:cs="宋体"/>
          <w:b/>
          <w:bCs/>
          <w:highlight w:val="none"/>
          <w:u w:val="none"/>
        </w:rPr>
      </w:pPr>
      <w:r>
        <w:rPr>
          <w:rFonts w:hint="eastAsia" w:ascii="宋体" w:hAnsi="宋体" w:eastAsia="宋体" w:cs="宋体"/>
          <w:b/>
          <w:bCs/>
          <w:highlight w:val="none"/>
          <w:u w:val="none"/>
        </w:rPr>
        <w:t>项目简介：</w:t>
      </w:r>
    </w:p>
    <w:p w14:paraId="4EEF5E7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马诚山、马子山墓区相关配套服务，除墓体石材、墓碑成品采购制作外，包括但不限于墓穴基础建设、地下墓室建设、墓体安装、环境整治、绿化保洁、值守、材料保管、零星维修服务等，据实结算。</w:t>
      </w:r>
    </w:p>
    <w:p w14:paraId="1237D336">
      <w:pPr>
        <w:ind w:firstLine="420" w:firstLineChars="200"/>
        <w:rPr>
          <w:rFonts w:hint="eastAsia" w:ascii="宋体" w:hAnsi="宋体" w:eastAsia="宋体" w:cs="宋体"/>
          <w:b/>
          <w:bCs/>
          <w:highlight w:val="none"/>
          <w:u w:val="none"/>
        </w:rPr>
      </w:pPr>
      <w:r>
        <w:rPr>
          <w:rFonts w:hint="eastAsia" w:ascii="宋体" w:hAnsi="宋体" w:eastAsia="宋体" w:cs="宋体"/>
          <w:highlight w:val="none"/>
          <w:u w:val="none"/>
        </w:rPr>
        <w:t>合同履行期限为三年，合同实行一年一签，最多可续签两次。履约期间每年开展四次季度</w:t>
      </w:r>
      <w:r>
        <w:rPr>
          <w:rFonts w:hint="eastAsia" w:ascii="宋体" w:hAnsi="宋体" w:eastAsia="宋体" w:cs="宋体"/>
          <w:highlight w:val="none"/>
          <w:u w:val="none"/>
          <w:lang w:val="en-US" w:eastAsia="zh-CN"/>
        </w:rPr>
        <w:t>业务</w:t>
      </w:r>
      <w:r>
        <w:rPr>
          <w:rFonts w:hint="eastAsia" w:ascii="宋体" w:hAnsi="宋体" w:eastAsia="宋体" w:cs="宋体"/>
          <w:highlight w:val="none"/>
          <w:u w:val="none"/>
        </w:rPr>
        <w:t>考核和两次半年度综合结算考核，其中半年度综合结算考核得分以当</w:t>
      </w:r>
      <w:r>
        <w:rPr>
          <w:rFonts w:hint="eastAsia" w:ascii="宋体" w:hAnsi="宋体" w:eastAsia="宋体" w:cs="宋体"/>
          <w:highlight w:val="none"/>
          <w:u w:val="none"/>
          <w:lang w:val="en-US" w:eastAsia="zh-CN"/>
        </w:rPr>
        <w:t>期半</w:t>
      </w:r>
      <w:r>
        <w:rPr>
          <w:rFonts w:hint="eastAsia" w:ascii="宋体" w:hAnsi="宋体" w:eastAsia="宋体" w:cs="宋体"/>
          <w:highlight w:val="none"/>
          <w:u w:val="none"/>
        </w:rPr>
        <w:t>年度两个季度</w:t>
      </w:r>
      <w:r>
        <w:rPr>
          <w:rFonts w:hint="eastAsia" w:ascii="宋体" w:hAnsi="宋体" w:eastAsia="宋体" w:cs="宋体"/>
          <w:highlight w:val="none"/>
          <w:u w:val="none"/>
          <w:lang w:val="en-US" w:eastAsia="zh-CN"/>
        </w:rPr>
        <w:t>业务</w:t>
      </w:r>
      <w:r>
        <w:rPr>
          <w:rFonts w:hint="eastAsia" w:ascii="宋体" w:hAnsi="宋体" w:eastAsia="宋体" w:cs="宋体"/>
          <w:highlight w:val="none"/>
          <w:u w:val="none"/>
        </w:rPr>
        <w:t>考核评分的算术平均值为准。供应商若年度内任一次半年度综合结算考核结果为基本合格或以下，则</w:t>
      </w:r>
      <w:r>
        <w:rPr>
          <w:rFonts w:hint="eastAsia" w:ascii="宋体" w:hAnsi="宋体" w:eastAsia="宋体" w:cs="宋体"/>
          <w:highlight w:val="none"/>
          <w:u w:val="none"/>
          <w:lang w:val="en-US" w:eastAsia="zh-CN"/>
        </w:rPr>
        <w:t>采购人有权</w:t>
      </w:r>
      <w:r>
        <w:rPr>
          <w:rFonts w:hint="eastAsia" w:ascii="宋体" w:hAnsi="宋体" w:eastAsia="宋体" w:cs="宋体"/>
          <w:highlight w:val="none"/>
          <w:u w:val="none"/>
        </w:rPr>
        <w:t>不予续签。</w:t>
      </w:r>
      <w:r>
        <w:rPr>
          <w:rFonts w:hint="eastAsia" w:ascii="宋体" w:hAnsi="宋体" w:eastAsia="宋体" w:cs="宋体"/>
          <w:highlight w:val="none"/>
          <w:u w:val="none"/>
          <w:lang w:eastAsia="zh-CN"/>
        </w:rPr>
        <w:t>（</w:t>
      </w:r>
      <w:r>
        <w:rPr>
          <w:rFonts w:hint="eastAsia" w:ascii="宋体" w:hAnsi="宋体" w:eastAsia="宋体" w:cs="宋体"/>
          <w:highlight w:val="none"/>
          <w:u w:val="none"/>
        </w:rPr>
        <w:t>具体考核与结算机制详见本章'六、综合考核与结算'部分</w:t>
      </w:r>
      <w:r>
        <w:rPr>
          <w:rFonts w:hint="eastAsia" w:ascii="宋体" w:hAnsi="宋体" w:eastAsia="宋体" w:cs="宋体"/>
          <w:highlight w:val="none"/>
          <w:u w:val="none"/>
          <w:lang w:eastAsia="zh-CN"/>
        </w:rPr>
        <w:t>。）</w:t>
      </w:r>
    </w:p>
    <w:p w14:paraId="2C0BAB6D">
      <w:pPr>
        <w:rPr>
          <w:rFonts w:hint="eastAsia" w:ascii="宋体" w:hAnsi="宋体" w:eastAsia="宋体" w:cs="宋体"/>
          <w:b/>
          <w:bCs/>
          <w:highlight w:val="none"/>
          <w:u w:val="none"/>
        </w:rPr>
      </w:pPr>
      <w:r>
        <w:rPr>
          <w:rFonts w:hint="eastAsia" w:ascii="宋体" w:hAnsi="宋体" w:eastAsia="宋体" w:cs="宋体"/>
          <w:b/>
          <w:bCs/>
          <w:highlight w:val="none"/>
          <w:u w:val="none"/>
        </w:rPr>
        <w:t>预算金额：</w:t>
      </w:r>
    </w:p>
    <w:p w14:paraId="7CE7F89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540万元。</w:t>
      </w:r>
    </w:p>
    <w:p w14:paraId="5D6B7DFA">
      <w:pPr>
        <w:rPr>
          <w:rFonts w:hint="eastAsia" w:ascii="宋体" w:hAnsi="宋体" w:eastAsia="宋体" w:cs="宋体"/>
          <w:b/>
          <w:bCs/>
          <w:highlight w:val="none"/>
          <w:u w:val="none"/>
        </w:rPr>
      </w:pPr>
      <w:r>
        <w:rPr>
          <w:rFonts w:hint="eastAsia" w:ascii="宋体" w:hAnsi="宋体" w:eastAsia="宋体" w:cs="宋体"/>
          <w:b/>
          <w:bCs/>
          <w:highlight w:val="none"/>
          <w:u w:val="none"/>
        </w:rPr>
        <w:t>报价包含：</w:t>
      </w:r>
    </w:p>
    <w:p w14:paraId="19878A4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投标人的投标报价应涵盖服务期内完成本项目全部约定服务内容、履行全部合同义务所需的所有费用，包括但不限于：各岗位人员工资、社保、福利、劳保、培训费用；基建、安装、维修、养护、消杀、苗木（公共区域）等全流程所需的辅材、耗材费用；作业机具设备的租赁/折旧、运维、燃油费用；安全文明施工费、人员意外保险、第三者责任保险、应急保障费用；项目管理费、合规税费、利润以及服务期内应对祭扫高峰临时保障、突发任务处置、材料保管、周转运输及二次搬运等所有不可预见成本。项目实施过程中不再变更任何费用。</w:t>
      </w:r>
    </w:p>
    <w:p w14:paraId="42AC33CB">
      <w:pPr>
        <w:rPr>
          <w:rFonts w:hint="eastAsia" w:ascii="宋体" w:hAnsi="宋体" w:eastAsia="宋体" w:cs="宋体"/>
          <w:highlight w:val="none"/>
          <w:u w:val="none"/>
        </w:rPr>
      </w:pPr>
      <w:r>
        <w:rPr>
          <w:rFonts w:hint="eastAsia" w:ascii="宋体" w:hAnsi="宋体" w:eastAsia="宋体" w:cs="宋体"/>
          <w:b/>
          <w:bCs/>
          <w:sz w:val="30"/>
          <w:szCs w:val="30"/>
          <w:highlight w:val="none"/>
          <w:u w:val="none"/>
        </w:rPr>
        <w:t>二、项目总体要求</w:t>
      </w:r>
    </w:p>
    <w:p w14:paraId="42A8C29B">
      <w:pPr>
        <w:rPr>
          <w:rFonts w:hint="eastAsia" w:ascii="宋体" w:hAnsi="宋体" w:eastAsia="宋体" w:cs="宋体"/>
          <w:b/>
          <w:bCs/>
          <w:highlight w:val="none"/>
          <w:u w:val="none"/>
        </w:rPr>
      </w:pPr>
      <w:r>
        <w:rPr>
          <w:rFonts w:hint="eastAsia" w:ascii="宋体" w:hAnsi="宋体" w:eastAsia="宋体" w:cs="宋体"/>
          <w:b/>
          <w:bCs/>
          <w:highlight w:val="none"/>
          <w:u w:val="none"/>
        </w:rPr>
        <w:t>服务定位：</w:t>
      </w:r>
    </w:p>
    <w:p w14:paraId="14A5B2B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 xml:space="preserve">本项目为马诚山、马子山墓区提供综合性、一体化后勤保障服务，涵盖从墓穴基础建设、落葬协助、墓体安装到环境维护、绿化保洁、安全值守、材料保管、零星维修的全链条工作。   </w:t>
      </w:r>
    </w:p>
    <w:p w14:paraId="765516B8">
      <w:pPr>
        <w:rPr>
          <w:rFonts w:hint="eastAsia" w:ascii="宋体" w:hAnsi="宋体" w:eastAsia="宋体" w:cs="宋体"/>
          <w:b/>
          <w:bCs/>
          <w:highlight w:val="none"/>
          <w:u w:val="none"/>
        </w:rPr>
      </w:pPr>
      <w:r>
        <w:rPr>
          <w:rFonts w:hint="eastAsia" w:ascii="宋体" w:hAnsi="宋体" w:eastAsia="宋体" w:cs="宋体"/>
          <w:b/>
          <w:bCs/>
          <w:highlight w:val="none"/>
          <w:u w:val="none"/>
        </w:rPr>
        <w:t>核心原则：</w:t>
      </w:r>
    </w:p>
    <w:p w14:paraId="7F9B288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所有</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服务人员须严格遵守国家及地方殡葬服务管理相关规定，充分尊重当地丧葬礼仪、习俗禁忌，恪守职业道德，维护</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声誉和利益，保障墓区运营秩序肃穆、安全、有序，满足群众祭扫活动需求。</w:t>
      </w:r>
    </w:p>
    <w:p w14:paraId="1C1C6FC2">
      <w:pPr>
        <w:rPr>
          <w:rFonts w:hint="eastAsia" w:ascii="宋体" w:hAnsi="宋体" w:eastAsia="宋体" w:cs="宋体"/>
          <w:b w:val="0"/>
          <w:bCs w:val="0"/>
          <w:highlight w:val="none"/>
          <w:u w:val="none"/>
        </w:rPr>
      </w:pPr>
      <w:r>
        <w:rPr>
          <w:rFonts w:hint="eastAsia" w:ascii="宋体" w:hAnsi="宋体" w:eastAsia="宋体" w:cs="宋体"/>
          <w:b w:val="0"/>
          <w:bCs w:val="0"/>
          <w:highlight w:val="none"/>
          <w:u w:val="none"/>
        </w:rPr>
        <w:t>服务人员在公墓区域内须严格遵守以下行为规范：</w:t>
      </w:r>
    </w:p>
    <w:p w14:paraId="3ABD858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工作纪律方面：严禁迟到、早退、旷工、擅离职守、脱岗睡岗、值班期间饮酒或从事与工作无关事项。</w:t>
      </w:r>
    </w:p>
    <w:p w14:paraId="46004E0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服务态度方面：严禁对丧属态度冷漠、推诿扯皮、言语冲突、歧视刁难，须主动热情服务，耐心解答咨询。</w:t>
      </w:r>
    </w:p>
    <w:p w14:paraId="3020ED9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仪容仪表方面：严禁着装不整、仪容不雅、在公墓区域内吸烟、喧哗或使用手机影响服务，须保持庄重肃穆形象。</w:t>
      </w:r>
    </w:p>
    <w:p w14:paraId="14A43A9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廉洁从业方面：严禁违规做私活、收受小费、私自售卖殡葬用品</w:t>
      </w:r>
      <w:r>
        <w:rPr>
          <w:rFonts w:hint="eastAsia" w:ascii="宋体" w:hAnsi="宋体" w:eastAsia="宋体" w:cs="宋体"/>
          <w:highlight w:val="none"/>
          <w:u w:val="none"/>
          <w:lang w:val="en-US" w:eastAsia="zh-CN"/>
        </w:rPr>
        <w:t>或各类商品</w:t>
      </w:r>
      <w:r>
        <w:rPr>
          <w:rFonts w:hint="eastAsia" w:ascii="宋体" w:hAnsi="宋体" w:eastAsia="宋体" w:cs="宋体"/>
          <w:highlight w:val="none"/>
          <w:u w:val="none"/>
        </w:rPr>
        <w:t>、索要或接受丧属财物、利用职务便利谋取私利。</w:t>
      </w:r>
    </w:p>
    <w:p w14:paraId="01071E1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5.</w:t>
      </w:r>
      <w:r>
        <w:rPr>
          <w:rFonts w:hint="eastAsia" w:ascii="宋体" w:hAnsi="宋体" w:eastAsia="宋体" w:cs="宋体"/>
          <w:highlight w:val="none"/>
          <w:u w:val="none"/>
        </w:rPr>
        <w:t>安全管理方面：严禁违反消防安全规定、违规使用明火或电器、堵塞消防通道、拾获物品不上交、发现安全隐患不及时报告或发生安全事故隐瞒不报。</w:t>
      </w:r>
    </w:p>
    <w:p w14:paraId="15C000C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6.</w:t>
      </w:r>
      <w:r>
        <w:rPr>
          <w:rFonts w:hint="eastAsia" w:ascii="宋体" w:hAnsi="宋体" w:eastAsia="宋体" w:cs="宋体"/>
          <w:highlight w:val="none"/>
          <w:u w:val="none"/>
        </w:rPr>
        <w:t>操作规程方面：严禁违反殡葬服务操作规程、擅自改变安葬/祭扫流程、损坏公墓设施或绿化、违规处理骨灰或遗物。</w:t>
      </w:r>
    </w:p>
    <w:p w14:paraId="1439079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7.</w:t>
      </w:r>
      <w:r>
        <w:rPr>
          <w:rFonts w:hint="eastAsia" w:ascii="宋体" w:hAnsi="宋体" w:eastAsia="宋体" w:cs="宋体"/>
          <w:highlight w:val="none"/>
          <w:u w:val="none"/>
        </w:rPr>
        <w:t>信息保密方面：严禁泄露逝者及家属信息、擅自传播殡葬现场影像、违规查询或提供墓位信息，严格保护丧属隐私。</w:t>
      </w:r>
    </w:p>
    <w:p w14:paraId="18414AC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8.</w:t>
      </w:r>
      <w:r>
        <w:rPr>
          <w:rFonts w:hint="eastAsia" w:ascii="宋体" w:hAnsi="宋体" w:eastAsia="宋体" w:cs="宋体"/>
          <w:highlight w:val="none"/>
          <w:u w:val="none"/>
        </w:rPr>
        <w:t>人际关系方面：严禁搬弄是非、散布不实言论、制造</w:t>
      </w:r>
      <w:r>
        <w:rPr>
          <w:rFonts w:hint="eastAsia" w:ascii="宋体" w:hAnsi="宋体" w:eastAsia="宋体" w:cs="宋体"/>
          <w:highlight w:val="none"/>
          <w:u w:val="none"/>
          <w:lang w:val="en-US" w:eastAsia="zh-CN"/>
        </w:rPr>
        <w:t>/激化</w:t>
      </w:r>
      <w:r>
        <w:rPr>
          <w:rFonts w:hint="eastAsia" w:ascii="宋体" w:hAnsi="宋体" w:eastAsia="宋体" w:cs="宋体"/>
          <w:highlight w:val="none"/>
          <w:u w:val="none"/>
        </w:rPr>
        <w:t>矛盾纠纷，或以任何形式损害</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形象、声誉或合法权益，以及其他可能给</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造成负面影响或不必要麻烦的行为。</w:t>
      </w:r>
    </w:p>
    <w:p w14:paraId="760AA57A">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中标</w:t>
      </w:r>
      <w:r>
        <w:rPr>
          <w:rFonts w:hint="eastAsia" w:ascii="宋体" w:hAnsi="宋体" w:eastAsia="宋体" w:cs="宋体"/>
          <w:highlight w:val="none"/>
          <w:u w:val="none"/>
          <w:lang w:val="en-US" w:eastAsia="zh-CN"/>
        </w:rPr>
        <w:t>人</w:t>
      </w:r>
      <w:r>
        <w:rPr>
          <w:rFonts w:hint="eastAsia" w:ascii="宋体" w:hAnsi="宋体" w:eastAsia="宋体" w:cs="宋体"/>
          <w:highlight w:val="none"/>
          <w:u w:val="none"/>
        </w:rPr>
        <w:t>须加强对服务人员的教育管理和监督，确保服务人员严格遵守上述规定。一经发现并核实中标人存在上述违规行为，</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有权要求中标人按违约行为所涉分项服务当月应付服务费的10%支付违约金。若违约行为无法归入具体分项服务</w:t>
      </w:r>
      <w:r>
        <w:rPr>
          <w:rFonts w:hint="eastAsia" w:ascii="宋体" w:hAnsi="宋体" w:eastAsia="宋体" w:cs="宋体"/>
          <w:highlight w:val="none"/>
          <w:u w:val="none"/>
          <w:lang w:val="en-US" w:eastAsia="zh-CN"/>
        </w:rPr>
        <w:t>测算金额</w:t>
      </w:r>
      <w:r>
        <w:rPr>
          <w:rFonts w:hint="eastAsia" w:ascii="宋体" w:hAnsi="宋体" w:eastAsia="宋体" w:cs="宋体"/>
          <w:highlight w:val="none"/>
          <w:u w:val="none"/>
        </w:rPr>
        <w:t>的，</w:t>
      </w:r>
      <w:r>
        <w:rPr>
          <w:rFonts w:hint="eastAsia" w:ascii="宋体" w:hAnsi="宋体" w:eastAsia="宋体" w:cs="宋体"/>
          <w:highlight w:val="none"/>
          <w:u w:val="none"/>
          <w:lang w:val="en-US" w:eastAsia="zh-CN"/>
        </w:rPr>
        <w:t>则</w:t>
      </w:r>
      <w:r>
        <w:rPr>
          <w:rFonts w:hint="eastAsia" w:ascii="宋体" w:hAnsi="宋体" w:eastAsia="宋体" w:cs="宋体"/>
          <w:highlight w:val="none"/>
          <w:u w:val="none"/>
        </w:rPr>
        <w:t>按本项目当月总服务费的10%支付违约金</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相关</w:t>
      </w:r>
      <w:r>
        <w:rPr>
          <w:rFonts w:hint="eastAsia" w:ascii="宋体" w:hAnsi="宋体" w:eastAsia="宋体" w:cs="宋体"/>
          <w:highlight w:val="none"/>
          <w:u w:val="none"/>
          <w:lang w:eastAsia="zh-CN"/>
        </w:rPr>
        <w:t>违约责任按本章'违约责任总则'条款执行。</w:t>
      </w:r>
    </w:p>
    <w:p w14:paraId="7AC29807">
      <w:pPr>
        <w:rPr>
          <w:rFonts w:hint="eastAsia" w:ascii="宋体" w:hAnsi="宋体" w:eastAsia="宋体" w:cs="宋体"/>
          <w:b/>
          <w:bCs/>
          <w:highlight w:val="none"/>
          <w:u w:val="none"/>
        </w:rPr>
      </w:pPr>
      <w:r>
        <w:rPr>
          <w:rFonts w:hint="eastAsia" w:ascii="宋体" w:hAnsi="宋体" w:eastAsia="宋体" w:cs="宋体"/>
          <w:b/>
          <w:bCs/>
          <w:highlight w:val="none"/>
          <w:u w:val="none"/>
        </w:rPr>
        <w:t>人员配置与响应时效：</w:t>
      </w:r>
    </w:p>
    <w:p w14:paraId="2442466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须委派不低于8名工作人员常驻两处墓区周边区域，并确定1名项目联系人，由于殡葬工作的特殊性，所委派人员应随时响应</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要求</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工作时间内</w:t>
      </w:r>
      <w:r>
        <w:rPr>
          <w:rFonts w:hint="eastAsia" w:ascii="宋体" w:hAnsi="宋体" w:eastAsia="宋体" w:cs="宋体"/>
          <w:highlight w:val="none"/>
          <w:u w:val="none"/>
        </w:rPr>
        <w:t>确保在</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通知后1小时内到达现场，及时开展</w:t>
      </w:r>
      <w:r>
        <w:rPr>
          <w:rFonts w:hint="eastAsia" w:ascii="宋体" w:hAnsi="宋体" w:eastAsia="宋体" w:cs="宋体"/>
          <w:highlight w:val="none"/>
          <w:u w:val="none"/>
          <w:lang w:val="en-US" w:eastAsia="zh-CN"/>
        </w:rPr>
        <w:t>包括但不限于：位置确认、</w:t>
      </w:r>
      <w:r>
        <w:rPr>
          <w:rFonts w:hint="eastAsia" w:ascii="宋体" w:hAnsi="宋体" w:eastAsia="宋体" w:cs="宋体"/>
          <w:highlight w:val="none"/>
          <w:u w:val="none"/>
        </w:rPr>
        <w:t>开坑、下椁、落葬、维修</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应急处置</w:t>
      </w:r>
      <w:r>
        <w:rPr>
          <w:rFonts w:hint="eastAsia" w:ascii="宋体" w:hAnsi="宋体" w:cs="宋体"/>
          <w:highlight w:val="none"/>
          <w:u w:val="none"/>
          <w:lang w:val="en-US" w:eastAsia="zh-CN"/>
        </w:rPr>
        <w:t>、卫生保洁</w:t>
      </w:r>
      <w:r>
        <w:rPr>
          <w:rFonts w:hint="eastAsia" w:ascii="宋体" w:hAnsi="宋体" w:eastAsia="宋体" w:cs="宋体"/>
          <w:highlight w:val="none"/>
          <w:u w:val="none"/>
        </w:rPr>
        <w:t>等相关工作。</w:t>
      </w:r>
    </w:p>
    <w:p w14:paraId="455606FC">
      <w:pPr>
        <w:rPr>
          <w:rFonts w:hint="eastAsia" w:ascii="宋体" w:hAnsi="宋体" w:eastAsia="宋体" w:cs="宋体"/>
          <w:highlight w:val="none"/>
          <w:u w:val="none"/>
        </w:rPr>
      </w:pPr>
      <w:r>
        <w:rPr>
          <w:rFonts w:hint="eastAsia" w:ascii="宋体" w:hAnsi="宋体" w:eastAsia="宋体" w:cs="宋体"/>
          <w:highlight w:val="none"/>
          <w:u w:val="none"/>
        </w:rPr>
        <w:t xml:space="preserve">    工作人员须统一着装，言行规范，依法依规尊重少数民族</w:t>
      </w:r>
      <w:r>
        <w:rPr>
          <w:rFonts w:hint="eastAsia" w:ascii="宋体" w:hAnsi="宋体" w:eastAsia="宋体" w:cs="宋体"/>
          <w:highlight w:val="none"/>
          <w:u w:val="none"/>
          <w:lang w:val="en-US" w:eastAsia="zh-CN"/>
        </w:rPr>
        <w:t>与当地</w:t>
      </w:r>
      <w:r>
        <w:rPr>
          <w:rFonts w:hint="eastAsia" w:ascii="宋体" w:hAnsi="宋体" w:eastAsia="宋体" w:cs="宋体"/>
          <w:highlight w:val="none"/>
          <w:u w:val="none"/>
        </w:rPr>
        <w:t>风俗习惯。</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不提供食宿</w:t>
      </w:r>
      <w:r>
        <w:rPr>
          <w:rFonts w:hint="eastAsia" w:ascii="宋体" w:hAnsi="宋体" w:eastAsia="宋体" w:cs="宋体"/>
          <w:highlight w:val="none"/>
          <w:u w:val="none"/>
          <w:lang w:val="en-US" w:eastAsia="zh-CN"/>
        </w:rPr>
        <w:t>行</w:t>
      </w:r>
      <w:r>
        <w:rPr>
          <w:rFonts w:hint="eastAsia" w:ascii="宋体" w:hAnsi="宋体" w:eastAsia="宋体" w:cs="宋体"/>
          <w:highlight w:val="none"/>
          <w:u w:val="none"/>
        </w:rPr>
        <w:t>，所有人员费用由中标方承担。</w:t>
      </w:r>
    </w:p>
    <w:p w14:paraId="0EA64E65">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u w:val="none"/>
        </w:rPr>
      </w:pPr>
      <w:r>
        <w:rPr>
          <w:rFonts w:hint="eastAsia" w:ascii="宋体" w:hAnsi="宋体" w:eastAsia="宋体" w:cs="宋体"/>
          <w:highlight w:val="none"/>
          <w:u w:val="none"/>
        </w:rPr>
        <w:t>进场施工时，须向</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出示人员施工安排配置表，并明晰所负责的内容，以便核对管理。</w:t>
      </w:r>
    </w:p>
    <w:p w14:paraId="19B20D0B">
      <w:pPr>
        <w:rPr>
          <w:rFonts w:hint="eastAsia" w:ascii="宋体" w:hAnsi="宋体" w:eastAsia="宋体" w:cs="宋体"/>
          <w:b/>
          <w:bCs/>
          <w:highlight w:val="none"/>
          <w:u w:val="none"/>
        </w:rPr>
      </w:pPr>
      <w:r>
        <w:rPr>
          <w:rFonts w:hint="eastAsia" w:ascii="宋体" w:hAnsi="宋体" w:eastAsia="宋体" w:cs="宋体"/>
          <w:b/>
          <w:bCs/>
          <w:highlight w:val="none"/>
          <w:u w:val="none"/>
        </w:rPr>
        <w:t>安全管理总则：</w:t>
      </w:r>
    </w:p>
    <w:p w14:paraId="5AA141D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u w:val="none"/>
        </w:rPr>
      </w:pPr>
      <w:r>
        <w:rPr>
          <w:rFonts w:hint="eastAsia" w:ascii="宋体" w:hAnsi="宋体" w:eastAsia="宋体" w:cs="宋体"/>
          <w:highlight w:val="none"/>
          <w:u w:val="none"/>
        </w:rPr>
        <w:t>从事墓穴开坑、下椁、墓</w:t>
      </w:r>
      <w:r>
        <w:rPr>
          <w:rFonts w:hint="eastAsia" w:ascii="宋体" w:hAnsi="宋体" w:eastAsia="宋体" w:cs="宋体"/>
          <w:highlight w:val="none"/>
          <w:u w:val="none"/>
          <w:lang w:val="en-US" w:eastAsia="zh-CN"/>
        </w:rPr>
        <w:t>体安装</w:t>
      </w:r>
      <w:r>
        <w:rPr>
          <w:rFonts w:hint="eastAsia" w:ascii="宋体" w:hAnsi="宋体" w:eastAsia="宋体" w:cs="宋体"/>
          <w:highlight w:val="none"/>
          <w:u w:val="none"/>
        </w:rPr>
        <w:t>等全过程作业时，</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必须为所委派的劳务人员配置安全作业的工具和使用劳动保护用品。</w:t>
      </w:r>
    </w:p>
    <w:p w14:paraId="7E113976">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u w:val="none"/>
        </w:rPr>
      </w:pPr>
      <w:r>
        <w:rPr>
          <w:rFonts w:hint="eastAsia" w:ascii="宋体" w:hAnsi="宋体" w:eastAsia="宋体" w:cs="宋体"/>
          <w:highlight w:val="none"/>
          <w:u w:val="none"/>
        </w:rPr>
        <w:t>施工期间须按国家规范及要求设置足够警示</w:t>
      </w:r>
      <w:r>
        <w:rPr>
          <w:rFonts w:hint="eastAsia" w:ascii="宋体" w:hAnsi="宋体" w:eastAsia="宋体" w:cs="宋体"/>
          <w:highlight w:val="none"/>
          <w:u w:val="none"/>
          <w:lang w:eastAsia="zh-CN"/>
        </w:rPr>
        <w:t>、</w:t>
      </w:r>
      <w:r>
        <w:rPr>
          <w:rFonts w:hint="eastAsia" w:ascii="宋体" w:hAnsi="宋体" w:eastAsia="宋体" w:cs="宋体"/>
          <w:highlight w:val="none"/>
          <w:u w:val="none"/>
        </w:rPr>
        <w:t>防护标志</w:t>
      </w:r>
      <w:r>
        <w:rPr>
          <w:rFonts w:hint="eastAsia" w:ascii="宋体" w:hAnsi="宋体" w:eastAsia="宋体" w:cs="宋体"/>
          <w:highlight w:val="none"/>
          <w:u w:val="none"/>
          <w:lang w:val="en-US" w:eastAsia="zh-CN"/>
        </w:rPr>
        <w:t>或设立安全围挡</w:t>
      </w:r>
      <w:r>
        <w:rPr>
          <w:rFonts w:hint="eastAsia" w:ascii="宋体" w:hAnsi="宋体" w:eastAsia="宋体" w:cs="宋体"/>
          <w:highlight w:val="none"/>
          <w:u w:val="none"/>
        </w:rPr>
        <w:t>，为所委派的人员缴纳意外险、责任险等相关保险。</w:t>
      </w:r>
    </w:p>
    <w:p w14:paraId="042CD71D">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u w:val="none"/>
        </w:rPr>
      </w:pPr>
      <w:r>
        <w:rPr>
          <w:rFonts w:hint="eastAsia" w:ascii="宋体" w:hAnsi="宋体" w:eastAsia="宋体" w:cs="宋体"/>
          <w:highlight w:val="none"/>
          <w:u w:val="none"/>
        </w:rPr>
        <w:t>施工、安装、值守等全作业期间引发的任何人身伤亡、消防安全（特别是山林防火）、交通事故等安全事故，均由中标人承担全部责任和费用。</w:t>
      </w:r>
    </w:p>
    <w:p w14:paraId="2220BE48">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ascii="宋体" w:hAnsi="宋体" w:eastAsia="宋体" w:cs="宋体"/>
          <w:highlight w:val="none"/>
          <w:u w:val="none"/>
          <w:lang w:val="en-US" w:eastAsia="zh-CN"/>
        </w:rPr>
      </w:pPr>
      <w:r>
        <w:rPr>
          <w:rFonts w:hint="eastAsia" w:ascii="宋体" w:hAnsi="宋体" w:cs="宋体"/>
          <w:highlight w:val="none"/>
          <w:u w:val="none"/>
          <w:lang w:val="en-US" w:eastAsia="zh-CN"/>
        </w:rPr>
        <w:t>值</w:t>
      </w:r>
      <w:r>
        <w:rPr>
          <w:rFonts w:hint="eastAsia" w:ascii="宋体" w:hAnsi="宋体" w:eastAsia="宋体" w:cs="宋体"/>
          <w:highlight w:val="none"/>
          <w:u w:val="none"/>
        </w:rPr>
        <w:t>守人员需保持园内全时段安静、不得喧哗、不得携带任何外人进入墓园区域。若因违反上述规定而导致一切安全事故或产生任何违法行为，</w:t>
      </w:r>
      <w:r>
        <w:rPr>
          <w:rFonts w:hint="eastAsia" w:ascii="宋体" w:hAnsi="宋体" w:eastAsia="宋体" w:cs="宋体"/>
          <w:highlight w:val="none"/>
          <w:u w:val="none"/>
          <w:lang w:val="en-US" w:eastAsia="zh-CN"/>
        </w:rPr>
        <w:t>相关违约责任按本章'违约责任总则'条款执行。</w:t>
      </w:r>
    </w:p>
    <w:p w14:paraId="1781C082">
      <w:pPr>
        <w:rPr>
          <w:rFonts w:hint="eastAsia" w:ascii="宋体" w:hAnsi="宋体" w:eastAsia="宋体" w:cs="宋体"/>
          <w:b/>
          <w:bCs/>
          <w:highlight w:val="none"/>
          <w:u w:val="none"/>
        </w:rPr>
      </w:pPr>
      <w:r>
        <w:rPr>
          <w:rFonts w:hint="eastAsia" w:ascii="宋体" w:hAnsi="宋体" w:eastAsia="宋体" w:cs="宋体"/>
          <w:b/>
          <w:bCs/>
          <w:highlight w:val="none"/>
          <w:u w:val="none"/>
        </w:rPr>
        <w:t>习俗适配总则：</w:t>
      </w:r>
    </w:p>
    <w:p w14:paraId="43E00C37">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施工、安装、保洁、值守等所有环节均不得破坏墓区肃穆氛围。作业人员上岗前须接受当地殡葬习俗专项培训</w:t>
      </w:r>
      <w:r>
        <w:rPr>
          <w:rFonts w:hint="eastAsia" w:ascii="宋体" w:hAnsi="宋体" w:eastAsia="宋体" w:cs="宋体"/>
          <w:highlight w:val="none"/>
          <w:u w:val="none"/>
          <w:lang w:val="en-US" w:eastAsia="zh-CN"/>
        </w:rPr>
        <w:t>与饮食禁忌培训</w:t>
      </w:r>
      <w:r>
        <w:rPr>
          <w:rFonts w:hint="eastAsia" w:ascii="宋体" w:hAnsi="宋体" w:eastAsia="宋体" w:cs="宋体"/>
          <w:highlight w:val="none"/>
          <w:u w:val="none"/>
        </w:rPr>
        <w:t>，严禁佩戴有禁忌标识的饰品，严禁在作业区域大声喧哗、吸烟、发表不当言论，不得随意触碰、围观周边墓穴及祭扫群众。涉及习俗的矛盾纠纷，须第一时间上报</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处置，不得擅自决定。</w:t>
      </w:r>
    </w:p>
    <w:p w14:paraId="6F1CEB77">
      <w:pPr>
        <w:rPr>
          <w:rFonts w:hint="eastAsia" w:ascii="宋体" w:hAnsi="宋体" w:eastAsia="宋体" w:cs="宋体"/>
          <w:b/>
          <w:bCs/>
          <w:highlight w:val="none"/>
          <w:u w:val="none"/>
          <w:lang w:eastAsia="zh-CN"/>
        </w:rPr>
      </w:pPr>
      <w:r>
        <w:rPr>
          <w:rFonts w:hint="eastAsia" w:ascii="宋体" w:hAnsi="宋体" w:eastAsia="宋体" w:cs="宋体"/>
          <w:b/>
          <w:bCs/>
          <w:highlight w:val="none"/>
          <w:u w:val="none"/>
        </w:rPr>
        <w:t>违约责任总则</w:t>
      </w:r>
      <w:r>
        <w:rPr>
          <w:rFonts w:hint="eastAsia" w:ascii="宋体" w:hAnsi="宋体" w:eastAsia="宋体" w:cs="宋体"/>
          <w:b/>
          <w:bCs/>
          <w:highlight w:val="none"/>
          <w:u w:val="none"/>
          <w:lang w:eastAsia="zh-CN"/>
        </w:rPr>
        <w:t>：</w:t>
      </w:r>
    </w:p>
    <w:p w14:paraId="3359515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中标人违反本合同任何约定的，应承担以下违约责任：</w:t>
      </w:r>
    </w:p>
    <w:p w14:paraId="47CC4871">
      <w:pPr>
        <w:rPr>
          <w:rFonts w:hint="eastAsia" w:ascii="宋体" w:hAnsi="宋体" w:eastAsia="宋体" w:cs="宋体"/>
          <w:highlight w:val="none"/>
          <w:u w:val="none"/>
        </w:rPr>
      </w:pPr>
      <w:r>
        <w:rPr>
          <w:rFonts w:hint="eastAsia" w:ascii="宋体" w:hAnsi="宋体" w:eastAsia="宋体" w:cs="宋体"/>
          <w:highlight w:val="none"/>
          <w:u w:val="none"/>
        </w:rPr>
        <w:t>经济赔偿责任：</w:t>
      </w:r>
    </w:p>
    <w:p w14:paraId="531ADB91">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赔偿因其违约行为给</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造成的全部直接损失和间接损失，包括但不限于：</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为处理违约事宜支出的合理费用（如律师费、诉讼费、差旅费等）、第三方索赔、</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商誉损失等。</w:t>
      </w:r>
    </w:p>
    <w:p w14:paraId="1841D6F0">
      <w:pPr>
        <w:rPr>
          <w:rFonts w:hint="eastAsia" w:ascii="宋体" w:hAnsi="宋体" w:eastAsia="宋体" w:cs="宋体"/>
          <w:highlight w:val="none"/>
          <w:u w:val="none"/>
        </w:rPr>
      </w:pPr>
      <w:r>
        <w:rPr>
          <w:rFonts w:hint="eastAsia" w:ascii="宋体" w:hAnsi="宋体" w:eastAsia="宋体" w:cs="宋体"/>
          <w:highlight w:val="none"/>
          <w:u w:val="none"/>
        </w:rPr>
        <w:t>违约金责任：</w:t>
      </w:r>
    </w:p>
    <w:p w14:paraId="2C57EF4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除本合同另有约定外，</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有权根据违约情节轻重，要求中标人支付相应违约金。违约金不足以弥补</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损失的，中标人仍应承担赔偿责任。</w:t>
      </w:r>
    </w:p>
    <w:p w14:paraId="7773308E">
      <w:pPr>
        <w:rPr>
          <w:rFonts w:hint="eastAsia" w:ascii="宋体" w:hAnsi="宋体" w:eastAsia="宋体" w:cs="宋体"/>
          <w:highlight w:val="none"/>
          <w:u w:val="none"/>
        </w:rPr>
      </w:pPr>
      <w:r>
        <w:rPr>
          <w:rFonts w:hint="eastAsia" w:ascii="宋体" w:hAnsi="宋体" w:eastAsia="宋体" w:cs="宋体"/>
          <w:highlight w:val="none"/>
          <w:u w:val="none"/>
        </w:rPr>
        <w:t>合同解除权：</w:t>
      </w:r>
    </w:p>
    <w:p w14:paraId="2EBBD55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发生重大违约行为的（包括但不限于：产生重大投诉、造成严重舆情、发生安全生产事故以及严重违约等），招标人有权单方解除合同，中标人应承担合同解除后的全部善后责任。</w:t>
      </w:r>
    </w:p>
    <w:p w14:paraId="0EA85507">
      <w:pPr>
        <w:rPr>
          <w:rFonts w:hint="eastAsia" w:ascii="宋体" w:hAnsi="宋体" w:eastAsia="宋体" w:cs="宋体"/>
          <w:highlight w:val="none"/>
          <w:u w:val="none"/>
        </w:rPr>
      </w:pPr>
      <w:r>
        <w:rPr>
          <w:rFonts w:hint="eastAsia" w:ascii="宋体" w:hAnsi="宋体" w:eastAsia="宋体" w:cs="宋体"/>
          <w:highlight w:val="none"/>
          <w:u w:val="none"/>
        </w:rPr>
        <w:t>法律后果承担：</w:t>
      </w:r>
    </w:p>
    <w:p w14:paraId="267E094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中标人应承担因其违约行为产生的一切法律后果，包括但不限于行政处罚、民事赔偿、刑事责任等。</w:t>
      </w:r>
    </w:p>
    <w:p w14:paraId="770A5A90">
      <w:pPr>
        <w:rPr>
          <w:rFonts w:hint="eastAsia" w:ascii="宋体" w:hAnsi="宋体" w:eastAsia="宋体" w:cs="宋体"/>
          <w:highlight w:val="none"/>
          <w:u w:val="none"/>
        </w:rPr>
      </w:pPr>
      <w:r>
        <w:rPr>
          <w:rFonts w:hint="eastAsia" w:ascii="宋体" w:hAnsi="宋体" w:eastAsia="宋体" w:cs="宋体"/>
          <w:highlight w:val="none"/>
          <w:u w:val="none"/>
        </w:rPr>
        <w:t>连带责任：</w:t>
      </w:r>
    </w:p>
    <w:p w14:paraId="1B9872C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如中标人的违约行为涉及第三方（如分包商、供应商等），中标人应承担连带责任，不得以第三方原因对抗</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w:t>
      </w:r>
    </w:p>
    <w:p w14:paraId="100ABA4A">
      <w:pPr>
        <w:rPr>
          <w:rFonts w:hint="eastAsia" w:ascii="宋体" w:hAnsi="宋体" w:eastAsia="宋体" w:cs="宋体"/>
          <w:highlight w:val="none"/>
          <w:u w:val="none"/>
        </w:rPr>
      </w:pPr>
      <w:r>
        <w:rPr>
          <w:rFonts w:hint="eastAsia" w:ascii="宋体" w:hAnsi="宋体" w:eastAsia="宋体" w:cs="宋体"/>
          <w:b/>
          <w:bCs/>
          <w:sz w:val="30"/>
          <w:szCs w:val="30"/>
          <w:highlight w:val="none"/>
          <w:u w:val="none"/>
        </w:rPr>
        <w:t>三、分项技术要求</w:t>
      </w:r>
    </w:p>
    <w:p w14:paraId="36BAD8A9">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（一）墓穴基础建设与落葬服务技术要求</w:t>
      </w:r>
    </w:p>
    <w:p w14:paraId="77FED1A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本项服务须兼顾工程建设规范与当地习俗适配要求，所有施工环节须提前征得</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同意后方可实施。</w:t>
      </w:r>
    </w:p>
    <w:p w14:paraId="12F04019">
      <w:pPr>
        <w:rPr>
          <w:rFonts w:hint="eastAsia" w:ascii="宋体" w:hAnsi="宋体" w:eastAsia="宋体" w:cs="宋体"/>
          <w:b/>
          <w:bCs/>
          <w:highlight w:val="none"/>
          <w:u w:val="none"/>
        </w:rPr>
      </w:pPr>
      <w:r>
        <w:rPr>
          <w:rFonts w:hint="eastAsia" w:ascii="宋体" w:hAnsi="宋体" w:eastAsia="宋体" w:cs="宋体"/>
          <w:b/>
          <w:bCs/>
          <w:highlight w:val="none"/>
          <w:u w:val="none"/>
        </w:rPr>
        <w:t>施工合规与当地习俗适配要求：</w:t>
      </w:r>
    </w:p>
    <w:p w14:paraId="4779A4E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地基施工须符合《建筑地基基础工程施工质量验收标准》（GB 50202）相关规定。施工过程中严禁在作业区域堆放无关杂物，施工噪音须控制在60分贝以内，严禁祭扫高峰时段开展大规模施工作业。</w:t>
      </w:r>
    </w:p>
    <w:p w14:paraId="597CC96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施工过程中不得破坏周边既有墓穴，不得影响周边已安葬墓穴的覆土</w:t>
      </w:r>
      <w:r>
        <w:rPr>
          <w:rFonts w:hint="eastAsia" w:ascii="宋体" w:hAnsi="宋体" w:eastAsia="宋体" w:cs="宋体"/>
          <w:highlight w:val="none"/>
          <w:u w:val="none"/>
          <w:lang w:val="en-US" w:eastAsia="zh-CN"/>
        </w:rPr>
        <w:t>及绿化</w:t>
      </w:r>
      <w:r>
        <w:rPr>
          <w:rFonts w:hint="eastAsia" w:ascii="宋体" w:hAnsi="宋体" w:eastAsia="宋体" w:cs="宋体"/>
          <w:highlight w:val="none"/>
          <w:u w:val="none"/>
        </w:rPr>
        <w:t>。按</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要求</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逐一</w:t>
      </w:r>
      <w:r>
        <w:rPr>
          <w:rFonts w:hint="eastAsia" w:ascii="宋体" w:hAnsi="宋体" w:eastAsia="宋体" w:cs="宋体"/>
          <w:highlight w:val="none"/>
          <w:u w:val="none"/>
        </w:rPr>
        <w:t>保留</w:t>
      </w:r>
      <w:r>
        <w:rPr>
          <w:rFonts w:hint="eastAsia" w:ascii="宋体" w:hAnsi="宋体" w:eastAsia="宋体" w:cs="宋体"/>
          <w:highlight w:val="none"/>
          <w:u w:val="none"/>
          <w:lang w:val="en-US" w:eastAsia="zh-CN"/>
        </w:rPr>
        <w:t>对应项目施工</w:t>
      </w:r>
      <w:r>
        <w:rPr>
          <w:rFonts w:hint="eastAsia" w:ascii="宋体" w:hAnsi="宋体" w:eastAsia="宋体" w:cs="宋体"/>
          <w:highlight w:val="none"/>
          <w:u w:val="none"/>
        </w:rPr>
        <w:t>影像资料。</w:t>
      </w:r>
    </w:p>
    <w:p w14:paraId="30CC328A">
      <w:pPr>
        <w:rPr>
          <w:rFonts w:hint="eastAsia" w:ascii="宋体" w:hAnsi="宋体" w:eastAsia="宋体" w:cs="宋体"/>
          <w:b/>
          <w:bCs/>
          <w:highlight w:val="none"/>
          <w:u w:val="none"/>
        </w:rPr>
      </w:pPr>
      <w:r>
        <w:rPr>
          <w:rFonts w:hint="eastAsia" w:ascii="宋体" w:hAnsi="宋体" w:eastAsia="宋体" w:cs="宋体"/>
          <w:b/>
          <w:bCs/>
          <w:highlight w:val="none"/>
          <w:u w:val="none"/>
        </w:rPr>
        <w:t>基础形制标准化要求：</w:t>
      </w:r>
    </w:p>
    <w:p w14:paraId="5B8C973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墓穴</w:t>
      </w:r>
      <w:r>
        <w:rPr>
          <w:rFonts w:hint="eastAsia" w:ascii="宋体" w:hAnsi="宋体" w:eastAsia="宋体" w:cs="宋体"/>
          <w:highlight w:val="none"/>
          <w:u w:val="none"/>
        </w:rPr>
        <w:t>基础尺寸须与定制墓型的规格完全匹配，长宽偏差控制在±5mm以内，基础表面平整度偏差≤2mm，整体排水坡度</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归真板外倾</w:t>
      </w:r>
      <w:r>
        <w:rPr>
          <w:rFonts w:hint="eastAsia" w:ascii="宋体" w:hAnsi="宋体" w:eastAsia="宋体" w:cs="宋体"/>
          <w:highlight w:val="none"/>
          <w:u w:val="none"/>
          <w:lang w:eastAsia="zh-CN"/>
        </w:rPr>
        <w:t>）</w:t>
      </w:r>
      <w:r>
        <w:rPr>
          <w:rFonts w:hint="eastAsia" w:ascii="宋体" w:hAnsi="宋体" w:eastAsia="宋体" w:cs="宋体"/>
          <w:highlight w:val="none"/>
          <w:u w:val="none"/>
        </w:rPr>
        <w:t>控制在</w:t>
      </w:r>
      <w:r>
        <w:rPr>
          <w:rFonts w:hint="eastAsia" w:ascii="宋体" w:hAnsi="宋体" w:eastAsia="宋体" w:cs="宋体"/>
          <w:highlight w:val="none"/>
          <w:u w:val="none"/>
          <w:lang w:val="en-US" w:eastAsia="zh-CN"/>
        </w:rPr>
        <w:t>91°~9</w:t>
      </w:r>
      <w:r>
        <w:rPr>
          <w:rFonts w:hint="eastAsia" w:ascii="宋体" w:hAnsi="宋体" w:eastAsia="宋体" w:cs="宋体"/>
          <w:highlight w:val="none"/>
          <w:u w:val="none"/>
        </w:rPr>
        <w:t>2</w:t>
      </w:r>
      <w:r>
        <w:rPr>
          <w:rFonts w:hint="eastAsia" w:ascii="宋体" w:hAnsi="宋体" w:eastAsia="宋体" w:cs="宋体"/>
          <w:highlight w:val="none"/>
          <w:u w:val="none"/>
          <w:lang w:val="en-US" w:eastAsia="zh-CN"/>
        </w:rPr>
        <w:t>°</w:t>
      </w:r>
      <w:r>
        <w:rPr>
          <w:rFonts w:hint="eastAsia" w:ascii="宋体" w:hAnsi="宋体" w:eastAsia="宋体" w:cs="宋体"/>
          <w:highlight w:val="none"/>
          <w:u w:val="none"/>
        </w:rPr>
        <w:t>，确保降雨后无积水滞留。</w:t>
      </w:r>
    </w:p>
    <w:p w14:paraId="2650163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墓间道、墓间距</w:t>
      </w:r>
      <w:r>
        <w:rPr>
          <w:rFonts w:hint="eastAsia" w:ascii="宋体" w:hAnsi="宋体" w:eastAsia="宋体" w:cs="宋体"/>
          <w:highlight w:val="none"/>
          <w:u w:val="none"/>
          <w:lang w:val="en-US" w:eastAsia="zh-CN"/>
        </w:rPr>
        <w:t>建设</w:t>
      </w:r>
      <w:r>
        <w:rPr>
          <w:rFonts w:hint="eastAsia" w:ascii="宋体" w:hAnsi="宋体" w:eastAsia="宋体" w:cs="宋体"/>
          <w:highlight w:val="none"/>
          <w:u w:val="none"/>
        </w:rPr>
        <w:t>最低要求：10cm厚混凝土结构，上铺3cm厚花岗石火烧板。</w:t>
      </w:r>
    </w:p>
    <w:p w14:paraId="4018F9AA">
      <w:pPr>
        <w:rPr>
          <w:rFonts w:hint="eastAsia" w:ascii="宋体" w:hAnsi="宋体" w:eastAsia="宋体" w:cs="宋体"/>
          <w:b/>
          <w:bCs/>
          <w:highlight w:val="none"/>
          <w:u w:val="none"/>
        </w:rPr>
      </w:pPr>
      <w:r>
        <w:rPr>
          <w:rFonts w:hint="eastAsia" w:ascii="宋体" w:hAnsi="宋体" w:eastAsia="宋体" w:cs="宋体"/>
          <w:b/>
          <w:bCs/>
          <w:highlight w:val="none"/>
          <w:u w:val="none"/>
        </w:rPr>
        <w:t>安全文明施工要求：</w:t>
      </w:r>
    </w:p>
    <w:p w14:paraId="0E7FC00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公墓内</w:t>
      </w:r>
      <w:r>
        <w:rPr>
          <w:rFonts w:hint="eastAsia" w:ascii="宋体" w:hAnsi="宋体" w:eastAsia="宋体" w:cs="宋体"/>
          <w:highlight w:val="none"/>
          <w:u w:val="none"/>
        </w:rPr>
        <w:t>施工区域须悬挂标注有温馨提示的文明施工标识</w:t>
      </w:r>
      <w:r>
        <w:rPr>
          <w:rFonts w:hint="eastAsia" w:ascii="宋体" w:hAnsi="宋体" w:eastAsia="宋体" w:cs="宋体"/>
          <w:highlight w:val="none"/>
          <w:u w:val="none"/>
          <w:lang w:val="en-US" w:eastAsia="zh-CN"/>
        </w:rPr>
        <w:t>或设立安全围挡</w:t>
      </w:r>
      <w:r>
        <w:rPr>
          <w:rFonts w:hint="eastAsia" w:ascii="宋体" w:hAnsi="宋体" w:eastAsia="宋体" w:cs="宋体"/>
          <w:highlight w:val="none"/>
          <w:u w:val="none"/>
        </w:rPr>
        <w:t>，施工垃圾必须当日清运至指定处置点，不得遗留建筑废料</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垃圾等</w:t>
      </w:r>
      <w:r>
        <w:rPr>
          <w:rFonts w:hint="eastAsia" w:ascii="宋体" w:hAnsi="宋体" w:eastAsia="宋体" w:cs="宋体"/>
          <w:highlight w:val="none"/>
          <w:u w:val="none"/>
        </w:rPr>
        <w:t>。施工结束后必须当天完成作业区域的清扫工作，恢复周边环境整洁。</w:t>
      </w:r>
    </w:p>
    <w:p w14:paraId="1F9926D7">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遇到雨雪等特殊天气</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已开坑区域或拟开坑区域需</w:t>
      </w:r>
      <w:r>
        <w:rPr>
          <w:rFonts w:hint="eastAsia" w:ascii="宋体" w:hAnsi="宋体" w:eastAsia="宋体" w:cs="宋体"/>
          <w:highlight w:val="none"/>
          <w:u w:val="none"/>
        </w:rPr>
        <w:t>搭设防护棚</w:t>
      </w:r>
      <w:r>
        <w:rPr>
          <w:rFonts w:hint="eastAsia" w:ascii="宋体" w:hAnsi="宋体" w:eastAsia="宋体" w:cs="宋体"/>
          <w:highlight w:val="none"/>
          <w:u w:val="none"/>
          <w:lang w:val="en-US" w:eastAsia="zh-CN"/>
        </w:rPr>
        <w:t>或设置防水覆盖物</w:t>
      </w:r>
      <w:r>
        <w:rPr>
          <w:rFonts w:hint="eastAsia" w:ascii="宋体" w:hAnsi="宋体" w:eastAsia="宋体" w:cs="宋体"/>
          <w:highlight w:val="none"/>
          <w:u w:val="none"/>
        </w:rPr>
        <w:t>等防护设施。</w:t>
      </w:r>
    </w:p>
    <w:p w14:paraId="2B8E7D69">
      <w:pPr>
        <w:rPr>
          <w:rFonts w:hint="eastAsia" w:ascii="宋体" w:hAnsi="宋体" w:eastAsia="宋体" w:cs="宋体"/>
          <w:b/>
          <w:bCs/>
          <w:highlight w:val="none"/>
          <w:u w:val="none"/>
        </w:rPr>
      </w:pPr>
      <w:r>
        <w:rPr>
          <w:rFonts w:hint="eastAsia" w:ascii="宋体" w:hAnsi="宋体" w:eastAsia="宋体" w:cs="宋体"/>
          <w:b/>
          <w:bCs/>
          <w:highlight w:val="none"/>
          <w:u w:val="none"/>
        </w:rPr>
        <w:t>具体服务流程与工艺要求：</w:t>
      </w:r>
    </w:p>
    <w:p w14:paraId="1E7F42BA">
      <w:pPr>
        <w:rPr>
          <w:rFonts w:hint="eastAsia" w:ascii="宋体" w:hAnsi="宋体" w:eastAsia="宋体" w:cs="宋体"/>
          <w:highlight w:val="none"/>
          <w:u w:val="none"/>
        </w:rPr>
      </w:pPr>
      <w:r>
        <w:rPr>
          <w:rFonts w:hint="eastAsia" w:ascii="宋体" w:hAnsi="宋体" w:eastAsia="宋体" w:cs="宋体"/>
          <w:highlight w:val="none"/>
          <w:u w:val="none"/>
        </w:rPr>
        <w:t>（1）提前预埋排水、地下墓室工程（针对新墓穴）：</w:t>
      </w:r>
    </w:p>
    <w:p w14:paraId="54134E8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在指定位置</w:t>
      </w:r>
      <w:r>
        <w:rPr>
          <w:rFonts w:hint="eastAsia" w:ascii="宋体" w:hAnsi="宋体" w:eastAsia="宋体" w:cs="宋体"/>
          <w:highlight w:val="none"/>
          <w:u w:val="none"/>
        </w:rPr>
        <w:t>开坑</w:t>
      </w:r>
      <w:r>
        <w:rPr>
          <w:rFonts w:hint="eastAsia" w:ascii="宋体" w:hAnsi="宋体" w:eastAsia="宋体" w:cs="宋体"/>
          <w:highlight w:val="none"/>
          <w:u w:val="none"/>
          <w:lang w:eastAsia="zh-CN"/>
        </w:rPr>
        <w:t>，</w:t>
      </w:r>
      <w:r>
        <w:rPr>
          <w:rFonts w:hint="eastAsia" w:ascii="宋体" w:hAnsi="宋体" w:eastAsia="宋体" w:cs="宋体"/>
          <w:highlight w:val="none"/>
          <w:u w:val="none"/>
        </w:rPr>
        <w:t>开坑尺寸：长2</w:t>
      </w: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00mm×宽900mm×深2000mm</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具体尺寸以招标人要求为准</w:t>
      </w:r>
      <w:r>
        <w:rPr>
          <w:rFonts w:hint="eastAsia" w:ascii="宋体" w:hAnsi="宋体" w:eastAsia="宋体" w:cs="宋体"/>
          <w:highlight w:val="none"/>
          <w:u w:val="none"/>
          <w:lang w:eastAsia="zh-CN"/>
        </w:rPr>
        <w:t>）</w:t>
      </w:r>
      <w:r>
        <w:rPr>
          <w:rFonts w:hint="eastAsia" w:ascii="宋体" w:hAnsi="宋体" w:eastAsia="宋体" w:cs="宋体"/>
          <w:highlight w:val="none"/>
          <w:u w:val="none"/>
        </w:rPr>
        <w:t>。</w:t>
      </w:r>
    </w:p>
    <w:p w14:paraId="64ADE9E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每个穴单独开挖下水管道并铺设下水管网，每穴单独建设渗水管并接入下水管网。</w:t>
      </w:r>
    </w:p>
    <w:p w14:paraId="797E28D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渗水管上面铺设砂石</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瓜子片利于疏水</w:t>
      </w:r>
      <w:r>
        <w:rPr>
          <w:rFonts w:hint="eastAsia" w:ascii="宋体" w:hAnsi="宋体" w:eastAsia="宋体" w:cs="宋体"/>
          <w:highlight w:val="none"/>
          <w:u w:val="none"/>
          <w:lang w:eastAsia="zh-CN"/>
        </w:rPr>
        <w:t>）</w:t>
      </w:r>
      <w:r>
        <w:rPr>
          <w:rFonts w:hint="eastAsia" w:ascii="宋体" w:hAnsi="宋体" w:eastAsia="宋体" w:cs="宋体"/>
          <w:highlight w:val="none"/>
          <w:u w:val="none"/>
        </w:rPr>
        <w:t>垫层（1000mm×600mm×100mm）。</w:t>
      </w:r>
    </w:p>
    <w:p w14:paraId="2B457F4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砖砌石椁底座基础，四周砌</w:t>
      </w:r>
      <w:r>
        <w:rPr>
          <w:rFonts w:hint="eastAsia" w:ascii="宋体" w:hAnsi="宋体" w:eastAsia="宋体" w:cs="宋体"/>
          <w:highlight w:val="none"/>
          <w:u w:val="none"/>
          <w:lang w:val="en-US" w:eastAsia="zh-CN"/>
        </w:rPr>
        <w:t>砖</w:t>
      </w:r>
      <w:r>
        <w:rPr>
          <w:rFonts w:hint="eastAsia" w:ascii="宋体" w:hAnsi="宋体" w:eastAsia="宋体" w:cs="宋体"/>
          <w:highlight w:val="none"/>
          <w:u w:val="none"/>
        </w:rPr>
        <w:t>墙</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安装</w:t>
      </w:r>
      <w:r>
        <w:rPr>
          <w:rFonts w:hint="eastAsia" w:ascii="宋体" w:hAnsi="宋体" w:eastAsia="宋体" w:cs="宋体"/>
          <w:highlight w:val="none"/>
          <w:u w:val="none"/>
        </w:rPr>
        <w:t>石椁</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提供并</w:t>
      </w:r>
      <w:r>
        <w:rPr>
          <w:rFonts w:hint="eastAsia" w:ascii="宋体" w:hAnsi="宋体" w:eastAsia="宋体" w:cs="宋体"/>
          <w:highlight w:val="none"/>
          <w:u w:val="none"/>
        </w:rPr>
        <w:t>制作安装</w:t>
      </w:r>
      <w:r>
        <w:rPr>
          <w:rFonts w:hint="eastAsia" w:ascii="宋体" w:hAnsi="宋体" w:eastAsia="宋体" w:cs="宋体"/>
          <w:highlight w:val="none"/>
          <w:u w:val="none"/>
          <w:lang w:val="en-US" w:eastAsia="zh-CN"/>
        </w:rPr>
        <w:t>石</w:t>
      </w:r>
      <w:r>
        <w:rPr>
          <w:rFonts w:hint="eastAsia" w:ascii="宋体" w:hAnsi="宋体" w:eastAsia="宋体" w:cs="宋体"/>
          <w:highlight w:val="none"/>
          <w:u w:val="none"/>
        </w:rPr>
        <w:t>椁内衬</w:t>
      </w:r>
      <w:r>
        <w:rPr>
          <w:rFonts w:hint="eastAsia" w:ascii="宋体" w:hAnsi="宋体" w:eastAsia="宋体" w:cs="宋体"/>
          <w:highlight w:val="none"/>
          <w:u w:val="none"/>
          <w:lang w:val="en-US" w:eastAsia="zh-CN"/>
        </w:rPr>
        <w:t>木</w:t>
      </w:r>
      <w:r>
        <w:rPr>
          <w:rFonts w:hint="eastAsia" w:ascii="宋体" w:hAnsi="宋体" w:eastAsia="宋体" w:cs="宋体"/>
          <w:highlight w:val="none"/>
          <w:u w:val="none"/>
        </w:rPr>
        <w:t>板</w:t>
      </w:r>
      <w:r>
        <w:rPr>
          <w:rFonts w:hint="eastAsia" w:ascii="宋体" w:hAnsi="宋体" w:eastAsia="宋体" w:cs="宋体"/>
          <w:highlight w:val="none"/>
          <w:u w:val="none"/>
          <w:lang w:val="en-US" w:eastAsia="zh-CN"/>
        </w:rPr>
        <w:t>并盖上</w:t>
      </w:r>
      <w:r>
        <w:rPr>
          <w:rFonts w:hint="eastAsia" w:ascii="宋体" w:hAnsi="宋体" w:eastAsia="宋体" w:cs="宋体"/>
          <w:highlight w:val="none"/>
          <w:u w:val="none"/>
        </w:rPr>
        <w:t>石椁盖板。</w:t>
      </w:r>
    </w:p>
    <w:p w14:paraId="037016E6">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注：本项目所有石椁内衬板均由中标人包干提供，须采用厚度不低于2CM无缝贴合的杉木板制作，板面应平整光滑，无裂缝、节疤等明显缺陷。制作好的</w:t>
      </w:r>
      <w:r>
        <w:rPr>
          <w:rFonts w:hint="eastAsia" w:ascii="宋体" w:hAnsi="宋体" w:eastAsia="宋体" w:cs="宋体"/>
          <w:highlight w:val="none"/>
          <w:u w:val="none"/>
        </w:rPr>
        <w:t>内衬板</w:t>
      </w:r>
      <w:r>
        <w:rPr>
          <w:rFonts w:hint="eastAsia" w:ascii="宋体" w:hAnsi="宋体" w:eastAsia="宋体" w:cs="宋体"/>
          <w:highlight w:val="none"/>
          <w:u w:val="none"/>
          <w:lang w:val="en-US" w:eastAsia="zh-CN"/>
        </w:rPr>
        <w:t>尺寸应符合设计及石椁内安装要求，误差不超过±2mm。</w:t>
      </w:r>
    </w:p>
    <w:p w14:paraId="0C16070D">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回填土至比地平略高位置，后期如土质下沉明显低于地平，须及时补土至地平位置。</w:t>
      </w:r>
    </w:p>
    <w:p w14:paraId="740456D0">
      <w:pPr>
        <w:rPr>
          <w:rFonts w:hint="eastAsia" w:ascii="宋体" w:hAnsi="宋体" w:eastAsia="宋体" w:cs="宋体"/>
          <w:highlight w:val="none"/>
          <w:u w:val="none"/>
        </w:rPr>
      </w:pPr>
      <w:r>
        <w:rPr>
          <w:rFonts w:hint="eastAsia" w:ascii="宋体" w:hAnsi="宋体" w:eastAsia="宋体" w:cs="宋体"/>
          <w:highlight w:val="none"/>
          <w:u w:val="none"/>
        </w:rPr>
        <w:t>（2）落葬服务（未提前安装椁具）：</w:t>
      </w:r>
    </w:p>
    <w:p w14:paraId="6D61A5C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在指定位置</w:t>
      </w:r>
      <w:r>
        <w:rPr>
          <w:rFonts w:hint="eastAsia" w:ascii="宋体" w:hAnsi="宋体" w:eastAsia="宋体" w:cs="宋体"/>
          <w:highlight w:val="none"/>
          <w:u w:val="none"/>
        </w:rPr>
        <w:t>开坑</w:t>
      </w:r>
      <w:r>
        <w:rPr>
          <w:rFonts w:hint="eastAsia" w:ascii="宋体" w:hAnsi="宋体" w:eastAsia="宋体" w:cs="宋体"/>
          <w:highlight w:val="none"/>
          <w:u w:val="none"/>
          <w:lang w:eastAsia="zh-CN"/>
        </w:rPr>
        <w:t>，</w:t>
      </w:r>
      <w:r>
        <w:rPr>
          <w:rFonts w:hint="eastAsia" w:ascii="宋体" w:hAnsi="宋体" w:eastAsia="宋体" w:cs="宋体"/>
          <w:highlight w:val="none"/>
          <w:u w:val="none"/>
        </w:rPr>
        <w:t>尺寸：长2</w:t>
      </w:r>
      <w:r>
        <w:rPr>
          <w:rFonts w:hint="eastAsia" w:ascii="宋体" w:hAnsi="宋体" w:eastAsia="宋体" w:cs="宋体"/>
          <w:highlight w:val="none"/>
          <w:u w:val="none"/>
          <w:lang w:val="en-US" w:eastAsia="zh-CN"/>
        </w:rPr>
        <w:t>2</w:t>
      </w:r>
      <w:r>
        <w:rPr>
          <w:rFonts w:hint="eastAsia" w:ascii="宋体" w:hAnsi="宋体" w:eastAsia="宋体" w:cs="宋体"/>
          <w:highlight w:val="none"/>
          <w:u w:val="none"/>
        </w:rPr>
        <w:t>00mm×宽900mm×深1800mm</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具体尺寸以招标人要求为准</w:t>
      </w:r>
      <w:r>
        <w:rPr>
          <w:rFonts w:hint="eastAsia" w:ascii="宋体" w:hAnsi="宋体" w:eastAsia="宋体" w:cs="宋体"/>
          <w:highlight w:val="none"/>
          <w:u w:val="none"/>
          <w:lang w:eastAsia="zh-CN"/>
        </w:rPr>
        <w:t>）</w:t>
      </w:r>
      <w:r>
        <w:rPr>
          <w:rFonts w:hint="eastAsia" w:ascii="宋体" w:hAnsi="宋体" w:eastAsia="宋体" w:cs="宋体"/>
          <w:highlight w:val="none"/>
          <w:u w:val="none"/>
        </w:rPr>
        <w:t>。</w:t>
      </w:r>
    </w:p>
    <w:p w14:paraId="55693211">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雨雪等特殊天气需搭设防护棚</w:t>
      </w:r>
      <w:r>
        <w:rPr>
          <w:rFonts w:hint="eastAsia" w:ascii="宋体" w:hAnsi="宋体" w:eastAsia="宋体" w:cs="宋体"/>
          <w:highlight w:val="none"/>
          <w:u w:val="none"/>
          <w:lang w:val="en-US" w:eastAsia="zh-CN"/>
        </w:rPr>
        <w:t>或设置防水覆盖物</w:t>
      </w:r>
      <w:r>
        <w:rPr>
          <w:rFonts w:hint="eastAsia" w:ascii="宋体" w:hAnsi="宋体" w:eastAsia="宋体" w:cs="宋体"/>
          <w:highlight w:val="none"/>
          <w:u w:val="none"/>
        </w:rPr>
        <w:t>等防护设施。</w:t>
      </w:r>
    </w:p>
    <w:p w14:paraId="5179A056">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砖砌石椁底座基础，四周砌</w:t>
      </w:r>
      <w:r>
        <w:rPr>
          <w:rFonts w:hint="eastAsia" w:ascii="宋体" w:hAnsi="宋体" w:eastAsia="宋体" w:cs="宋体"/>
          <w:highlight w:val="none"/>
          <w:u w:val="none"/>
          <w:lang w:val="en-US" w:eastAsia="zh-CN"/>
        </w:rPr>
        <w:t>砖</w:t>
      </w:r>
      <w:r>
        <w:rPr>
          <w:rFonts w:hint="eastAsia" w:ascii="宋体" w:hAnsi="宋体" w:eastAsia="宋体" w:cs="宋体"/>
          <w:highlight w:val="none"/>
          <w:u w:val="none"/>
        </w:rPr>
        <w:t>墙</w:t>
      </w:r>
      <w:r>
        <w:rPr>
          <w:rFonts w:hint="eastAsia" w:ascii="宋体" w:hAnsi="宋体" w:eastAsia="宋体" w:cs="宋体"/>
          <w:highlight w:val="none"/>
          <w:u w:val="none"/>
          <w:lang w:eastAsia="zh-CN"/>
        </w:rPr>
        <w:t>，</w:t>
      </w:r>
      <w:r>
        <w:rPr>
          <w:rFonts w:hint="eastAsia" w:ascii="宋体" w:hAnsi="宋体" w:eastAsia="宋体" w:cs="宋体"/>
          <w:highlight w:val="none"/>
          <w:u w:val="none"/>
        </w:rPr>
        <w:t>安装石椁</w:t>
      </w:r>
      <w:r>
        <w:rPr>
          <w:rFonts w:hint="eastAsia" w:ascii="宋体" w:hAnsi="宋体" w:eastAsia="宋体" w:cs="宋体"/>
          <w:highlight w:val="none"/>
          <w:u w:val="none"/>
          <w:lang w:eastAsia="zh-CN"/>
        </w:rPr>
        <w:t>。</w:t>
      </w:r>
    </w:p>
    <w:p w14:paraId="597727F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提供并</w:t>
      </w:r>
      <w:r>
        <w:rPr>
          <w:rFonts w:hint="eastAsia" w:ascii="宋体" w:hAnsi="宋体" w:eastAsia="宋体" w:cs="宋体"/>
          <w:highlight w:val="none"/>
          <w:u w:val="none"/>
        </w:rPr>
        <w:t>制作安装椁内衬板（木板），落葬前坑内</w:t>
      </w:r>
      <w:r>
        <w:rPr>
          <w:rFonts w:hint="eastAsia" w:ascii="宋体" w:hAnsi="宋体" w:eastAsia="宋体" w:cs="宋体"/>
          <w:highlight w:val="none"/>
          <w:u w:val="none"/>
          <w:lang w:val="en-US" w:eastAsia="zh-CN"/>
        </w:rPr>
        <w:t>平整、</w:t>
      </w:r>
      <w:r>
        <w:rPr>
          <w:rFonts w:hint="eastAsia" w:ascii="宋体" w:hAnsi="宋体" w:eastAsia="宋体" w:cs="宋体"/>
          <w:highlight w:val="none"/>
          <w:u w:val="none"/>
        </w:rPr>
        <w:t>无杂物、无积水。</w:t>
      </w:r>
    </w:p>
    <w:p w14:paraId="4D08E7B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全程协助落葬遗体（含辅材安装），安放椁具盖板。</w:t>
      </w:r>
    </w:p>
    <w:p w14:paraId="2CBE576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椁具盖板</w:t>
      </w:r>
      <w:r>
        <w:rPr>
          <w:rFonts w:hint="eastAsia" w:ascii="宋体" w:hAnsi="宋体" w:eastAsia="宋体" w:cs="宋体"/>
          <w:highlight w:val="none"/>
          <w:u w:val="none"/>
          <w:lang w:val="en-US" w:eastAsia="zh-CN"/>
        </w:rPr>
        <w:t>上的</w:t>
      </w:r>
      <w:r>
        <w:rPr>
          <w:rFonts w:hint="eastAsia" w:ascii="宋体" w:hAnsi="宋体" w:eastAsia="宋体" w:cs="宋体"/>
          <w:highlight w:val="none"/>
          <w:u w:val="none"/>
        </w:rPr>
        <w:t>四周砌</w:t>
      </w:r>
      <w:r>
        <w:rPr>
          <w:rFonts w:hint="eastAsia" w:ascii="宋体" w:hAnsi="宋体" w:eastAsia="宋体" w:cs="宋体"/>
          <w:highlight w:val="none"/>
          <w:u w:val="none"/>
          <w:lang w:val="en-US" w:eastAsia="zh-CN"/>
        </w:rPr>
        <w:t>砖墙</w:t>
      </w:r>
      <w:r>
        <w:rPr>
          <w:rFonts w:hint="eastAsia" w:ascii="宋体" w:hAnsi="宋体" w:eastAsia="宋体" w:cs="宋体"/>
          <w:highlight w:val="none"/>
          <w:u w:val="none"/>
        </w:rPr>
        <w:t>地基</w:t>
      </w:r>
      <w:r>
        <w:rPr>
          <w:rFonts w:hint="eastAsia" w:ascii="宋体" w:hAnsi="宋体" w:eastAsia="宋体" w:cs="宋体"/>
          <w:highlight w:val="none"/>
          <w:u w:val="none"/>
          <w:lang w:val="en-US" w:eastAsia="zh-CN"/>
        </w:rPr>
        <w:t>直</w:t>
      </w:r>
      <w:r>
        <w:rPr>
          <w:rFonts w:hint="eastAsia" w:ascii="宋体" w:hAnsi="宋体" w:eastAsia="宋体" w:cs="宋体"/>
          <w:highlight w:val="none"/>
          <w:u w:val="none"/>
        </w:rPr>
        <w:t>至地面水平处，</w:t>
      </w:r>
      <w:r>
        <w:rPr>
          <w:rFonts w:hint="eastAsia" w:ascii="宋体" w:hAnsi="宋体" w:eastAsia="宋体" w:cs="宋体"/>
          <w:highlight w:val="none"/>
          <w:u w:val="none"/>
          <w:lang w:val="en-US" w:eastAsia="zh-CN"/>
        </w:rPr>
        <w:t>稳固</w:t>
      </w:r>
      <w:r>
        <w:rPr>
          <w:rFonts w:hint="eastAsia" w:ascii="宋体" w:hAnsi="宋体" w:eastAsia="宋体" w:cs="宋体"/>
          <w:highlight w:val="none"/>
          <w:u w:val="none"/>
        </w:rPr>
        <w:t>连接</w:t>
      </w:r>
      <w:r>
        <w:rPr>
          <w:rFonts w:hint="eastAsia" w:ascii="宋体" w:hAnsi="宋体" w:eastAsia="宋体" w:cs="宋体"/>
          <w:highlight w:val="none"/>
          <w:u w:val="none"/>
          <w:lang w:val="en-US" w:eastAsia="zh-CN"/>
        </w:rPr>
        <w:t>地面墓体</w:t>
      </w:r>
      <w:r>
        <w:rPr>
          <w:rFonts w:hint="eastAsia" w:ascii="宋体" w:hAnsi="宋体" w:eastAsia="宋体" w:cs="宋体"/>
          <w:highlight w:val="none"/>
          <w:u w:val="none"/>
        </w:rPr>
        <w:t>地基。</w:t>
      </w:r>
    </w:p>
    <w:p w14:paraId="10B8B06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回填土做土堆，制作安装亡人姓名竹牌。</w:t>
      </w:r>
    </w:p>
    <w:p w14:paraId="4E62729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落葬完成当天清理垃圾、多余土方。后期巡查发现土堆下沉</w:t>
      </w:r>
      <w:r>
        <w:rPr>
          <w:rFonts w:hint="eastAsia" w:ascii="宋体" w:hAnsi="宋体" w:eastAsia="宋体" w:cs="宋体"/>
          <w:highlight w:val="none"/>
          <w:u w:val="none"/>
          <w:lang w:val="en-US" w:eastAsia="zh-CN"/>
        </w:rPr>
        <w:t>时</w:t>
      </w:r>
      <w:r>
        <w:rPr>
          <w:rFonts w:hint="eastAsia" w:ascii="宋体" w:hAnsi="宋体" w:eastAsia="宋体" w:cs="宋体"/>
          <w:highlight w:val="none"/>
          <w:u w:val="none"/>
        </w:rPr>
        <w:t>及时添土。</w:t>
      </w:r>
    </w:p>
    <w:p w14:paraId="525ED2CE">
      <w:pPr>
        <w:rPr>
          <w:rFonts w:hint="eastAsia" w:ascii="宋体" w:hAnsi="宋体" w:eastAsia="宋体" w:cs="宋体"/>
          <w:highlight w:val="none"/>
          <w:u w:val="none"/>
        </w:rPr>
      </w:pPr>
      <w:r>
        <w:rPr>
          <w:rFonts w:hint="eastAsia" w:ascii="宋体" w:hAnsi="宋体" w:eastAsia="宋体" w:cs="宋体"/>
          <w:highlight w:val="none"/>
          <w:u w:val="none"/>
        </w:rPr>
        <w:t>（3）落葬服务（已提前安装椁具）：</w:t>
      </w:r>
    </w:p>
    <w:p w14:paraId="2D00E23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在指定位置</w:t>
      </w:r>
      <w:r>
        <w:rPr>
          <w:rFonts w:hint="eastAsia" w:ascii="宋体" w:hAnsi="宋体" w:eastAsia="宋体" w:cs="宋体"/>
          <w:highlight w:val="none"/>
          <w:u w:val="none"/>
        </w:rPr>
        <w:t>开坑</w:t>
      </w:r>
      <w:r>
        <w:rPr>
          <w:rFonts w:hint="eastAsia" w:ascii="宋体" w:hAnsi="宋体" w:eastAsia="宋体" w:cs="宋体"/>
          <w:highlight w:val="none"/>
          <w:u w:val="none"/>
          <w:lang w:eastAsia="zh-CN"/>
        </w:rPr>
        <w:t>，</w:t>
      </w:r>
      <w:r>
        <w:rPr>
          <w:rFonts w:hint="eastAsia" w:ascii="宋体" w:hAnsi="宋体" w:eastAsia="宋体" w:cs="宋体"/>
          <w:highlight w:val="none"/>
          <w:u w:val="none"/>
        </w:rPr>
        <w:t>开挖至石质椁具处，尺寸同上。</w:t>
      </w:r>
    </w:p>
    <w:p w14:paraId="5006C0E1">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打开椁具盖板，</w:t>
      </w:r>
      <w:r>
        <w:rPr>
          <w:rFonts w:hint="eastAsia" w:ascii="宋体" w:hAnsi="宋体" w:eastAsia="宋体" w:cs="宋体"/>
          <w:highlight w:val="none"/>
          <w:u w:val="none"/>
          <w:lang w:val="en-US" w:eastAsia="zh-CN"/>
        </w:rPr>
        <w:t>提供并</w:t>
      </w:r>
      <w:r>
        <w:rPr>
          <w:rFonts w:hint="eastAsia" w:ascii="宋体" w:hAnsi="宋体" w:eastAsia="宋体" w:cs="宋体"/>
          <w:highlight w:val="none"/>
          <w:u w:val="none"/>
        </w:rPr>
        <w:t>制作安装椁内衬板。</w:t>
      </w:r>
    </w:p>
    <w:p w14:paraId="23B0301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坑内满足落葬条件后，全程协助落葬，安装盖板。</w:t>
      </w:r>
    </w:p>
    <w:p w14:paraId="27B411B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其余砌砖</w:t>
      </w:r>
      <w:r>
        <w:rPr>
          <w:rFonts w:hint="eastAsia" w:ascii="宋体" w:hAnsi="宋体" w:eastAsia="宋体" w:cs="宋体"/>
          <w:highlight w:val="none"/>
          <w:u w:val="none"/>
          <w:lang w:val="en-US" w:eastAsia="zh-CN"/>
        </w:rPr>
        <w:t>墙</w:t>
      </w:r>
      <w:r>
        <w:rPr>
          <w:rFonts w:hint="eastAsia" w:ascii="宋体" w:hAnsi="宋体" w:eastAsia="宋体" w:cs="宋体"/>
          <w:highlight w:val="none"/>
          <w:u w:val="none"/>
        </w:rPr>
        <w:t>、回填</w:t>
      </w:r>
      <w:r>
        <w:rPr>
          <w:rFonts w:hint="eastAsia" w:ascii="宋体" w:hAnsi="宋体" w:eastAsia="宋体" w:cs="宋体"/>
          <w:highlight w:val="none"/>
          <w:u w:val="none"/>
          <w:lang w:val="en-US" w:eastAsia="zh-CN"/>
        </w:rPr>
        <w:t>土</w:t>
      </w:r>
      <w:r>
        <w:rPr>
          <w:rFonts w:hint="eastAsia" w:ascii="宋体" w:hAnsi="宋体" w:eastAsia="宋体" w:cs="宋体"/>
          <w:highlight w:val="none"/>
          <w:u w:val="none"/>
        </w:rPr>
        <w:t>、制竹牌、清运等工序同上。</w:t>
      </w:r>
    </w:p>
    <w:p w14:paraId="590E9669">
      <w:pPr>
        <w:rPr>
          <w:rFonts w:hint="eastAsia" w:ascii="宋体" w:hAnsi="宋体" w:eastAsia="宋体" w:cs="宋体"/>
          <w:highlight w:val="none"/>
          <w:u w:val="none"/>
        </w:rPr>
      </w:pPr>
      <w:r>
        <w:rPr>
          <w:rFonts w:hint="eastAsia" w:ascii="宋体" w:hAnsi="宋体" w:eastAsia="宋体" w:cs="宋体"/>
          <w:highlight w:val="none"/>
          <w:u w:val="none"/>
        </w:rPr>
        <w:t>（4）回回并穴：</w:t>
      </w:r>
    </w:p>
    <w:p w14:paraId="6566458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在指定位置</w:t>
      </w:r>
      <w:r>
        <w:rPr>
          <w:rFonts w:hint="eastAsia" w:ascii="宋体" w:hAnsi="宋体" w:eastAsia="宋体" w:cs="宋体"/>
          <w:highlight w:val="none"/>
          <w:u w:val="none"/>
        </w:rPr>
        <w:t>开坑</w:t>
      </w:r>
      <w:r>
        <w:rPr>
          <w:rFonts w:hint="eastAsia" w:ascii="宋体" w:hAnsi="宋体" w:eastAsia="宋体" w:cs="宋体"/>
          <w:highlight w:val="none"/>
          <w:u w:val="none"/>
          <w:lang w:val="en-US" w:eastAsia="zh-CN"/>
        </w:rPr>
        <w:t>前</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包括但不限于：</w:t>
      </w:r>
      <w:r>
        <w:rPr>
          <w:rFonts w:hint="eastAsia" w:ascii="宋体" w:hAnsi="宋体" w:eastAsia="宋体" w:cs="宋体"/>
          <w:highlight w:val="none"/>
          <w:u w:val="none"/>
        </w:rPr>
        <w:t>单边拆墓或拆除旧墓，旧材料、旧地基</w:t>
      </w:r>
      <w:r>
        <w:rPr>
          <w:rFonts w:hint="eastAsia" w:ascii="宋体" w:hAnsi="宋体" w:eastAsia="宋体" w:cs="宋体"/>
          <w:highlight w:val="none"/>
          <w:u w:val="none"/>
          <w:lang w:val="en-US" w:eastAsia="zh-CN"/>
        </w:rPr>
        <w:t>以及影响开坑的墓体附着物（部分墓体有树木）等，</w:t>
      </w:r>
      <w:r>
        <w:rPr>
          <w:rFonts w:hint="eastAsia" w:ascii="宋体" w:hAnsi="宋体" w:eastAsia="宋体" w:cs="宋体"/>
          <w:highlight w:val="none"/>
          <w:u w:val="none"/>
        </w:rPr>
        <w:t>清理运走恢复净地。</w:t>
      </w:r>
    </w:p>
    <w:p w14:paraId="38C73CB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开坑及后续</w:t>
      </w:r>
      <w:r>
        <w:rPr>
          <w:rFonts w:hint="eastAsia" w:ascii="宋体" w:hAnsi="宋体" w:eastAsia="宋体" w:cs="宋体"/>
          <w:highlight w:val="none"/>
          <w:u w:val="none"/>
          <w:lang w:val="en-US" w:eastAsia="zh-CN"/>
        </w:rPr>
        <w:t>砖</w:t>
      </w:r>
      <w:r>
        <w:rPr>
          <w:rFonts w:hint="eastAsia" w:ascii="宋体" w:hAnsi="宋体" w:eastAsia="宋体" w:cs="宋体"/>
          <w:highlight w:val="none"/>
          <w:u w:val="none"/>
        </w:rPr>
        <w:t>砌基础、安石椁、</w:t>
      </w:r>
      <w:r>
        <w:rPr>
          <w:rFonts w:hint="eastAsia" w:ascii="宋体" w:hAnsi="宋体" w:eastAsia="宋体" w:cs="宋体"/>
          <w:highlight w:val="none"/>
          <w:u w:val="none"/>
          <w:lang w:val="en-US" w:eastAsia="zh-CN"/>
        </w:rPr>
        <w:t>内</w:t>
      </w:r>
      <w:r>
        <w:rPr>
          <w:rFonts w:hint="eastAsia" w:ascii="宋体" w:hAnsi="宋体" w:eastAsia="宋体" w:cs="宋体"/>
          <w:highlight w:val="none"/>
          <w:u w:val="none"/>
        </w:rPr>
        <w:t>衬板、</w:t>
      </w:r>
      <w:r>
        <w:rPr>
          <w:rFonts w:hint="eastAsia" w:ascii="宋体" w:hAnsi="宋体" w:eastAsia="宋体" w:cs="宋体"/>
          <w:highlight w:val="none"/>
          <w:u w:val="none"/>
          <w:lang w:val="en-US" w:eastAsia="zh-CN"/>
        </w:rPr>
        <w:t>全程协助</w:t>
      </w:r>
      <w:r>
        <w:rPr>
          <w:rFonts w:hint="eastAsia" w:ascii="宋体" w:hAnsi="宋体" w:eastAsia="宋体" w:cs="宋体"/>
          <w:highlight w:val="none"/>
          <w:u w:val="none"/>
        </w:rPr>
        <w:t>落葬</w:t>
      </w:r>
      <w:r>
        <w:rPr>
          <w:rFonts w:hint="eastAsia" w:ascii="宋体" w:hAnsi="宋体" w:eastAsia="宋体" w:cs="宋体"/>
          <w:highlight w:val="none"/>
          <w:u w:val="none"/>
          <w:lang w:val="en-US" w:eastAsia="zh-CN"/>
        </w:rPr>
        <w:t>遗体</w:t>
      </w:r>
      <w:r>
        <w:rPr>
          <w:rFonts w:hint="eastAsia" w:ascii="宋体" w:hAnsi="宋体" w:eastAsia="宋体" w:cs="宋体"/>
          <w:highlight w:val="none"/>
          <w:u w:val="none"/>
        </w:rPr>
        <w:t>、盖板、砌</w:t>
      </w:r>
      <w:r>
        <w:rPr>
          <w:rFonts w:hint="eastAsia" w:ascii="宋体" w:hAnsi="宋体" w:eastAsia="宋体" w:cs="宋体"/>
          <w:highlight w:val="none"/>
          <w:u w:val="none"/>
          <w:lang w:val="en-US" w:eastAsia="zh-CN"/>
        </w:rPr>
        <w:t>盖板上四周</w:t>
      </w:r>
      <w:r>
        <w:rPr>
          <w:rFonts w:hint="eastAsia" w:ascii="宋体" w:hAnsi="宋体" w:eastAsia="宋体" w:cs="宋体"/>
          <w:highlight w:val="none"/>
          <w:u w:val="none"/>
        </w:rPr>
        <w:t>砖</w:t>
      </w:r>
      <w:r>
        <w:rPr>
          <w:rFonts w:hint="eastAsia" w:ascii="宋体" w:hAnsi="宋体" w:eastAsia="宋体" w:cs="宋体"/>
          <w:highlight w:val="none"/>
          <w:u w:val="none"/>
          <w:lang w:val="en-US" w:eastAsia="zh-CN"/>
        </w:rPr>
        <w:t>墙</w:t>
      </w:r>
      <w:r>
        <w:rPr>
          <w:rFonts w:hint="eastAsia" w:ascii="宋体" w:hAnsi="宋体" w:eastAsia="宋体" w:cs="宋体"/>
          <w:highlight w:val="none"/>
          <w:u w:val="none"/>
        </w:rPr>
        <w:t>、回填</w:t>
      </w:r>
      <w:r>
        <w:rPr>
          <w:rFonts w:hint="eastAsia" w:ascii="宋体" w:hAnsi="宋体" w:eastAsia="宋体" w:cs="宋体"/>
          <w:highlight w:val="none"/>
          <w:u w:val="none"/>
          <w:lang w:val="en-US" w:eastAsia="zh-CN"/>
        </w:rPr>
        <w:t>土</w:t>
      </w:r>
      <w:r>
        <w:rPr>
          <w:rFonts w:hint="eastAsia" w:ascii="宋体" w:hAnsi="宋体" w:eastAsia="宋体" w:cs="宋体"/>
          <w:highlight w:val="none"/>
          <w:u w:val="none"/>
        </w:rPr>
        <w:t>、制竹牌、绿化补种等全套工序同上。</w:t>
      </w:r>
    </w:p>
    <w:p w14:paraId="51AB4C1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土质沉降到位，墓体恢复安装后，3日内</w:t>
      </w:r>
      <w:r>
        <w:rPr>
          <w:rFonts w:hint="eastAsia" w:ascii="宋体" w:hAnsi="宋体" w:eastAsia="宋体" w:cs="宋体"/>
          <w:highlight w:val="none"/>
          <w:u w:val="none"/>
        </w:rPr>
        <w:t>完成死亡日期补刻、全墓油漆重描</w:t>
      </w:r>
      <w:r>
        <w:rPr>
          <w:rFonts w:hint="eastAsia" w:ascii="宋体" w:hAnsi="宋体" w:eastAsia="宋体" w:cs="宋体"/>
          <w:highlight w:val="none"/>
          <w:u w:val="none"/>
          <w:lang w:val="en-US" w:eastAsia="zh-CN"/>
        </w:rPr>
        <w:t>等工序</w:t>
      </w:r>
      <w:r>
        <w:rPr>
          <w:rFonts w:hint="eastAsia" w:ascii="宋体" w:hAnsi="宋体" w:eastAsia="宋体" w:cs="宋体"/>
          <w:highlight w:val="none"/>
          <w:u w:val="none"/>
        </w:rPr>
        <w:t>。</w:t>
      </w:r>
    </w:p>
    <w:p w14:paraId="2162D54F">
      <w:pPr>
        <w:rPr>
          <w:rFonts w:hint="eastAsia" w:ascii="宋体" w:hAnsi="宋体" w:eastAsia="宋体" w:cs="宋体"/>
          <w:highlight w:val="none"/>
          <w:u w:val="none"/>
        </w:rPr>
      </w:pPr>
      <w:r>
        <w:rPr>
          <w:rFonts w:hint="eastAsia" w:ascii="宋体" w:hAnsi="宋体" w:eastAsia="宋体" w:cs="宋体"/>
          <w:highlight w:val="none"/>
          <w:u w:val="none"/>
        </w:rPr>
        <w:t>（5）回汉并穴：</w:t>
      </w:r>
    </w:p>
    <w:p w14:paraId="4A49817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按指定位置</w:t>
      </w:r>
      <w:r>
        <w:rPr>
          <w:rFonts w:hint="eastAsia" w:ascii="宋体" w:hAnsi="宋体" w:eastAsia="宋体" w:cs="宋体"/>
          <w:highlight w:val="none"/>
          <w:u w:val="none"/>
          <w:lang w:val="en-US" w:eastAsia="zh-CN"/>
        </w:rPr>
        <w:t>及时清理影响开坑的墓体附着物（部分墓体有树木），并</w:t>
      </w:r>
      <w:r>
        <w:rPr>
          <w:rFonts w:hint="eastAsia" w:ascii="宋体" w:hAnsi="宋体" w:eastAsia="宋体" w:cs="宋体"/>
          <w:highlight w:val="none"/>
          <w:u w:val="none"/>
        </w:rPr>
        <w:t>开坑</w:t>
      </w:r>
      <w:r>
        <w:rPr>
          <w:rFonts w:hint="eastAsia" w:ascii="宋体" w:hAnsi="宋体" w:eastAsia="宋体" w:cs="宋体"/>
          <w:highlight w:val="none"/>
          <w:u w:val="none"/>
          <w:lang w:val="en-US" w:eastAsia="zh-CN"/>
        </w:rPr>
        <w:t>至石椁盖板之上</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开坑</w:t>
      </w:r>
      <w:r>
        <w:rPr>
          <w:rFonts w:hint="eastAsia" w:ascii="宋体" w:hAnsi="宋体" w:eastAsia="宋体" w:cs="宋体"/>
          <w:highlight w:val="none"/>
          <w:u w:val="none"/>
        </w:rPr>
        <w:t>尺寸依据</w:t>
      </w:r>
      <w:r>
        <w:rPr>
          <w:rFonts w:hint="eastAsia" w:ascii="宋体" w:hAnsi="宋体" w:eastAsia="宋体" w:cs="宋体"/>
          <w:highlight w:val="none"/>
          <w:u w:val="none"/>
          <w:lang w:val="en-US" w:eastAsia="zh-CN"/>
        </w:rPr>
        <w:t>骨灰</w:t>
      </w:r>
      <w:r>
        <w:rPr>
          <w:rFonts w:hint="eastAsia" w:ascii="宋体" w:hAnsi="宋体" w:eastAsia="宋体" w:cs="宋体"/>
          <w:highlight w:val="none"/>
          <w:u w:val="none"/>
        </w:rPr>
        <w:t>石椁大小确定</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一般为400*300*340左右</w:t>
      </w:r>
      <w:r>
        <w:rPr>
          <w:rFonts w:hint="eastAsia" w:ascii="宋体" w:hAnsi="宋体" w:eastAsia="宋体" w:cs="宋体"/>
          <w:highlight w:val="none"/>
          <w:u w:val="none"/>
        </w:rPr>
        <w:t>）。</w:t>
      </w:r>
    </w:p>
    <w:p w14:paraId="59A64B5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将骨灰盒纳入骨灰石椁，置于坑内并固定</w:t>
      </w:r>
      <w:r>
        <w:rPr>
          <w:rFonts w:hint="eastAsia" w:ascii="宋体" w:hAnsi="宋体" w:eastAsia="宋体" w:cs="宋体"/>
          <w:highlight w:val="none"/>
          <w:u w:val="none"/>
          <w:lang w:val="en-US" w:eastAsia="zh-CN"/>
        </w:rPr>
        <w:t>骨灰石椁</w:t>
      </w:r>
      <w:r>
        <w:rPr>
          <w:rFonts w:hint="eastAsia" w:ascii="宋体" w:hAnsi="宋体" w:eastAsia="宋体" w:cs="宋体"/>
          <w:highlight w:val="none"/>
          <w:u w:val="none"/>
        </w:rPr>
        <w:t>盖板，回填土方、恢复绿化。</w:t>
      </w:r>
    </w:p>
    <w:p w14:paraId="3B5EB66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落葬后当即清理周围积土、垃圾。</w:t>
      </w: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个工作日内完成死亡日期补刻、全墓油漆重描</w:t>
      </w:r>
      <w:r>
        <w:rPr>
          <w:rFonts w:hint="eastAsia" w:ascii="宋体" w:hAnsi="宋体" w:eastAsia="宋体" w:cs="宋体"/>
          <w:highlight w:val="none"/>
          <w:u w:val="none"/>
          <w:lang w:val="en-US" w:eastAsia="zh-CN"/>
        </w:rPr>
        <w:t>等工序</w:t>
      </w:r>
      <w:r>
        <w:rPr>
          <w:rFonts w:hint="eastAsia" w:ascii="宋体" w:hAnsi="宋体" w:eastAsia="宋体" w:cs="宋体"/>
          <w:highlight w:val="none"/>
          <w:u w:val="none"/>
        </w:rPr>
        <w:t>。</w:t>
      </w:r>
    </w:p>
    <w:p w14:paraId="4DFEEE90">
      <w:pPr>
        <w:rPr>
          <w:rFonts w:hint="eastAsia" w:ascii="宋体" w:hAnsi="宋体" w:eastAsia="宋体" w:cs="宋体"/>
          <w:highlight w:val="none"/>
          <w:u w:val="none"/>
        </w:rPr>
      </w:pPr>
      <w:r>
        <w:rPr>
          <w:rFonts w:hint="eastAsia" w:ascii="宋体" w:hAnsi="宋体" w:eastAsia="宋体" w:cs="宋体"/>
          <w:highlight w:val="none"/>
          <w:u w:val="none"/>
        </w:rPr>
        <w:t>（6）其他工作：</w:t>
      </w:r>
    </w:p>
    <w:p w14:paraId="01AA1C9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包括但不限于</w:t>
      </w:r>
      <w:r>
        <w:rPr>
          <w:rFonts w:hint="eastAsia" w:ascii="宋体" w:hAnsi="宋体" w:eastAsia="宋体" w:cs="宋体"/>
          <w:highlight w:val="none"/>
          <w:u w:val="none"/>
          <w:lang w:val="en-US" w:eastAsia="zh-CN"/>
        </w:rPr>
        <w:t>按</w:t>
      </w:r>
      <w:r>
        <w:rPr>
          <w:rFonts w:hint="eastAsia" w:ascii="宋体" w:hAnsi="宋体" w:eastAsia="宋体" w:cs="宋体"/>
          <w:color w:val="auto"/>
          <w:highlight w:val="none"/>
          <w:u w:val="none"/>
          <w:lang w:val="en-US" w:eastAsia="zh-CN"/>
        </w:rPr>
        <w:t>招标人</w:t>
      </w:r>
      <w:r>
        <w:rPr>
          <w:rFonts w:hint="eastAsia" w:ascii="宋体" w:hAnsi="宋体" w:cs="宋体"/>
          <w:color w:val="auto"/>
          <w:highlight w:val="none"/>
          <w:u w:val="none"/>
          <w:lang w:val="en-US" w:eastAsia="zh-CN"/>
        </w:rPr>
        <w:t>通知要求开展的</w:t>
      </w:r>
      <w:r>
        <w:rPr>
          <w:rFonts w:hint="eastAsia" w:ascii="宋体" w:hAnsi="宋体" w:eastAsia="宋体" w:cs="宋体"/>
          <w:highlight w:val="none"/>
          <w:u w:val="none"/>
          <w:lang w:val="en-US" w:eastAsia="zh-CN"/>
        </w:rPr>
        <w:t>：</w:t>
      </w:r>
      <w:r>
        <w:rPr>
          <w:rFonts w:hint="eastAsia" w:ascii="宋体" w:hAnsi="宋体" w:eastAsia="宋体" w:cs="宋体"/>
          <w:highlight w:val="none"/>
          <w:u w:val="none"/>
        </w:rPr>
        <w:t>迁坟、老墓维修、额外新增排水、加固修复基础，以及</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安排的其他临时性工作。</w:t>
      </w:r>
    </w:p>
    <w:p w14:paraId="419190EA">
      <w:pPr>
        <w:rPr>
          <w:rFonts w:hint="eastAsia" w:ascii="宋体" w:hAnsi="宋体" w:eastAsia="宋体" w:cs="宋体"/>
          <w:highlight w:val="none"/>
          <w:u w:val="none"/>
        </w:rPr>
      </w:pPr>
    </w:p>
    <w:p w14:paraId="6F7799C8">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（二）墓体安装技术要求</w:t>
      </w:r>
    </w:p>
    <w:p w14:paraId="48EC66E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本项服务须严格遵循当地丧葬礼仪</w:t>
      </w:r>
      <w:r>
        <w:rPr>
          <w:rFonts w:hint="eastAsia" w:ascii="宋体" w:hAnsi="宋体" w:eastAsia="宋体" w:cs="宋体"/>
          <w:highlight w:val="none"/>
          <w:u w:val="none"/>
          <w:lang w:val="en-US" w:eastAsia="zh-CN"/>
        </w:rPr>
        <w:t>与招标人制定的标准</w:t>
      </w:r>
      <w:r>
        <w:rPr>
          <w:rFonts w:hint="eastAsia" w:ascii="宋体" w:hAnsi="宋体" w:eastAsia="宋体" w:cs="宋体"/>
          <w:highlight w:val="none"/>
          <w:u w:val="none"/>
        </w:rPr>
        <w:t>要求，全程保障墓体安装过程</w:t>
      </w:r>
      <w:r>
        <w:rPr>
          <w:rFonts w:hint="eastAsia" w:ascii="宋体" w:hAnsi="宋体" w:eastAsia="宋体" w:cs="宋体"/>
          <w:highlight w:val="none"/>
          <w:u w:val="none"/>
          <w:lang w:val="en-US" w:eastAsia="zh-CN"/>
        </w:rPr>
        <w:t>安全、</w:t>
      </w:r>
      <w:r>
        <w:rPr>
          <w:rFonts w:hint="eastAsia" w:ascii="宋体" w:hAnsi="宋体" w:eastAsia="宋体" w:cs="宋体"/>
          <w:highlight w:val="none"/>
          <w:u w:val="none"/>
        </w:rPr>
        <w:t>规范、肃穆。</w:t>
      </w:r>
    </w:p>
    <w:p w14:paraId="73536830">
      <w:pPr>
        <w:rPr>
          <w:rFonts w:hint="eastAsia" w:ascii="宋体" w:hAnsi="宋体" w:eastAsia="宋体" w:cs="宋体"/>
          <w:highlight w:val="none"/>
          <w:u w:val="none"/>
        </w:rPr>
      </w:pPr>
      <w:r>
        <w:rPr>
          <w:rFonts w:hint="eastAsia" w:ascii="宋体" w:hAnsi="宋体" w:eastAsia="宋体" w:cs="宋体"/>
          <w:highlight w:val="none"/>
          <w:u w:val="none"/>
        </w:rPr>
        <w:t>墓</w:t>
      </w:r>
      <w:r>
        <w:rPr>
          <w:rFonts w:hint="eastAsia" w:ascii="宋体" w:hAnsi="宋体" w:eastAsia="宋体" w:cs="宋体"/>
          <w:highlight w:val="none"/>
          <w:u w:val="none"/>
          <w:lang w:val="en-US" w:eastAsia="zh-CN"/>
        </w:rPr>
        <w:t>体</w:t>
      </w:r>
      <w:r>
        <w:rPr>
          <w:rFonts w:hint="eastAsia" w:ascii="宋体" w:hAnsi="宋体" w:eastAsia="宋体" w:cs="宋体"/>
          <w:highlight w:val="none"/>
          <w:u w:val="none"/>
        </w:rPr>
        <w:t>质量标准：</w:t>
      </w:r>
    </w:p>
    <w:p w14:paraId="7A72357C">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rPr>
        <w:t>墓</w:t>
      </w:r>
      <w:r>
        <w:rPr>
          <w:rFonts w:hint="eastAsia" w:ascii="宋体" w:hAnsi="宋体" w:eastAsia="宋体" w:cs="宋体"/>
          <w:highlight w:val="none"/>
          <w:u w:val="none"/>
          <w:lang w:val="en-US" w:eastAsia="zh-CN"/>
        </w:rPr>
        <w:t>体安装</w:t>
      </w:r>
      <w:r>
        <w:rPr>
          <w:rFonts w:hint="eastAsia" w:ascii="宋体" w:hAnsi="宋体" w:eastAsia="宋体" w:cs="宋体"/>
          <w:highlight w:val="none"/>
          <w:u w:val="none"/>
        </w:rPr>
        <w:t>所采用的</w:t>
      </w:r>
      <w:r>
        <w:rPr>
          <w:rFonts w:hint="eastAsia" w:ascii="宋体" w:hAnsi="宋体" w:eastAsia="宋体" w:cs="宋体"/>
          <w:highlight w:val="none"/>
          <w:u w:val="none"/>
          <w:lang w:val="en-US" w:eastAsia="zh-CN"/>
        </w:rPr>
        <w:t>主材石</w:t>
      </w:r>
      <w:r>
        <w:rPr>
          <w:rFonts w:hint="eastAsia" w:ascii="宋体" w:hAnsi="宋体" w:eastAsia="宋体" w:cs="宋体"/>
          <w:highlight w:val="none"/>
          <w:u w:val="none"/>
        </w:rPr>
        <w:t>料</w:t>
      </w:r>
      <w:r>
        <w:rPr>
          <w:rFonts w:hint="eastAsia" w:ascii="宋体" w:hAnsi="宋体" w:eastAsia="宋体" w:cs="宋体"/>
          <w:highlight w:val="none"/>
          <w:u w:val="none"/>
          <w:lang w:val="en-US" w:eastAsia="zh-CN"/>
        </w:rPr>
        <w:t>由招标人另行采购并提供。</w:t>
      </w:r>
    </w:p>
    <w:p w14:paraId="5C3102BF">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墓体安装前需由中标人施工团队对</w:t>
      </w:r>
      <w:r>
        <w:rPr>
          <w:rFonts w:hint="eastAsia" w:ascii="宋体" w:hAnsi="宋体" w:eastAsia="宋体" w:cs="宋体"/>
          <w:highlight w:val="none"/>
          <w:u w:val="none"/>
        </w:rPr>
        <w:t>石料</w:t>
      </w:r>
      <w:r>
        <w:rPr>
          <w:rFonts w:hint="eastAsia" w:ascii="宋体" w:hAnsi="宋体" w:eastAsia="宋体" w:cs="宋体"/>
          <w:highlight w:val="none"/>
          <w:u w:val="none"/>
          <w:lang w:val="en-US" w:eastAsia="zh-CN"/>
        </w:rPr>
        <w:t>进行外观确认，需确保石材包括但不限于：</w:t>
      </w:r>
      <w:r>
        <w:rPr>
          <w:rFonts w:hint="eastAsia" w:ascii="宋体" w:hAnsi="宋体" w:eastAsia="宋体" w:cs="宋体"/>
          <w:highlight w:val="none"/>
          <w:u w:val="none"/>
        </w:rPr>
        <w:t>不能有翘曲、缺棱掉角，不能有裂纹、石纹、石胆、石根、杂质及颜色不均（以洒水湿润石材表面进行鉴别）</w:t>
      </w:r>
      <w:r>
        <w:rPr>
          <w:rFonts w:hint="eastAsia" w:ascii="宋体" w:hAnsi="宋体" w:eastAsia="宋体" w:cs="宋体"/>
          <w:highlight w:val="none"/>
          <w:u w:val="none"/>
          <w:lang w:eastAsia="zh-CN"/>
        </w:rPr>
        <w:t>，</w:t>
      </w:r>
      <w:r>
        <w:rPr>
          <w:rFonts w:hint="eastAsia" w:ascii="宋体" w:hAnsi="宋体" w:eastAsia="宋体" w:cs="宋体"/>
          <w:highlight w:val="none"/>
          <w:u w:val="none"/>
        </w:rPr>
        <w:t>采用的材料必须是全新合格的材料，不能以旧代新，以次充好，不能有油污或变质的材料</w:t>
      </w:r>
      <w:r>
        <w:rPr>
          <w:rFonts w:hint="eastAsia" w:ascii="宋体" w:hAnsi="宋体" w:eastAsia="宋体" w:cs="宋体"/>
          <w:highlight w:val="none"/>
          <w:u w:val="none"/>
          <w:lang w:eastAsia="zh-CN"/>
        </w:rPr>
        <w:t>；</w:t>
      </w:r>
      <w:r>
        <w:rPr>
          <w:rFonts w:hint="eastAsia" w:ascii="宋体" w:hAnsi="宋体" w:eastAsia="宋体" w:cs="宋体"/>
          <w:highlight w:val="none"/>
          <w:u w:val="none"/>
        </w:rPr>
        <w:t>墓碑设有线条或平调、浮雕、沉雕图案的，以</w:t>
      </w:r>
      <w:r>
        <w:rPr>
          <w:rFonts w:hint="eastAsia" w:ascii="宋体" w:hAnsi="宋体" w:eastAsia="宋体" w:cs="宋体"/>
          <w:highlight w:val="none"/>
          <w:u w:val="none"/>
          <w:lang w:val="en-US" w:eastAsia="zh-CN"/>
        </w:rPr>
        <w:t>招标人提供的</w:t>
      </w:r>
      <w:r>
        <w:rPr>
          <w:rFonts w:hint="eastAsia" w:ascii="宋体" w:hAnsi="宋体" w:eastAsia="宋体" w:cs="宋体"/>
          <w:highlight w:val="none"/>
          <w:u w:val="none"/>
        </w:rPr>
        <w:t>效果图彩照</w:t>
      </w:r>
      <w:r>
        <w:rPr>
          <w:rFonts w:hint="eastAsia" w:ascii="宋体" w:hAnsi="宋体" w:eastAsia="宋体" w:cs="宋体"/>
          <w:highlight w:val="none"/>
          <w:u w:val="none"/>
          <w:lang w:val="en-US" w:eastAsia="zh-CN"/>
        </w:rPr>
        <w:t>或</w:t>
      </w:r>
      <w:r>
        <w:rPr>
          <w:rFonts w:hint="eastAsia" w:ascii="宋体" w:hAnsi="宋体" w:eastAsia="宋体" w:cs="宋体"/>
          <w:highlight w:val="none"/>
          <w:u w:val="none"/>
        </w:rPr>
        <w:t>图纸、现场进行对照</w:t>
      </w:r>
      <w:r>
        <w:rPr>
          <w:rFonts w:hint="eastAsia" w:ascii="宋体" w:hAnsi="宋体" w:eastAsia="宋体" w:cs="宋体"/>
          <w:highlight w:val="none"/>
          <w:u w:val="none"/>
          <w:lang w:val="en-US" w:eastAsia="zh-CN"/>
        </w:rPr>
        <w:t>确认</w:t>
      </w:r>
      <w:r>
        <w:rPr>
          <w:rFonts w:hint="eastAsia" w:ascii="宋体" w:hAnsi="宋体" w:eastAsia="宋体" w:cs="宋体"/>
          <w:highlight w:val="none"/>
          <w:u w:val="none"/>
        </w:rPr>
        <w:t>。线条要均匀、平滑、大小一致。平雕、浮雕、沉雕图案生动、流畅、自然、形似（雕花像花、雕竹像竹）、线条清晰，雕刻要精细、线条要均匀。光面的要平滑无凹凸</w:t>
      </w:r>
      <w:r>
        <w:rPr>
          <w:rFonts w:hint="eastAsia" w:ascii="宋体" w:hAnsi="宋体" w:eastAsia="宋体" w:cs="宋体"/>
          <w:highlight w:val="none"/>
          <w:u w:val="none"/>
          <w:lang w:eastAsia="zh-CN"/>
        </w:rPr>
        <w:t>；</w:t>
      </w:r>
      <w:r>
        <w:rPr>
          <w:rFonts w:hint="eastAsia" w:ascii="宋体" w:hAnsi="宋体" w:eastAsia="宋体" w:cs="宋体"/>
          <w:highlight w:val="none"/>
          <w:u w:val="none"/>
        </w:rPr>
        <w:t>墓碑弧形、拱形造型的形状均匀、对称，厚度统一流畅。圆柱柱形粗细均匀，圆线要正圆、光滑，弧形线要顺滑，斜角线角度统一、平滑</w:t>
      </w:r>
      <w:r>
        <w:rPr>
          <w:rFonts w:hint="eastAsia" w:ascii="宋体" w:hAnsi="宋体" w:eastAsia="宋体" w:cs="宋体"/>
          <w:highlight w:val="none"/>
          <w:u w:val="none"/>
          <w:lang w:eastAsia="zh-CN"/>
        </w:rPr>
        <w:t>；</w:t>
      </w:r>
      <w:r>
        <w:rPr>
          <w:rFonts w:hint="eastAsia" w:ascii="宋体" w:hAnsi="宋体" w:eastAsia="宋体" w:cs="宋体"/>
          <w:highlight w:val="none"/>
          <w:u w:val="none"/>
        </w:rPr>
        <w:t>如</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要求石材磨光的，要求其抛光面光度不小于真光</w:t>
      </w:r>
      <w:r>
        <w:rPr>
          <w:rFonts w:hint="eastAsia" w:ascii="宋体" w:hAnsi="宋体" w:eastAsia="宋体" w:cs="宋体"/>
          <w:highlight w:val="none"/>
          <w:u w:val="none"/>
          <w:lang w:val="en-US" w:eastAsia="zh-CN"/>
        </w:rPr>
        <w:t>9</w:t>
      </w:r>
      <w:r>
        <w:rPr>
          <w:rFonts w:hint="eastAsia" w:ascii="宋体" w:hAnsi="宋体" w:eastAsia="宋体" w:cs="宋体"/>
          <w:highlight w:val="none"/>
          <w:u w:val="none"/>
        </w:rPr>
        <w:t>0度光，不能以渗灌色（打蜡）来增加光度。</w:t>
      </w:r>
      <w:r>
        <w:rPr>
          <w:rFonts w:hint="eastAsia" w:ascii="宋体" w:hAnsi="宋体" w:eastAsia="宋体" w:cs="宋体"/>
          <w:highlight w:val="none"/>
          <w:u w:val="none"/>
          <w:lang w:val="en-US" w:eastAsia="zh-CN"/>
        </w:rPr>
        <w:t>如发现主材石料问题，须第一时间报告招标人，并当即选用招标人提供的，达到上述标准的石料进行墓体安装。</w:t>
      </w:r>
      <w:r>
        <w:rPr>
          <w:rFonts w:hint="eastAsia" w:ascii="宋体" w:hAnsi="宋体" w:cs="宋体"/>
          <w:highlight w:val="none"/>
          <w:u w:val="none"/>
          <w:lang w:val="en-US" w:eastAsia="zh-CN"/>
        </w:rPr>
        <w:t>（</w:t>
      </w:r>
      <w:r>
        <w:rPr>
          <w:rFonts w:hint="eastAsia" w:ascii="宋体" w:hAnsi="宋体" w:eastAsia="宋体" w:cs="宋体"/>
          <w:highlight w:val="none"/>
          <w:u w:val="none"/>
          <w:lang w:val="en-US" w:eastAsia="zh-CN"/>
        </w:rPr>
        <w:t>为确保石材质量可追溯，中标人在安装前须对每一块用于安装的石料进行外观及质量确认。此要求旨在明确质量责任划分，以便于后续可能出现的质量争议处理。</w:t>
      </w:r>
      <w:r>
        <w:rPr>
          <w:rFonts w:hint="eastAsia" w:ascii="宋体" w:hAnsi="宋体" w:cs="宋体"/>
          <w:highlight w:val="none"/>
          <w:u w:val="none"/>
          <w:lang w:val="en-US" w:eastAsia="zh-CN"/>
        </w:rPr>
        <w:t>）</w:t>
      </w:r>
    </w:p>
    <w:p w14:paraId="6E93CC6E">
      <w:pPr>
        <w:rPr>
          <w:rFonts w:hint="eastAsia" w:ascii="宋体" w:hAnsi="宋体" w:eastAsia="宋体" w:cs="宋体"/>
          <w:highlight w:val="none"/>
          <w:u w:val="none"/>
        </w:rPr>
      </w:pPr>
      <w:r>
        <w:rPr>
          <w:rFonts w:hint="eastAsia" w:ascii="宋体" w:hAnsi="宋体" w:eastAsia="宋体" w:cs="宋体"/>
          <w:highlight w:val="none"/>
          <w:u w:val="none"/>
        </w:rPr>
        <w:t>墓碑碑文技术要求：</w:t>
      </w:r>
    </w:p>
    <w:p w14:paraId="1869F985">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墓碑碑</w:t>
      </w:r>
      <w:r>
        <w:rPr>
          <w:rFonts w:hint="eastAsia" w:ascii="宋体" w:hAnsi="宋体" w:eastAsia="宋体" w:cs="宋体"/>
          <w:highlight w:val="none"/>
          <w:u w:val="none"/>
          <w:lang w:val="en-US" w:eastAsia="zh-CN"/>
        </w:rPr>
        <w:t>体上的文</w:t>
      </w:r>
      <w:r>
        <w:rPr>
          <w:rFonts w:hint="eastAsia" w:ascii="宋体" w:hAnsi="宋体" w:eastAsia="宋体" w:cs="宋体"/>
          <w:highlight w:val="none"/>
          <w:u w:val="none"/>
        </w:rPr>
        <w:t>字</w:t>
      </w:r>
      <w:r>
        <w:rPr>
          <w:rFonts w:hint="eastAsia" w:ascii="宋体" w:hAnsi="宋体" w:eastAsia="宋体" w:cs="宋体"/>
          <w:highlight w:val="none"/>
          <w:u w:val="none"/>
          <w:lang w:val="en-US" w:eastAsia="zh-CN"/>
        </w:rPr>
        <w:t>雕刻</w:t>
      </w:r>
      <w:r>
        <w:rPr>
          <w:rFonts w:hint="eastAsia" w:ascii="宋体" w:hAnsi="宋体" w:cs="宋体"/>
          <w:highlight w:val="none"/>
          <w:u w:val="none"/>
          <w:lang w:val="en-US" w:eastAsia="zh-CN"/>
        </w:rPr>
        <w:t>及描漆</w:t>
      </w:r>
      <w:r>
        <w:rPr>
          <w:rFonts w:hint="eastAsia" w:ascii="宋体" w:hAnsi="宋体" w:eastAsia="宋体" w:cs="宋体"/>
          <w:highlight w:val="none"/>
          <w:u w:val="none"/>
          <w:lang w:val="en-US" w:eastAsia="zh-CN"/>
        </w:rPr>
        <w:t>由主材石料供应商提供，</w:t>
      </w:r>
      <w:r>
        <w:rPr>
          <w:rFonts w:hint="eastAsia" w:ascii="宋体" w:hAnsi="宋体" w:eastAsia="宋体" w:cs="宋体"/>
          <w:highlight w:val="none"/>
          <w:u w:val="none"/>
        </w:rPr>
        <w:t>均采用魏碑字体</w:t>
      </w:r>
      <w:r>
        <w:rPr>
          <w:rFonts w:hint="eastAsia" w:ascii="宋体" w:hAnsi="宋体" w:eastAsia="宋体" w:cs="宋体"/>
          <w:highlight w:val="none"/>
          <w:u w:val="none"/>
          <w:lang w:val="en-US" w:eastAsia="zh-CN"/>
        </w:rPr>
        <w:t>刻制</w:t>
      </w:r>
      <w:r>
        <w:rPr>
          <w:rFonts w:hint="eastAsia" w:ascii="宋体" w:hAnsi="宋体" w:eastAsia="宋体" w:cs="宋体"/>
          <w:highlight w:val="none"/>
          <w:u w:val="none"/>
          <w:lang w:eastAsia="zh-CN"/>
        </w:rPr>
        <w:t>。</w:t>
      </w:r>
    </w:p>
    <w:p w14:paraId="670D7F7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作业范围：特殊字体或补刻由中标人现场完成。因施工错误导致内容、位置等偏差，中标人须无条件更换同品质碑材并承担拆装费。</w:t>
      </w:r>
    </w:p>
    <w:p w14:paraId="0354684D">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工艺流程：客户确认→招标人派单→中标人雕刻→清灰除油烘干→专用漆描字/贴金→封闭防护→自检交付。严禁带水带蜡上色及旧碑不除旧漆直接覆盖描字等操作。</w:t>
      </w:r>
    </w:p>
    <w:p w14:paraId="25A251B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技术标准：</w:t>
      </w:r>
    </w:p>
    <w:p w14:paraId="7AB4E74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雕刻：阴刻深度≥5mm，槽壁平整无崩裂；排版公差±0.5mm。</w:t>
      </w:r>
    </w:p>
    <w:p w14:paraId="44AB302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预处理：碑面无油污粉尘，刻槽无积水青苔。</w:t>
      </w:r>
    </w:p>
    <w:p w14:paraId="43E7EB2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描字：必须使用户外石材专用耐候环氧漆，禁用室内漆。文字填充密实，笔画完整，无缺笔、漏填、晕染糊边、空心或断点。填充漆面低于石材平面，不溢色、色泽均匀。</w:t>
      </w:r>
    </w:p>
    <w:p w14:paraId="30DAECA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验收与质保：验收实行“深度达标+描字合格”一票否决。正常露天环境质保期不少于2年。质保期内褪色脱落免费重描；因刻槽&lt;5mm致脱漆的，由制作方承担全责。</w:t>
      </w:r>
    </w:p>
    <w:p w14:paraId="7F3CC5A4">
      <w:pPr>
        <w:rPr>
          <w:rFonts w:hint="eastAsia" w:ascii="宋体" w:hAnsi="宋体" w:eastAsia="宋体" w:cs="宋体"/>
          <w:highlight w:val="none"/>
          <w:u w:val="none"/>
        </w:rPr>
      </w:pPr>
      <w:r>
        <w:rPr>
          <w:rFonts w:hint="eastAsia" w:ascii="宋体" w:hAnsi="宋体" w:eastAsia="宋体" w:cs="宋体"/>
          <w:highlight w:val="none"/>
          <w:u w:val="none"/>
        </w:rPr>
        <w:t>安装工序习俗适配要求：</w:t>
      </w:r>
    </w:p>
    <w:p w14:paraId="42F6105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安装作业人员上岗前须接受殡葬习俗专项培训。墓体吊装、安放过程须平稳规范，不得出现磕碰、倒置等不符合当地习俗的操作，安装时序须严格按照</w:t>
      </w:r>
      <w:r>
        <w:rPr>
          <w:rFonts w:hint="eastAsia" w:ascii="宋体" w:hAnsi="宋体" w:eastAsia="宋体" w:cs="宋体"/>
          <w:highlight w:val="none"/>
          <w:u w:val="none"/>
          <w:lang w:val="en-US" w:eastAsia="zh-CN"/>
        </w:rPr>
        <w:t>经</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确认的流程推进。</w:t>
      </w:r>
    </w:p>
    <w:p w14:paraId="48B0BE9D">
      <w:pPr>
        <w:rPr>
          <w:rFonts w:hint="eastAsia" w:ascii="宋体" w:hAnsi="宋体" w:eastAsia="宋体" w:cs="宋体"/>
          <w:highlight w:val="none"/>
          <w:u w:val="none"/>
        </w:rPr>
      </w:pPr>
      <w:r>
        <w:rPr>
          <w:rFonts w:hint="eastAsia" w:ascii="宋体" w:hAnsi="宋体" w:eastAsia="宋体" w:cs="宋体"/>
          <w:highlight w:val="none"/>
          <w:u w:val="none"/>
        </w:rPr>
        <w:t>安装精度与稳固性要求：</w:t>
      </w:r>
    </w:p>
    <w:p w14:paraId="1B4476A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安装前，应根据自身经验确认并改善现场</w:t>
      </w:r>
      <w:r>
        <w:rPr>
          <w:rFonts w:hint="eastAsia" w:ascii="宋体" w:hAnsi="宋体" w:eastAsia="宋体" w:cs="宋体"/>
          <w:highlight w:val="none"/>
          <w:u w:val="none"/>
          <w:lang w:val="en-US" w:eastAsia="zh-CN"/>
        </w:rPr>
        <w:t>环境，直至达到</w:t>
      </w:r>
      <w:r>
        <w:rPr>
          <w:rFonts w:hint="eastAsia" w:ascii="宋体" w:hAnsi="宋体" w:eastAsia="宋体" w:cs="宋体"/>
          <w:highlight w:val="none"/>
          <w:u w:val="none"/>
        </w:rPr>
        <w:t>施工条件。防沉降加固措施须符合20年使用要求，不得出现松动、下沉、倾斜现象。</w:t>
      </w:r>
    </w:p>
    <w:p w14:paraId="057B57E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墓碑中心线必须与每个墓位中线重合，左右对称</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墓体构件</w:t>
      </w:r>
      <w:r>
        <w:rPr>
          <w:rFonts w:hint="eastAsia" w:ascii="宋体" w:hAnsi="宋体" w:eastAsia="宋体" w:cs="宋体"/>
          <w:highlight w:val="none"/>
          <w:u w:val="none"/>
        </w:rPr>
        <w:t>之间</w:t>
      </w:r>
      <w:r>
        <w:rPr>
          <w:rFonts w:hint="eastAsia" w:ascii="宋体" w:hAnsi="宋体" w:eastAsia="宋体" w:cs="宋体"/>
          <w:highlight w:val="none"/>
          <w:u w:val="none"/>
          <w:lang w:val="en-US" w:eastAsia="zh-CN"/>
        </w:rPr>
        <w:t>安装</w:t>
      </w:r>
      <w:r>
        <w:rPr>
          <w:rFonts w:hint="eastAsia" w:ascii="宋体" w:hAnsi="宋体" w:eastAsia="宋体" w:cs="宋体"/>
          <w:highlight w:val="none"/>
          <w:u w:val="none"/>
        </w:rPr>
        <w:t>间隙一致</w:t>
      </w:r>
      <w:r>
        <w:rPr>
          <w:rFonts w:hint="eastAsia" w:ascii="宋体" w:hAnsi="宋体" w:eastAsia="宋体" w:cs="宋体"/>
          <w:highlight w:val="none"/>
          <w:u w:val="none"/>
          <w:lang w:eastAsia="zh-CN"/>
        </w:rPr>
        <w:t>，</w:t>
      </w:r>
      <w:r>
        <w:rPr>
          <w:rFonts w:hint="eastAsia" w:ascii="宋体" w:hAnsi="宋体" w:eastAsia="宋体" w:cs="宋体"/>
          <w:highlight w:val="none"/>
          <w:u w:val="none"/>
        </w:rPr>
        <w:t>接口处严密、均匀，内用水泥，外用石胶，确保无漏浆。</w:t>
      </w:r>
    </w:p>
    <w:p w14:paraId="1014A22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施工</w:t>
      </w:r>
      <w:r>
        <w:rPr>
          <w:rFonts w:hint="eastAsia" w:ascii="宋体" w:hAnsi="宋体" w:eastAsia="宋体" w:cs="宋体"/>
          <w:highlight w:val="none"/>
          <w:u w:val="none"/>
          <w:lang w:val="en-US" w:eastAsia="zh-CN"/>
        </w:rPr>
        <w:t>过程中</w:t>
      </w:r>
      <w:r>
        <w:rPr>
          <w:rFonts w:hint="eastAsia" w:ascii="宋体" w:hAnsi="宋体" w:eastAsia="宋体" w:cs="宋体"/>
          <w:highlight w:val="none"/>
          <w:u w:val="none"/>
        </w:rPr>
        <w:t>所需混凝土必须在搅拌场内预先拌和，方可</w:t>
      </w:r>
      <w:r>
        <w:rPr>
          <w:rFonts w:hint="eastAsia" w:ascii="宋体" w:hAnsi="宋体" w:eastAsia="宋体" w:cs="宋体"/>
          <w:highlight w:val="none"/>
          <w:u w:val="none"/>
          <w:lang w:val="en-US" w:eastAsia="zh-CN"/>
        </w:rPr>
        <w:t>运抵相关位置使用</w:t>
      </w:r>
      <w:r>
        <w:rPr>
          <w:rFonts w:hint="eastAsia" w:ascii="宋体" w:hAnsi="宋体" w:eastAsia="宋体" w:cs="宋体"/>
          <w:highlight w:val="none"/>
          <w:u w:val="none"/>
        </w:rPr>
        <w:t>。不</w:t>
      </w:r>
      <w:r>
        <w:rPr>
          <w:rFonts w:hint="eastAsia" w:ascii="宋体" w:hAnsi="宋体" w:eastAsia="宋体" w:cs="宋体"/>
          <w:highlight w:val="none"/>
          <w:u w:val="none"/>
          <w:lang w:val="en-US" w:eastAsia="zh-CN"/>
        </w:rPr>
        <w:t>得</w:t>
      </w:r>
      <w:r>
        <w:rPr>
          <w:rFonts w:hint="eastAsia" w:ascii="宋体" w:hAnsi="宋体" w:eastAsia="宋体" w:cs="宋体"/>
          <w:highlight w:val="none"/>
          <w:u w:val="none"/>
        </w:rPr>
        <w:t>在墓</w:t>
      </w:r>
      <w:r>
        <w:rPr>
          <w:rFonts w:hint="eastAsia" w:ascii="宋体" w:hAnsi="宋体" w:eastAsia="宋体" w:cs="宋体"/>
          <w:highlight w:val="none"/>
          <w:u w:val="none"/>
          <w:lang w:val="en-US" w:eastAsia="zh-CN"/>
        </w:rPr>
        <w:t>穴</w:t>
      </w:r>
      <w:r>
        <w:rPr>
          <w:rFonts w:hint="eastAsia" w:ascii="宋体" w:hAnsi="宋体" w:eastAsia="宋体" w:cs="宋体"/>
          <w:highlight w:val="none"/>
          <w:u w:val="none"/>
        </w:rPr>
        <w:t>基础坑里及其周边</w:t>
      </w:r>
      <w:r>
        <w:rPr>
          <w:rFonts w:hint="eastAsia" w:ascii="宋体" w:hAnsi="宋体" w:eastAsia="宋体" w:cs="宋体"/>
          <w:highlight w:val="none"/>
          <w:u w:val="none"/>
          <w:lang w:val="en-US" w:eastAsia="zh-CN"/>
        </w:rPr>
        <w:t>路面</w:t>
      </w:r>
      <w:r>
        <w:rPr>
          <w:rFonts w:hint="eastAsia" w:ascii="宋体" w:hAnsi="宋体" w:eastAsia="宋体" w:cs="宋体"/>
          <w:highlight w:val="none"/>
          <w:u w:val="none"/>
        </w:rPr>
        <w:t>拌和捣制混凝土。</w:t>
      </w:r>
    </w:p>
    <w:p w14:paraId="5A82C079">
      <w:pPr>
        <w:rPr>
          <w:rFonts w:hint="eastAsia" w:ascii="宋体" w:hAnsi="宋体" w:eastAsia="宋体" w:cs="宋体"/>
          <w:highlight w:val="none"/>
          <w:u w:val="none"/>
        </w:rPr>
      </w:pPr>
      <w:r>
        <w:rPr>
          <w:rFonts w:hint="eastAsia" w:ascii="宋体" w:hAnsi="宋体" w:eastAsia="宋体" w:cs="宋体"/>
          <w:highlight w:val="none"/>
          <w:u w:val="none"/>
        </w:rPr>
        <w:t>成品保护与核验要求：</w:t>
      </w:r>
    </w:p>
    <w:p w14:paraId="6DC6B7D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安装过程中须对墓体表面全程保护，避免划伤、污渍。安装完成后须</w:t>
      </w:r>
      <w:r>
        <w:rPr>
          <w:rFonts w:hint="eastAsia" w:ascii="宋体" w:hAnsi="宋体" w:eastAsia="宋体" w:cs="宋体"/>
          <w:highlight w:val="none"/>
          <w:u w:val="none"/>
          <w:lang w:val="en-US" w:eastAsia="zh-CN"/>
        </w:rPr>
        <w:t>当即</w:t>
      </w:r>
      <w:r>
        <w:rPr>
          <w:rFonts w:hint="eastAsia" w:ascii="宋体" w:hAnsi="宋体" w:eastAsia="宋体" w:cs="宋体"/>
          <w:highlight w:val="none"/>
          <w:u w:val="none"/>
        </w:rPr>
        <w:t>清理所有胶痕、灰尘，经</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核验签字确认，不合格须无条件返工。</w:t>
      </w:r>
    </w:p>
    <w:p w14:paraId="4823DFCE">
      <w:pPr>
        <w:rPr>
          <w:rFonts w:hint="eastAsia" w:ascii="宋体" w:hAnsi="宋体" w:eastAsia="宋体" w:cs="宋体"/>
          <w:highlight w:val="none"/>
          <w:u w:val="none"/>
        </w:rPr>
      </w:pPr>
      <w:r>
        <w:rPr>
          <w:rFonts w:hint="eastAsia" w:ascii="宋体" w:hAnsi="宋体" w:eastAsia="宋体" w:cs="宋体"/>
          <w:highlight w:val="none"/>
          <w:u w:val="none"/>
        </w:rPr>
        <w:t>后续维保要求：</w:t>
      </w:r>
    </w:p>
    <w:p w14:paraId="5E36259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安装后半年内须对墓体稳固性开展1次全覆盖复检，出现倾斜、松动等问题免费调整</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直至达到标准水平</w:t>
      </w:r>
      <w:r>
        <w:rPr>
          <w:rFonts w:hint="eastAsia" w:ascii="宋体" w:hAnsi="宋体" w:eastAsia="宋体" w:cs="宋体"/>
          <w:highlight w:val="none"/>
          <w:u w:val="none"/>
        </w:rPr>
        <w:t>。</w:t>
      </w:r>
    </w:p>
    <w:p w14:paraId="70F7254D">
      <w:pPr>
        <w:rPr>
          <w:rFonts w:hint="eastAsia" w:ascii="宋体" w:hAnsi="宋体" w:eastAsia="宋体" w:cs="宋体"/>
          <w:highlight w:val="none"/>
          <w:u w:val="none"/>
        </w:rPr>
      </w:pPr>
      <w:r>
        <w:rPr>
          <w:rFonts w:hint="eastAsia" w:ascii="宋体" w:hAnsi="宋体" w:eastAsia="宋体" w:cs="宋体"/>
          <w:highlight w:val="none"/>
          <w:u w:val="none"/>
          <w:lang w:val="en-US" w:eastAsia="zh-CN"/>
        </w:rPr>
        <w:t>墓体安装</w:t>
      </w:r>
      <w:r>
        <w:rPr>
          <w:rFonts w:hint="eastAsia" w:ascii="宋体" w:hAnsi="宋体" w:eastAsia="宋体" w:cs="宋体"/>
          <w:highlight w:val="none"/>
          <w:u w:val="none"/>
        </w:rPr>
        <w:t>具体流程：</w:t>
      </w:r>
    </w:p>
    <w:p w14:paraId="552D33C7">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墓体地基与地下墓室地基连接牢固。</w:t>
      </w:r>
    </w:p>
    <w:p w14:paraId="0BFB511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制作墓体地基、安装墓体墓碑</w:t>
      </w:r>
      <w:r>
        <w:rPr>
          <w:rFonts w:hint="eastAsia" w:ascii="宋体" w:hAnsi="宋体" w:eastAsia="宋体" w:cs="宋体"/>
          <w:highlight w:val="none"/>
          <w:u w:val="none"/>
          <w:lang w:val="en-US" w:eastAsia="zh-CN"/>
        </w:rPr>
        <w:t>等</w:t>
      </w:r>
      <w:r>
        <w:rPr>
          <w:rFonts w:hint="eastAsia" w:ascii="宋体" w:hAnsi="宋体" w:eastAsia="宋体" w:cs="宋体"/>
          <w:highlight w:val="none"/>
          <w:u w:val="none"/>
        </w:rPr>
        <w:t>。</w:t>
      </w:r>
    </w:p>
    <w:p w14:paraId="416C73F1">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制作墓间距、墓间道。回填墓内土方，清理垃圾，进行绿化种植</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或补种</w:t>
      </w:r>
      <w:r>
        <w:rPr>
          <w:rFonts w:hint="eastAsia" w:ascii="宋体" w:hAnsi="宋体" w:eastAsia="宋体" w:cs="宋体"/>
          <w:highlight w:val="none"/>
          <w:u w:val="none"/>
          <w:lang w:eastAsia="zh-CN"/>
        </w:rPr>
        <w:t>）</w:t>
      </w:r>
      <w:r>
        <w:rPr>
          <w:rFonts w:hint="eastAsia" w:ascii="宋体" w:hAnsi="宋体" w:eastAsia="宋体" w:cs="宋体"/>
          <w:highlight w:val="none"/>
          <w:u w:val="none"/>
        </w:rPr>
        <w:t>。</w:t>
      </w:r>
    </w:p>
    <w:p w14:paraId="3A6D345D">
      <w:pPr>
        <w:ind w:firstLine="422" w:firstLineChars="200"/>
        <w:rPr>
          <w:rFonts w:hint="eastAsia" w:ascii="宋体" w:hAnsi="宋体" w:eastAsia="宋体" w:cs="宋体"/>
          <w:highlight w:val="none"/>
          <w:u w:val="none"/>
        </w:rPr>
      </w:pPr>
      <w:r>
        <w:rPr>
          <w:rFonts w:hint="eastAsia" w:ascii="宋体" w:hAnsi="宋体" w:eastAsia="宋体" w:cs="宋体"/>
          <w:b/>
          <w:bCs/>
          <w:highlight w:val="none"/>
          <w:u w:val="none"/>
        </w:rPr>
        <w:t>挖基础坑后的多余土方须及时</w:t>
      </w:r>
      <w:r>
        <w:rPr>
          <w:rFonts w:hint="eastAsia" w:ascii="宋体" w:hAnsi="宋体" w:eastAsia="宋体" w:cs="宋体"/>
          <w:b/>
          <w:bCs/>
          <w:highlight w:val="none"/>
          <w:u w:val="none"/>
          <w:lang w:val="en-US" w:eastAsia="zh-CN"/>
        </w:rPr>
        <w:t>集中</w:t>
      </w:r>
      <w:r>
        <w:rPr>
          <w:rFonts w:hint="eastAsia" w:ascii="宋体" w:hAnsi="宋体" w:eastAsia="宋体" w:cs="宋体"/>
          <w:b/>
          <w:bCs/>
          <w:highlight w:val="none"/>
          <w:u w:val="none"/>
        </w:rPr>
        <w:t>清离墓</w:t>
      </w:r>
      <w:r>
        <w:rPr>
          <w:rFonts w:hint="eastAsia" w:ascii="宋体" w:hAnsi="宋体" w:eastAsia="宋体" w:cs="宋体"/>
          <w:b/>
          <w:bCs/>
          <w:highlight w:val="none"/>
          <w:u w:val="none"/>
          <w:lang w:val="en-US" w:eastAsia="zh-CN"/>
        </w:rPr>
        <w:t>位</w:t>
      </w:r>
      <w:r>
        <w:rPr>
          <w:rFonts w:hint="eastAsia" w:ascii="宋体" w:hAnsi="宋体" w:eastAsia="宋体" w:cs="宋体"/>
          <w:b/>
          <w:bCs/>
          <w:highlight w:val="none"/>
          <w:u w:val="none"/>
        </w:rPr>
        <w:t>，</w:t>
      </w:r>
      <w:r>
        <w:rPr>
          <w:rFonts w:hint="eastAsia" w:ascii="宋体" w:hAnsi="宋体" w:cs="宋体"/>
          <w:b/>
          <w:bCs/>
          <w:highlight w:val="none"/>
          <w:u w:val="none"/>
          <w:lang w:val="en-US" w:eastAsia="zh-CN"/>
        </w:rPr>
        <w:t>包干</w:t>
      </w:r>
      <w:r>
        <w:rPr>
          <w:rFonts w:hint="eastAsia" w:ascii="宋体" w:hAnsi="宋体" w:eastAsia="宋体" w:cs="宋体"/>
          <w:b/>
          <w:bCs/>
          <w:highlight w:val="none"/>
          <w:u w:val="none"/>
          <w:lang w:val="en-US" w:eastAsia="zh-CN"/>
        </w:rPr>
        <w:t>合规</w:t>
      </w:r>
      <w:r>
        <w:rPr>
          <w:rFonts w:hint="eastAsia" w:ascii="宋体" w:hAnsi="宋体" w:eastAsia="宋体" w:cs="宋体"/>
          <w:b/>
          <w:bCs/>
          <w:highlight w:val="none"/>
          <w:u w:val="none"/>
        </w:rPr>
        <w:t>处理。</w:t>
      </w:r>
      <w:r>
        <w:rPr>
          <w:rFonts w:hint="eastAsia" w:ascii="宋体" w:hAnsi="宋体" w:eastAsia="宋体" w:cs="宋体"/>
          <w:b/>
          <w:bCs/>
          <w:highlight w:val="none"/>
          <w:u w:val="none"/>
          <w:lang w:val="en-US" w:eastAsia="zh-CN"/>
        </w:rPr>
        <w:t>安装过程中产生</w:t>
      </w:r>
      <w:r>
        <w:rPr>
          <w:rFonts w:hint="eastAsia" w:ascii="宋体" w:hAnsi="宋体" w:eastAsia="宋体" w:cs="宋体"/>
          <w:b/>
          <w:bCs/>
          <w:highlight w:val="none"/>
          <w:u w:val="none"/>
        </w:rPr>
        <w:t>的石块杂物</w:t>
      </w:r>
      <w:r>
        <w:rPr>
          <w:rFonts w:hint="eastAsia" w:ascii="宋体" w:hAnsi="宋体" w:eastAsia="宋体" w:cs="宋体"/>
          <w:b/>
          <w:bCs/>
          <w:highlight w:val="none"/>
          <w:u w:val="none"/>
          <w:lang w:val="en-US" w:eastAsia="zh-CN"/>
        </w:rPr>
        <w:t>等</w:t>
      </w:r>
      <w:r>
        <w:rPr>
          <w:rFonts w:hint="eastAsia" w:ascii="宋体" w:hAnsi="宋体" w:eastAsia="宋体" w:cs="宋体"/>
          <w:b/>
          <w:bCs/>
          <w:highlight w:val="none"/>
          <w:u w:val="none"/>
        </w:rPr>
        <w:t>垃圾，在安装完工后，</w:t>
      </w:r>
      <w:r>
        <w:rPr>
          <w:rFonts w:hint="eastAsia" w:ascii="宋体" w:hAnsi="宋体" w:eastAsia="宋体" w:cs="宋体"/>
          <w:b/>
          <w:bCs/>
          <w:highlight w:val="none"/>
          <w:u w:val="none"/>
          <w:lang w:val="en-US" w:eastAsia="zh-CN"/>
        </w:rPr>
        <w:t>需当即</w:t>
      </w:r>
      <w:r>
        <w:rPr>
          <w:rFonts w:hint="eastAsia" w:ascii="宋体" w:hAnsi="宋体" w:eastAsia="宋体" w:cs="宋体"/>
          <w:b/>
          <w:bCs/>
          <w:highlight w:val="none"/>
          <w:u w:val="none"/>
        </w:rPr>
        <w:t>检查清理干净，保持墓位周边环境清洁。</w:t>
      </w:r>
    </w:p>
    <w:p w14:paraId="074B3287">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墓区安装所需的</w:t>
      </w:r>
      <w:r>
        <w:rPr>
          <w:rFonts w:hint="eastAsia" w:ascii="宋体" w:hAnsi="宋体" w:eastAsia="宋体" w:cs="宋体"/>
          <w:highlight w:val="none"/>
          <w:u w:val="none"/>
          <w:lang w:val="en-US" w:eastAsia="zh-CN"/>
        </w:rPr>
        <w:t>主材</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辅材、</w:t>
      </w:r>
      <w:r>
        <w:rPr>
          <w:rFonts w:hint="eastAsia" w:ascii="宋体" w:hAnsi="宋体" w:eastAsia="宋体" w:cs="宋体"/>
          <w:highlight w:val="none"/>
          <w:u w:val="none"/>
        </w:rPr>
        <w:t>机械工具必须按</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指定位置统一摆放，不能占用道路和行人道，不得为施工方便而随地乱放。</w:t>
      </w:r>
    </w:p>
    <w:p w14:paraId="20946BCD">
      <w:pPr>
        <w:rPr>
          <w:rFonts w:hint="eastAsia" w:ascii="宋体" w:hAnsi="宋体" w:eastAsia="宋体" w:cs="宋体"/>
          <w:highlight w:val="none"/>
          <w:u w:val="none"/>
        </w:rPr>
      </w:pPr>
    </w:p>
    <w:p w14:paraId="50BDE022">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（三）环境整治技术要求</w:t>
      </w:r>
    </w:p>
    <w:p w14:paraId="1033525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本项服务须严格保留墓区原有格局，不得擅自改动既有设施的布局、形制。</w:t>
      </w:r>
    </w:p>
    <w:p w14:paraId="6D8BA90A">
      <w:pPr>
        <w:rPr>
          <w:rFonts w:hint="eastAsia" w:ascii="宋体" w:hAnsi="宋体" w:eastAsia="宋体" w:cs="宋体"/>
          <w:highlight w:val="none"/>
          <w:u w:val="none"/>
        </w:rPr>
      </w:pPr>
      <w:r>
        <w:rPr>
          <w:rFonts w:hint="eastAsia" w:ascii="宋体" w:hAnsi="宋体" w:eastAsia="宋体" w:cs="宋体"/>
          <w:highlight w:val="none"/>
          <w:u w:val="none"/>
        </w:rPr>
        <w:t>全域整治要求：</w:t>
      </w:r>
    </w:p>
    <w:p w14:paraId="6B899658">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整治范围覆盖墓区</w:t>
      </w:r>
      <w:r>
        <w:rPr>
          <w:rFonts w:hint="eastAsia" w:ascii="宋体" w:hAnsi="宋体" w:eastAsia="宋体" w:cs="宋体"/>
          <w:highlight w:val="none"/>
          <w:u w:val="none"/>
          <w:lang w:val="en-US" w:eastAsia="zh-CN"/>
        </w:rPr>
        <w:t>内所有</w:t>
      </w:r>
      <w:r>
        <w:rPr>
          <w:rFonts w:hint="eastAsia" w:ascii="宋体" w:hAnsi="宋体" w:eastAsia="宋体" w:cs="宋体"/>
          <w:highlight w:val="none"/>
          <w:u w:val="none"/>
        </w:rPr>
        <w:t>道路、广场、步道、周边林带、公共服务区域。</w:t>
      </w:r>
    </w:p>
    <w:p w14:paraId="7508382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优先清理余土、无主垃圾、陈年堆放祭扫废弃物、违规搭建</w:t>
      </w:r>
      <w:r>
        <w:rPr>
          <w:rFonts w:hint="eastAsia" w:ascii="宋体" w:hAnsi="宋体" w:eastAsia="宋体" w:cs="宋体"/>
          <w:highlight w:val="none"/>
          <w:u w:val="none"/>
          <w:lang w:val="en-US" w:eastAsia="zh-CN"/>
        </w:rPr>
        <w:t>的</w:t>
      </w:r>
      <w:r>
        <w:rPr>
          <w:rFonts w:hint="eastAsia" w:ascii="宋体" w:hAnsi="宋体" w:eastAsia="宋体" w:cs="宋体"/>
          <w:highlight w:val="none"/>
          <w:u w:val="none"/>
        </w:rPr>
        <w:t>临时设施。</w:t>
      </w:r>
    </w:p>
    <w:p w14:paraId="18A03718">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以费用包干制，定期（每三个月）</w:t>
      </w:r>
      <w:r>
        <w:rPr>
          <w:rFonts w:hint="eastAsia" w:ascii="宋体" w:hAnsi="宋体" w:eastAsia="宋体" w:cs="宋体"/>
          <w:highlight w:val="none"/>
          <w:u w:val="none"/>
        </w:rPr>
        <w:t>修补破损台阶、步道、无障碍设施，路面平整度偏差≤1cm，无坑洼积水。</w:t>
      </w:r>
      <w:r>
        <w:rPr>
          <w:rFonts w:hint="eastAsia" w:ascii="宋体" w:hAnsi="宋体" w:eastAsia="宋体" w:cs="宋体"/>
          <w:highlight w:val="none"/>
          <w:u w:val="none"/>
          <w:lang w:val="en-US" w:eastAsia="zh-CN"/>
        </w:rPr>
        <w:t>修补前需将相关方案报招标人确认，在招标人指导下方可施工，并拍照留存备查。</w:t>
      </w:r>
    </w:p>
    <w:p w14:paraId="67CCD86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整治中严禁随意挪动、损毁墓区设施，清理出的无主祭扫用品须按当地习俗妥善处置，不得随意丢弃至普通垃圾站点。</w:t>
      </w:r>
    </w:p>
    <w:p w14:paraId="721B6190">
      <w:pPr>
        <w:rPr>
          <w:rFonts w:hint="eastAsia" w:ascii="宋体" w:hAnsi="宋体" w:eastAsia="宋体" w:cs="宋体"/>
          <w:highlight w:val="none"/>
          <w:u w:val="none"/>
        </w:rPr>
      </w:pPr>
      <w:r>
        <w:rPr>
          <w:rFonts w:hint="eastAsia" w:ascii="宋体" w:hAnsi="宋体" w:eastAsia="宋体" w:cs="宋体"/>
          <w:highlight w:val="none"/>
          <w:u w:val="none"/>
        </w:rPr>
        <w:t>相关设施整治要求：</w:t>
      </w:r>
    </w:p>
    <w:p w14:paraId="51750DF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对标识牌、</w:t>
      </w:r>
      <w:r>
        <w:rPr>
          <w:rFonts w:hint="eastAsia" w:ascii="宋体" w:hAnsi="宋体" w:eastAsia="宋体" w:cs="宋体"/>
          <w:highlight w:val="none"/>
          <w:u w:val="none"/>
          <w:lang w:val="en-US" w:eastAsia="zh-CN"/>
        </w:rPr>
        <w:t>焚烧痕迹、</w:t>
      </w:r>
      <w:r>
        <w:rPr>
          <w:rFonts w:hint="eastAsia" w:ascii="宋体" w:hAnsi="宋体" w:eastAsia="宋体" w:cs="宋体"/>
          <w:highlight w:val="none"/>
          <w:u w:val="none"/>
        </w:rPr>
        <w:t>供水点等进行清洁、</w:t>
      </w:r>
      <w:r>
        <w:rPr>
          <w:rFonts w:hint="eastAsia" w:ascii="宋体" w:hAnsi="宋体" w:eastAsia="宋体" w:cs="宋体"/>
          <w:highlight w:val="none"/>
          <w:u w:val="none"/>
          <w:lang w:val="en-US" w:eastAsia="zh-CN"/>
        </w:rPr>
        <w:t>维护</w:t>
      </w:r>
      <w:r>
        <w:rPr>
          <w:rFonts w:hint="eastAsia" w:ascii="宋体" w:hAnsi="宋体" w:eastAsia="宋体" w:cs="宋体"/>
          <w:highlight w:val="none"/>
          <w:u w:val="none"/>
        </w:rPr>
        <w:t>。褪色标识须按原有样式、颜色重新喷涂，严禁擅自更改标识内容、图案。供水设施</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饮水机、水池等</w:t>
      </w:r>
      <w:r>
        <w:rPr>
          <w:rFonts w:hint="eastAsia" w:ascii="宋体" w:hAnsi="宋体" w:eastAsia="宋体" w:cs="宋体"/>
          <w:highlight w:val="none"/>
          <w:u w:val="none"/>
          <w:lang w:eastAsia="zh-CN"/>
        </w:rPr>
        <w:t>）</w:t>
      </w:r>
      <w:r>
        <w:rPr>
          <w:rFonts w:hint="eastAsia" w:ascii="宋体" w:hAnsi="宋体" w:eastAsia="宋体" w:cs="宋体"/>
          <w:highlight w:val="none"/>
          <w:u w:val="none"/>
        </w:rPr>
        <w:t>清洁、维护每月至少1次。</w:t>
      </w:r>
    </w:p>
    <w:p w14:paraId="3781A0B1">
      <w:pPr>
        <w:rPr>
          <w:rFonts w:hint="eastAsia" w:ascii="宋体" w:hAnsi="宋体" w:eastAsia="宋体" w:cs="宋体"/>
          <w:highlight w:val="none"/>
          <w:u w:val="none"/>
        </w:rPr>
      </w:pPr>
      <w:r>
        <w:rPr>
          <w:rFonts w:hint="eastAsia" w:ascii="宋体" w:hAnsi="宋体" w:eastAsia="宋体" w:cs="宋体"/>
          <w:highlight w:val="none"/>
          <w:u w:val="none"/>
        </w:rPr>
        <w:t>祭扫秩序优化要求：</w:t>
      </w:r>
    </w:p>
    <w:p w14:paraId="3A2658D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合理规划</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画设</w:t>
      </w:r>
      <w:r>
        <w:rPr>
          <w:rFonts w:hint="eastAsia" w:ascii="宋体" w:hAnsi="宋体" w:eastAsia="宋体" w:cs="宋体"/>
          <w:highlight w:val="none"/>
          <w:u w:val="none"/>
        </w:rPr>
        <w:t>祭扫通行路线</w:t>
      </w:r>
      <w:r>
        <w:rPr>
          <w:rFonts w:hint="eastAsia" w:ascii="宋体" w:hAnsi="宋体" w:eastAsia="宋体" w:cs="宋体"/>
          <w:highlight w:val="none"/>
          <w:u w:val="none"/>
          <w:lang w:val="en-US" w:eastAsia="zh-CN"/>
        </w:rPr>
        <w:t>标识</w:t>
      </w:r>
      <w:r>
        <w:rPr>
          <w:rFonts w:hint="eastAsia" w:ascii="宋体" w:hAnsi="宋体" w:eastAsia="宋体" w:cs="宋体"/>
          <w:highlight w:val="none"/>
          <w:u w:val="none"/>
        </w:rPr>
        <w:t>、停车区域、临时停车区域，在墓区出入口、重点区域设置引导标识。祭扫高峰前1个月须完成全部重点区域整治，高峰期需安排</w:t>
      </w:r>
      <w:r>
        <w:rPr>
          <w:rFonts w:hint="eastAsia" w:ascii="宋体" w:hAnsi="宋体" w:eastAsia="宋体" w:cs="宋体"/>
          <w:highlight w:val="none"/>
          <w:u w:val="none"/>
          <w:lang w:val="en-US" w:eastAsia="zh-CN"/>
        </w:rPr>
        <w:t>足够</w:t>
      </w:r>
      <w:r>
        <w:rPr>
          <w:rFonts w:hint="eastAsia" w:ascii="宋体" w:hAnsi="宋体" w:eastAsia="宋体" w:cs="宋体"/>
          <w:highlight w:val="none"/>
          <w:u w:val="none"/>
        </w:rPr>
        <w:t>人员配合</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做好交通引导、秩序维护等工作。</w:t>
      </w:r>
    </w:p>
    <w:p w14:paraId="005F99F7">
      <w:pPr>
        <w:rPr>
          <w:rFonts w:hint="eastAsia" w:ascii="宋体" w:hAnsi="宋体" w:eastAsia="宋体" w:cs="宋体"/>
          <w:highlight w:val="none"/>
          <w:u w:val="none"/>
        </w:rPr>
      </w:pPr>
      <w:r>
        <w:rPr>
          <w:rFonts w:hint="eastAsia" w:ascii="宋体" w:hAnsi="宋体" w:eastAsia="宋体" w:cs="宋体"/>
          <w:highlight w:val="none"/>
          <w:u w:val="none"/>
        </w:rPr>
        <w:t>环境整治工作流程：</w:t>
      </w:r>
    </w:p>
    <w:p w14:paraId="7E4F335E">
      <w:pPr>
        <w:rPr>
          <w:rFonts w:hint="eastAsia" w:ascii="宋体" w:hAnsi="宋体" w:eastAsia="宋体" w:cs="宋体"/>
          <w:highlight w:val="none"/>
          <w:u w:val="none"/>
        </w:rPr>
      </w:pPr>
      <w:r>
        <w:rPr>
          <w:rFonts w:hint="eastAsia" w:ascii="宋体" w:hAnsi="宋体" w:eastAsia="宋体" w:cs="宋体"/>
          <w:highlight w:val="none"/>
          <w:u w:val="none"/>
        </w:rPr>
        <w:t xml:space="preserve">   现状摸排：对墓区环境问题进行系统排查，建立问题台账。</w:t>
      </w:r>
    </w:p>
    <w:p w14:paraId="7FD280CA">
      <w:pPr>
        <w:rPr>
          <w:rFonts w:hint="eastAsia" w:ascii="宋体" w:hAnsi="宋体" w:eastAsia="宋体" w:cs="宋体"/>
          <w:highlight w:val="none"/>
          <w:u w:val="none"/>
        </w:rPr>
      </w:pPr>
      <w:r>
        <w:rPr>
          <w:rFonts w:hint="eastAsia" w:ascii="宋体" w:hAnsi="宋体" w:eastAsia="宋体" w:cs="宋体"/>
          <w:highlight w:val="none"/>
          <w:u w:val="none"/>
        </w:rPr>
        <w:t xml:space="preserve">   分类整改：根据问题类型制定针对性的整改措施。</w:t>
      </w:r>
    </w:p>
    <w:p w14:paraId="0709C185">
      <w:pPr>
        <w:rPr>
          <w:rFonts w:hint="eastAsia" w:ascii="宋体" w:hAnsi="宋体" w:eastAsia="宋体" w:cs="宋体"/>
          <w:highlight w:val="none"/>
          <w:u w:val="none"/>
        </w:rPr>
      </w:pPr>
      <w:r>
        <w:rPr>
          <w:rFonts w:hint="eastAsia" w:ascii="宋体" w:hAnsi="宋体" w:eastAsia="宋体" w:cs="宋体"/>
          <w:highlight w:val="none"/>
          <w:u w:val="none"/>
        </w:rPr>
        <w:t xml:space="preserve">   限时完成：明确各类问题的整改时限，</w:t>
      </w:r>
      <w:r>
        <w:rPr>
          <w:rFonts w:hint="eastAsia" w:ascii="宋体" w:hAnsi="宋体" w:eastAsia="宋体" w:cs="宋体"/>
          <w:highlight w:val="none"/>
          <w:u w:val="none"/>
          <w:lang w:val="en-US" w:eastAsia="zh-CN"/>
        </w:rPr>
        <w:t>报经招标人确认，并</w:t>
      </w:r>
      <w:r>
        <w:rPr>
          <w:rFonts w:hint="eastAsia" w:ascii="宋体" w:hAnsi="宋体" w:eastAsia="宋体" w:cs="宋体"/>
          <w:highlight w:val="none"/>
          <w:u w:val="none"/>
        </w:rPr>
        <w:t>确保按时完成。</w:t>
      </w:r>
    </w:p>
    <w:p w14:paraId="4681E7B5">
      <w:pPr>
        <w:rPr>
          <w:rFonts w:hint="eastAsia" w:ascii="宋体" w:hAnsi="宋体" w:eastAsia="宋体" w:cs="宋体"/>
          <w:highlight w:val="none"/>
          <w:u w:val="none"/>
        </w:rPr>
      </w:pPr>
      <w:r>
        <w:rPr>
          <w:rFonts w:hint="eastAsia" w:ascii="宋体" w:hAnsi="宋体" w:eastAsia="宋体" w:cs="宋体"/>
          <w:highlight w:val="none"/>
          <w:u w:val="none"/>
        </w:rPr>
        <w:t xml:space="preserve">   效果核验：整改完成后</w:t>
      </w:r>
      <w:r>
        <w:rPr>
          <w:rFonts w:hint="eastAsia" w:ascii="宋体" w:hAnsi="宋体" w:eastAsia="宋体" w:cs="宋体"/>
          <w:highlight w:val="none"/>
          <w:u w:val="none"/>
          <w:lang w:val="en-US" w:eastAsia="zh-CN"/>
        </w:rPr>
        <w:t>汇同招标人</w:t>
      </w:r>
      <w:r>
        <w:rPr>
          <w:rFonts w:hint="eastAsia" w:ascii="宋体" w:hAnsi="宋体" w:eastAsia="宋体" w:cs="宋体"/>
          <w:highlight w:val="none"/>
          <w:u w:val="none"/>
        </w:rPr>
        <w:t>进行现场核验，确保达到标准。</w:t>
      </w:r>
    </w:p>
    <w:p w14:paraId="3AF7FF1D">
      <w:pPr>
        <w:rPr>
          <w:rFonts w:hint="eastAsia" w:ascii="宋体" w:hAnsi="宋体" w:eastAsia="宋体" w:cs="宋体"/>
          <w:highlight w:val="none"/>
          <w:u w:val="none"/>
        </w:rPr>
      </w:pPr>
      <w:r>
        <w:rPr>
          <w:rFonts w:hint="eastAsia" w:ascii="宋体" w:hAnsi="宋体" w:eastAsia="宋体" w:cs="宋体"/>
          <w:highlight w:val="none"/>
          <w:u w:val="none"/>
        </w:rPr>
        <w:t xml:space="preserve">   长效维护：建立定期排查机制，防止问题反弹。</w:t>
      </w:r>
    </w:p>
    <w:p w14:paraId="1CC3CD1E">
      <w:pPr>
        <w:rPr>
          <w:rFonts w:hint="eastAsia" w:ascii="宋体" w:hAnsi="宋体" w:eastAsia="宋体" w:cs="宋体"/>
          <w:b/>
          <w:bCs/>
          <w:sz w:val="24"/>
          <w:szCs w:val="24"/>
          <w:highlight w:val="none"/>
          <w:u w:val="none"/>
        </w:rPr>
      </w:pPr>
    </w:p>
    <w:p w14:paraId="4143C0CE">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（四）绿化保洁技术要求</w:t>
      </w:r>
    </w:p>
    <w:p w14:paraId="73BE02D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本项服务须兼顾环境整洁与当地习俗要求，避免作业干扰正常祭扫活动。</w:t>
      </w:r>
    </w:p>
    <w:p w14:paraId="3AB240E4">
      <w:pPr>
        <w:rPr>
          <w:rFonts w:hint="eastAsia" w:ascii="宋体" w:hAnsi="宋体" w:eastAsia="宋体" w:cs="宋体"/>
          <w:highlight w:val="none"/>
          <w:u w:val="none"/>
        </w:rPr>
      </w:pPr>
      <w:r>
        <w:rPr>
          <w:rFonts w:hint="eastAsia" w:ascii="宋体" w:hAnsi="宋体" w:eastAsia="宋体" w:cs="宋体"/>
          <w:highlight w:val="none"/>
          <w:u w:val="none"/>
        </w:rPr>
        <w:t>绿化养护要求：</w:t>
      </w:r>
    </w:p>
    <w:p w14:paraId="50CE258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修剪时保持植被造型规整，不得破坏原有绿化格局。墓区树木、绿植每季度修剪1次，</w:t>
      </w:r>
      <w:r>
        <w:rPr>
          <w:rFonts w:hint="eastAsia" w:ascii="宋体" w:hAnsi="宋体" w:eastAsia="宋体" w:cs="宋体"/>
          <w:highlight w:val="none"/>
          <w:u w:val="none"/>
          <w:lang w:val="en-US" w:eastAsia="zh-CN"/>
        </w:rPr>
        <w:t>使之不</w:t>
      </w:r>
      <w:r>
        <w:rPr>
          <w:rFonts w:hint="eastAsia" w:ascii="宋体" w:hAnsi="宋体" w:eastAsia="宋体" w:cs="宋体"/>
          <w:highlight w:val="none"/>
          <w:u w:val="none"/>
        </w:rPr>
        <w:t>遮挡墓碑。</w:t>
      </w:r>
    </w:p>
    <w:p w14:paraId="2B9EE311">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病虫害防治采用低毒环保药剂，避开祭扫时段。枯死苗木接到招标人通知后7日内，更换招标人要求的苗木（苗木费用由招标人承担），更换后需确保全年苗木存活率≥95%，如未能成活、成活期未达一年或病虫防治效果不好，需及时免费补种、重新防治病虫害，直至达到预期效果。修剪下的枝干、落叶须统一清运至指定区域后一周内集中</w:t>
      </w:r>
      <w:r>
        <w:rPr>
          <w:rFonts w:hint="eastAsia" w:ascii="宋体" w:hAnsi="宋体" w:cs="宋体"/>
          <w:highlight w:val="none"/>
          <w:u w:val="none"/>
          <w:lang w:val="en-US" w:eastAsia="zh-CN"/>
        </w:rPr>
        <w:t>包干</w:t>
      </w:r>
      <w:r>
        <w:rPr>
          <w:rFonts w:hint="eastAsia" w:ascii="宋体" w:hAnsi="宋体" w:eastAsia="宋体" w:cs="宋体"/>
          <w:highlight w:val="none"/>
          <w:u w:val="none"/>
          <w:lang w:val="en-US" w:eastAsia="zh-CN"/>
        </w:rPr>
        <w:t>合规</w:t>
      </w:r>
      <w:r>
        <w:rPr>
          <w:rFonts w:hint="eastAsia" w:ascii="宋体" w:hAnsi="宋体" w:eastAsia="宋体" w:cs="宋体"/>
          <w:highlight w:val="none"/>
          <w:u w:val="none"/>
        </w:rPr>
        <w:t>外运</w:t>
      </w:r>
      <w:r>
        <w:rPr>
          <w:rFonts w:hint="eastAsia" w:ascii="宋体" w:hAnsi="宋体" w:eastAsia="宋体" w:cs="宋体"/>
          <w:highlight w:val="none"/>
          <w:u w:val="none"/>
          <w:lang w:val="en-US" w:eastAsia="zh-CN"/>
        </w:rPr>
        <w:t>处置</w:t>
      </w:r>
      <w:r>
        <w:rPr>
          <w:rFonts w:hint="eastAsia" w:ascii="宋体" w:hAnsi="宋体" w:eastAsia="宋体" w:cs="宋体"/>
          <w:highlight w:val="none"/>
          <w:u w:val="none"/>
        </w:rPr>
        <w:t>，严禁在墓区内焚烧。</w:t>
      </w:r>
    </w:p>
    <w:p w14:paraId="2426C83B">
      <w:pPr>
        <w:rPr>
          <w:rFonts w:hint="eastAsia" w:ascii="宋体" w:hAnsi="宋体" w:eastAsia="宋体" w:cs="宋体"/>
          <w:highlight w:val="none"/>
          <w:u w:val="none"/>
        </w:rPr>
      </w:pPr>
      <w:r>
        <w:rPr>
          <w:rFonts w:hint="eastAsia" w:ascii="宋体" w:hAnsi="宋体" w:eastAsia="宋体" w:cs="宋体"/>
          <w:highlight w:val="none"/>
          <w:u w:val="none"/>
        </w:rPr>
        <w:t>保洁作业习俗适配要求：</w:t>
      </w:r>
    </w:p>
    <w:p w14:paraId="2B193C9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基础</w:t>
      </w:r>
      <w:r>
        <w:rPr>
          <w:rFonts w:hint="eastAsia" w:ascii="宋体" w:hAnsi="宋体" w:eastAsia="宋体" w:cs="宋体"/>
          <w:highlight w:val="none"/>
          <w:u w:val="none"/>
        </w:rPr>
        <w:t>保洁作业避开祭扫高峰时段。保洁人员着装统一、言行规范，不得大声喧哗，不得随意移动家属摆放的祭扫用品。祭扫垃圾须及时清运。发现遗失贵重物品须第一时间上交</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，不得私自留存、处置。</w:t>
      </w:r>
    </w:p>
    <w:p w14:paraId="3A4145B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公墓办公用房、广场、墓区主步道、公共卫生间每日保洁不少于2次。</w:t>
      </w:r>
    </w:p>
    <w:p w14:paraId="0CDE3E3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祭扫高峰时段时</w:t>
      </w:r>
      <w:r>
        <w:rPr>
          <w:rFonts w:hint="eastAsia" w:ascii="宋体" w:hAnsi="宋体" w:eastAsia="宋体" w:cs="宋体"/>
          <w:highlight w:val="none"/>
          <w:u w:val="none"/>
          <w:lang w:val="en-US" w:eastAsia="zh-CN"/>
        </w:rPr>
        <w:t>刻</w:t>
      </w:r>
      <w:r>
        <w:rPr>
          <w:rFonts w:hint="eastAsia" w:ascii="宋体" w:hAnsi="宋体" w:eastAsia="宋体" w:cs="宋体"/>
          <w:highlight w:val="none"/>
          <w:u w:val="none"/>
        </w:rPr>
        <w:t>巡</w:t>
      </w:r>
      <w:r>
        <w:rPr>
          <w:rFonts w:hint="eastAsia" w:ascii="宋体" w:hAnsi="宋体" w:eastAsia="宋体" w:cs="宋体"/>
          <w:highlight w:val="none"/>
          <w:u w:val="none"/>
          <w:lang w:val="en-US" w:eastAsia="zh-CN"/>
        </w:rPr>
        <w:t>检</w:t>
      </w:r>
      <w:r>
        <w:rPr>
          <w:rFonts w:hint="eastAsia" w:ascii="宋体" w:hAnsi="宋体" w:eastAsia="宋体" w:cs="宋体"/>
          <w:highlight w:val="none"/>
          <w:u w:val="none"/>
        </w:rPr>
        <w:t>保洁，确保地面无垃圾、无污渍、无积水。</w:t>
      </w:r>
    </w:p>
    <w:p w14:paraId="652E8E7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及时清理焚烧灰烬，避免飞灰污染。墓区公共座椅、标识牌每周擦拭不少于2次，保持干净无积灰。</w:t>
      </w:r>
    </w:p>
    <w:p w14:paraId="7101BD9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公共卫生间达到"四净三无两通一明"（地面净、墙壁净、厕位净、周边净，无溢流、无蚊蝇、无臭味，水通、电通，灯明）标准。</w:t>
      </w:r>
    </w:p>
    <w:p w14:paraId="7C4F842F">
      <w:pPr>
        <w:ind w:firstLine="420" w:firstLineChars="200"/>
        <w:rPr>
          <w:rFonts w:hint="eastAsia" w:ascii="宋体" w:hAnsi="宋体" w:eastAsia="宋体" w:cs="宋体"/>
          <w:b/>
          <w:bCs/>
          <w:highlight w:val="none"/>
          <w:u w:val="none"/>
          <w:lang w:val="en-US" w:eastAsia="zh-CN"/>
        </w:rPr>
      </w:pPr>
      <w:r>
        <w:rPr>
          <w:rFonts w:hint="eastAsia" w:ascii="宋体" w:hAnsi="宋体" w:eastAsia="宋体" w:cs="宋体"/>
          <w:highlight w:val="none"/>
          <w:u w:val="none"/>
        </w:rPr>
        <w:t>消杀作业要求：每年春、夏两季每月对墓区进行1次病媒生物消杀，药剂须环保，避开人员活动时段。消杀前须提前3天在墓区出入口张贴温馨提示公告</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并拍照存档</w:t>
      </w:r>
      <w:r>
        <w:rPr>
          <w:rFonts w:hint="eastAsia" w:ascii="宋体" w:hAnsi="宋体" w:eastAsia="宋体" w:cs="宋体"/>
          <w:highlight w:val="none"/>
          <w:u w:val="none"/>
        </w:rPr>
        <w:t>。</w:t>
      </w:r>
    </w:p>
    <w:p w14:paraId="4737E07A">
      <w:pPr>
        <w:rPr>
          <w:rFonts w:hint="eastAsia" w:ascii="宋体" w:hAnsi="宋体" w:eastAsia="宋体" w:cs="宋体"/>
          <w:b/>
          <w:bCs/>
          <w:sz w:val="24"/>
          <w:szCs w:val="24"/>
          <w:highlight w:val="none"/>
          <w:u w:val="none"/>
        </w:rPr>
      </w:pPr>
    </w:p>
    <w:p w14:paraId="47590493">
      <w:pPr>
        <w:rPr>
          <w:rFonts w:hint="eastAsia" w:ascii="宋体" w:hAnsi="宋体" w:eastAsia="宋体" w:cs="宋体"/>
          <w:highlight w:val="none"/>
          <w:u w:val="none"/>
        </w:rPr>
      </w:pPr>
      <w:r>
        <w:rPr>
          <w:rFonts w:hint="eastAsia" w:ascii="宋体" w:hAnsi="宋体" w:eastAsia="宋体" w:cs="宋体"/>
          <w:b/>
          <w:bCs/>
          <w:sz w:val="24"/>
          <w:szCs w:val="24"/>
          <w:highlight w:val="none"/>
          <w:u w:val="none"/>
        </w:rPr>
        <w:t>（五）墓区值守及材料保管技术要求</w:t>
      </w:r>
    </w:p>
    <w:p w14:paraId="498C104C">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本项服务须保障墓区安全，同时严格遵守信息保密要求。</w:t>
      </w:r>
    </w:p>
    <w:p w14:paraId="34F647FB">
      <w:pPr>
        <w:rPr>
          <w:rFonts w:hint="eastAsia" w:ascii="宋体" w:hAnsi="宋体" w:eastAsia="宋体" w:cs="宋体"/>
          <w:highlight w:val="none"/>
          <w:u w:val="none"/>
        </w:rPr>
      </w:pPr>
      <w:r>
        <w:rPr>
          <w:rFonts w:hint="eastAsia" w:ascii="宋体" w:hAnsi="宋体" w:eastAsia="宋体" w:cs="宋体"/>
          <w:highlight w:val="none"/>
          <w:u w:val="none"/>
        </w:rPr>
        <w:t>值守服务要求：</w:t>
      </w:r>
    </w:p>
    <w:p w14:paraId="0F67ED4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人员着装规范，实行24小时轮岗值守，不得空岗、脱岗。值守人员须熟悉墓区管理要求，尊重当地习俗，不得与祭扫群众发生争执。</w:t>
      </w:r>
    </w:p>
    <w:p w14:paraId="6D68DB6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每日对墓区进行不少于3次的全覆盖巡逻，发现明火、违规祭祀、破坏设施等行为要第一时间</w:t>
      </w:r>
      <w:r>
        <w:rPr>
          <w:rFonts w:hint="eastAsia" w:ascii="宋体" w:hAnsi="宋体" w:eastAsia="宋体" w:cs="宋体"/>
          <w:highlight w:val="none"/>
          <w:u w:val="none"/>
          <w:lang w:val="en-US" w:eastAsia="zh-CN"/>
        </w:rPr>
        <w:t>做出相应</w:t>
      </w:r>
      <w:r>
        <w:rPr>
          <w:rFonts w:hint="eastAsia" w:ascii="宋体" w:hAnsi="宋体" w:eastAsia="宋体" w:cs="宋体"/>
          <w:highlight w:val="none"/>
          <w:u w:val="none"/>
        </w:rPr>
        <w:t>处置并</w:t>
      </w:r>
      <w:r>
        <w:rPr>
          <w:rFonts w:hint="eastAsia" w:ascii="宋体" w:hAnsi="宋体" w:eastAsia="宋体" w:cs="宋体"/>
          <w:highlight w:val="none"/>
          <w:u w:val="none"/>
          <w:lang w:val="en-US" w:eastAsia="zh-CN"/>
        </w:rPr>
        <w:t>及时</w:t>
      </w:r>
      <w:r>
        <w:rPr>
          <w:rFonts w:hint="eastAsia" w:ascii="宋体" w:hAnsi="宋体" w:eastAsia="宋体" w:cs="宋体"/>
          <w:highlight w:val="none"/>
          <w:u w:val="none"/>
        </w:rPr>
        <w:t>上报。</w:t>
      </w:r>
    </w:p>
    <w:p w14:paraId="2589DF07">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重大活动期间配合做好人员引导、秩序维护。在群众祭扫时须主动避让，不得围观、干涉。涉及习俗的矛盾纠纷，须第一时间上报</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处置。</w:t>
      </w:r>
    </w:p>
    <w:p w14:paraId="01A92F0E">
      <w:pPr>
        <w:rPr>
          <w:rFonts w:hint="eastAsia" w:ascii="宋体" w:hAnsi="宋体" w:eastAsia="宋体" w:cs="宋体"/>
          <w:highlight w:val="none"/>
          <w:u w:val="none"/>
        </w:rPr>
      </w:pPr>
      <w:r>
        <w:rPr>
          <w:rFonts w:hint="eastAsia" w:ascii="宋体" w:hAnsi="宋体" w:eastAsia="宋体" w:cs="宋体"/>
          <w:highlight w:val="none"/>
          <w:u w:val="none"/>
        </w:rPr>
        <w:t>异常情况处置要求：</w:t>
      </w:r>
    </w:p>
    <w:p w14:paraId="01F71C0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值守人员</w:t>
      </w:r>
      <w:r>
        <w:rPr>
          <w:rFonts w:hint="eastAsia" w:ascii="宋体" w:hAnsi="宋体" w:eastAsia="宋体" w:cs="宋体"/>
          <w:highlight w:val="none"/>
          <w:u w:val="none"/>
          <w:lang w:val="en-US" w:eastAsia="zh-CN"/>
        </w:rPr>
        <w:t>上岗前需接受中标人系统培训，</w:t>
      </w:r>
      <w:r>
        <w:rPr>
          <w:rFonts w:hint="eastAsia" w:ascii="宋体" w:hAnsi="宋体" w:eastAsia="宋体" w:cs="宋体"/>
          <w:highlight w:val="none"/>
          <w:u w:val="none"/>
        </w:rPr>
        <w:t>熟练掌握消防器材使用方法，发现火情第一时间扑救并报警，发现突发疾病、人员走失等情况第一时间协助救助。</w:t>
      </w:r>
    </w:p>
    <w:p w14:paraId="05D3C59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遇到祭扫活动期间的突发状况要</w:t>
      </w:r>
      <w:r>
        <w:rPr>
          <w:rFonts w:hint="eastAsia" w:ascii="宋体" w:hAnsi="宋体" w:eastAsia="宋体" w:cs="宋体"/>
          <w:highlight w:val="none"/>
          <w:u w:val="none"/>
          <w:lang w:val="en-US" w:eastAsia="zh-CN"/>
        </w:rPr>
        <w:t>全程</w:t>
      </w:r>
      <w:r>
        <w:rPr>
          <w:rFonts w:hint="eastAsia" w:ascii="宋体" w:hAnsi="宋体" w:eastAsia="宋体" w:cs="宋体"/>
          <w:highlight w:val="none"/>
          <w:u w:val="none"/>
        </w:rPr>
        <w:t>配合</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处置，不得擅自作出违背当地习俗的处置决定。</w:t>
      </w:r>
    </w:p>
    <w:p w14:paraId="7EFBCA6D">
      <w:pPr>
        <w:rPr>
          <w:rFonts w:hint="eastAsia" w:ascii="宋体" w:hAnsi="宋体" w:eastAsia="宋体" w:cs="宋体"/>
          <w:highlight w:val="none"/>
          <w:u w:val="none"/>
        </w:rPr>
      </w:pPr>
      <w:r>
        <w:rPr>
          <w:rFonts w:hint="eastAsia" w:ascii="宋体" w:hAnsi="宋体" w:eastAsia="宋体" w:cs="宋体"/>
          <w:highlight w:val="none"/>
          <w:u w:val="none"/>
        </w:rPr>
        <w:t>材料保管要求：</w:t>
      </w:r>
    </w:p>
    <w:p w14:paraId="27A8CAD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因地制宜或按</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要求设立专门的材料存储库房或场地，分类存放施工、维修、绿化耗材。易燃易爆物品须单独设置防火存储柜。</w:t>
      </w:r>
    </w:p>
    <w:p w14:paraId="73CF9B4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建立出入库台账，所有材料出入库须登记签字，每月盘点1次，做到账实相符。</w:t>
      </w:r>
    </w:p>
    <w:p w14:paraId="62DDCB4D">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石材、辅料等材料须单独设置存储区域，避免与油漆、药剂等有异味物品混放。</w:t>
      </w:r>
    </w:p>
    <w:p w14:paraId="008BC2D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每批</w:t>
      </w:r>
      <w:r>
        <w:rPr>
          <w:rFonts w:hint="eastAsia" w:ascii="宋体" w:hAnsi="宋体" w:eastAsia="宋体" w:cs="宋体"/>
          <w:highlight w:val="none"/>
          <w:u w:val="none"/>
          <w:lang w:val="en-US" w:eastAsia="zh-CN"/>
        </w:rPr>
        <w:t>招标人采购的</w:t>
      </w:r>
      <w:r>
        <w:rPr>
          <w:rFonts w:hint="eastAsia" w:ascii="宋体" w:hAnsi="宋体" w:eastAsia="宋体" w:cs="宋体"/>
          <w:highlight w:val="none"/>
          <w:u w:val="none"/>
        </w:rPr>
        <w:t>石材到货时，须连同石材供应商、</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三方共同清点及书面交接确认。交接完成后，由中标人履行后续保管职责，如出现丢失、损坏等，由中标人承担全部赔偿责任。</w:t>
      </w:r>
    </w:p>
    <w:p w14:paraId="2D570438">
      <w:pPr>
        <w:rPr>
          <w:rFonts w:hint="eastAsia" w:ascii="宋体" w:hAnsi="宋体" w:eastAsia="宋体" w:cs="宋体"/>
          <w:highlight w:val="none"/>
          <w:u w:val="none"/>
        </w:rPr>
      </w:pPr>
      <w:r>
        <w:rPr>
          <w:rFonts w:hint="eastAsia" w:ascii="宋体" w:hAnsi="宋体" w:eastAsia="宋体" w:cs="宋体"/>
          <w:highlight w:val="none"/>
          <w:u w:val="none"/>
        </w:rPr>
        <w:t>信息保密要求：</w:t>
      </w:r>
    </w:p>
    <w:p w14:paraId="6139D6D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严格保密墓区安葬人员信息，不得对外泄露。每日填写值守日志，记录巡逻、异常处置、人员出入等情况，每月底将值守台账报送</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审核。</w:t>
      </w:r>
    </w:p>
    <w:p w14:paraId="42163D7B">
      <w:pPr>
        <w:rPr>
          <w:rFonts w:hint="eastAsia" w:ascii="宋体" w:hAnsi="宋体" w:eastAsia="宋体" w:cs="宋体"/>
          <w:highlight w:val="none"/>
          <w:u w:val="none"/>
        </w:rPr>
      </w:pPr>
    </w:p>
    <w:p w14:paraId="0DF3F0B9">
      <w:pPr>
        <w:rPr>
          <w:rFonts w:hint="eastAsia" w:ascii="宋体" w:hAnsi="宋体" w:eastAsia="宋体" w:cs="宋体"/>
          <w:highlight w:val="none"/>
          <w:u w:val="none"/>
        </w:rPr>
      </w:pPr>
      <w:r>
        <w:rPr>
          <w:rFonts w:hint="eastAsia" w:ascii="宋体" w:hAnsi="宋体" w:eastAsia="宋体" w:cs="宋体"/>
          <w:b/>
          <w:bCs/>
          <w:sz w:val="24"/>
          <w:szCs w:val="24"/>
          <w:highlight w:val="none"/>
          <w:u w:val="none"/>
        </w:rPr>
        <w:t>（六）零星维修服务技术要求</w:t>
      </w:r>
    </w:p>
    <w:p w14:paraId="67991AB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本项服务须响应及时，维修过程中不得破坏墓区原有设施形制。维修范围包括但不限于后附维修</w:t>
      </w:r>
      <w:r>
        <w:rPr>
          <w:rFonts w:hint="eastAsia" w:ascii="宋体" w:hAnsi="宋体" w:eastAsia="宋体" w:cs="宋体"/>
          <w:highlight w:val="none"/>
          <w:u w:val="none"/>
          <w:lang w:val="en-US" w:eastAsia="zh-CN"/>
        </w:rPr>
        <w:t>限价</w:t>
      </w:r>
      <w:r>
        <w:rPr>
          <w:rFonts w:hint="eastAsia" w:ascii="宋体" w:hAnsi="宋体" w:eastAsia="宋体" w:cs="宋体"/>
          <w:highlight w:val="none"/>
          <w:u w:val="none"/>
        </w:rPr>
        <w:t>清单的内容。</w:t>
      </w:r>
    </w:p>
    <w:p w14:paraId="31476A46">
      <w:pPr>
        <w:rPr>
          <w:rFonts w:hint="eastAsia" w:ascii="宋体" w:hAnsi="宋体" w:eastAsia="宋体" w:cs="宋体"/>
          <w:highlight w:val="none"/>
          <w:u w:val="none"/>
        </w:rPr>
      </w:pPr>
      <w:r>
        <w:rPr>
          <w:rFonts w:hint="eastAsia" w:ascii="宋体" w:hAnsi="宋体" w:eastAsia="宋体" w:cs="宋体"/>
          <w:highlight w:val="none"/>
          <w:u w:val="none"/>
        </w:rPr>
        <w:t>维修响应及习俗适配要求：</w:t>
      </w:r>
    </w:p>
    <w:p w14:paraId="4E5D905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接到报修后</w:t>
      </w:r>
      <w:r>
        <w:rPr>
          <w:rFonts w:hint="eastAsia" w:ascii="宋体" w:hAnsi="宋体" w:eastAsia="宋体" w:cs="宋体"/>
          <w:highlight w:val="none"/>
          <w:u w:val="none"/>
          <w:lang w:val="en-US" w:eastAsia="zh-CN"/>
        </w:rPr>
        <w:t>当日</w:t>
      </w:r>
      <w:r>
        <w:rPr>
          <w:rFonts w:hint="eastAsia" w:ascii="宋体" w:hAnsi="宋体" w:eastAsia="宋体" w:cs="宋体"/>
          <w:highlight w:val="none"/>
          <w:u w:val="none"/>
        </w:rPr>
        <w:t>到场勘察，并</w:t>
      </w:r>
      <w:r>
        <w:rPr>
          <w:rFonts w:hint="eastAsia" w:ascii="宋体" w:hAnsi="宋体" w:eastAsia="宋体" w:cs="宋体"/>
          <w:highlight w:val="none"/>
          <w:u w:val="none"/>
          <w:lang w:val="en-US" w:eastAsia="zh-CN"/>
        </w:rPr>
        <w:t>于2</w:t>
      </w:r>
      <w:r>
        <w:rPr>
          <w:rFonts w:hint="eastAsia" w:ascii="宋体" w:hAnsi="宋体" w:eastAsia="宋体" w:cs="宋体"/>
          <w:highlight w:val="none"/>
          <w:u w:val="none"/>
        </w:rPr>
        <w:t>个工作日内提交维修方案。</w:t>
      </w:r>
    </w:p>
    <w:p w14:paraId="1DA9021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维修作业避开祭扫高峰时段，确认作业区域是否涉及习俗禁忌。作业人员着装规范，维修垃圾当日清运。</w:t>
      </w:r>
    </w:p>
    <w:p w14:paraId="02A1A0B8">
      <w:pPr>
        <w:rPr>
          <w:rFonts w:hint="eastAsia" w:ascii="宋体" w:hAnsi="宋体" w:eastAsia="宋体" w:cs="宋体"/>
          <w:highlight w:val="none"/>
          <w:u w:val="none"/>
        </w:rPr>
      </w:pPr>
      <w:r>
        <w:rPr>
          <w:rFonts w:hint="eastAsia" w:ascii="宋体" w:hAnsi="宋体" w:eastAsia="宋体" w:cs="宋体"/>
          <w:highlight w:val="none"/>
          <w:u w:val="none"/>
        </w:rPr>
        <w:t>维修质量要求：</w:t>
      </w:r>
    </w:p>
    <w:p w14:paraId="7548681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中标人自备</w:t>
      </w:r>
      <w:r>
        <w:rPr>
          <w:rFonts w:hint="eastAsia" w:ascii="宋体" w:hAnsi="宋体" w:eastAsia="宋体" w:cs="宋体"/>
          <w:highlight w:val="none"/>
          <w:u w:val="none"/>
        </w:rPr>
        <w:t>维修用材须符合国家</w:t>
      </w:r>
      <w:r>
        <w:rPr>
          <w:rFonts w:hint="eastAsia" w:ascii="宋体" w:hAnsi="宋体" w:eastAsia="宋体" w:cs="宋体"/>
          <w:highlight w:val="none"/>
          <w:u w:val="none"/>
          <w:lang w:val="en-US" w:eastAsia="zh-CN"/>
        </w:rPr>
        <w:t>相关</w:t>
      </w:r>
      <w:r>
        <w:rPr>
          <w:rFonts w:hint="eastAsia" w:ascii="宋体" w:hAnsi="宋体" w:eastAsia="宋体" w:cs="宋体"/>
          <w:highlight w:val="none"/>
          <w:u w:val="none"/>
        </w:rPr>
        <w:t>标准</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必要时须提供依据）</w:t>
      </w:r>
      <w:r>
        <w:rPr>
          <w:rFonts w:hint="eastAsia" w:ascii="宋体" w:hAnsi="宋体" w:eastAsia="宋体" w:cs="宋体"/>
          <w:highlight w:val="none"/>
          <w:u w:val="none"/>
        </w:rPr>
        <w:t>，涉及墓区设施的，尽量采用同材质、同颜色材料，保持风格统一</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在方案计划报经招标人确认后方可实施</w:t>
      </w:r>
      <w:r>
        <w:rPr>
          <w:rFonts w:hint="eastAsia" w:ascii="宋体" w:hAnsi="宋体" w:eastAsia="宋体" w:cs="宋体"/>
          <w:highlight w:val="none"/>
          <w:u w:val="none"/>
        </w:rPr>
        <w:t>。水电维修须符合安全规范并</w:t>
      </w:r>
      <w:r>
        <w:rPr>
          <w:rFonts w:hint="eastAsia" w:ascii="宋体" w:hAnsi="宋体" w:eastAsia="宋体" w:cs="宋体"/>
          <w:highlight w:val="none"/>
          <w:u w:val="none"/>
          <w:lang w:val="en-US" w:eastAsia="zh-CN"/>
        </w:rPr>
        <w:t>定期</w:t>
      </w:r>
      <w:r>
        <w:rPr>
          <w:rFonts w:hint="eastAsia" w:ascii="宋体" w:hAnsi="宋体" w:eastAsia="宋体" w:cs="宋体"/>
          <w:highlight w:val="none"/>
          <w:u w:val="none"/>
        </w:rPr>
        <w:t>测试。道路、步道维修后平整度偏差≤1cm，无明显修补痕迹。维修作业涉及墓体的，不得擅自更改其图案、文字、形制，确需调整须提前征得</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书面同意。维修工期一经确定，</w:t>
      </w: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个工作日</w:t>
      </w:r>
      <w:r>
        <w:rPr>
          <w:rFonts w:hint="eastAsia" w:ascii="宋体" w:hAnsi="宋体" w:eastAsia="宋体" w:cs="宋体"/>
          <w:highlight w:val="none"/>
          <w:u w:val="none"/>
          <w:lang w:val="en-US" w:eastAsia="zh-CN"/>
        </w:rPr>
        <w:t>内开展维修</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国家法定节假日与不可抗力因素除外</w:t>
      </w:r>
      <w:r>
        <w:rPr>
          <w:rFonts w:hint="eastAsia" w:ascii="宋体" w:hAnsi="宋体" w:eastAsia="宋体" w:cs="宋体"/>
          <w:highlight w:val="none"/>
          <w:u w:val="none"/>
          <w:lang w:eastAsia="zh-CN"/>
        </w:rPr>
        <w:t>）</w:t>
      </w:r>
      <w:r>
        <w:rPr>
          <w:rFonts w:hint="eastAsia" w:ascii="宋体" w:hAnsi="宋体" w:eastAsia="宋体" w:cs="宋体"/>
          <w:highlight w:val="none"/>
          <w:u w:val="none"/>
        </w:rPr>
        <w:t>。</w:t>
      </w:r>
    </w:p>
    <w:p w14:paraId="11B95512">
      <w:pPr>
        <w:rPr>
          <w:rFonts w:hint="eastAsia" w:ascii="宋体" w:hAnsi="宋体" w:eastAsia="宋体" w:cs="宋体"/>
          <w:highlight w:val="none"/>
          <w:u w:val="none"/>
        </w:rPr>
      </w:pPr>
      <w:r>
        <w:rPr>
          <w:rFonts w:hint="eastAsia" w:ascii="宋体" w:hAnsi="宋体" w:eastAsia="宋体" w:cs="宋体"/>
          <w:highlight w:val="none"/>
          <w:u w:val="none"/>
        </w:rPr>
        <w:t>应急维修保障要求：</w:t>
      </w:r>
    </w:p>
    <w:p w14:paraId="475536CB">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建立24小时应急维修机制，重大节日或祭扫活动期间安排维修人员驻场值守。遇到</w:t>
      </w:r>
      <w:r>
        <w:rPr>
          <w:rFonts w:hint="eastAsia" w:ascii="宋体" w:hAnsi="宋体" w:eastAsia="宋体" w:cs="宋体"/>
          <w:highlight w:val="none"/>
          <w:u w:val="none"/>
          <w:lang w:val="en-US" w:eastAsia="zh-CN"/>
        </w:rPr>
        <w:t>包括但不限于：</w:t>
      </w:r>
      <w:r>
        <w:rPr>
          <w:rFonts w:hint="eastAsia" w:ascii="宋体" w:hAnsi="宋体" w:eastAsia="宋体" w:cs="宋体"/>
          <w:highlight w:val="none"/>
          <w:u w:val="none"/>
        </w:rPr>
        <w:t>设施破损、水电故障、道路塌陷等紧急情况须第一时间处置，保障墓区正常运行。</w:t>
      </w:r>
    </w:p>
    <w:p w14:paraId="31CCA41A">
      <w:pPr>
        <w:rPr>
          <w:rFonts w:hint="eastAsia" w:ascii="宋体" w:hAnsi="宋体" w:eastAsia="宋体" w:cs="宋体"/>
          <w:highlight w:val="none"/>
          <w:u w:val="none"/>
        </w:rPr>
      </w:pPr>
      <w:r>
        <w:rPr>
          <w:rFonts w:hint="eastAsia" w:ascii="宋体" w:hAnsi="宋体" w:eastAsia="宋体" w:cs="宋体"/>
          <w:highlight w:val="none"/>
          <w:u w:val="none"/>
        </w:rPr>
        <w:t>维修台账及保修要求：</w:t>
      </w:r>
    </w:p>
    <w:p w14:paraId="1751912F">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所有维修项目</w:t>
      </w:r>
      <w:r>
        <w:rPr>
          <w:rFonts w:hint="eastAsia" w:ascii="宋体" w:hAnsi="宋体" w:eastAsia="宋体" w:cs="宋体"/>
          <w:highlight w:val="none"/>
          <w:u w:val="none"/>
          <w:lang w:val="en-US" w:eastAsia="zh-CN"/>
        </w:rPr>
        <w:t>均须按项目编号</w:t>
      </w:r>
      <w:r>
        <w:rPr>
          <w:rFonts w:hint="eastAsia" w:ascii="宋体" w:hAnsi="宋体" w:eastAsia="宋体" w:cs="宋体"/>
          <w:highlight w:val="none"/>
          <w:u w:val="none"/>
        </w:rPr>
        <w:t>建立台账，记录维修时间、位置、内容、用材、验收</w:t>
      </w:r>
      <w:r>
        <w:rPr>
          <w:rFonts w:hint="eastAsia" w:ascii="宋体" w:hAnsi="宋体" w:eastAsia="宋体" w:cs="宋体"/>
          <w:highlight w:val="none"/>
          <w:u w:val="none"/>
          <w:lang w:val="en-US" w:eastAsia="zh-CN"/>
        </w:rPr>
        <w:t>等信息</w:t>
      </w:r>
      <w:r>
        <w:rPr>
          <w:rFonts w:hint="eastAsia" w:ascii="宋体" w:hAnsi="宋体" w:eastAsia="宋体" w:cs="宋体"/>
          <w:highlight w:val="none"/>
          <w:u w:val="none"/>
        </w:rPr>
        <w:t>。</w:t>
      </w:r>
      <w:r>
        <w:rPr>
          <w:rFonts w:hint="eastAsia" w:ascii="宋体" w:hAnsi="宋体" w:eastAsia="宋体" w:cs="宋体"/>
          <w:highlight w:val="none"/>
          <w:u w:val="none"/>
          <w:lang w:val="en-US" w:eastAsia="zh-CN"/>
        </w:rPr>
        <w:t>发现缺漏，一概视为违约，除中标人在季度考核结果对应的服务费扣减以外，还须按本项目当月服务费总价的1%向招标人支付违约金。</w:t>
      </w:r>
      <w:r>
        <w:rPr>
          <w:rFonts w:hint="eastAsia" w:ascii="宋体" w:hAnsi="宋体" w:eastAsia="宋体" w:cs="宋体"/>
          <w:highlight w:val="none"/>
          <w:u w:val="none"/>
        </w:rPr>
        <w:t>零星维修质保期3年，其中墓碑描字质保期</w:t>
      </w:r>
      <w:r>
        <w:rPr>
          <w:rFonts w:hint="eastAsia" w:ascii="宋体" w:hAnsi="宋体" w:cs="宋体"/>
          <w:highlight w:val="none"/>
          <w:u w:val="none"/>
          <w:lang w:val="en-US" w:eastAsia="zh-CN"/>
        </w:rPr>
        <w:t>2</w:t>
      </w:r>
      <w:r>
        <w:rPr>
          <w:rFonts w:hint="eastAsia" w:ascii="宋体" w:hAnsi="宋体" w:eastAsia="宋体" w:cs="宋体"/>
          <w:highlight w:val="none"/>
          <w:u w:val="none"/>
        </w:rPr>
        <w:t>年</w:t>
      </w:r>
      <w:r>
        <w:rPr>
          <w:rFonts w:hint="eastAsia" w:ascii="宋体" w:hAnsi="宋体" w:cs="宋体"/>
          <w:highlight w:val="none"/>
          <w:u w:val="none"/>
          <w:lang w:eastAsia="zh-CN"/>
        </w:rPr>
        <w:t>，</w:t>
      </w:r>
      <w:r>
        <w:rPr>
          <w:rFonts w:hint="eastAsia" w:ascii="宋体" w:hAnsi="宋体" w:eastAsia="宋体" w:cs="宋体"/>
          <w:highlight w:val="none"/>
          <w:u w:val="none"/>
          <w:lang w:val="en-US" w:eastAsia="zh-CN"/>
        </w:rPr>
        <w:t>树木修剪</w:t>
      </w:r>
      <w:r>
        <w:rPr>
          <w:rFonts w:hint="eastAsia" w:ascii="宋体" w:hAnsi="宋体" w:eastAsia="宋体" w:cs="宋体"/>
          <w:highlight w:val="none"/>
          <w:u w:val="none"/>
        </w:rPr>
        <w:t>质保期1年，质保期内出现</w:t>
      </w:r>
      <w:r>
        <w:rPr>
          <w:rFonts w:hint="eastAsia" w:ascii="宋体" w:hAnsi="宋体" w:eastAsia="宋体" w:cs="宋体"/>
          <w:highlight w:val="none"/>
          <w:u w:val="none"/>
          <w:lang w:val="en-US" w:eastAsia="zh-CN"/>
        </w:rPr>
        <w:t>相同</w:t>
      </w:r>
      <w:r>
        <w:rPr>
          <w:rFonts w:hint="eastAsia" w:ascii="宋体" w:hAnsi="宋体" w:eastAsia="宋体" w:cs="宋体"/>
          <w:highlight w:val="none"/>
          <w:u w:val="none"/>
        </w:rPr>
        <w:t>问题免费返修。每季度末将维修台账报送</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审核。</w:t>
      </w:r>
    </w:p>
    <w:p w14:paraId="4176C52C">
      <w:pPr>
        <w:rPr>
          <w:rFonts w:hint="eastAsia" w:ascii="宋体" w:hAnsi="宋体" w:eastAsia="宋体" w:cs="宋体"/>
          <w:highlight w:val="none"/>
          <w:u w:val="none"/>
        </w:rPr>
      </w:pPr>
      <w:r>
        <w:rPr>
          <w:rFonts w:hint="eastAsia" w:ascii="宋体" w:hAnsi="宋体" w:eastAsia="宋体" w:cs="宋体"/>
          <w:highlight w:val="none"/>
          <w:u w:val="none"/>
        </w:rPr>
        <w:t>费用构成：</w:t>
      </w:r>
    </w:p>
    <w:p w14:paraId="61079C82">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rPr>
        <w:t>所有</w:t>
      </w:r>
      <w:r>
        <w:rPr>
          <w:rFonts w:hint="eastAsia" w:ascii="宋体" w:hAnsi="宋体" w:eastAsia="宋体" w:cs="宋体"/>
          <w:highlight w:val="none"/>
          <w:u w:val="none"/>
          <w:lang w:val="en-US" w:eastAsia="zh-CN"/>
        </w:rPr>
        <w:t>零星</w:t>
      </w:r>
      <w:r>
        <w:rPr>
          <w:rFonts w:hint="eastAsia" w:ascii="宋体" w:hAnsi="宋体" w:eastAsia="宋体" w:cs="宋体"/>
          <w:highlight w:val="none"/>
          <w:u w:val="none"/>
        </w:rPr>
        <w:t>维修工作</w:t>
      </w:r>
      <w:r>
        <w:rPr>
          <w:rFonts w:hint="eastAsia" w:ascii="宋体" w:hAnsi="宋体" w:eastAsia="宋体" w:cs="宋体"/>
          <w:highlight w:val="none"/>
          <w:u w:val="none"/>
          <w:lang w:eastAsia="zh-CN"/>
        </w:rPr>
        <w:t>，</w:t>
      </w:r>
      <w:r>
        <w:rPr>
          <w:rFonts w:hint="eastAsia" w:ascii="宋体" w:hAnsi="宋体" w:eastAsia="宋体" w:cs="宋体"/>
          <w:highlight w:val="none"/>
          <w:u w:val="none"/>
        </w:rPr>
        <w:t>费用</w:t>
      </w:r>
      <w:r>
        <w:rPr>
          <w:rFonts w:hint="eastAsia" w:ascii="宋体" w:hAnsi="宋体" w:eastAsia="宋体" w:cs="宋体"/>
          <w:highlight w:val="none"/>
          <w:u w:val="none"/>
          <w:lang w:val="en-US" w:eastAsia="zh-CN"/>
        </w:rPr>
        <w:t>包括但不限于：零星</w:t>
      </w:r>
      <w:r>
        <w:rPr>
          <w:rFonts w:hint="eastAsia" w:ascii="宋体" w:hAnsi="宋体" w:eastAsia="宋体" w:cs="宋体"/>
          <w:highlight w:val="none"/>
          <w:u w:val="none"/>
        </w:rPr>
        <w:t>主材、辅材、人工、机械等全部费用，按照中标的维修单价进行结算</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维修单价中未列举的，双方友好协商后确定</w:t>
      </w:r>
      <w:r>
        <w:rPr>
          <w:rFonts w:hint="eastAsia" w:ascii="宋体" w:hAnsi="宋体" w:eastAsia="宋体" w:cs="宋体"/>
          <w:highlight w:val="none"/>
          <w:u w:val="none"/>
        </w:rPr>
        <w:t>。中标人不得以任何不可抗力以外的理由拒绝维修</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否则视为违约，除中标人须在季度考核结果对应的服务费扣减以外，还须按本项目当月服务费总价的1%向招标人支付违约金；同一自然季度内累计发生三次及以上的，招标人有权书面通知解除合同，中标人须另行支付合同总价10%的违约金，相关违约责任按本章'违约责任总则'条款执行。</w:t>
      </w:r>
    </w:p>
    <w:p w14:paraId="70090AAC">
      <w:pPr>
        <w:ind w:firstLine="420" w:firstLineChars="200"/>
        <w:rPr>
          <w:rFonts w:hint="eastAsia" w:ascii="宋体" w:hAnsi="宋体" w:eastAsia="宋体" w:cs="宋体"/>
          <w:highlight w:val="none"/>
          <w:u w:val="none"/>
          <w:lang w:val="en-US" w:eastAsia="zh-CN"/>
        </w:rPr>
      </w:pPr>
    </w:p>
    <w:p w14:paraId="5224F5B0">
      <w:pPr>
        <w:numPr>
          <w:ilvl w:val="0"/>
          <w:numId w:val="1"/>
        </w:numPr>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履约台账管理规范要求</w:t>
      </w:r>
    </w:p>
    <w:p w14:paraId="443D8E7C">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中标人须在签订正式合同后一周内，结合招标人墓区实际运营特点与管理需求，制定全套标准化履约台账体系。该体系应包括但不限于：考勤制度、人员排班表、材料验收台账、卫生保洁台账、值班巡逻台账、库房保管台账、每日工作记录台账、维修记录台账、返修记录台账、问题/隐患整改台账等，具体台账种类、格式及填报细则须提交招标人审核确认后作为合同附件执行。中标人提供的相关履约台账体系如达不到招标人要求，需及时进行修改，直至达到招标人要求为准</w:t>
      </w:r>
      <w:r>
        <w:rPr>
          <w:rFonts w:hint="eastAsia" w:ascii="宋体" w:hAnsi="宋体" w:cs="宋体"/>
          <w:highlight w:val="none"/>
          <w:u w:val="none"/>
          <w:lang w:val="en-US" w:eastAsia="zh-CN"/>
        </w:rPr>
        <w:t>。</w:t>
      </w:r>
    </w:p>
    <w:p w14:paraId="7945A804">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所有经招标人审核确认的台账格式，均须按统一编号规则建立，真实、完整、及时记录对应业务的时间、位置、内容、用材、验收人员及结果等关键信息，并于每季度末月25日前将当季全套台账，以压缩文件形式报送招标人审核备案（各项目分别以PDF文件形式）。</w:t>
      </w:r>
    </w:p>
    <w:p w14:paraId="311C0F16">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台账管理实行严格违约责任机制：凡发现台账缺失、记录不全、弄虚作假或逾期未报等情形，一概视为违约，除中标人须在季度考核结果对应的服务费扣减以外，还须按本项目当季度服务费总价的1%向招标人支付违约金。</w:t>
      </w:r>
    </w:p>
    <w:p w14:paraId="59B4A4B9">
      <w:pPr>
        <w:ind w:firstLine="420" w:firstLineChars="200"/>
        <w:rPr>
          <w:rFonts w:hint="eastAsia" w:ascii="宋体" w:hAnsi="宋体" w:eastAsia="宋体" w:cs="宋体"/>
          <w:highlight w:val="none"/>
          <w:u w:val="none"/>
          <w:lang w:val="en-US" w:eastAsia="zh-CN"/>
        </w:rPr>
      </w:pPr>
    </w:p>
    <w:p w14:paraId="721383E7">
      <w:pPr>
        <w:numPr>
          <w:ilvl w:val="0"/>
          <w:numId w:val="1"/>
        </w:numPr>
        <w:ind w:left="0" w:leftChars="0" w:firstLine="0" w:firstLineChars="0"/>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人员配置与稳定性管理要求</w:t>
      </w:r>
    </w:p>
    <w:p w14:paraId="230E8253">
      <w:pPr>
        <w:keepNext w:val="0"/>
        <w:keepLines w:val="0"/>
        <w:pageBreakBefore w:val="0"/>
        <w:widowControl w:val="0"/>
        <w:kinsoku/>
        <w:wordWrap/>
        <w:overflowPunct/>
        <w:topLinePunct w:val="0"/>
        <w:autoSpaceDE/>
        <w:autoSpaceDN/>
        <w:bidi w:val="0"/>
        <w:adjustRightInd/>
        <w:snapToGrid/>
        <w:spacing w:line="380" w:lineRule="exact"/>
        <w:ind w:firstLine="422" w:firstLineChars="200"/>
        <w:textAlignment w:val="auto"/>
        <w:rPr>
          <w:rFonts w:hint="eastAsia"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本条为合同履行期间的刚性履约义务，不适用“考核与验收标准”中的评分扣减规则，其违约责任以本条约定的违约金、服务费扣减及合同解除条款为准，独立执行、不与考核得分挂钩。（具体考核依据以招标人提供的终端考勤打卡设备及电子巡更系统为准，如发现相关设备损坏不报，或恶意损坏相关设备等情况，一经核实将对中标人处以全额赔偿并按本项目当月服务费总价1%支付违约金。）</w:t>
      </w:r>
    </w:p>
    <w:p w14:paraId="297A012E">
      <w:pPr>
        <w:ind w:firstLine="422" w:firstLineChars="200"/>
        <w:rPr>
          <w:rFonts w:hint="eastAsia" w:ascii="宋体" w:hAnsi="宋体" w:eastAsia="宋体" w:cs="宋体"/>
          <w:b/>
          <w:bCs/>
          <w:highlight w:val="none"/>
          <w:u w:val="none"/>
          <w:lang w:val="en-US" w:eastAsia="zh-CN"/>
        </w:rPr>
      </w:pPr>
    </w:p>
    <w:p w14:paraId="3FF21E60">
      <w:pPr>
        <w:numPr>
          <w:ilvl w:val="0"/>
          <w:numId w:val="2"/>
        </w:numPr>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核心团队锁定</w:t>
      </w:r>
    </w:p>
    <w:p w14:paraId="7E500CE8">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中标人须在投标文件中明确项目负责人及关键岗位人员名单，并附身份证、资格证书、近3个月社保证明及无犯罪记录承诺函。上述人员经招标人确认后即锁定，未经书面同意不得更换；确需调整的，须提前15日申请并提供同等资质继任者，经面试通过后方可变更。擅自更换的，每人次按本项目当月服务费总价2%支付违约金。</w:t>
      </w:r>
    </w:p>
    <w:p w14:paraId="312AADF2">
      <w:pPr>
        <w:numPr>
          <w:ilvl w:val="0"/>
          <w:numId w:val="2"/>
        </w:numPr>
        <w:ind w:left="0" w:leftChars="0" w:firstLine="0" w:firstLineChars="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在岗人员稳定率</w:t>
      </w:r>
    </w:p>
    <w:p w14:paraId="74DB9102">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一线服务人员月度在岗稳定率（实际在岗天数÷应出勤总天数</w:t>
      </w:r>
      <w:r>
        <w:rPr>
          <w:rFonts w:hint="eastAsia" w:ascii="宋体" w:hAnsi="宋体" w:cs="宋体"/>
          <w:highlight w:val="none"/>
          <w:u w:val="none"/>
          <w:lang w:val="en-US" w:eastAsia="zh-CN"/>
        </w:rPr>
        <w:t>&lt;参考排班表&gt;</w:t>
      </w:r>
      <w:r>
        <w:rPr>
          <w:rFonts w:hint="eastAsia" w:ascii="宋体" w:hAnsi="宋体" w:eastAsia="宋体" w:cs="宋体"/>
          <w:highlight w:val="none"/>
          <w:u w:val="none"/>
          <w:lang w:val="en-US" w:eastAsia="zh-CN"/>
        </w:rPr>
        <w:t>）不低于90%。80%≤稳定率&lt;90%的，每低1个百分点扣减本项目当月服务费0.3%；稳定率&lt;80%的，视为严重违约，招标人有权暂停付款并责令整改；连续两个月&lt;80%或年度累计三个月&lt;85%，招标人可单方解除合同。</w:t>
      </w:r>
    </w:p>
    <w:p w14:paraId="0958042D">
      <w:pPr>
        <w:numPr>
          <w:ilvl w:val="0"/>
          <w:numId w:val="2"/>
        </w:numPr>
        <w:ind w:left="0" w:leftChars="0" w:firstLine="0" w:firstLineChars="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劳动关系合规</w:t>
      </w:r>
    </w:p>
    <w:p w14:paraId="27F6094A">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中标人须与所有派驻人员签订劳动合同、足额缴纳社保公积金，工资按月银行代发且不低于当地最低标准。招标人可随时抽查相关凭证，发现违规每人次按本项目当月服务费总价1%支付违约金并责令10日内整改；逾期未改的，招标人可单方解除合同。</w:t>
      </w:r>
    </w:p>
    <w:p w14:paraId="046F3CDB">
      <w:pPr>
        <w:numPr>
          <w:ilvl w:val="0"/>
          <w:numId w:val="2"/>
        </w:numPr>
        <w:ind w:left="0" w:leftChars="0" w:firstLine="0" w:firstLineChars="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离职报备与交接</w:t>
      </w:r>
    </w:p>
    <w:p w14:paraId="01E632C4">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一线服务人员离职须提前7日报备并完成交接、物资归还及台账更新。未报备致岗位空缺超3日的，按缺岗天数×岗位日薪3倍扣减服务费；交接不清造成损失的，全额赔偿并按本项目当月服务费总价1%支付违约金。</w:t>
      </w:r>
    </w:p>
    <w:p w14:paraId="46DAD965">
      <w:pPr>
        <w:numPr>
          <w:ilvl w:val="0"/>
          <w:numId w:val="2"/>
        </w:numPr>
        <w:ind w:left="0" w:leftChars="0" w:firstLine="0" w:firstLineChars="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应急替补机制</w:t>
      </w:r>
    </w:p>
    <w:p w14:paraId="2F5A6224">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备用人员库不少于在岗人数10%，且具备相应资质并完成培训。在岗人员突发缺勤时，须在4小时内安排合格替补到岗；未按时替补或替补不合格的，每次按本项目当月服务费总价0.5%支付违约金。</w:t>
      </w:r>
    </w:p>
    <w:p w14:paraId="12D6B19B">
      <w:pPr>
        <w:numPr>
          <w:ilvl w:val="0"/>
          <w:numId w:val="0"/>
        </w:numPr>
        <w:rPr>
          <w:rFonts w:hint="eastAsia" w:ascii="宋体" w:hAnsi="宋体" w:eastAsia="宋体" w:cs="宋体"/>
          <w:b/>
          <w:bCs/>
          <w:sz w:val="24"/>
          <w:szCs w:val="24"/>
          <w:highlight w:val="none"/>
          <w:u w:val="none"/>
          <w:lang w:val="en-US" w:eastAsia="zh-CN"/>
        </w:rPr>
      </w:pPr>
    </w:p>
    <w:p w14:paraId="67C98507">
      <w:pPr>
        <w:numPr>
          <w:ilvl w:val="0"/>
          <w:numId w:val="0"/>
        </w:numPr>
        <w:rPr>
          <w:rFonts w:hint="eastAsia" w:ascii="宋体" w:hAnsi="宋体" w:eastAsia="宋体" w:cs="宋体"/>
          <w:b/>
          <w:bCs/>
          <w:sz w:val="24"/>
          <w:szCs w:val="24"/>
          <w:highlight w:val="none"/>
          <w:u w:val="none"/>
          <w:lang w:val="en-US" w:eastAsia="zh-CN"/>
        </w:rPr>
      </w:pPr>
      <w:r>
        <w:rPr>
          <w:rFonts w:hint="eastAsia" w:ascii="宋体" w:hAnsi="宋体" w:eastAsia="宋体" w:cs="宋体"/>
          <w:b/>
          <w:bCs/>
          <w:sz w:val="24"/>
          <w:szCs w:val="24"/>
          <w:highlight w:val="none"/>
          <w:u w:val="none"/>
          <w:lang w:val="en-US" w:eastAsia="zh-CN"/>
        </w:rPr>
        <w:t>四、考核与验收标准</w:t>
      </w:r>
    </w:p>
    <w:p w14:paraId="654DEB50">
      <w:pPr>
        <w:numPr>
          <w:ilvl w:val="0"/>
          <w:numId w:val="0"/>
        </w:numPr>
        <w:rPr>
          <w:rFonts w:hint="eastAsia" w:ascii="宋体" w:hAnsi="宋体" w:eastAsia="宋体" w:cs="宋体"/>
          <w:sz w:val="21"/>
          <w:szCs w:val="21"/>
          <w:highlight w:val="none"/>
          <w:u w:val="none"/>
          <w:lang w:val="en-US" w:eastAsia="zh-CN"/>
        </w:rPr>
      </w:pPr>
      <w:r>
        <w:rPr>
          <w:rFonts w:hint="eastAsia" w:ascii="宋体" w:hAnsi="宋体" w:eastAsia="宋体" w:cs="宋体"/>
          <w:b/>
          <w:bCs/>
          <w:sz w:val="21"/>
          <w:szCs w:val="21"/>
          <w:highlight w:val="none"/>
          <w:u w:val="none"/>
          <w:lang w:val="en-US" w:eastAsia="zh-CN"/>
        </w:rPr>
        <w:t>考核体系与周期：</w:t>
      </w:r>
    </w:p>
    <w:p w14:paraId="3DC27EAC">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本项目考核体系共设六大类、81项具体指标，满分100分。考核工作按季度组织实施，每年四次，每两次季度业务考核评分的算术平均值，将被直接应用于每年当期的</w:t>
      </w:r>
      <w:r>
        <w:rPr>
          <w:rFonts w:hint="eastAsia" w:ascii="宋体" w:hAnsi="宋体" w:eastAsia="宋体" w:cs="宋体"/>
          <w:highlight w:val="none"/>
          <w:u w:val="none"/>
        </w:rPr>
        <w:t>半年度综合结算考核</w:t>
      </w:r>
      <w:r>
        <w:rPr>
          <w:rFonts w:hint="eastAsia" w:ascii="宋体" w:hAnsi="宋体" w:eastAsia="宋体" w:cs="宋体"/>
          <w:highlight w:val="none"/>
          <w:u w:val="none"/>
          <w:lang w:eastAsia="zh-CN"/>
        </w:rPr>
        <w:t>。</w:t>
      </w:r>
    </w:p>
    <w:p w14:paraId="3B3FED46">
      <w:pPr>
        <w:rPr>
          <w:rFonts w:hint="eastAsia" w:ascii="宋体" w:hAnsi="宋体" w:eastAsia="宋体" w:cs="宋体"/>
          <w:b/>
          <w:bCs/>
          <w:highlight w:val="none"/>
          <w:u w:val="none"/>
          <w:lang w:eastAsia="zh-CN"/>
        </w:rPr>
      </w:pPr>
      <w:r>
        <w:rPr>
          <w:rFonts w:hint="eastAsia" w:ascii="宋体" w:hAnsi="宋体" w:eastAsia="宋体" w:cs="宋体"/>
          <w:b/>
          <w:bCs/>
          <w:highlight w:val="none"/>
          <w:u w:val="none"/>
          <w:lang w:eastAsia="zh-CN"/>
        </w:rPr>
        <w:t>质保期责任特别提示：</w:t>
      </w:r>
    </w:p>
    <w:p w14:paraId="7E305A52">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eastAsia="zh-CN"/>
        </w:rPr>
        <w:t>本项目各子项质保期自各批次工程验收合格之日起分别起算、分别届满。其中墓穴基础及墓体安装质保期不少于6年，保修期内（无论主合同是否存续）出现沉降、开裂、积水等问题的，中标方须在接到通知后72小时内免费维修，涉及习俗的维修环节须配合招标人或家属完成。若合同期满后未续签，中标人仍须承担剩余质保责任。</w:t>
      </w:r>
      <w:r>
        <w:rPr>
          <w:rFonts w:hint="eastAsia" w:ascii="宋体" w:hAnsi="宋体" w:eastAsia="宋体" w:cs="宋体"/>
          <w:highlight w:val="none"/>
          <w:u w:val="none"/>
          <w:lang w:val="en-US" w:eastAsia="zh-CN"/>
        </w:rPr>
        <w:t>最终款项付至审计价的97%，余款作为质保金，待质保期满后无息退还</w:t>
      </w:r>
      <w:r>
        <w:rPr>
          <w:rFonts w:hint="eastAsia" w:ascii="宋体" w:hAnsi="宋体" w:eastAsia="宋体" w:cs="宋体"/>
          <w:highlight w:val="none"/>
          <w:u w:val="none"/>
          <w:lang w:eastAsia="zh-CN"/>
        </w:rPr>
        <w:t>。质保期内中标人拒绝、拖延或无法有效履行保修义务的，招标人有权直接动用质保金、兑付保函，用以支付第三方维修费用，不足部分有权追偿，且不影响追究其根本违约责任。</w:t>
      </w:r>
    </w:p>
    <w:p w14:paraId="22520192">
      <w:pPr>
        <w:numPr>
          <w:ilvl w:val="0"/>
          <w:numId w:val="0"/>
        </w:numPr>
        <w:rPr>
          <w:rFonts w:hint="eastAsia" w:ascii="宋体" w:hAnsi="宋体" w:eastAsia="宋体" w:cs="宋体"/>
          <w:b/>
          <w:bCs/>
          <w:sz w:val="21"/>
          <w:szCs w:val="21"/>
          <w:highlight w:val="none"/>
          <w:u w:val="none"/>
          <w:lang w:val="en-US" w:eastAsia="zh-CN"/>
        </w:rPr>
      </w:pPr>
      <w:r>
        <w:rPr>
          <w:rFonts w:hint="eastAsia" w:ascii="宋体" w:hAnsi="宋体" w:eastAsia="宋体" w:cs="宋体"/>
          <w:b/>
          <w:bCs/>
          <w:sz w:val="21"/>
          <w:szCs w:val="21"/>
          <w:highlight w:val="none"/>
          <w:u w:val="none"/>
          <w:lang w:val="en-US" w:eastAsia="zh-CN"/>
        </w:rPr>
        <w:t>考核结果与服务费支付比例挂钩机制：</w:t>
      </w:r>
    </w:p>
    <w:p w14:paraId="5743588D">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每两次季度业务考核评分的算术平均值，是当期</w:t>
      </w:r>
      <w:r>
        <w:rPr>
          <w:rFonts w:hint="eastAsia" w:ascii="宋体" w:hAnsi="宋体" w:eastAsia="宋体" w:cs="宋体"/>
          <w:highlight w:val="none"/>
          <w:u w:val="none"/>
        </w:rPr>
        <w:t>半年度综合结算考核</w:t>
      </w:r>
      <w:r>
        <w:rPr>
          <w:rFonts w:hint="eastAsia" w:ascii="宋体" w:hAnsi="宋体" w:eastAsia="宋体" w:cs="宋体"/>
          <w:highlight w:val="none"/>
          <w:u w:val="none"/>
          <w:lang w:val="en-US" w:eastAsia="zh-CN"/>
        </w:rPr>
        <w:t>得分及后续服务费支付的直接依据：</w:t>
      </w:r>
    </w:p>
    <w:p w14:paraId="692462DF">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优秀（95分及以上）</w:t>
      </w:r>
      <w:r>
        <w:rPr>
          <w:rFonts w:hint="eastAsia" w:ascii="宋体" w:hAnsi="宋体" w:cs="宋体"/>
          <w:highlight w:val="none"/>
          <w:u w:val="none"/>
          <w:lang w:val="en-US" w:eastAsia="zh-CN"/>
        </w:rPr>
        <w:t>；</w:t>
      </w:r>
    </w:p>
    <w:p w14:paraId="27345233">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良好（90分—94分）</w:t>
      </w:r>
      <w:r>
        <w:rPr>
          <w:rFonts w:hint="eastAsia" w:ascii="宋体" w:hAnsi="宋体" w:cs="宋体"/>
          <w:highlight w:val="none"/>
          <w:u w:val="none"/>
          <w:lang w:val="en-US" w:eastAsia="zh-CN"/>
        </w:rPr>
        <w:t>；</w:t>
      </w:r>
    </w:p>
    <w:p w14:paraId="55158699">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合格（80分—89分）</w:t>
      </w:r>
      <w:r>
        <w:rPr>
          <w:rFonts w:hint="eastAsia" w:ascii="宋体" w:hAnsi="宋体" w:cs="宋体"/>
          <w:highlight w:val="none"/>
          <w:u w:val="none"/>
          <w:lang w:val="en-US" w:eastAsia="zh-CN"/>
        </w:rPr>
        <w:t>；</w:t>
      </w:r>
    </w:p>
    <w:p w14:paraId="3CDF2E2D">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基本合格（70分—79分）</w:t>
      </w:r>
      <w:r>
        <w:rPr>
          <w:rFonts w:hint="eastAsia" w:ascii="宋体" w:hAnsi="宋体" w:cs="宋体"/>
          <w:highlight w:val="none"/>
          <w:u w:val="none"/>
          <w:lang w:val="en-US" w:eastAsia="zh-CN"/>
        </w:rPr>
        <w:t>；</w:t>
      </w:r>
      <w:r>
        <w:rPr>
          <w:rFonts w:hint="eastAsia" w:ascii="宋体" w:hAnsi="宋体" w:eastAsia="宋体" w:cs="宋体"/>
          <w:highlight w:val="none"/>
          <w:u w:val="none"/>
          <w:lang w:val="en-US" w:eastAsia="zh-CN"/>
        </w:rPr>
        <w:t>不合格（60分（含）—70分（不含））与严重不合格（60分以下）： 暂停支付当期服务费。</w:t>
      </w:r>
    </w:p>
    <w:p w14:paraId="5DA79938">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若中标人拒绝整改、逾期未完成整改或整改后复验仍不合格的，招标人有权单方解除合同，不予结算剩余服务费，并按本项目合同总价的5%收取违约金。</w:t>
      </w:r>
    </w:p>
    <w:p w14:paraId="347AC8D9">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本章考核结果将作为第六章'综合考核与结算'的依据，具体结算规则详见第六章。</w:t>
      </w:r>
    </w:p>
    <w:p w14:paraId="0CBA1BFD">
      <w:pPr>
        <w:numPr>
          <w:ilvl w:val="0"/>
          <w:numId w:val="0"/>
        </w:numPr>
        <w:rPr>
          <w:rFonts w:hint="eastAsia" w:ascii="宋体" w:hAnsi="宋体" w:eastAsia="宋体" w:cs="宋体"/>
          <w:highlight w:val="none"/>
          <w:u w:val="none"/>
          <w:lang w:val="en-US" w:eastAsia="zh-CN"/>
        </w:rPr>
      </w:pPr>
      <w:r>
        <w:rPr>
          <w:rFonts w:hint="eastAsia" w:ascii="宋体" w:hAnsi="宋体" w:eastAsia="宋体" w:cs="宋体"/>
          <w:b/>
          <w:bCs/>
          <w:highlight w:val="none"/>
          <w:u w:val="none"/>
          <w:lang w:val="en-US" w:eastAsia="zh-CN"/>
        </w:rPr>
        <w:t>（注：上述扣减的服务费一概不予补发，直接从当期结算款项中扣除。）</w:t>
      </w:r>
    </w:p>
    <w:p w14:paraId="4A209847">
      <w:pPr>
        <w:numPr>
          <w:ilvl w:val="0"/>
          <w:numId w:val="0"/>
        </w:numPr>
        <w:rPr>
          <w:rFonts w:hint="eastAsia" w:ascii="宋体" w:hAnsi="宋体" w:eastAsia="宋体" w:cs="宋体"/>
          <w:b/>
          <w:bCs/>
          <w:sz w:val="28"/>
          <w:szCs w:val="28"/>
          <w:highlight w:val="none"/>
          <w:u w:val="none"/>
          <w:lang w:val="en-US" w:eastAsia="zh-CN"/>
        </w:rPr>
      </w:pPr>
      <w:r>
        <w:rPr>
          <w:rFonts w:hint="eastAsia" w:ascii="宋体" w:hAnsi="宋体" w:eastAsia="宋体" w:cs="宋体"/>
          <w:b/>
          <w:bCs/>
          <w:sz w:val="21"/>
          <w:szCs w:val="21"/>
          <w:highlight w:val="none"/>
          <w:u w:val="none"/>
          <w:lang w:val="en-US" w:eastAsia="zh-CN"/>
        </w:rPr>
        <w:t>违约责任与处罚：</w:t>
      </w:r>
    </w:p>
    <w:p w14:paraId="2F2EAC32">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除上述考核扣分对应的服务费核减外，中标人还须承担以下违约责任：</w:t>
      </w:r>
    </w:p>
    <w:p w14:paraId="052703CB">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单项违约金：</w:t>
      </w:r>
      <w:r>
        <w:rPr>
          <w:rFonts w:hint="eastAsia" w:ascii="宋体" w:hAnsi="宋体" w:eastAsia="宋体" w:cs="宋体"/>
          <w:highlight w:val="none"/>
          <w:u w:val="none"/>
        </w:rPr>
        <w:t>一经发现并核实</w:t>
      </w:r>
      <w:r>
        <w:rPr>
          <w:rFonts w:hint="eastAsia" w:ascii="宋体" w:hAnsi="宋体" w:eastAsia="宋体" w:cs="宋体"/>
          <w:highlight w:val="none"/>
          <w:u w:val="none"/>
          <w:lang w:val="en-US" w:eastAsia="zh-CN"/>
        </w:rPr>
        <w:t>中标人</w:t>
      </w:r>
      <w:r>
        <w:rPr>
          <w:rFonts w:hint="eastAsia" w:ascii="宋体" w:hAnsi="宋体" w:eastAsia="宋体" w:cs="宋体"/>
          <w:highlight w:val="none"/>
          <w:u w:val="none"/>
        </w:rPr>
        <w:t>存在违规行为，</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有权按违约行为所涉分项服务当月应付服务费的10%支付违约金。若违约行为无法归入具体分项服务</w:t>
      </w:r>
      <w:r>
        <w:rPr>
          <w:rFonts w:hint="eastAsia" w:ascii="宋体" w:hAnsi="宋体" w:eastAsia="宋体" w:cs="宋体"/>
          <w:highlight w:val="none"/>
          <w:u w:val="none"/>
          <w:lang w:val="en-US" w:eastAsia="zh-CN"/>
        </w:rPr>
        <w:t>测算金额</w:t>
      </w:r>
      <w:r>
        <w:rPr>
          <w:rFonts w:hint="eastAsia" w:ascii="宋体" w:hAnsi="宋体" w:eastAsia="宋体" w:cs="宋体"/>
          <w:highlight w:val="none"/>
          <w:u w:val="none"/>
        </w:rPr>
        <w:t>的，</w:t>
      </w:r>
      <w:r>
        <w:rPr>
          <w:rFonts w:hint="eastAsia" w:ascii="宋体" w:hAnsi="宋体" w:eastAsia="宋体" w:cs="宋体"/>
          <w:highlight w:val="none"/>
          <w:u w:val="none"/>
          <w:lang w:val="en-US" w:eastAsia="zh-CN"/>
        </w:rPr>
        <w:t>则</w:t>
      </w:r>
      <w:r>
        <w:rPr>
          <w:rFonts w:hint="eastAsia" w:ascii="宋体" w:hAnsi="宋体" w:eastAsia="宋体" w:cs="宋体"/>
          <w:highlight w:val="none"/>
          <w:u w:val="none"/>
        </w:rPr>
        <w:t>按本项目当月总服务费的10%支付违约金</w:t>
      </w:r>
      <w:r>
        <w:rPr>
          <w:rFonts w:hint="eastAsia" w:ascii="宋体" w:hAnsi="宋体" w:eastAsia="宋体" w:cs="宋体"/>
          <w:highlight w:val="none"/>
          <w:u w:val="none"/>
          <w:lang w:eastAsia="zh-CN"/>
        </w:rPr>
        <w:t>，相关违约责任按本章'违约责任总则'条款执行。</w:t>
      </w:r>
    </w:p>
    <w:p w14:paraId="71042304">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rPr>
        <w:t>仅当违约行为同时满足下列情形之一时，方在考核扣分核减服务费之外另行计收违约金：① 造成人身伤害</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死亡</w:t>
      </w:r>
      <w:r>
        <w:rPr>
          <w:rFonts w:hint="eastAsia" w:ascii="宋体" w:hAnsi="宋体" w:eastAsia="宋体" w:cs="宋体"/>
          <w:highlight w:val="none"/>
          <w:u w:val="none"/>
        </w:rPr>
        <w:t>或</w:t>
      </w:r>
      <w:r>
        <w:rPr>
          <w:rFonts w:hint="eastAsia" w:ascii="宋体" w:hAnsi="宋体" w:eastAsia="宋体" w:cs="宋体"/>
          <w:highlight w:val="none"/>
          <w:u w:val="none"/>
          <w:lang w:val="en-US" w:eastAsia="zh-CN"/>
        </w:rPr>
        <w:t>严重</w:t>
      </w:r>
      <w:r>
        <w:rPr>
          <w:rFonts w:hint="eastAsia" w:ascii="宋体" w:hAnsi="宋体" w:eastAsia="宋体" w:cs="宋体"/>
          <w:highlight w:val="none"/>
          <w:u w:val="none"/>
        </w:rPr>
        <w:t>财产损失事故的；② 被行政主管部门行政处罚或通报批评的；③ 擅自转包、违法分包的；④ 伪造数据、弄虚作假的；⑤ 招标文件或合同明确列为“重大违约”的其他情形</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⑥</w:t>
      </w:r>
      <w:r>
        <w:rPr>
          <w:rFonts w:hint="eastAsia" w:ascii="宋体" w:hAnsi="宋体" w:cs="宋体"/>
          <w:highlight w:val="none"/>
          <w:u w:val="none"/>
          <w:lang w:val="en-US" w:eastAsia="zh-CN"/>
        </w:rPr>
        <w:t>违反</w:t>
      </w:r>
      <w:r>
        <w:rPr>
          <w:rFonts w:hint="eastAsia" w:ascii="宋体" w:hAnsi="宋体" w:eastAsia="宋体" w:cs="宋体"/>
          <w:highlight w:val="none"/>
          <w:u w:val="none"/>
          <w:lang w:val="en-US" w:eastAsia="zh-CN"/>
        </w:rPr>
        <w:t>“人员配置与稳定性管理要求”章节规定的情况；⑦</w:t>
      </w:r>
      <w:r>
        <w:rPr>
          <w:rFonts w:hint="eastAsia" w:ascii="宋体" w:hAnsi="宋体" w:cs="宋体"/>
          <w:highlight w:val="none"/>
          <w:u w:val="none"/>
          <w:lang w:val="en-US" w:eastAsia="zh-CN"/>
        </w:rPr>
        <w:t>违反</w:t>
      </w:r>
      <w:r>
        <w:rPr>
          <w:rFonts w:hint="eastAsia" w:ascii="宋体" w:hAnsi="宋体" w:eastAsia="宋体" w:cs="宋体"/>
          <w:highlight w:val="none"/>
          <w:u w:val="none"/>
          <w:lang w:val="en-US" w:eastAsia="zh-CN"/>
        </w:rPr>
        <w:t>维修台账及保修要求</w:t>
      </w:r>
      <w:r>
        <w:rPr>
          <w:rFonts w:hint="eastAsia" w:ascii="宋体" w:hAnsi="宋体" w:eastAsia="宋体" w:cs="宋体"/>
          <w:highlight w:val="none"/>
          <w:u w:val="none"/>
        </w:rPr>
        <w:t>。其余一般性履约瑕疵仅通过考核扣分核减服务费处理。</w:t>
      </w:r>
    </w:p>
    <w:p w14:paraId="1F08613F">
      <w:pPr>
        <w:numPr>
          <w:ilvl w:val="0"/>
          <w:numId w:val="0"/>
        </w:numPr>
        <w:rPr>
          <w:rFonts w:hint="eastAsia" w:ascii="宋体" w:hAnsi="宋体" w:eastAsia="宋体" w:cs="宋体"/>
          <w:highlight w:val="none"/>
          <w:u w:val="none"/>
          <w:lang w:val="en-US" w:eastAsia="zh-CN"/>
        </w:rPr>
      </w:pPr>
      <w:r>
        <w:rPr>
          <w:rFonts w:hint="eastAsia" w:ascii="宋体" w:hAnsi="宋体" w:eastAsia="宋体" w:cs="宋体"/>
          <w:b/>
          <w:bCs/>
          <w:highlight w:val="none"/>
          <w:u w:val="none"/>
          <w:lang w:val="en-US" w:eastAsia="zh-CN"/>
        </w:rPr>
        <w:t>累计加重处罚：</w:t>
      </w:r>
      <w:r>
        <w:rPr>
          <w:rFonts w:hint="eastAsia" w:ascii="宋体" w:hAnsi="宋体" w:eastAsia="宋体" w:cs="宋体"/>
          <w:highlight w:val="none"/>
          <w:u w:val="none"/>
          <w:lang w:val="en-US" w:eastAsia="zh-CN"/>
        </w:rPr>
        <w:t xml:space="preserve"> </w:t>
      </w:r>
    </w:p>
    <w:p w14:paraId="4DFC0669">
      <w:pPr>
        <w:numPr>
          <w:ilvl w:val="0"/>
          <w:numId w:val="0"/>
        </w:num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若同一自然月度内发生违约行为达到或</w:t>
      </w:r>
      <w:r>
        <w:rPr>
          <w:rFonts w:hint="eastAsia" w:ascii="宋体" w:hAnsi="宋体" w:cs="宋体"/>
          <w:highlight w:val="none"/>
          <w:u w:val="none"/>
          <w:lang w:val="en-US" w:eastAsia="zh-CN"/>
        </w:rPr>
        <w:t>超过</w:t>
      </w:r>
      <w:r>
        <w:rPr>
          <w:rFonts w:hint="eastAsia" w:ascii="宋体" w:hAnsi="宋体" w:eastAsia="宋体" w:cs="宋体"/>
          <w:highlight w:val="none"/>
          <w:u w:val="none"/>
          <w:lang w:val="en-US" w:eastAsia="zh-CN"/>
        </w:rPr>
        <w:t>三次，中标人除逐次按上述单项违约金条款支付违约金外，还须另行支付本项目合同总价10%的违约金，或在履约保证金、保函中扣除，履约保证金、保函不足以支付的，中标人须及时补齐。并全额赔偿由于违约给招标人造成的全部经济损失，相关违约责任按本章'违约责任总则'条款执行。</w:t>
      </w:r>
    </w:p>
    <w:p w14:paraId="78616889">
      <w:pPr>
        <w:numPr>
          <w:ilvl w:val="0"/>
          <w:numId w:val="0"/>
        </w:num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具体考核标准：</w:t>
      </w:r>
    </w:p>
    <w:p w14:paraId="3C201B50">
      <w:pPr>
        <w:numPr>
          <w:ilvl w:val="0"/>
          <w:numId w:val="0"/>
        </w:numPr>
        <w:rPr>
          <w:rFonts w:hint="eastAsia" w:ascii="宋体" w:hAnsi="宋体" w:eastAsia="宋体" w:cs="宋体"/>
          <w:b/>
          <w:bCs/>
          <w:highlight w:val="none"/>
          <w:u w:val="none"/>
          <w:lang w:val="en-US" w:eastAsia="zh-CN"/>
        </w:rPr>
      </w:pPr>
    </w:p>
    <w:p w14:paraId="134DDF0C">
      <w:p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（一）墓穴基础建设与落葬服务技术要求考核标准：</w:t>
      </w:r>
    </w:p>
    <w:tbl>
      <w:tblPr>
        <w:tblStyle w:val="30"/>
        <w:tblW w:w="83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60"/>
        <w:gridCol w:w="690"/>
        <w:gridCol w:w="6118"/>
      </w:tblGrid>
      <w:tr w14:paraId="0810A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A68C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考核指标</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C3D2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61FD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491E0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8BB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施工合规性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E97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85C1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严格遵守《建筑地基基础工程施工质量验收标准》（GB 50202），施工过程规范有序得1分；发现违规操作每处扣0.2分，累计扣减，扣分不封顶</w:t>
            </w:r>
          </w:p>
        </w:tc>
      </w:tr>
      <w:tr w14:paraId="3357B4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D6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尺寸精度控制</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EF9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7F11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基础长宽偏差±5mm以内、平整度偏差≤2mm、排水坡度91°~92°全部达标得1分；每处偏差超标每处扣0.1分</w:t>
            </w:r>
          </w:p>
        </w:tc>
      </w:tr>
      <w:tr w14:paraId="434A6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C9B8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排水系统质量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4DEC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6F25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渗水管铺设规范、砂石（瓜子片）垫层厚度达标（1000mm×600mm×100mm）、下水管网连接完好得1分；发现渗漏、堵塞等问题每处扣0.5分</w:t>
            </w:r>
          </w:p>
        </w:tc>
      </w:tr>
      <w:tr w14:paraId="5F568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608C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石椁安装质量</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5C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FD7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石椁安装稳固无松动、四周砌砖墙规范得1分；尺寸不合、安装不牢、未砌砖墙每处扣0.2分，扣分不封顶</w:t>
            </w:r>
          </w:p>
        </w:tc>
      </w:tr>
      <w:tr w14:paraId="266A7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143B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安全文明施工</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B1B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3357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警示标识或安全围挡齐全、施工垃圾当日清运、噪音控制在60分贝以内、严禁祭扫高峰时段大规模施工、无安全事故得1分；每项不达标扣0.2分</w:t>
            </w:r>
          </w:p>
        </w:tc>
      </w:tr>
      <w:tr w14:paraId="59CEC7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DAD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周边环境保护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CA3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D125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施工过程中未破坏周边既有墓穴、未影响周边已安葬墓穴的覆土及绿化得2分；每发现一处影响或破坏扣0.5分</w:t>
            </w:r>
          </w:p>
        </w:tc>
      </w:tr>
      <w:tr w14:paraId="30DE1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A3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影像资料管理</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FE72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9935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按招标人要求逐一保留对应项目施工影像资料，资料完整清晰得1分；资料缺失或不规范每处扣0.5分，扣分不封顶</w:t>
            </w:r>
          </w:p>
        </w:tc>
      </w:tr>
      <w:tr w14:paraId="1298CF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A12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特殊天气防护</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34D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FE73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雨雪等特殊天气已开坑或拟开坑区域搭设防护棚或设置防水覆盖物等防护设施得1分；未按要求防护每次扣0.5分</w:t>
            </w:r>
          </w:p>
        </w:tc>
      </w:tr>
      <w:tr w14:paraId="6C32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CF3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习俗适配规范</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51A7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1564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作业人员经习俗培训、无禁忌行为、尊重祭扫群众、无投诉得1分；发现违规行为每次扣0.5分</w:t>
            </w:r>
          </w:p>
        </w:tc>
      </w:tr>
      <w:tr w14:paraId="301405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0" w:hRule="atLeast"/>
        </w:trPr>
        <w:tc>
          <w:tcPr>
            <w:tcW w:w="15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9B84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响应时效性</w:t>
            </w:r>
          </w:p>
        </w:tc>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AD3D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11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11D3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工作时间接到通知后1小时内到达现场、24小时内启动经招标人确认的相关服务得2分；超时每次扣0.5分，扣分不封顶</w:t>
            </w:r>
          </w:p>
        </w:tc>
      </w:tr>
    </w:tbl>
    <w:p w14:paraId="1574C37D">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考核说明：</w:t>
      </w:r>
    </w:p>
    <w:p w14:paraId="57B11F84">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1.考核周期：本考核按季度进行，考核得分直接影响服务费支付比例。</w:t>
      </w:r>
    </w:p>
    <w:p w14:paraId="58495083">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2.本项不合格判定：本项得分低于该项总分值70%的，视为该项不合格，须限期3日内整改完毕。</w:t>
      </w:r>
    </w:p>
    <w:p w14:paraId="0A4D3077">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3.严重违规行为：发生以下行为的，当期考核直接判定为不合格</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r>
        <w:rPr>
          <w:rFonts w:hint="eastAsia" w:ascii="宋体" w:hAnsi="宋体" w:eastAsia="宋体" w:cs="宋体"/>
          <w:b w:val="0"/>
          <w:bCs w:val="0"/>
          <w:highlight w:val="none"/>
          <w:u w:val="none"/>
          <w:lang w:val="en-US" w:eastAsia="zh-CN"/>
        </w:rPr>
        <w:t>：</w:t>
      </w:r>
    </w:p>
    <w:p w14:paraId="17F558A2">
      <w:pPr>
        <w:rPr>
          <w:rFonts w:hint="eastAsia"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①</w:t>
      </w:r>
      <w:r>
        <w:rPr>
          <w:rFonts w:hint="eastAsia" w:ascii="宋体" w:hAnsi="宋体" w:eastAsia="宋体" w:cs="宋体"/>
          <w:b w:val="0"/>
          <w:bCs w:val="0"/>
          <w:highlight w:val="none"/>
          <w:u w:val="none"/>
          <w:lang w:val="en-US" w:eastAsia="zh-CN"/>
        </w:rPr>
        <w:t>违反国家强制性标准施工</w:t>
      </w:r>
    </w:p>
    <w:p w14:paraId="1CC4D594">
      <w:pPr>
        <w:rPr>
          <w:rFonts w:hint="default"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②</w:t>
      </w:r>
      <w:r>
        <w:rPr>
          <w:rFonts w:hint="eastAsia" w:ascii="宋体" w:hAnsi="宋体" w:eastAsia="宋体" w:cs="宋体"/>
          <w:b w:val="0"/>
          <w:bCs w:val="0"/>
          <w:highlight w:val="none"/>
          <w:u w:val="none"/>
          <w:lang w:val="en-US" w:eastAsia="zh-CN"/>
        </w:rPr>
        <w:t>造成周边已安葬墓穴损坏并未按招标人要求</w:t>
      </w:r>
      <w:r>
        <w:rPr>
          <w:rFonts w:hint="eastAsia" w:ascii="宋体" w:hAnsi="宋体" w:cs="宋体"/>
          <w:b w:val="0"/>
          <w:bCs w:val="0"/>
          <w:highlight w:val="none"/>
          <w:u w:val="none"/>
          <w:lang w:val="en-US" w:eastAsia="zh-CN"/>
        </w:rPr>
        <w:t>免费</w:t>
      </w:r>
      <w:r>
        <w:rPr>
          <w:rFonts w:hint="eastAsia" w:ascii="宋体" w:hAnsi="宋体" w:eastAsia="宋体" w:cs="宋体"/>
          <w:b w:val="0"/>
          <w:bCs w:val="0"/>
          <w:highlight w:val="none"/>
          <w:u w:val="none"/>
          <w:lang w:val="en-US" w:eastAsia="zh-CN"/>
        </w:rPr>
        <w:t>修复的</w:t>
      </w:r>
    </w:p>
    <w:p w14:paraId="217418A1">
      <w:pPr>
        <w:rPr>
          <w:rFonts w:hint="eastAsia"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③</w:t>
      </w:r>
      <w:r>
        <w:rPr>
          <w:rFonts w:hint="eastAsia" w:ascii="宋体" w:hAnsi="宋体" w:eastAsia="宋体" w:cs="宋体"/>
          <w:b w:val="0"/>
          <w:bCs w:val="0"/>
          <w:highlight w:val="none"/>
          <w:u w:val="none"/>
          <w:lang w:val="en-US" w:eastAsia="zh-CN"/>
        </w:rPr>
        <w:t>施工过程中发生安全事故</w:t>
      </w:r>
    </w:p>
    <w:p w14:paraId="497145AA">
      <w:pPr>
        <w:rPr>
          <w:rFonts w:hint="eastAsia"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④</w:t>
      </w:r>
      <w:r>
        <w:rPr>
          <w:rFonts w:hint="eastAsia" w:ascii="宋体" w:hAnsi="宋体" w:eastAsia="宋体" w:cs="宋体"/>
          <w:b w:val="0"/>
          <w:bCs w:val="0"/>
          <w:highlight w:val="none"/>
          <w:u w:val="none"/>
          <w:lang w:val="en-US" w:eastAsia="zh-CN"/>
        </w:rPr>
        <w:t>无正当理由拒绝或拖延落葬服务</w:t>
      </w:r>
    </w:p>
    <w:p w14:paraId="7F5DF2CD">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4.验收要求：所有墓穴基础建设</w:t>
      </w:r>
      <w:r>
        <w:rPr>
          <w:rFonts w:hint="eastAsia" w:ascii="宋体" w:hAnsi="宋体" w:cs="宋体"/>
          <w:b w:val="0"/>
          <w:bCs w:val="0"/>
          <w:highlight w:val="none"/>
          <w:u w:val="none"/>
          <w:lang w:val="en-US" w:eastAsia="zh-CN"/>
        </w:rPr>
        <w:t>完成后</w:t>
      </w:r>
      <w:r>
        <w:rPr>
          <w:rFonts w:hint="eastAsia" w:ascii="宋体" w:hAnsi="宋体" w:eastAsia="宋体" w:cs="宋体"/>
          <w:b w:val="0"/>
          <w:bCs w:val="0"/>
          <w:highlight w:val="none"/>
          <w:u w:val="none"/>
          <w:lang w:val="en-US" w:eastAsia="zh-CN"/>
        </w:rPr>
        <w:t>须经招标人</w:t>
      </w:r>
      <w:r>
        <w:rPr>
          <w:rFonts w:hint="eastAsia" w:ascii="宋体" w:hAnsi="宋体" w:eastAsia="宋体" w:cs="宋体"/>
          <w:highlight w:val="none"/>
          <w:u w:val="none"/>
        </w:rPr>
        <w:t>验收小组</w:t>
      </w:r>
      <w:r>
        <w:rPr>
          <w:rFonts w:hint="eastAsia" w:ascii="宋体" w:hAnsi="宋体" w:eastAsia="宋体" w:cs="宋体"/>
          <w:highlight w:val="none"/>
          <w:u w:val="none"/>
          <w:lang w:val="en-US" w:eastAsia="zh-CN"/>
        </w:rPr>
        <w:t>或指派专人</w:t>
      </w:r>
      <w:r>
        <w:rPr>
          <w:rFonts w:hint="eastAsia" w:ascii="宋体" w:hAnsi="宋体" w:eastAsia="宋体" w:cs="宋体"/>
          <w:b w:val="0"/>
          <w:bCs w:val="0"/>
          <w:highlight w:val="none"/>
          <w:u w:val="none"/>
          <w:lang w:val="en-US" w:eastAsia="zh-CN"/>
        </w:rPr>
        <w:t>现场核验签字确认</w:t>
      </w:r>
      <w:r>
        <w:rPr>
          <w:rFonts w:hint="eastAsia" w:ascii="宋体" w:hAnsi="宋体" w:cs="宋体"/>
          <w:b w:val="0"/>
          <w:bCs w:val="0"/>
          <w:highlight w:val="none"/>
          <w:u w:val="none"/>
          <w:lang w:val="en-US" w:eastAsia="zh-CN"/>
        </w:rPr>
        <w:t>验收</w:t>
      </w:r>
      <w:r>
        <w:rPr>
          <w:rFonts w:hint="eastAsia" w:ascii="宋体" w:hAnsi="宋体" w:eastAsia="宋体" w:cs="宋体"/>
          <w:b w:val="0"/>
          <w:bCs w:val="0"/>
          <w:highlight w:val="none"/>
          <w:u w:val="none"/>
          <w:lang w:val="en-US" w:eastAsia="zh-CN"/>
        </w:rPr>
        <w:t>，不合格须无条件返工，返工费用由中标人承担。</w:t>
      </w:r>
    </w:p>
    <w:p w14:paraId="529E342F">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5.影像资料：施工全过程影像资料须按项目编号（包括但不限于：</w:t>
      </w:r>
      <w:r>
        <w:rPr>
          <w:rFonts w:hint="eastAsia" w:ascii="宋体" w:hAnsi="宋体" w:eastAsia="宋体" w:cs="宋体"/>
          <w:highlight w:val="none"/>
          <w:u w:val="none"/>
        </w:rPr>
        <w:t>时间、位置、内容、用材、验收</w:t>
      </w:r>
      <w:r>
        <w:rPr>
          <w:rFonts w:hint="eastAsia" w:ascii="宋体" w:hAnsi="宋体" w:eastAsia="宋体" w:cs="宋体"/>
          <w:highlight w:val="none"/>
          <w:u w:val="none"/>
          <w:lang w:val="en-US" w:eastAsia="zh-CN"/>
        </w:rPr>
        <w:t>等信息</w:t>
      </w:r>
      <w:r>
        <w:rPr>
          <w:rFonts w:hint="eastAsia" w:ascii="宋体" w:hAnsi="宋体" w:eastAsia="宋体" w:cs="宋体"/>
          <w:highlight w:val="none"/>
          <w:u w:val="none"/>
        </w:rPr>
        <w:t>。</w:t>
      </w:r>
      <w:r>
        <w:rPr>
          <w:rFonts w:hint="eastAsia" w:ascii="宋体" w:hAnsi="宋体" w:eastAsia="宋体" w:cs="宋体"/>
          <w:b w:val="0"/>
          <w:bCs w:val="0"/>
          <w:highlight w:val="none"/>
          <w:u w:val="none"/>
          <w:lang w:val="en-US" w:eastAsia="zh-CN"/>
        </w:rPr>
        <w:t>）归档保存，保存期限不少于6年（合同到期不再续签时，须完整移交招标人，否则履约保证金不退），招标人有权随时调阅、获取。</w:t>
      </w:r>
    </w:p>
    <w:p w14:paraId="5C7952AE">
      <w:p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6.投诉处理：接到家属投诉后须24小时内响应处理，处理方案须报招标人批准。</w:t>
      </w:r>
    </w:p>
    <w:p w14:paraId="1BBA0B65">
      <w:pPr>
        <w:rPr>
          <w:rFonts w:hint="eastAsia" w:ascii="宋体" w:hAnsi="宋体" w:eastAsia="宋体" w:cs="宋体"/>
          <w:b/>
          <w:bCs/>
          <w:highlight w:val="none"/>
          <w:u w:val="none"/>
          <w:lang w:val="en-US" w:eastAsia="zh-CN"/>
        </w:rPr>
      </w:pPr>
      <w:r>
        <w:rPr>
          <w:rFonts w:hint="eastAsia" w:ascii="宋体" w:hAnsi="宋体" w:eastAsia="宋体" w:cs="宋体"/>
          <w:b w:val="0"/>
          <w:bCs w:val="0"/>
          <w:highlight w:val="none"/>
          <w:u w:val="none"/>
          <w:lang w:val="en-US" w:eastAsia="zh-CN"/>
        </w:rPr>
        <w:t>7.不可抗力：因不可抗力因素导致无法按期完成的，须在24小时内书面报招标人确认，经确认后方可顺延工期。</w:t>
      </w:r>
    </w:p>
    <w:p w14:paraId="6CC09AB2">
      <w:pPr>
        <w:rPr>
          <w:rFonts w:hint="eastAsia" w:ascii="宋体" w:hAnsi="宋体" w:eastAsia="宋体" w:cs="宋体"/>
          <w:b/>
          <w:bCs/>
          <w:highlight w:val="none"/>
          <w:u w:val="none"/>
          <w:lang w:val="en-US" w:eastAsia="zh-CN"/>
        </w:rPr>
      </w:pPr>
    </w:p>
    <w:p w14:paraId="71E81C62">
      <w:pPr>
        <w:rPr>
          <w:rFonts w:hint="eastAsia" w:ascii="宋体" w:hAnsi="宋体" w:eastAsia="宋体" w:cs="宋体"/>
          <w:b/>
          <w:bCs/>
          <w:highlight w:val="none"/>
          <w:u w:val="none"/>
        </w:rPr>
      </w:pPr>
      <w:r>
        <w:rPr>
          <w:rFonts w:hint="eastAsia" w:ascii="宋体" w:hAnsi="宋体" w:eastAsia="宋体" w:cs="宋体"/>
          <w:b/>
          <w:bCs/>
          <w:highlight w:val="none"/>
          <w:u w:val="none"/>
          <w:lang w:val="en-US" w:eastAsia="zh-CN"/>
        </w:rPr>
        <w:t>（二）墓体安装技术要求考核标准</w:t>
      </w:r>
      <w:r>
        <w:rPr>
          <w:rFonts w:hint="eastAsia" w:ascii="宋体" w:hAnsi="宋体" w:eastAsia="宋体" w:cs="宋体"/>
          <w:b/>
          <w:bCs/>
          <w:highlight w:val="none"/>
          <w:u w:val="none"/>
        </w:rPr>
        <w:t>：</w:t>
      </w:r>
    </w:p>
    <w:tbl>
      <w:tblPr>
        <w:tblStyle w:val="30"/>
        <w:tblW w:w="83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3"/>
        <w:gridCol w:w="677"/>
        <w:gridCol w:w="6478"/>
      </w:tblGrid>
      <w:tr w14:paraId="715A4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DB2F">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考核指标</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4643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EBB3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377C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028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石材外观确认</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4338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2.5分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CB73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安装前对招标人提供的石料进行外观确认，无翘曲、缺棱掉角、裂纹、石纹、石胆、石根、杂质及颜色不均（洒水湿润后鉴别），材料全新合格得2.5分；安装后每发现一处缺陷扣0.5分</w:t>
            </w:r>
          </w:p>
        </w:tc>
      </w:tr>
      <w:tr w14:paraId="1B75BF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B46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雕刻工艺质量</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27B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362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前对招标人提供的石料是否达到：线条均匀平滑、浮雕沉雕图案生动流畅（雕花像花、雕竹像竹）、光面平滑无凹凸、弧形拱形对称、圆柱粗细均匀、抛光面光度≥90度得1分；安装后发现每项工艺不达标扣0.5分</w:t>
            </w:r>
          </w:p>
        </w:tc>
      </w:tr>
      <w:tr w14:paraId="24070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082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碑文补刻质量</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14F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64A1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补刻碑文参照原有字体整齐均匀、刻字深度≥5mm、油漆上色均匀鲜艳、颜色与现有墓碑基本一致、上漆厚度均匀达到标准得1分；</w:t>
            </w:r>
            <w:r>
              <w:rPr>
                <w:rFonts w:hint="eastAsia" w:ascii="宋体" w:hAnsi="宋体" w:cs="宋体"/>
                <w:i w:val="0"/>
                <w:iCs w:val="0"/>
                <w:color w:val="000000"/>
                <w:kern w:val="0"/>
                <w:sz w:val="22"/>
                <w:szCs w:val="22"/>
                <w:highlight w:val="none"/>
                <w:u w:val="none"/>
                <w:lang w:val="en-US" w:eastAsia="zh-CN" w:bidi="ar"/>
              </w:rPr>
              <w:t>文字、</w:t>
            </w:r>
            <w:r>
              <w:rPr>
                <w:rFonts w:hint="eastAsia" w:ascii="宋体" w:hAnsi="宋体" w:eastAsia="宋体" w:cs="宋体"/>
                <w:i w:val="0"/>
                <w:iCs w:val="0"/>
                <w:color w:val="000000"/>
                <w:kern w:val="0"/>
                <w:sz w:val="22"/>
                <w:szCs w:val="22"/>
                <w:highlight w:val="none"/>
                <w:u w:val="none"/>
                <w:lang w:val="en-US" w:eastAsia="zh-CN" w:bidi="ar"/>
              </w:rPr>
              <w:t>字体</w:t>
            </w:r>
            <w:r>
              <w:rPr>
                <w:rFonts w:hint="eastAsia" w:ascii="宋体" w:hAnsi="宋体" w:cs="宋体"/>
                <w:i w:val="0"/>
                <w:iCs w:val="0"/>
                <w:color w:val="000000"/>
                <w:kern w:val="0"/>
                <w:sz w:val="22"/>
                <w:szCs w:val="22"/>
                <w:highlight w:val="none"/>
                <w:u w:val="none"/>
                <w:lang w:val="en-US" w:eastAsia="zh-CN" w:bidi="ar"/>
              </w:rPr>
              <w:t>、字号、位置</w:t>
            </w:r>
            <w:r>
              <w:rPr>
                <w:rFonts w:hint="eastAsia" w:ascii="宋体" w:hAnsi="宋体" w:eastAsia="宋体" w:cs="宋体"/>
                <w:i w:val="0"/>
                <w:iCs w:val="0"/>
                <w:color w:val="000000"/>
                <w:kern w:val="0"/>
                <w:sz w:val="22"/>
                <w:szCs w:val="22"/>
                <w:highlight w:val="none"/>
                <w:u w:val="none"/>
                <w:lang w:val="en-US" w:eastAsia="zh-CN" w:bidi="ar"/>
              </w:rPr>
              <w:t>错误、深度不足、颜色不均等每处扣0.5分</w:t>
            </w:r>
          </w:p>
        </w:tc>
      </w:tr>
      <w:tr w14:paraId="7B9EE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22DC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安装精度控制</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AD6F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7538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墓碑中心线与墓位中线重合、左右对称、墓体构件之间安装间隙一致，接口严密均匀无漏浆、长宽偏差±5mm以内得1分；每项偏差超标扣0.2分</w:t>
            </w:r>
          </w:p>
        </w:tc>
      </w:tr>
      <w:tr w14:paraId="54E2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C7B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安装工艺规范</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C396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0404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混凝土预先在搅拌场内拌和、墓体构建接口内用水泥外用石胶、防沉降加固符合20年使用要求、无松动下沉倾斜现象得1分；每项工艺不规范扣0.5分</w:t>
            </w:r>
          </w:p>
        </w:tc>
      </w:tr>
      <w:tr w14:paraId="30AF40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99BC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成品保护与清洁</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876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4942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安装过程全程保护墓体表面、无划伤污渍、安装后当即清理所有胶痕灰尘、墓位周边环境恢复整洁得1分；每发现一处保护不当扣0.2分</w:t>
            </w:r>
          </w:p>
        </w:tc>
      </w:tr>
      <w:tr w14:paraId="48C9D5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876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材料工具管理</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D9E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F550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主材、辅材、机械工具按招标人指定位置统一摆放、不占用道路和行人道得1分；发现乱放每次扣0.5分</w:t>
            </w:r>
          </w:p>
        </w:tc>
      </w:tr>
      <w:tr w14:paraId="4B0C1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2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D756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后续维保执行</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535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CB16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安装后半年内完成全覆盖复检、保修期6年内问题及时响应维修、维修环节提前告知招标人得1分；未按期复检、不履行质保或维修超时每次扣1分</w:t>
            </w:r>
          </w:p>
        </w:tc>
      </w:tr>
    </w:tbl>
    <w:p w14:paraId="3F86B551">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考核说明：</w:t>
      </w:r>
    </w:p>
    <w:p w14:paraId="7CC70260">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1.考核周期：本考核按季度进行，考核得分直接影响服务费支付比例。</w:t>
      </w:r>
    </w:p>
    <w:p w14:paraId="6769BE0B">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2.本项不合格判定：本项得分低于该项总分值70%的，视为该项不合格，须限期3日内整改完毕。</w:t>
      </w:r>
    </w:p>
    <w:p w14:paraId="0C2715AA">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3.严重违规行为：发生以下行为的，当期考核直接判定为不合格</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r>
        <w:rPr>
          <w:rFonts w:hint="eastAsia" w:ascii="宋体" w:hAnsi="宋体" w:eastAsia="宋体" w:cs="宋体"/>
          <w:b w:val="0"/>
          <w:bCs w:val="0"/>
          <w:highlight w:val="none"/>
          <w:u w:val="none"/>
          <w:lang w:val="en-US" w:eastAsia="zh-CN"/>
        </w:rPr>
        <w:t>：</w:t>
      </w:r>
    </w:p>
    <w:p w14:paraId="15214452">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①</w:t>
      </w:r>
      <w:r>
        <w:rPr>
          <w:rFonts w:hint="eastAsia" w:ascii="宋体" w:hAnsi="宋体" w:eastAsia="宋体" w:cs="宋体"/>
          <w:b w:val="0"/>
          <w:bCs w:val="0"/>
          <w:highlight w:val="none"/>
          <w:u w:val="none"/>
          <w:lang w:val="en-US" w:eastAsia="zh-CN"/>
        </w:rPr>
        <w:t>疏于检查，导致使用不合格或假冒伪劣石材</w:t>
      </w:r>
    </w:p>
    <w:p w14:paraId="66D57CDD">
      <w:pPr>
        <w:numPr>
          <w:ilvl w:val="0"/>
          <w:numId w:val="0"/>
        </w:numPr>
        <w:rPr>
          <w:rFonts w:hint="default"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②</w:t>
      </w:r>
      <w:r>
        <w:rPr>
          <w:rFonts w:hint="eastAsia" w:ascii="宋体" w:hAnsi="宋体" w:eastAsia="宋体" w:cs="宋体"/>
          <w:b w:val="0"/>
          <w:bCs w:val="0"/>
          <w:highlight w:val="none"/>
          <w:u w:val="none"/>
          <w:lang w:val="en-US" w:eastAsia="zh-CN"/>
        </w:rPr>
        <w:t>安装过程中造成墓体损坏并未按招标人要求免费整改到位的</w:t>
      </w:r>
    </w:p>
    <w:p w14:paraId="1ECE3E5B">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i w:val="0"/>
          <w:iCs w:val="0"/>
          <w:caps w:val="0"/>
          <w:color w:val="333333"/>
          <w:spacing w:val="0"/>
          <w:sz w:val="24"/>
          <w:szCs w:val="24"/>
          <w:highlight w:val="none"/>
          <w:u w:val="none"/>
          <w:shd w:val="clear" w:fill="FFFFFF"/>
        </w:rPr>
        <w:t>③</w:t>
      </w:r>
      <w:r>
        <w:rPr>
          <w:rFonts w:hint="eastAsia" w:ascii="宋体" w:hAnsi="宋体" w:eastAsia="宋体" w:cs="宋体"/>
          <w:b w:val="0"/>
          <w:bCs w:val="0"/>
          <w:highlight w:val="none"/>
          <w:u w:val="none"/>
          <w:lang w:val="en-US" w:eastAsia="zh-CN"/>
        </w:rPr>
        <w:t>无正当理由拒绝或拖延安装服务</w:t>
      </w:r>
    </w:p>
    <w:p w14:paraId="786A8A4D">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4.验收要求：所有墓体安装</w:t>
      </w:r>
      <w:r>
        <w:rPr>
          <w:rFonts w:hint="eastAsia" w:ascii="宋体" w:hAnsi="宋体" w:cs="宋体"/>
          <w:b w:val="0"/>
          <w:bCs w:val="0"/>
          <w:highlight w:val="none"/>
          <w:u w:val="none"/>
          <w:lang w:val="en-US" w:eastAsia="zh-CN"/>
        </w:rPr>
        <w:t>完成后</w:t>
      </w:r>
      <w:r>
        <w:rPr>
          <w:rFonts w:hint="eastAsia" w:ascii="宋体" w:hAnsi="宋体" w:eastAsia="宋体" w:cs="宋体"/>
          <w:b w:val="0"/>
          <w:bCs w:val="0"/>
          <w:highlight w:val="none"/>
          <w:u w:val="none"/>
          <w:lang w:val="en-US" w:eastAsia="zh-CN"/>
        </w:rPr>
        <w:t>须经招标人</w:t>
      </w:r>
      <w:r>
        <w:rPr>
          <w:rFonts w:hint="eastAsia" w:ascii="宋体" w:hAnsi="宋体" w:eastAsia="宋体" w:cs="宋体"/>
          <w:highlight w:val="none"/>
          <w:u w:val="none"/>
        </w:rPr>
        <w:t>验收小组</w:t>
      </w:r>
      <w:r>
        <w:rPr>
          <w:rFonts w:hint="eastAsia" w:ascii="宋体" w:hAnsi="宋体" w:eastAsia="宋体" w:cs="宋体"/>
          <w:highlight w:val="none"/>
          <w:u w:val="none"/>
          <w:lang w:val="en-US" w:eastAsia="zh-CN"/>
        </w:rPr>
        <w:t>或指派专人</w:t>
      </w:r>
      <w:r>
        <w:rPr>
          <w:rFonts w:hint="eastAsia" w:ascii="宋体" w:hAnsi="宋体" w:eastAsia="宋体" w:cs="宋体"/>
          <w:b w:val="0"/>
          <w:bCs w:val="0"/>
          <w:highlight w:val="none"/>
          <w:u w:val="none"/>
          <w:lang w:val="en-US" w:eastAsia="zh-CN"/>
        </w:rPr>
        <w:t>现场核验签字确认</w:t>
      </w:r>
      <w:r>
        <w:rPr>
          <w:rFonts w:hint="eastAsia" w:ascii="宋体" w:hAnsi="宋体" w:cs="宋体"/>
          <w:b w:val="0"/>
          <w:bCs w:val="0"/>
          <w:highlight w:val="none"/>
          <w:u w:val="none"/>
          <w:lang w:val="en-US" w:eastAsia="zh-CN"/>
        </w:rPr>
        <w:t>验收</w:t>
      </w:r>
      <w:r>
        <w:rPr>
          <w:rFonts w:hint="eastAsia" w:ascii="宋体" w:hAnsi="宋体" w:eastAsia="宋体" w:cs="宋体"/>
          <w:b w:val="0"/>
          <w:bCs w:val="0"/>
          <w:highlight w:val="none"/>
          <w:u w:val="none"/>
          <w:lang w:val="en-US" w:eastAsia="zh-CN"/>
        </w:rPr>
        <w:t>，不合格须无条件返工，返工费用由中标人承担。</w:t>
      </w:r>
    </w:p>
    <w:p w14:paraId="26E38FAF">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5.材料验收：石材进场须经招标人、中标人、石材供应商三方共同验收签字确认，拆堆（墓体主石材）用料时发现不符合验收标准的不得使用，并及时报知招标人。</w:t>
      </w:r>
    </w:p>
    <w:p w14:paraId="11FFB393">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6.工艺标准：补刻碑文等雕刻工艺须符合《石雕工艺品通用技术要求》（QB/T 1875）等相关标准。</w:t>
      </w:r>
    </w:p>
    <w:p w14:paraId="7B77C1A2">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7.投诉处理：接到家属投诉后须24小时内响应处理，处理方案须报招标人批准。</w:t>
      </w:r>
    </w:p>
    <w:p w14:paraId="7F3B0027">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b w:val="0"/>
          <w:bCs w:val="0"/>
          <w:highlight w:val="none"/>
          <w:u w:val="none"/>
          <w:lang w:val="en-US" w:eastAsia="zh-CN"/>
        </w:rPr>
        <w:t>8.不可抗力：因不可抗力因素导致无法按期完成的，须在24小时内书面报招标人确认，经确认后方可顺延工期。</w:t>
      </w:r>
    </w:p>
    <w:p w14:paraId="020F7726">
      <w:pPr>
        <w:rPr>
          <w:rFonts w:hint="eastAsia" w:ascii="宋体" w:hAnsi="宋体" w:eastAsia="宋体" w:cs="宋体"/>
          <w:b/>
          <w:bCs/>
          <w:highlight w:val="none"/>
          <w:u w:val="none"/>
          <w:lang w:val="en-US" w:eastAsia="zh-CN"/>
        </w:rPr>
      </w:pPr>
    </w:p>
    <w:p w14:paraId="3C3A6B2F">
      <w:p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（三）环境整治技术要求考核标准</w:t>
      </w:r>
    </w:p>
    <w:tbl>
      <w:tblPr>
        <w:tblStyle w:val="30"/>
        <w:tblW w:w="83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68"/>
        <w:gridCol w:w="707"/>
        <w:gridCol w:w="6478"/>
      </w:tblGrid>
      <w:tr w14:paraId="41DEB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CE26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考核指标</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90DA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FE4A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6A4AA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7A0A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整治范围覆盖</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C93E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C2A5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整治范围全面覆盖墓区道路、广场、步道、周边林带、公共服务区域得2分；每发现一处未覆盖区域扣1分</w:t>
            </w:r>
          </w:p>
        </w:tc>
      </w:tr>
      <w:tr w14:paraId="51AF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A876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优先清理执行</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3FE9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8334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优先清理余土、无主垃圾、陈年堆放祭扫废弃物、违规搭建临时设施，清理彻底得1分；每发现一处未清理或清理不彻底扣0.5分</w:t>
            </w:r>
          </w:p>
        </w:tc>
      </w:tr>
      <w:tr w14:paraId="630DE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FB1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设施修补质量</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F04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D55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每三个月定期包干修补墓区破损台阶、步道、无障碍设施，路面平整度偏差≤1cm，无坑洼积水得1分；每发现一处未按时修补或修补质量不达标扣0.5分</w:t>
            </w:r>
          </w:p>
        </w:tc>
      </w:tr>
      <w:tr w14:paraId="5575A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D652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修补方案报批</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862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E64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修补前将相关方案报招标人确认，方案合理规范得1分；未报批或方案不规范每次扣0.5分；未行修补扣1分</w:t>
            </w:r>
          </w:p>
        </w:tc>
      </w:tr>
      <w:tr w14:paraId="3D44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FA1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设施保护规范</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CCF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83B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整治中严禁随意挪动、损毁墓区设施，严格保留墓区原有格局得1分；每发现一处违规挪动或损毁扣0.5分</w:t>
            </w:r>
          </w:p>
        </w:tc>
      </w:tr>
      <w:tr w14:paraId="7ACAC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845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祭扫用品处置</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1B1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C305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墓区中清理出的无主祭扫用品按当地习俗妥善处置，不得随意丢弃至普通垃圾站点得1分；每发现一处违规处置扣0.5分</w:t>
            </w:r>
          </w:p>
        </w:tc>
      </w:tr>
      <w:tr w14:paraId="7EA53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4E6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标识牌维护</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E48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A846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标识牌清洁、维护到位，褪色标识按原有样式、颜色重新喷涂，严禁擅自更改内容、图案得1分；每发现一处维护不到位或违规更改扣0.5分</w:t>
            </w:r>
          </w:p>
        </w:tc>
      </w:tr>
      <w:tr w14:paraId="74F219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5197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焚烧痕迹清理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D82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A1BF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焚烧痕迹清理彻底，无残留得1分；每发现一处清理不彻底扣0.1分</w:t>
            </w:r>
          </w:p>
        </w:tc>
      </w:tr>
      <w:tr w14:paraId="6E1D4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0B90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供水设施维护</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284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BD7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供水设施（饮水机、水池等）每月至少清洁、维护1次，设施完好、运行正常得1分；每少1次扣1分，发现设施损坏未及时维修或未及时清洁维护每次扣0.5分</w:t>
            </w:r>
          </w:p>
        </w:tc>
      </w:tr>
      <w:tr w14:paraId="44508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16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祭扫路线规划</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2A93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9290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合理规划、画设祭扫通行路线标识、停车区域、临时停车区域，在墓区出入口、重点区域设置引导标识得1分；每发现一处缺失或不合理扣0.5分</w:t>
            </w:r>
          </w:p>
        </w:tc>
      </w:tr>
      <w:tr w14:paraId="39CB5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74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高峰期整治完成</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6EAE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C9A2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祭扫高峰前1个月完成全部重点区域整治得1分；每延迟1天扣0.5分</w:t>
            </w:r>
          </w:p>
        </w:tc>
      </w:tr>
      <w:tr w14:paraId="22B01C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FB2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高峰期人员配备</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DBD8D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5072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高峰期安排足够人员配合招标人做好交通引导、秩序维护等工作得1分；每发现一次人员不足或配合不到位扣0.5分</w:t>
            </w:r>
          </w:p>
        </w:tc>
      </w:tr>
      <w:tr w14:paraId="6AED9F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80" w:hRule="atLeast"/>
        </w:trPr>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DB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工作流程执行</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A345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4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E9EF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严格执行现状摸排→分类整改→限时完成→效果核验→长效维护工作流程，建立问题台账并定期排查得1分；每发现一个环节执行不到位扣1分</w:t>
            </w:r>
          </w:p>
        </w:tc>
      </w:tr>
    </w:tbl>
    <w:p w14:paraId="3B7701A9">
      <w:pPr>
        <w:rPr>
          <w:rFonts w:hint="eastAsia" w:ascii="宋体" w:hAnsi="宋体" w:eastAsia="宋体" w:cs="宋体"/>
          <w:highlight w:val="none"/>
          <w:u w:val="none"/>
        </w:rPr>
      </w:pPr>
      <w:r>
        <w:rPr>
          <w:rFonts w:hint="eastAsia" w:ascii="宋体" w:hAnsi="宋体" w:eastAsia="宋体" w:cs="宋体"/>
          <w:highlight w:val="none"/>
          <w:u w:val="none"/>
        </w:rPr>
        <w:t>考核说明：</w:t>
      </w:r>
    </w:p>
    <w:p w14:paraId="46E05947">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本考核按</w:t>
      </w:r>
      <w:r>
        <w:rPr>
          <w:rFonts w:hint="eastAsia" w:ascii="宋体" w:hAnsi="宋体" w:eastAsia="宋体" w:cs="宋体"/>
          <w:highlight w:val="none"/>
          <w:u w:val="none"/>
          <w:lang w:val="en-US" w:eastAsia="zh-CN"/>
        </w:rPr>
        <w:t>季</w:t>
      </w:r>
      <w:r>
        <w:rPr>
          <w:rFonts w:hint="eastAsia" w:ascii="宋体" w:hAnsi="宋体" w:eastAsia="宋体" w:cs="宋体"/>
          <w:highlight w:val="none"/>
          <w:u w:val="none"/>
        </w:rPr>
        <w:t>度进行，考核得分直接影响服务费支付比例</w:t>
      </w:r>
      <w:r>
        <w:rPr>
          <w:rFonts w:hint="eastAsia" w:ascii="宋体" w:hAnsi="宋体" w:eastAsia="宋体" w:cs="宋体"/>
          <w:highlight w:val="none"/>
          <w:u w:val="none"/>
          <w:lang w:eastAsia="zh-CN"/>
        </w:rPr>
        <w:t>。</w:t>
      </w:r>
    </w:p>
    <w:p w14:paraId="312AF910">
      <w:pPr>
        <w:numPr>
          <w:ilvl w:val="0"/>
          <w:numId w:val="0"/>
        </w:numPr>
        <w:rPr>
          <w:rFonts w:hint="eastAsia" w:ascii="宋体" w:hAnsi="宋体" w:eastAsia="宋体" w:cs="宋体"/>
          <w:b w:val="0"/>
          <w:bCs w:val="0"/>
          <w:highlight w:val="none"/>
          <w:u w:val="none"/>
          <w:lang w:val="en-US" w:eastAsia="zh-CN"/>
        </w:rPr>
      </w:pPr>
      <w:r>
        <w:rPr>
          <w:rFonts w:hint="eastAsia" w:ascii="宋体" w:hAnsi="宋体" w:eastAsia="宋体" w:cs="宋体"/>
          <w:highlight w:val="none"/>
          <w:u w:val="none"/>
          <w:lang w:val="en-US" w:eastAsia="zh-CN"/>
        </w:rPr>
        <w:t>2.</w:t>
      </w:r>
      <w:r>
        <w:rPr>
          <w:rFonts w:hint="eastAsia" w:ascii="宋体" w:hAnsi="宋体" w:eastAsia="宋体" w:cs="宋体"/>
          <w:b w:val="0"/>
          <w:bCs w:val="0"/>
          <w:highlight w:val="none"/>
          <w:u w:val="none"/>
          <w:lang w:val="en-US" w:eastAsia="zh-CN"/>
        </w:rPr>
        <w:t>本项不合格判定：本项得分低于该项总分值70%的，视为该项不合格，限期3日内整改完毕</w:t>
      </w:r>
      <w:r>
        <w:rPr>
          <w:rFonts w:hint="eastAsia" w:ascii="宋体" w:hAnsi="宋体" w:eastAsia="宋体" w:cs="宋体"/>
          <w:highlight w:val="none"/>
          <w:u w:val="none"/>
          <w:lang w:val="en-US" w:eastAsia="zh-CN"/>
        </w:rPr>
        <w:t>。</w:t>
      </w:r>
    </w:p>
    <w:p w14:paraId="325C12AA">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发生擅自改动墓区格局、损毁既有设施等严重违规行为的，当期考核直接判定为不合格</w:t>
      </w:r>
      <w:r>
        <w:rPr>
          <w:rFonts w:hint="eastAsia" w:ascii="宋体" w:hAnsi="宋体" w:eastAsia="宋体" w:cs="宋体"/>
          <w:b w:val="0"/>
          <w:bCs w:val="0"/>
          <w:highlight w:val="none"/>
          <w:u w:val="none"/>
          <w:lang w:val="en-US"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p>
    <w:p w14:paraId="659FA1F5">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所有整治工作须经</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验收小组</w:t>
      </w:r>
      <w:r>
        <w:rPr>
          <w:rFonts w:hint="eastAsia" w:ascii="宋体" w:hAnsi="宋体" w:eastAsia="宋体" w:cs="宋体"/>
          <w:highlight w:val="none"/>
          <w:u w:val="none"/>
          <w:lang w:val="en-US" w:eastAsia="zh-CN"/>
        </w:rPr>
        <w:t>或指派专人进行验收</w:t>
      </w:r>
      <w:r>
        <w:rPr>
          <w:rFonts w:hint="eastAsia" w:ascii="宋体" w:hAnsi="宋体" w:eastAsia="宋体" w:cs="宋体"/>
          <w:highlight w:val="none"/>
          <w:u w:val="none"/>
        </w:rPr>
        <w:t>核验签字确认，不合格须无条件返工</w:t>
      </w:r>
      <w:r>
        <w:rPr>
          <w:rFonts w:hint="eastAsia" w:ascii="宋体" w:hAnsi="宋体" w:eastAsia="宋体" w:cs="宋体"/>
          <w:highlight w:val="none"/>
          <w:u w:val="none"/>
          <w:lang w:eastAsia="zh-CN"/>
        </w:rPr>
        <w:t>。</w:t>
      </w:r>
    </w:p>
    <w:p w14:paraId="6B36D69C">
      <w:pPr>
        <w:rPr>
          <w:rFonts w:hint="eastAsia" w:ascii="宋体" w:hAnsi="宋体" w:eastAsia="宋体" w:cs="宋体"/>
          <w:b/>
          <w:bCs/>
          <w:sz w:val="24"/>
          <w:szCs w:val="24"/>
          <w:highlight w:val="none"/>
          <w:u w:val="none"/>
        </w:rPr>
      </w:pPr>
    </w:p>
    <w:p w14:paraId="52D1AA46">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w:t>
      </w:r>
      <w:r>
        <w:rPr>
          <w:rFonts w:hint="eastAsia" w:ascii="宋体" w:hAnsi="宋体" w:eastAsia="宋体" w:cs="宋体"/>
          <w:b/>
          <w:bCs/>
          <w:sz w:val="24"/>
          <w:szCs w:val="24"/>
          <w:highlight w:val="none"/>
          <w:u w:val="none"/>
          <w:lang w:val="en-US" w:eastAsia="zh-CN"/>
        </w:rPr>
        <w:t>四</w:t>
      </w:r>
      <w:r>
        <w:rPr>
          <w:rFonts w:hint="eastAsia" w:ascii="宋体" w:hAnsi="宋体" w:eastAsia="宋体" w:cs="宋体"/>
          <w:b/>
          <w:bCs/>
          <w:sz w:val="24"/>
          <w:szCs w:val="24"/>
          <w:highlight w:val="none"/>
          <w:u w:val="none"/>
        </w:rPr>
        <w:t>）绿化保洁技术要求考核标准</w:t>
      </w:r>
    </w:p>
    <w:p w14:paraId="62D4BED4">
      <w:p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表1. 绿化养护考核标准：</w:t>
      </w:r>
    </w:p>
    <w:tbl>
      <w:tblPr>
        <w:tblStyle w:val="30"/>
        <w:tblW w:w="83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190"/>
        <w:gridCol w:w="1168"/>
        <w:gridCol w:w="677"/>
        <w:gridCol w:w="3238"/>
      </w:tblGrid>
      <w:tr w14:paraId="06845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E0836">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考核项目</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DFBFE">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具体要求</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59F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频次要求</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C2319">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7CEFD">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5E60C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99AA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植被修剪规范</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4CE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保持植被造型规整，不得破坏原有绿化格局，树木绿植修剪后不遮挡墓碑不影响通行</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5B0E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每季度1次</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BB2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DFC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按时完成修剪得1分；未按时每延迟1次扣0.5分；修剪不规范、破坏格局每处扣0.2分</w:t>
            </w:r>
          </w:p>
        </w:tc>
      </w:tr>
      <w:tr w14:paraId="08E68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3069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病虫害防治</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E26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采用低毒环保药剂，避开祭扫时段作业，防治效果明显</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CC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按需进行</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56D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B1EB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药剂环保、时段合理得0.5分；防治效果良好得0.5分；发现违规使用药剂、时段不当、防治效果不佳每次扣0.5分</w:t>
            </w:r>
          </w:p>
        </w:tc>
      </w:tr>
      <w:tr w14:paraId="4EEDE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C567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枯死苗木更换</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1EF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接到通知后7日内更换招标人要求的苗木，确保全年苗木存活率≥95%</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2CA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接到通知后7日内</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A93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161E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按时更换得0.5分；存活率≥95%得0.5分；超期每延迟1天扣0.5分；存活率每降低10%扣0.5分</w:t>
            </w:r>
          </w:p>
        </w:tc>
      </w:tr>
      <w:tr w14:paraId="26E1D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A430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修剪物清运</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5B0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修剪下的枝干、落叶统一清运至指定区域，一周内集中合规外运处置</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041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修剪后一周内</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AAB5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5991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按时清运得1分；发现未及时清运或违规焚烧每次扣1分</w:t>
            </w:r>
          </w:p>
        </w:tc>
      </w:tr>
      <w:tr w14:paraId="745F0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A1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绿化补种养护</w:t>
            </w:r>
          </w:p>
        </w:tc>
        <w:tc>
          <w:tcPr>
            <w:tcW w:w="21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E770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未能成活或成活期未达一年的苗木免费补种，并确保成活</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E49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按需进行</w:t>
            </w:r>
          </w:p>
        </w:tc>
        <w:tc>
          <w:tcPr>
            <w:tcW w:w="6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9A78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4415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按时补种并成活得1分；未按要求补种、补种后仍未成活每次扣1分</w:t>
            </w:r>
          </w:p>
        </w:tc>
      </w:tr>
    </w:tbl>
    <w:p w14:paraId="49E7D4C5">
      <w:pPr>
        <w:rPr>
          <w:rFonts w:hint="eastAsia" w:ascii="宋体" w:hAnsi="宋体" w:eastAsia="宋体" w:cs="宋体"/>
          <w:highlight w:val="none"/>
          <w:u w:val="none"/>
        </w:rPr>
      </w:pPr>
    </w:p>
    <w:p w14:paraId="021C5497">
      <w:pPr>
        <w:rPr>
          <w:rFonts w:hint="eastAsia" w:ascii="宋体" w:hAnsi="宋体" w:eastAsia="宋体" w:cs="宋体"/>
          <w:b/>
          <w:bCs/>
          <w:highlight w:val="none"/>
          <w:u w:val="none"/>
          <w:lang w:val="en-US" w:eastAsia="zh-CN"/>
        </w:rPr>
      </w:pPr>
    </w:p>
    <w:p w14:paraId="161F8E2C">
      <w:pPr>
        <w:rPr>
          <w:rFonts w:hint="eastAsia" w:ascii="宋体" w:hAnsi="宋体" w:eastAsia="宋体" w:cs="宋体"/>
          <w:b/>
          <w:bCs/>
          <w:highlight w:val="none"/>
          <w:u w:val="none"/>
          <w:lang w:val="en-US" w:eastAsia="zh-CN"/>
        </w:rPr>
      </w:pPr>
    </w:p>
    <w:p w14:paraId="5E9EA15F">
      <w:p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表2：保洁作业区域频次及要求考核标准</w:t>
      </w:r>
    </w:p>
    <w:tbl>
      <w:tblPr>
        <w:tblStyle w:val="30"/>
        <w:tblW w:w="83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1080"/>
        <w:gridCol w:w="915"/>
        <w:gridCol w:w="988"/>
        <w:gridCol w:w="1530"/>
        <w:gridCol w:w="646"/>
        <w:gridCol w:w="2114"/>
      </w:tblGrid>
      <w:tr w14:paraId="5702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6BE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区域类型</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21FF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保洁内容</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8D63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日常保洁频次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AF6B40">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祭扫高峰时段频次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78027">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相关要求</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E43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8FD24">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5BE55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231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办公用房</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F1FD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地面、墙面、门窗、桌椅等全面保洁</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195A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每日1次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9EEB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9FB4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保持干净整洁，无垃圾、无污渍、无积灰</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51E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8F55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按时完成得0.5分；每少1次扣0.1分；发现不洁每处扣0.1分</w:t>
            </w:r>
          </w:p>
        </w:tc>
      </w:tr>
      <w:tr w14:paraId="064FF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6BE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广场</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F16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地面清扫、垃圾清理、设施擦拭</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627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每日2次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AB2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每2小时1次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BC5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地面无垃圾、无烟蒂、无污渍、无积水，设施干净</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D77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0EA2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按时、按标准完成得1.5分；每少1次扣0.3分；发现不洁每处扣0.3分</w:t>
            </w:r>
          </w:p>
        </w:tc>
      </w:tr>
      <w:tr w14:paraId="73458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2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A08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主步道</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F80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路面清扫、垃圾清理、排水沟清理</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B7CE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每日1次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4B9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每2小时1次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5D9C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路面平整无垃圾、无烟蒂、无污渍、无积水，排水畅通</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89D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1.5分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907C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按时、按标准完成得1.5分；每少1次扣0.3分；发现不洁每处扣0.3分</w:t>
            </w:r>
          </w:p>
        </w:tc>
      </w:tr>
      <w:tr w14:paraId="45E8A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7E3E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公共</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卫生间</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2125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地面、墙面、便器、洗手台等全面保洁</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6A74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每日2次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2EC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每2小时1次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93D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达到"四净三无两通一明"标准（地面净、墙壁净、厕位净、周边净，无溢流、无蚊蝇、无臭味，水通、电通，灯明）</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D667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E3ED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按时、按标准完成得2分；每少1次扣0.5分；未达标每项扣0.5分</w:t>
            </w:r>
          </w:p>
        </w:tc>
      </w:tr>
      <w:tr w14:paraId="45744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0DC0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墓区墓位</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3F0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墓体及周边清扫、垃圾清理、落叶清理</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440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每日1次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2730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每3小时1次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97CA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确保清扫无死角，垃圾及落叶清理干净，保持墓位及周边环境整洁卫生</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9A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81CF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清理不彻底或留有杂物每次扣0.2分；及时清理枯萎鲜花、腐败食物等加0.2分（2分封顶）</w:t>
            </w:r>
          </w:p>
        </w:tc>
      </w:tr>
      <w:tr w14:paraId="07ADF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5"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3F7A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公共座椅、标识牌</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8B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擦拭清洁、保持干净</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4E36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每周2次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FFA0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B993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无积灰、无污渍、字迹清晰</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EB20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8938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按时完成得0.5分；每少1次扣0.1分；发现不洁每处扣0.1分</w:t>
            </w:r>
          </w:p>
        </w:tc>
      </w:tr>
      <w:tr w14:paraId="6276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A34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凡涉焚烧区域</w:t>
            </w:r>
          </w:p>
        </w:tc>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36AC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灰烬清理、周边环境整理</w:t>
            </w:r>
          </w:p>
        </w:tc>
        <w:tc>
          <w:tcPr>
            <w:tcW w:w="9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107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每日1次</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3535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每4小时1次</w:t>
            </w:r>
          </w:p>
        </w:tc>
        <w:tc>
          <w:tcPr>
            <w:tcW w:w="15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4AD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及时清理焚烧灰烬，避免飞灰污染</w:t>
            </w:r>
          </w:p>
        </w:tc>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AEE6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279AB">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按时完成得0.5分；每少1次扣0.1分；发现未及时清理每次扣0.1分</w:t>
            </w:r>
          </w:p>
        </w:tc>
      </w:tr>
    </w:tbl>
    <w:p w14:paraId="4D0656B5">
      <w:pPr>
        <w:rPr>
          <w:rFonts w:hint="eastAsia" w:ascii="宋体" w:hAnsi="宋体" w:eastAsia="宋体" w:cs="宋体"/>
          <w:b/>
          <w:bCs/>
          <w:highlight w:val="none"/>
          <w:u w:val="none"/>
          <w:lang w:val="en-US" w:eastAsia="zh-CN"/>
        </w:rPr>
      </w:pPr>
    </w:p>
    <w:p w14:paraId="55A399E7">
      <w:pPr>
        <w:rPr>
          <w:rFonts w:hint="eastAsia" w:ascii="宋体" w:hAnsi="宋体" w:eastAsia="宋体" w:cs="宋体"/>
          <w:b/>
          <w:bCs/>
          <w:highlight w:val="none"/>
          <w:u w:val="none"/>
          <w:lang w:val="en-US" w:eastAsia="zh-CN"/>
        </w:rPr>
      </w:pPr>
    </w:p>
    <w:p w14:paraId="75138803">
      <w:pPr>
        <w:rPr>
          <w:rFonts w:hint="eastAsia" w:ascii="宋体" w:hAnsi="宋体" w:eastAsia="宋体" w:cs="宋体"/>
          <w:b/>
          <w:bCs/>
          <w:highlight w:val="none"/>
          <w:u w:val="none"/>
          <w:lang w:val="en-US" w:eastAsia="zh-CN"/>
        </w:rPr>
      </w:pPr>
      <w:r>
        <w:rPr>
          <w:rFonts w:hint="eastAsia" w:ascii="宋体" w:hAnsi="宋体" w:eastAsia="宋体" w:cs="宋体"/>
          <w:b/>
          <w:bCs/>
          <w:highlight w:val="none"/>
          <w:u w:val="none"/>
          <w:lang w:val="en-US" w:eastAsia="zh-CN"/>
        </w:rPr>
        <w:t>表3：保洁作业综合管理考核标准</w:t>
      </w:r>
    </w:p>
    <w:tbl>
      <w:tblPr>
        <w:tblStyle w:val="30"/>
        <w:tblW w:w="83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2805"/>
        <w:gridCol w:w="705"/>
        <w:gridCol w:w="3763"/>
      </w:tblGrid>
      <w:tr w14:paraId="22B4EC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513B1">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考核项目</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7B0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具体要求</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5BC2">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B62CA">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37F3E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D4E9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作业时段规范</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15DE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祭扫高峰时段，巡检保洁作业不得干扰正常祭扫活动</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C45D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AF64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严格遵守时段要求高峰时巡检保洁作业规范，得0.5分；如影响正常祭扫活动，每次扣0.1分</w:t>
            </w:r>
          </w:p>
        </w:tc>
      </w:tr>
      <w:tr w14:paraId="2D9EE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A02F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人员行为规范</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A377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保洁人员着装统一、言行规范，不得大声喧哗</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100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3923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着装统一、言行规范得1分；发现不规范行为每次扣0.5分</w:t>
            </w:r>
          </w:p>
        </w:tc>
      </w:tr>
      <w:tr w14:paraId="041CE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D777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祭扫用品保护</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0CA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不得随意移动家属摆放的祭扫用品</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8B0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7200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未移动祭扫用品得0.5分；发现随意移动每次扣0.1分</w:t>
            </w:r>
          </w:p>
        </w:tc>
      </w:tr>
      <w:tr w14:paraId="3E083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54CB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祭扫垃圾清运</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D4AF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祭扫垃圾须及时清运，保持环境整洁</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1E32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BED5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及时清运得2分；发现垃圾堆积每次扣1分</w:t>
            </w:r>
          </w:p>
        </w:tc>
      </w:tr>
      <w:tr w14:paraId="55506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28F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遗失物品处置</w:t>
            </w:r>
          </w:p>
        </w:tc>
        <w:tc>
          <w:tcPr>
            <w:tcW w:w="28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943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发现遗失贵重物品须第一时间上交招标人，不得私自留存、处置</w:t>
            </w:r>
          </w:p>
        </w:tc>
        <w:tc>
          <w:tcPr>
            <w:tcW w:w="7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B1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37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E92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按规定上交得1分；发现私自留存或处置每次扣1分，情节严重直接判定不合格</w:t>
            </w:r>
          </w:p>
        </w:tc>
      </w:tr>
    </w:tbl>
    <w:p w14:paraId="680486E5">
      <w:pPr>
        <w:rPr>
          <w:rFonts w:hint="eastAsia" w:ascii="宋体" w:hAnsi="宋体" w:eastAsia="宋体" w:cs="宋体"/>
          <w:highlight w:val="none"/>
          <w:u w:val="none"/>
        </w:rPr>
      </w:pPr>
      <w:r>
        <w:rPr>
          <w:rFonts w:hint="eastAsia" w:ascii="宋体" w:hAnsi="宋体" w:eastAsia="宋体" w:cs="宋体"/>
          <w:highlight w:val="none"/>
          <w:u w:val="none"/>
        </w:rPr>
        <w:t>考核说明：</w:t>
      </w:r>
    </w:p>
    <w:p w14:paraId="01122414">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本考核按</w:t>
      </w:r>
      <w:r>
        <w:rPr>
          <w:rFonts w:hint="eastAsia" w:ascii="宋体" w:hAnsi="宋体" w:eastAsia="宋体" w:cs="宋体"/>
          <w:highlight w:val="none"/>
          <w:u w:val="none"/>
          <w:lang w:val="en-US" w:eastAsia="zh-CN"/>
        </w:rPr>
        <w:t>季</w:t>
      </w:r>
      <w:r>
        <w:rPr>
          <w:rFonts w:hint="eastAsia" w:ascii="宋体" w:hAnsi="宋体" w:eastAsia="宋体" w:cs="宋体"/>
          <w:highlight w:val="none"/>
          <w:u w:val="none"/>
        </w:rPr>
        <w:t>度进行，考核得分直接影响服务费支付比例</w:t>
      </w:r>
      <w:r>
        <w:rPr>
          <w:rFonts w:hint="eastAsia" w:ascii="宋体" w:hAnsi="宋体" w:eastAsia="宋体" w:cs="宋体"/>
          <w:highlight w:val="none"/>
          <w:u w:val="none"/>
          <w:lang w:eastAsia="zh-CN"/>
        </w:rPr>
        <w:t>。</w:t>
      </w:r>
    </w:p>
    <w:p w14:paraId="5E215824">
      <w:pPr>
        <w:numPr>
          <w:ilvl w:val="0"/>
          <w:numId w:val="0"/>
        </w:num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2.</w:t>
      </w:r>
      <w:r>
        <w:rPr>
          <w:rFonts w:hint="eastAsia" w:ascii="宋体" w:hAnsi="宋体" w:eastAsia="宋体" w:cs="宋体"/>
          <w:b w:val="0"/>
          <w:bCs w:val="0"/>
          <w:highlight w:val="none"/>
          <w:u w:val="none"/>
          <w:lang w:val="en-US" w:eastAsia="zh-CN"/>
        </w:rPr>
        <w:t>本项不合格判定：本项得分低于该项（表1、表2、表3）总分值70%的，视为该项不合格，须即行整改完毕。</w:t>
      </w:r>
    </w:p>
    <w:p w14:paraId="313F9E36">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发生私自留存遗失物品、违规焚烧修剪物等严重违规行为的，当期考核直接判定为不合格</w:t>
      </w:r>
      <w:r>
        <w:rPr>
          <w:rFonts w:hint="eastAsia" w:ascii="宋体" w:hAnsi="宋体" w:eastAsia="宋体" w:cs="宋体"/>
          <w:b w:val="0"/>
          <w:bCs w:val="0"/>
          <w:highlight w:val="none"/>
          <w:u w:val="none"/>
          <w:lang w:val="en-US"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p>
    <w:p w14:paraId="2580AA04">
      <w:pPr>
        <w:rPr>
          <w:rFonts w:hint="eastAsia" w:ascii="宋体" w:hAnsi="宋体" w:eastAsia="宋体" w:cs="宋体"/>
          <w:highlight w:val="none"/>
          <w:u w:val="none"/>
          <w:lang w:eastAsia="zh-CN"/>
        </w:rPr>
      </w:pPr>
    </w:p>
    <w:p w14:paraId="56E1BB56">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w:t>
      </w:r>
      <w:r>
        <w:rPr>
          <w:rFonts w:hint="eastAsia" w:ascii="宋体" w:hAnsi="宋体" w:eastAsia="宋体" w:cs="宋体"/>
          <w:b/>
          <w:bCs/>
          <w:sz w:val="24"/>
          <w:szCs w:val="24"/>
          <w:highlight w:val="none"/>
          <w:u w:val="none"/>
          <w:lang w:val="en-US" w:eastAsia="zh-CN"/>
        </w:rPr>
        <w:t>五</w:t>
      </w:r>
      <w:r>
        <w:rPr>
          <w:rFonts w:hint="eastAsia" w:ascii="宋体" w:hAnsi="宋体" w:eastAsia="宋体" w:cs="宋体"/>
          <w:b/>
          <w:bCs/>
          <w:sz w:val="24"/>
          <w:szCs w:val="24"/>
          <w:highlight w:val="none"/>
          <w:u w:val="none"/>
        </w:rPr>
        <w:t>）墓区值守及材料保管技术要求考核标准</w:t>
      </w:r>
    </w:p>
    <w:tbl>
      <w:tblPr>
        <w:tblStyle w:val="30"/>
        <w:tblW w:w="83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619"/>
        <w:gridCol w:w="660"/>
        <w:gridCol w:w="6075"/>
      </w:tblGrid>
      <w:tr w14:paraId="06D6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6185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考核指标</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D97D3">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B58AB">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55E6A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1363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值守人员资质</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3B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529BA55">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值守人员规范着装得0.5分；每发现1人</w:t>
            </w:r>
            <w:r>
              <w:rPr>
                <w:rFonts w:hint="eastAsia" w:ascii="宋体" w:hAnsi="宋体" w:cs="宋体"/>
                <w:i w:val="0"/>
                <w:iCs w:val="0"/>
                <w:color w:val="000000"/>
                <w:kern w:val="0"/>
                <w:sz w:val="22"/>
                <w:szCs w:val="22"/>
                <w:highlight w:val="none"/>
                <w:u w:val="none"/>
                <w:lang w:val="en-US" w:eastAsia="zh-CN" w:bidi="ar"/>
              </w:rPr>
              <w:t>次</w:t>
            </w:r>
            <w:r>
              <w:rPr>
                <w:rFonts w:hint="eastAsia" w:ascii="宋体" w:hAnsi="宋体" w:eastAsia="宋体" w:cs="宋体"/>
                <w:i w:val="0"/>
                <w:iCs w:val="0"/>
                <w:color w:val="000000"/>
                <w:kern w:val="0"/>
                <w:sz w:val="22"/>
                <w:szCs w:val="22"/>
                <w:highlight w:val="none"/>
                <w:u w:val="none"/>
                <w:lang w:val="en-US" w:eastAsia="zh-CN" w:bidi="ar"/>
              </w:rPr>
              <w:t>着装不规范扣0.1分</w:t>
            </w:r>
          </w:p>
        </w:tc>
      </w:tr>
      <w:tr w14:paraId="0168D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BAC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24小时值守制度</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4A2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6A86A3E">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严格执行24小时轮岗值守，无空岗、脱岗现象</w:t>
            </w:r>
            <w:r>
              <w:rPr>
                <w:rFonts w:hint="eastAsia" w:ascii="宋体" w:hAnsi="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以招标人提供的终端考勤打卡设备为准</w:t>
            </w:r>
            <w:r>
              <w:rPr>
                <w:rFonts w:hint="eastAsia" w:ascii="宋体" w:hAnsi="宋体" w:cs="宋体"/>
                <w:i w:val="0"/>
                <w:iCs w:val="0"/>
                <w:color w:val="000000"/>
                <w:kern w:val="0"/>
                <w:sz w:val="22"/>
                <w:szCs w:val="22"/>
                <w:highlight w:val="none"/>
                <w:u w:val="none"/>
                <w:lang w:val="en-US" w:eastAsia="zh-CN" w:bidi="ar"/>
              </w:rPr>
              <w:t xml:space="preserve"> </w:t>
            </w:r>
            <w:r>
              <w:rPr>
                <w:rFonts w:hint="eastAsia" w:ascii="宋体" w:hAnsi="宋体" w:eastAsia="宋体" w:cs="宋体"/>
                <w:i w:val="0"/>
                <w:iCs w:val="0"/>
                <w:color w:val="000000"/>
                <w:kern w:val="0"/>
                <w:sz w:val="22"/>
                <w:szCs w:val="22"/>
                <w:highlight w:val="none"/>
                <w:u w:val="none"/>
                <w:lang w:val="en-US" w:eastAsia="zh-CN" w:bidi="ar"/>
              </w:rPr>
              <w:t>得2分；每发现1次空岗或脱岗扣1分 扣分不封顶”</w:t>
            </w:r>
          </w:p>
        </w:tc>
      </w:tr>
      <w:tr w14:paraId="4EB50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AAD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日常巡逻执行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C373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4F56285">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每日对墓区进行不少于3次的全覆盖巡逻，使用</w:t>
            </w:r>
            <w:r>
              <w:rPr>
                <w:rFonts w:hint="eastAsia" w:ascii="宋体" w:hAnsi="宋体" w:eastAsia="宋体" w:cs="宋体"/>
                <w:b/>
                <w:bCs/>
                <w:sz w:val="21"/>
                <w:szCs w:val="21"/>
                <w:highlight w:val="none"/>
                <w:u w:val="none"/>
                <w:lang w:val="en-US" w:eastAsia="zh-CN"/>
              </w:rPr>
              <w:t>电子巡更系统</w:t>
            </w:r>
            <w:r>
              <w:rPr>
                <w:rFonts w:hint="eastAsia" w:ascii="宋体" w:hAnsi="宋体" w:eastAsia="宋体" w:cs="宋体"/>
                <w:i w:val="0"/>
                <w:iCs w:val="0"/>
                <w:color w:val="000000"/>
                <w:kern w:val="0"/>
                <w:sz w:val="22"/>
                <w:szCs w:val="22"/>
                <w:highlight w:val="none"/>
                <w:u w:val="none"/>
                <w:lang w:val="en-US" w:eastAsia="zh-CN" w:bidi="ar"/>
              </w:rPr>
              <w:t>记录完整得2分；每少1次巡逻扣0.5分，扣分不封顶</w:t>
            </w:r>
          </w:p>
        </w:tc>
      </w:tr>
      <w:tr w14:paraId="7256E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868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异常情况处置</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829F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0988EA9E">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发现明火、违规祭祀、破坏设施等行为第一时间处置并及时上报得1分；每发现1次处置不及时或未及时上报扣1分</w:t>
            </w:r>
          </w:p>
        </w:tc>
      </w:tr>
      <w:tr w14:paraId="3F394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6C1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重大活动配合</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A795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10788994">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重大活动期间配合做好人员引导、秩序维护，群众祭扫时主动避让得1分；每发现1次配合不到位或不当行为扣0.5分</w:t>
            </w:r>
          </w:p>
        </w:tc>
      </w:tr>
      <w:tr w14:paraId="698F8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38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消防应急能力</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4CC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68DE94BA">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值守人员熟练掌握消防器材使用方法，发现火情第一时间扑救并视情况报警得2分；每发现1人不熟练或处置不当扣2分</w:t>
            </w:r>
          </w:p>
        </w:tc>
      </w:tr>
      <w:tr w14:paraId="7CD2D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1DB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突发状况处置</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FBA5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DB1BEAA">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遇到突发疾病、人员走失等情况第一时间协助救助，全力配合招标人处置得2分；每发现1次处置不当扣1分</w:t>
            </w:r>
          </w:p>
        </w:tc>
      </w:tr>
      <w:tr w14:paraId="7F3BA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2915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习俗尊重规范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3C18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0.5分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CEC8F81">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值守人员熟悉墓区管理要求，尊重当地习俗，不得与祭扫群众发生争执得0.5分；每发现1次违规行为扣0.5分</w:t>
            </w:r>
          </w:p>
        </w:tc>
      </w:tr>
      <w:tr w14:paraId="48CCA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5A08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材料库房设置</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5C1A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3A3CA25B">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按招标人要求设立专门材料存储库房或场地，分类存放施工、维修、绿化耗材，易燃易爆物品单独设置防火存储柜得2分；每发现1处不符合要求扣1分</w:t>
            </w:r>
          </w:p>
        </w:tc>
      </w:tr>
      <w:tr w14:paraId="32E9E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10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出入库管理</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CCF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9F9778A">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建立所有物资、材料等出入库台账，所有材料出入库登记签字，每月自行盘点1次，账实相符得1分；每季度接受招标人盘点一次，账实相符得1分；每发现1</w:t>
            </w:r>
            <w:r>
              <w:rPr>
                <w:rFonts w:hint="eastAsia" w:ascii="宋体" w:hAnsi="宋体" w:cs="宋体"/>
                <w:i w:val="0"/>
                <w:iCs w:val="0"/>
                <w:color w:val="000000"/>
                <w:kern w:val="0"/>
                <w:sz w:val="22"/>
                <w:szCs w:val="22"/>
                <w:highlight w:val="none"/>
                <w:u w:val="none"/>
                <w:lang w:val="en-US" w:eastAsia="zh-CN" w:bidi="ar"/>
              </w:rPr>
              <w:t>处</w:t>
            </w:r>
            <w:r>
              <w:rPr>
                <w:rFonts w:hint="eastAsia" w:ascii="宋体" w:hAnsi="宋体" w:eastAsia="宋体" w:cs="宋体"/>
                <w:i w:val="0"/>
                <w:iCs w:val="0"/>
                <w:color w:val="000000"/>
                <w:kern w:val="0"/>
                <w:sz w:val="22"/>
                <w:szCs w:val="22"/>
                <w:highlight w:val="none"/>
                <w:u w:val="none"/>
                <w:lang w:val="en-US" w:eastAsia="zh-CN" w:bidi="ar"/>
              </w:rPr>
              <w:t>未登记/账实不符扣1分</w:t>
            </w:r>
          </w:p>
        </w:tc>
      </w:tr>
      <w:tr w14:paraId="7D268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4BF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材料分类存放</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9FA4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50480A">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石材、辅料等材料单独设置存储区域，避免与油漆、药剂等有异味物品混放得1分；每发现1处混放扣0.5分</w:t>
            </w:r>
          </w:p>
        </w:tc>
      </w:tr>
      <w:tr w14:paraId="3D32EB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6A50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石材交接管理</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88B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7E488F80">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每批石材到货时，连同石材供应商、招标人三方共同清点及书面交接确认，交接完成后履行保管职责得1分；每发现1次未按规定交接或保管不当扣1分</w:t>
            </w:r>
          </w:p>
        </w:tc>
      </w:tr>
      <w:tr w14:paraId="4F3048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BF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材料丢失损坏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A521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C12EAA0">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材料保管期间无丢失、损坏现象得2分；每发生1次丢失，由中标人承担全部赔偿责任 扣2分，扣分不封顶</w:t>
            </w:r>
          </w:p>
        </w:tc>
      </w:tr>
      <w:tr w14:paraId="796E1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43B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信息保密执行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44B2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4B84A7DF">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严格保密墓区安葬人员信息，不得对外泄露得1分；每发现1次泄密行为扣1分，情节严重直接判定不合格</w:t>
            </w:r>
          </w:p>
        </w:tc>
      </w:tr>
      <w:tr w14:paraId="56A6A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16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A66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值守日志管理</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F2F2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075" w:type="dxa"/>
            <w:tcBorders>
              <w:top w:val="single" w:color="000000" w:sz="4" w:space="0"/>
              <w:left w:val="single" w:color="000000" w:sz="4" w:space="0"/>
              <w:bottom w:val="single" w:color="000000" w:sz="4" w:space="0"/>
              <w:right w:val="single" w:color="000000" w:sz="4" w:space="0"/>
            </w:tcBorders>
            <w:shd w:val="clear" w:color="auto" w:fill="auto"/>
            <w:vAlign w:val="bottom"/>
          </w:tcPr>
          <w:p w14:paraId="54459F37">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每日填写值守日志，记录巡逻、异常处置、人员出入统计等情况，每月底将值守台账报送招标人审核得1分；每发现1次未填写或未报送扣0.5分</w:t>
            </w:r>
          </w:p>
        </w:tc>
      </w:tr>
    </w:tbl>
    <w:p w14:paraId="7EFB279F">
      <w:pPr>
        <w:rPr>
          <w:rFonts w:hint="eastAsia" w:ascii="宋体" w:hAnsi="宋体" w:eastAsia="宋体" w:cs="宋体"/>
          <w:highlight w:val="none"/>
          <w:u w:val="none"/>
        </w:rPr>
      </w:pPr>
      <w:r>
        <w:rPr>
          <w:rFonts w:hint="eastAsia" w:ascii="宋体" w:hAnsi="宋体" w:eastAsia="宋体" w:cs="宋体"/>
          <w:highlight w:val="none"/>
          <w:u w:val="none"/>
        </w:rPr>
        <w:t>考核说明：</w:t>
      </w:r>
    </w:p>
    <w:p w14:paraId="1F06A944">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本考核按</w:t>
      </w:r>
      <w:r>
        <w:rPr>
          <w:rFonts w:hint="eastAsia" w:ascii="宋体" w:hAnsi="宋体" w:eastAsia="宋体" w:cs="宋体"/>
          <w:highlight w:val="none"/>
          <w:u w:val="none"/>
          <w:lang w:val="en-US" w:eastAsia="zh-CN"/>
        </w:rPr>
        <w:t>季</w:t>
      </w:r>
      <w:r>
        <w:rPr>
          <w:rFonts w:hint="eastAsia" w:ascii="宋体" w:hAnsi="宋体" w:eastAsia="宋体" w:cs="宋体"/>
          <w:highlight w:val="none"/>
          <w:u w:val="none"/>
        </w:rPr>
        <w:t>度进行，考核得分直接影响服务费支付比例</w:t>
      </w:r>
      <w:r>
        <w:rPr>
          <w:rFonts w:hint="eastAsia" w:ascii="宋体" w:hAnsi="宋体" w:eastAsia="宋体" w:cs="宋体"/>
          <w:highlight w:val="none"/>
          <w:u w:val="none"/>
          <w:lang w:eastAsia="zh-CN"/>
        </w:rPr>
        <w:t>。</w:t>
      </w:r>
    </w:p>
    <w:p w14:paraId="14031F82">
      <w:pPr>
        <w:numPr>
          <w:ilvl w:val="0"/>
          <w:numId w:val="0"/>
        </w:num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2.</w:t>
      </w:r>
      <w:r>
        <w:rPr>
          <w:rFonts w:hint="eastAsia" w:ascii="宋体" w:hAnsi="宋体" w:eastAsia="宋体" w:cs="宋体"/>
          <w:b w:val="0"/>
          <w:bCs w:val="0"/>
          <w:highlight w:val="none"/>
          <w:u w:val="none"/>
          <w:lang w:val="en-US" w:eastAsia="zh-CN"/>
        </w:rPr>
        <w:t>本项不合格判定：本项得分低于该项总分值70%的，视为该项不合格，限期3日内整改完毕</w:t>
      </w:r>
      <w:r>
        <w:rPr>
          <w:rFonts w:hint="eastAsia" w:ascii="宋体" w:hAnsi="宋体" w:eastAsia="宋体" w:cs="宋体"/>
          <w:highlight w:val="none"/>
          <w:u w:val="none"/>
          <w:lang w:val="en-US" w:eastAsia="zh-CN"/>
        </w:rPr>
        <w:t>。</w:t>
      </w:r>
    </w:p>
    <w:p w14:paraId="34393DD0">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发生空岗脱岗、信息泄密等严重违规行为的，当期考核直接判定为不合格</w:t>
      </w:r>
      <w:r>
        <w:rPr>
          <w:rFonts w:hint="eastAsia" w:ascii="宋体" w:hAnsi="宋体" w:eastAsia="宋体" w:cs="宋体"/>
          <w:b w:val="0"/>
          <w:bCs w:val="0"/>
          <w:highlight w:val="none"/>
          <w:u w:val="none"/>
          <w:lang w:val="en-US"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p>
    <w:p w14:paraId="4F7B8D3E">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所有值守及材料保管工作须经</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验收小组</w:t>
      </w:r>
      <w:r>
        <w:rPr>
          <w:rFonts w:hint="eastAsia" w:ascii="宋体" w:hAnsi="宋体" w:eastAsia="宋体" w:cs="宋体"/>
          <w:highlight w:val="none"/>
          <w:u w:val="none"/>
          <w:lang w:val="en-US" w:eastAsia="zh-CN"/>
        </w:rPr>
        <w:t>或指派专人进行验收</w:t>
      </w:r>
      <w:r>
        <w:rPr>
          <w:rFonts w:hint="eastAsia" w:ascii="宋体" w:hAnsi="宋体" w:eastAsia="宋体" w:cs="宋体"/>
          <w:highlight w:val="none"/>
          <w:u w:val="none"/>
        </w:rPr>
        <w:t>核验签字确认，不合格须无条件</w:t>
      </w:r>
      <w:r>
        <w:rPr>
          <w:rFonts w:hint="eastAsia" w:ascii="宋体" w:hAnsi="宋体" w:eastAsia="宋体" w:cs="宋体"/>
          <w:highlight w:val="none"/>
          <w:u w:val="none"/>
          <w:lang w:val="en-US" w:eastAsia="zh-CN"/>
        </w:rPr>
        <w:t>即行</w:t>
      </w:r>
      <w:r>
        <w:rPr>
          <w:rFonts w:hint="eastAsia" w:ascii="宋体" w:hAnsi="宋体" w:eastAsia="宋体" w:cs="宋体"/>
          <w:highlight w:val="none"/>
          <w:u w:val="none"/>
        </w:rPr>
        <w:t>整改</w:t>
      </w:r>
      <w:r>
        <w:rPr>
          <w:rFonts w:hint="eastAsia" w:ascii="宋体" w:hAnsi="宋体" w:eastAsia="宋体" w:cs="宋体"/>
          <w:highlight w:val="none"/>
          <w:u w:val="none"/>
          <w:lang w:eastAsia="zh-CN"/>
        </w:rPr>
        <w:t>。</w:t>
      </w:r>
    </w:p>
    <w:p w14:paraId="4B5BDEBF">
      <w:pPr>
        <w:rPr>
          <w:rFonts w:hint="eastAsia" w:ascii="宋体" w:hAnsi="宋体" w:eastAsia="宋体" w:cs="宋体"/>
          <w:highlight w:val="none"/>
          <w:u w:val="none"/>
        </w:rPr>
      </w:pPr>
    </w:p>
    <w:p w14:paraId="683BA17C">
      <w:pPr>
        <w:rPr>
          <w:rFonts w:hint="eastAsia" w:ascii="宋体" w:hAnsi="宋体" w:eastAsia="宋体" w:cs="宋体"/>
          <w:b/>
          <w:bCs/>
          <w:sz w:val="24"/>
          <w:szCs w:val="24"/>
          <w:highlight w:val="none"/>
          <w:u w:val="none"/>
        </w:rPr>
      </w:pPr>
      <w:r>
        <w:rPr>
          <w:rFonts w:hint="eastAsia" w:ascii="宋体" w:hAnsi="宋体" w:eastAsia="宋体" w:cs="宋体"/>
          <w:b/>
          <w:bCs/>
          <w:sz w:val="24"/>
          <w:szCs w:val="24"/>
          <w:highlight w:val="none"/>
          <w:u w:val="none"/>
        </w:rPr>
        <w:t>（</w:t>
      </w:r>
      <w:r>
        <w:rPr>
          <w:rFonts w:hint="eastAsia" w:ascii="宋体" w:hAnsi="宋体" w:eastAsia="宋体" w:cs="宋体"/>
          <w:b/>
          <w:bCs/>
          <w:sz w:val="24"/>
          <w:szCs w:val="24"/>
          <w:highlight w:val="none"/>
          <w:u w:val="none"/>
          <w:lang w:val="en-US" w:eastAsia="zh-CN"/>
        </w:rPr>
        <w:t>六</w:t>
      </w:r>
      <w:r>
        <w:rPr>
          <w:rFonts w:hint="eastAsia" w:ascii="宋体" w:hAnsi="宋体" w:eastAsia="宋体" w:cs="宋体"/>
          <w:b/>
          <w:bCs/>
          <w:sz w:val="24"/>
          <w:szCs w:val="24"/>
          <w:highlight w:val="none"/>
          <w:u w:val="none"/>
        </w:rPr>
        <w:t>）零星维修考核标准</w:t>
      </w:r>
    </w:p>
    <w:tbl>
      <w:tblPr>
        <w:tblStyle w:val="30"/>
        <w:tblW w:w="8354"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0"/>
        <w:gridCol w:w="660"/>
        <w:gridCol w:w="6614"/>
      </w:tblGrid>
      <w:tr w14:paraId="658A5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8997C">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考核指标</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6A125">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分值</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5C728">
            <w:pPr>
              <w:keepNext w:val="0"/>
              <w:keepLines w:val="0"/>
              <w:widowControl/>
              <w:suppressLineNumbers w:val="0"/>
              <w:jc w:val="center"/>
              <w:textAlignment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评分标准</w:t>
            </w:r>
          </w:p>
        </w:tc>
      </w:tr>
      <w:tr w14:paraId="0DBC5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8C4D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维修响应时效</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6FC5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7371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接到报修后2个工作日内到场勘察，并当日提交维修方案得2分；每延迟1天扣1分，未提交方案每次扣2分</w:t>
            </w:r>
          </w:p>
        </w:tc>
      </w:tr>
      <w:tr w14:paraId="30C15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CF0B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作业时段规范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4F6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141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维修作业避开祭扫高峰时段，确认作业区域是否涉及习俗禁忌得1分；每发现1次高峰时段作业或未确认禁忌扣1分</w:t>
            </w:r>
          </w:p>
        </w:tc>
      </w:tr>
      <w:tr w14:paraId="10E70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BFC7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人员着装规范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770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6EED5">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作业人员着装规范得1分；每发现1人次着装不规范扣0.1分</w:t>
            </w:r>
          </w:p>
        </w:tc>
      </w:tr>
      <w:tr w14:paraId="0BAC8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9050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维修垃圾清运</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5751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CB2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维修垃圾当日清运得2分；每发现1次未当日清运扣2分</w:t>
            </w:r>
          </w:p>
        </w:tc>
      </w:tr>
      <w:tr w14:paraId="35090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4419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习俗适配执行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7F94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9B4E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涉及习俗的维修环节在招标人指导下开展得1分；每发现1次未按要求执行扣1分</w:t>
            </w:r>
          </w:p>
        </w:tc>
      </w:tr>
      <w:tr w14:paraId="2CD82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8CCC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维修用材标准</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5EC4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3044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维修用材符合国家标准，尽量采用同材质、同颜色材料，保持风格统一得1分；每发现1处用材不符合标准扣0.5分</w:t>
            </w:r>
          </w:p>
        </w:tc>
      </w:tr>
      <w:tr w14:paraId="1F8E5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59F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方案报批执行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BDEE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2CA6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维修方案计划报经招标人确认后方可实施得1分；每发现1次未报批实施扣1分</w:t>
            </w:r>
          </w:p>
        </w:tc>
      </w:tr>
      <w:tr w14:paraId="05EA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FC9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水电维修安全</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F75A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4DA7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水电维修符合安全规范并定期测试得1分；每发现1处不符合安全规范或无定期测试记录扣1分</w:t>
            </w:r>
          </w:p>
        </w:tc>
      </w:tr>
      <w:tr w14:paraId="6B063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92A0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道路步道维修质量</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0D1B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A364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道路、步道维修后平整度偏差≤1cm，无明显修补痕迹得1分；每发现1处不达标扣0.2分</w:t>
            </w:r>
          </w:p>
        </w:tc>
      </w:tr>
      <w:tr w14:paraId="0B702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4E68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墓体维修规范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E326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1B14A">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维修作业涉及墓体的，不得擅自更改其图案、文字、形制，确需调整须提前征得招标人书面同意得1分；每发现1次违规更改扣1分</w:t>
            </w:r>
          </w:p>
        </w:tc>
      </w:tr>
      <w:tr w14:paraId="7105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1"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B6A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维修工期控制</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D9D1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F765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维修工期一经确定，不得超过3个工作日开展维修（国家法定节假日与不可抗力因素除外）得2分；每超期1天扣1分</w:t>
            </w:r>
          </w:p>
        </w:tc>
      </w:tr>
      <w:tr w14:paraId="2B472A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1CA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应急维修机制</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9121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A2148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建立24小时应急维修机制，重大节日或祭扫活动期间安排维修人员驻场值守得1分；每发现1次机制不健全或未驻场值守扣1分</w:t>
            </w:r>
          </w:p>
        </w:tc>
      </w:tr>
      <w:tr w14:paraId="4811C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802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紧急情况处置</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5EB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DCE6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遇到设施破损、水电故障、道路塌陷等紧急情况第一时间处置得1分；每发现1次处置不及时扣0.5分</w:t>
            </w:r>
          </w:p>
        </w:tc>
      </w:tr>
      <w:tr w14:paraId="4BB2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14E7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维修台账建立</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1B23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2分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014A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所有维修项目建立台账，记录维修时间、位置、内容、用材、验收等情况得2分；每发现1处缺漏扣1分  扣分不封顶</w:t>
            </w:r>
          </w:p>
        </w:tc>
      </w:tr>
      <w:tr w14:paraId="4D0D3F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8AAC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台账报送及时</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ADCC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C7F1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lang w:val="en-US"/>
              </w:rPr>
            </w:pPr>
            <w:r>
              <w:rPr>
                <w:rFonts w:hint="eastAsia" w:ascii="宋体" w:hAnsi="宋体" w:eastAsia="宋体" w:cs="宋体"/>
                <w:i w:val="0"/>
                <w:iCs w:val="0"/>
                <w:color w:val="000000"/>
                <w:kern w:val="0"/>
                <w:sz w:val="22"/>
                <w:szCs w:val="22"/>
                <w:highlight w:val="none"/>
                <w:u w:val="none"/>
                <w:lang w:val="en-US" w:eastAsia="zh-CN" w:bidi="ar"/>
              </w:rPr>
              <w:t>每季度末的25日，将维修台账报送招标人审核得1分；每延迟1天扣1分 扣分不封顶</w:t>
            </w:r>
          </w:p>
        </w:tc>
      </w:tr>
      <w:tr w14:paraId="3F3C4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1"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CAB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质保期执行</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E7CE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DE17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零星维修质保期3年，其中墓碑描字</w:t>
            </w:r>
            <w:r>
              <w:rPr>
                <w:rFonts w:hint="eastAsia" w:ascii="宋体" w:hAnsi="宋体" w:cs="宋体"/>
                <w:i w:val="0"/>
                <w:iCs w:val="0"/>
                <w:color w:val="000000"/>
                <w:kern w:val="0"/>
                <w:sz w:val="22"/>
                <w:szCs w:val="22"/>
                <w:highlight w:val="none"/>
                <w:u w:val="none"/>
                <w:lang w:val="en-US" w:eastAsia="zh-CN" w:bidi="ar"/>
              </w:rPr>
              <w:t>质保期2年，</w:t>
            </w:r>
            <w:r>
              <w:rPr>
                <w:rFonts w:hint="eastAsia" w:ascii="宋体" w:hAnsi="宋体" w:eastAsia="宋体" w:cs="宋体"/>
                <w:i w:val="0"/>
                <w:iCs w:val="0"/>
                <w:color w:val="000000"/>
                <w:kern w:val="0"/>
                <w:sz w:val="22"/>
                <w:szCs w:val="22"/>
                <w:highlight w:val="none"/>
                <w:u w:val="none"/>
                <w:lang w:val="en-US" w:eastAsia="zh-CN" w:bidi="ar"/>
              </w:rPr>
              <w:t>树木修剪质保期1年，质保期内出现同一问题免费返修得3分；每发现1次未按质保期及相关质保要求执行扣1分</w:t>
            </w:r>
          </w:p>
        </w:tc>
      </w:tr>
      <w:tr w14:paraId="000D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ABF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维修拒绝违约</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DF0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3分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4423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不得以任何不可抗力以外的理由拒绝维修得3分；每发现1次无理由拒绝维修扣3分，扣分不封顶。同一自然月度内累计发生三次及以上直接判定不合格</w:t>
            </w:r>
          </w:p>
        </w:tc>
      </w:tr>
      <w:tr w14:paraId="3322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6CB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费用结算规范</w:t>
            </w:r>
          </w:p>
        </w:tc>
        <w:tc>
          <w:tcPr>
            <w:tcW w:w="6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FF88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1分</w:t>
            </w:r>
          </w:p>
        </w:tc>
        <w:tc>
          <w:tcPr>
            <w:tcW w:w="6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33EC9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半年度按照中标的维修单价报请结算、维修单价中未列举的双方友好协商后确定得1分；每发现1次违规申请结算扣1分</w:t>
            </w:r>
          </w:p>
        </w:tc>
      </w:tr>
    </w:tbl>
    <w:p w14:paraId="275E431B">
      <w:pPr>
        <w:rPr>
          <w:rFonts w:hint="eastAsia" w:ascii="宋体" w:hAnsi="宋体" w:eastAsia="宋体" w:cs="宋体"/>
          <w:highlight w:val="none"/>
          <w:u w:val="none"/>
        </w:rPr>
      </w:pPr>
      <w:r>
        <w:rPr>
          <w:rFonts w:hint="eastAsia" w:ascii="宋体" w:hAnsi="宋体" w:eastAsia="宋体" w:cs="宋体"/>
          <w:highlight w:val="none"/>
          <w:u w:val="none"/>
        </w:rPr>
        <w:t>考核说明：</w:t>
      </w:r>
    </w:p>
    <w:p w14:paraId="1934658B">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1.</w:t>
      </w:r>
      <w:r>
        <w:rPr>
          <w:rFonts w:hint="eastAsia" w:ascii="宋体" w:hAnsi="宋体" w:eastAsia="宋体" w:cs="宋体"/>
          <w:highlight w:val="none"/>
          <w:u w:val="none"/>
        </w:rPr>
        <w:t>本考核按</w:t>
      </w:r>
      <w:r>
        <w:rPr>
          <w:rFonts w:hint="eastAsia" w:ascii="宋体" w:hAnsi="宋体" w:eastAsia="宋体" w:cs="宋体"/>
          <w:highlight w:val="none"/>
          <w:u w:val="none"/>
          <w:lang w:val="en-US" w:eastAsia="zh-CN"/>
        </w:rPr>
        <w:t>季</w:t>
      </w:r>
      <w:r>
        <w:rPr>
          <w:rFonts w:hint="eastAsia" w:ascii="宋体" w:hAnsi="宋体" w:eastAsia="宋体" w:cs="宋体"/>
          <w:highlight w:val="none"/>
          <w:u w:val="none"/>
        </w:rPr>
        <w:t>度进行，考核得分直接影响服务费支付比例</w:t>
      </w:r>
      <w:r>
        <w:rPr>
          <w:rFonts w:hint="eastAsia" w:ascii="宋体" w:hAnsi="宋体" w:eastAsia="宋体" w:cs="宋体"/>
          <w:highlight w:val="none"/>
          <w:u w:val="none"/>
          <w:lang w:eastAsia="zh-CN"/>
        </w:rPr>
        <w:t>。</w:t>
      </w:r>
    </w:p>
    <w:p w14:paraId="4B89E171">
      <w:pPr>
        <w:numPr>
          <w:ilvl w:val="0"/>
          <w:numId w:val="0"/>
        </w:num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2.</w:t>
      </w:r>
      <w:r>
        <w:rPr>
          <w:rFonts w:hint="eastAsia" w:ascii="宋体" w:hAnsi="宋体" w:eastAsia="宋体" w:cs="宋体"/>
          <w:b w:val="0"/>
          <w:bCs w:val="0"/>
          <w:highlight w:val="none"/>
          <w:u w:val="none"/>
          <w:lang w:val="en-US" w:eastAsia="zh-CN"/>
        </w:rPr>
        <w:t>本项不合格判定：本项得分低于该项总分值70%的，视为该项不合格，限期3日内整改完毕</w:t>
      </w:r>
      <w:r>
        <w:rPr>
          <w:rFonts w:hint="eastAsia" w:ascii="宋体" w:hAnsi="宋体" w:eastAsia="宋体" w:cs="宋体"/>
          <w:highlight w:val="none"/>
          <w:u w:val="none"/>
          <w:lang w:val="en-US" w:eastAsia="zh-CN"/>
        </w:rPr>
        <w:t>。</w:t>
      </w:r>
    </w:p>
    <w:p w14:paraId="1224E88B">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3.</w:t>
      </w:r>
      <w:r>
        <w:rPr>
          <w:rFonts w:hint="eastAsia" w:ascii="宋体" w:hAnsi="宋体" w:eastAsia="宋体" w:cs="宋体"/>
          <w:highlight w:val="none"/>
          <w:u w:val="none"/>
        </w:rPr>
        <w:t>发生无</w:t>
      </w:r>
      <w:r>
        <w:rPr>
          <w:rFonts w:hint="eastAsia" w:ascii="宋体" w:hAnsi="宋体" w:eastAsia="宋体" w:cs="宋体"/>
          <w:highlight w:val="none"/>
          <w:u w:val="none"/>
          <w:lang w:val="en-US" w:eastAsia="zh-CN"/>
        </w:rPr>
        <w:t>合理</w:t>
      </w:r>
      <w:r>
        <w:rPr>
          <w:rFonts w:hint="eastAsia" w:ascii="宋体" w:hAnsi="宋体" w:eastAsia="宋体" w:cs="宋体"/>
          <w:highlight w:val="none"/>
          <w:u w:val="none"/>
        </w:rPr>
        <w:t>理由拒绝维修（同一自然月度内累计三次及以上）、维修台账缺漏、严重质量问题等违规行为的，当期考核直接判定为不合格</w:t>
      </w:r>
      <w:r>
        <w:rPr>
          <w:rFonts w:hint="eastAsia" w:ascii="宋体" w:hAnsi="宋体" w:eastAsia="宋体" w:cs="宋体"/>
          <w:b w:val="0"/>
          <w:bCs w:val="0"/>
          <w:highlight w:val="none"/>
          <w:u w:val="none"/>
          <w:lang w:val="en-US" w:eastAsia="zh-CN"/>
        </w:rPr>
        <w:t>（</w:t>
      </w:r>
      <w:r>
        <w:rPr>
          <w:rFonts w:hint="eastAsia" w:ascii="宋体" w:hAnsi="宋体" w:eastAsia="宋体" w:cs="宋体"/>
          <w:highlight w:val="none"/>
          <w:u w:val="none"/>
          <w:lang w:val="en-US" w:eastAsia="zh-CN"/>
        </w:rPr>
        <w:t>单项总评分判定为0分）</w:t>
      </w:r>
      <w:r>
        <w:rPr>
          <w:rFonts w:hint="eastAsia" w:ascii="宋体" w:hAnsi="宋体" w:eastAsia="宋体" w:cs="宋体"/>
          <w:highlight w:val="none"/>
          <w:u w:val="none"/>
          <w:lang w:eastAsia="zh-CN"/>
        </w:rPr>
        <w:t>。</w:t>
      </w:r>
    </w:p>
    <w:p w14:paraId="029166C6">
      <w:pPr>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4.</w:t>
      </w:r>
      <w:r>
        <w:rPr>
          <w:rFonts w:hint="eastAsia" w:ascii="宋体" w:hAnsi="宋体" w:eastAsia="宋体" w:cs="宋体"/>
          <w:highlight w:val="none"/>
          <w:u w:val="none"/>
        </w:rPr>
        <w:t>所有维修项目须经</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验收小组</w:t>
      </w:r>
      <w:r>
        <w:rPr>
          <w:rFonts w:hint="eastAsia" w:ascii="宋体" w:hAnsi="宋体" w:eastAsia="宋体" w:cs="宋体"/>
          <w:highlight w:val="none"/>
          <w:u w:val="none"/>
          <w:lang w:val="en-US" w:eastAsia="zh-CN"/>
        </w:rPr>
        <w:t>或指派专人进行验收</w:t>
      </w:r>
      <w:r>
        <w:rPr>
          <w:rFonts w:hint="eastAsia" w:ascii="宋体" w:hAnsi="宋体" w:eastAsia="宋体" w:cs="宋体"/>
          <w:highlight w:val="none"/>
          <w:u w:val="none"/>
        </w:rPr>
        <w:t>核验签字确认，不合格须无条件返工</w:t>
      </w:r>
      <w:r>
        <w:rPr>
          <w:rFonts w:hint="eastAsia" w:ascii="宋体" w:hAnsi="宋体" w:eastAsia="宋体" w:cs="宋体"/>
          <w:highlight w:val="none"/>
          <w:u w:val="none"/>
          <w:lang w:eastAsia="zh-CN"/>
        </w:rPr>
        <w:t>。</w:t>
      </w:r>
    </w:p>
    <w:p w14:paraId="2B175492">
      <w:pPr>
        <w:numPr>
          <w:ilvl w:val="0"/>
          <w:numId w:val="0"/>
        </w:numPr>
        <w:rPr>
          <w:rFonts w:hint="eastAsia" w:ascii="宋体" w:hAnsi="宋体" w:eastAsia="宋体" w:cs="宋体"/>
          <w:highlight w:val="none"/>
          <w:u w:val="none"/>
          <w:lang w:val="en-US" w:eastAsia="zh-CN"/>
        </w:rPr>
      </w:pPr>
    </w:p>
    <w:p w14:paraId="77118B1F">
      <w:pPr>
        <w:rPr>
          <w:rFonts w:hint="eastAsia" w:ascii="宋体" w:hAnsi="宋体" w:eastAsia="宋体" w:cs="宋体"/>
          <w:b/>
          <w:bCs/>
          <w:sz w:val="30"/>
          <w:szCs w:val="30"/>
          <w:highlight w:val="none"/>
          <w:u w:val="none"/>
        </w:rPr>
      </w:pPr>
      <w:r>
        <w:rPr>
          <w:rFonts w:hint="eastAsia" w:ascii="宋体" w:hAnsi="宋体" w:eastAsia="宋体" w:cs="宋体"/>
          <w:b/>
          <w:bCs/>
          <w:sz w:val="30"/>
          <w:szCs w:val="30"/>
          <w:highlight w:val="none"/>
          <w:u w:val="none"/>
        </w:rPr>
        <w:t>五、质量、安全与验收总体要求</w:t>
      </w:r>
    </w:p>
    <w:p w14:paraId="5C05655F">
      <w:pPr>
        <w:rPr>
          <w:rFonts w:hint="eastAsia" w:ascii="宋体" w:hAnsi="宋体" w:eastAsia="宋体" w:cs="宋体"/>
          <w:highlight w:val="none"/>
          <w:u w:val="none"/>
        </w:rPr>
      </w:pPr>
      <w:r>
        <w:rPr>
          <w:rFonts w:hint="eastAsia" w:ascii="宋体" w:hAnsi="宋体" w:eastAsia="宋体" w:cs="宋体"/>
          <w:highlight w:val="none"/>
          <w:u w:val="none"/>
        </w:rPr>
        <w:t>质量保证：</w:t>
      </w:r>
    </w:p>
    <w:p w14:paraId="52A3AFC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本项目所有用材、施工工艺及服务质量，除须符合本章所列标准外，还应符合国家、行业现行最新的相关标准和验收规范。</w:t>
      </w:r>
    </w:p>
    <w:p w14:paraId="2515C464">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应建立完善的质量管理体系</w:t>
      </w:r>
      <w:r>
        <w:rPr>
          <w:rFonts w:hint="eastAsia" w:ascii="宋体" w:hAnsi="宋体" w:eastAsia="宋体" w:cs="宋体"/>
          <w:highlight w:val="none"/>
          <w:u w:val="none"/>
          <w:lang w:eastAsia="zh-CN"/>
        </w:rPr>
        <w:t>，</w:t>
      </w:r>
      <w:r>
        <w:rPr>
          <w:rFonts w:hint="eastAsia" w:ascii="宋体" w:hAnsi="宋体" w:eastAsia="宋体" w:cs="宋体"/>
          <w:highlight w:val="none"/>
          <w:u w:val="none"/>
        </w:rPr>
        <w:t>从材料进场、工序施工、隐蔽工程、成品保护</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零星维修</w:t>
      </w:r>
      <w:r>
        <w:rPr>
          <w:rFonts w:hint="eastAsia" w:ascii="宋体" w:hAnsi="宋体" w:eastAsia="宋体" w:cs="宋体"/>
          <w:highlight w:val="none"/>
          <w:u w:val="none"/>
        </w:rPr>
        <w:t>等各环节实施全过程质量控制。上道工序不合格，不得进入下一道工序。</w:t>
      </w:r>
      <w:r>
        <w:rPr>
          <w:rFonts w:hint="eastAsia" w:ascii="宋体" w:hAnsi="宋体" w:eastAsia="宋体" w:cs="宋体"/>
          <w:highlight w:val="none"/>
          <w:u w:val="none"/>
          <w:lang w:val="en-US" w:eastAsia="zh-CN"/>
        </w:rPr>
        <w:t>包括但不限于上述各环节均应设立台账</w:t>
      </w:r>
      <w:r>
        <w:rPr>
          <w:rFonts w:hint="eastAsia" w:ascii="宋体" w:hAnsi="宋体" w:eastAsia="宋体" w:cs="宋体"/>
          <w:b w:val="0"/>
          <w:bCs w:val="0"/>
          <w:highlight w:val="none"/>
          <w:u w:val="none"/>
          <w:lang w:val="en-US" w:eastAsia="zh-CN"/>
        </w:rPr>
        <w:t>（合同到期不再续签时，须完整移交招标人，否则履约保证金不退）</w:t>
      </w:r>
      <w:r>
        <w:rPr>
          <w:rFonts w:hint="eastAsia" w:ascii="宋体" w:hAnsi="宋体" w:eastAsia="宋体" w:cs="宋体"/>
          <w:highlight w:val="none"/>
          <w:u w:val="none"/>
          <w:lang w:val="en-US" w:eastAsia="zh-CN"/>
        </w:rPr>
        <w:t>，招标人有权随时对其进行审阅、考核。</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须建立安全生产责任体系，项目经理为第一责任人。施工期间须按规范设置警示及防护标志，为作业人员配备安全工具和劳保用品，并为其购买足额意外险、责任险等。</w:t>
      </w:r>
    </w:p>
    <w:p w14:paraId="66BAAF23">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val="en-US" w:eastAsia="zh-CN"/>
        </w:rPr>
        <w:t>零星维修中使用的</w:t>
      </w:r>
      <w:r>
        <w:rPr>
          <w:rFonts w:hint="eastAsia" w:ascii="宋体" w:hAnsi="宋体" w:eastAsia="宋体" w:cs="宋体"/>
          <w:highlight w:val="none"/>
          <w:u w:val="none"/>
        </w:rPr>
        <w:t>石材构件，</w:t>
      </w:r>
      <w:r>
        <w:rPr>
          <w:rFonts w:hint="eastAsia" w:ascii="宋体" w:hAnsi="宋体" w:eastAsia="宋体" w:cs="宋体"/>
          <w:highlight w:val="none"/>
          <w:u w:val="none"/>
          <w:lang w:val="en-US" w:eastAsia="zh-CN"/>
        </w:rPr>
        <w:t>由中标人自行采购，</w:t>
      </w:r>
      <w:r>
        <w:rPr>
          <w:rFonts w:hint="eastAsia" w:ascii="宋体" w:hAnsi="宋体" w:eastAsia="宋体" w:cs="宋体"/>
          <w:highlight w:val="none"/>
          <w:u w:val="none"/>
        </w:rPr>
        <w:t>必须采用天然优质花岗岩或汉白玉，严禁使用人造石或染色材料。石料不能有翘曲、裂纹、石胆、色斑等缺陷。</w:t>
      </w:r>
      <w:r>
        <w:rPr>
          <w:rFonts w:hint="eastAsia" w:ascii="宋体" w:hAnsi="宋体" w:eastAsia="宋体" w:cs="宋体"/>
          <w:highlight w:val="none"/>
          <w:u w:val="none"/>
          <w:lang w:val="en-US" w:eastAsia="zh-CN"/>
        </w:rPr>
        <w:t>补刻</w:t>
      </w:r>
      <w:r>
        <w:rPr>
          <w:rFonts w:hint="eastAsia" w:ascii="宋体" w:hAnsi="宋体" w:eastAsia="宋体" w:cs="宋体"/>
          <w:highlight w:val="none"/>
          <w:u w:val="none"/>
        </w:rPr>
        <w:t>碑文</w:t>
      </w:r>
      <w:r>
        <w:rPr>
          <w:rFonts w:hint="eastAsia" w:ascii="宋体" w:hAnsi="宋体" w:eastAsia="宋体" w:cs="宋体"/>
          <w:highlight w:val="none"/>
          <w:u w:val="none"/>
          <w:lang w:val="en-US" w:eastAsia="zh-CN"/>
        </w:rPr>
        <w:t>的</w:t>
      </w:r>
      <w:r>
        <w:rPr>
          <w:rFonts w:hint="eastAsia" w:ascii="宋体" w:hAnsi="宋体" w:eastAsia="宋体" w:cs="宋体"/>
          <w:highlight w:val="none"/>
          <w:u w:val="none"/>
        </w:rPr>
        <w:t>雕刻须清晰、均匀，字体</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字号参照原有墓碑，雕刻</w:t>
      </w:r>
      <w:r>
        <w:rPr>
          <w:rFonts w:hint="eastAsia" w:ascii="宋体" w:hAnsi="宋体" w:eastAsia="宋体" w:cs="宋体"/>
          <w:highlight w:val="none"/>
          <w:u w:val="none"/>
        </w:rPr>
        <w:t>深度不小于0.5cm</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并按相关要求及时进行油漆描色</w:t>
      </w:r>
      <w:r>
        <w:rPr>
          <w:rFonts w:hint="eastAsia" w:ascii="宋体" w:hAnsi="宋体" w:eastAsia="宋体" w:cs="宋体"/>
          <w:highlight w:val="none"/>
          <w:u w:val="none"/>
        </w:rPr>
        <w:t>。</w:t>
      </w:r>
    </w:p>
    <w:p w14:paraId="220E49B1">
      <w:pPr>
        <w:rPr>
          <w:rFonts w:hint="eastAsia" w:ascii="宋体" w:hAnsi="宋体" w:eastAsia="宋体" w:cs="宋体"/>
          <w:b w:val="0"/>
          <w:bCs w:val="0"/>
          <w:highlight w:val="none"/>
          <w:u w:val="none"/>
        </w:rPr>
      </w:pPr>
      <w:r>
        <w:rPr>
          <w:rFonts w:hint="eastAsia" w:ascii="宋体" w:hAnsi="宋体" w:eastAsia="宋体" w:cs="宋体"/>
          <w:b w:val="0"/>
          <w:bCs w:val="0"/>
          <w:highlight w:val="none"/>
          <w:u w:val="none"/>
        </w:rPr>
        <w:t>质保期总则：</w:t>
      </w:r>
    </w:p>
    <w:p w14:paraId="33357B4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本项目各子项质保期自各批次工程验收合格之日起分别起算、分别届满。其中墓穴基础及墓体安装质保期不少于6年，零星维修质保期3年（墓碑描字</w:t>
      </w:r>
      <w:r>
        <w:rPr>
          <w:rFonts w:hint="eastAsia" w:ascii="宋体" w:hAnsi="宋体" w:cs="宋体"/>
          <w:highlight w:val="none"/>
          <w:u w:val="none"/>
          <w:lang w:val="en-US" w:eastAsia="zh-CN"/>
        </w:rPr>
        <w:t>质保期2年</w:t>
      </w:r>
      <w:r>
        <w:rPr>
          <w:rFonts w:hint="eastAsia" w:ascii="宋体" w:hAnsi="宋体" w:eastAsia="宋体" w:cs="宋体"/>
          <w:highlight w:val="none"/>
          <w:u w:val="none"/>
        </w:rPr>
        <w:t>、树木修剪质保期1年）。质保期内（无论主合同是否存续）出现质量问题的，中标方须按本章相关要求免费维修。</w:t>
      </w:r>
    </w:p>
    <w:p w14:paraId="1E280FA7">
      <w:pPr>
        <w:rPr>
          <w:rFonts w:hint="eastAsia" w:ascii="宋体" w:hAnsi="宋体" w:eastAsia="宋体" w:cs="宋体"/>
          <w:highlight w:val="none"/>
          <w:u w:val="none"/>
        </w:rPr>
      </w:pPr>
      <w:r>
        <w:rPr>
          <w:rFonts w:hint="eastAsia" w:ascii="宋体" w:hAnsi="宋体" w:eastAsia="宋体" w:cs="宋体"/>
          <w:highlight w:val="none"/>
          <w:u w:val="none"/>
        </w:rPr>
        <w:t>安全管理：</w:t>
      </w:r>
    </w:p>
    <w:p w14:paraId="694F349A">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施工、安装、值守等全作业期间引发的任何人身伤亡、消防安全（特别是山林防火）、交通事故等安全事故，</w:t>
      </w:r>
      <w:r>
        <w:rPr>
          <w:rFonts w:hint="eastAsia" w:ascii="宋体" w:hAnsi="宋体" w:eastAsia="宋体" w:cs="宋体"/>
          <w:highlight w:val="none"/>
          <w:u w:val="none"/>
          <w:lang w:val="en-US" w:eastAsia="zh-CN"/>
        </w:rPr>
        <w:t>均</w:t>
      </w:r>
      <w:r>
        <w:rPr>
          <w:rFonts w:hint="eastAsia" w:ascii="宋体" w:hAnsi="宋体" w:eastAsia="宋体" w:cs="宋体"/>
          <w:highlight w:val="none"/>
          <w:u w:val="none"/>
        </w:rPr>
        <w:t>由中标人承担全部责任和费用</w:t>
      </w:r>
      <w:r>
        <w:rPr>
          <w:rFonts w:hint="eastAsia" w:ascii="宋体" w:hAnsi="宋体" w:eastAsia="宋体" w:cs="宋体"/>
          <w:highlight w:val="none"/>
          <w:u w:val="none"/>
          <w:lang w:val="en-US" w:eastAsia="zh-CN"/>
        </w:rPr>
        <w:t>及一切由此产生的法律后果</w:t>
      </w:r>
      <w:r>
        <w:rPr>
          <w:rFonts w:hint="eastAsia" w:ascii="宋体" w:hAnsi="宋体" w:eastAsia="宋体" w:cs="宋体"/>
          <w:highlight w:val="none"/>
          <w:u w:val="none"/>
        </w:rPr>
        <w:t>。</w:t>
      </w:r>
    </w:p>
    <w:p w14:paraId="3F55E2E6">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中标人应安排专人对园区内施工车辆及非施工车辆通行、停放进行引导与劝阻。施工车辆（含各类工程作业机械）限速5km/h，并须及时排除与恢复特定位置的隔离桩（便于殡葬车辆通行，阻止其他车辆跟行殡葬车辆进入）；除殡葬车及执行紧急任务的消防、救护、警务车辆及残疾人专用轮椅车，以及经招标人书面批准的其他应急保障车辆外，所有非施工机动车与非机动车均须停放在指定区域。中标人未尽到引导、劝阻义务，导致车辆超速或违规停放的，每发现一次，除按季度考核结果对应得分及支付比例执行以外，另须按本项目当月服务费总价的1%支付违约金。因招标人职工、教职人员、访客等第三方拒不配合导致的违规，中标人能及时报告招标人并提供有效劝阻记录的，不予追究违约责任。</w:t>
      </w:r>
    </w:p>
    <w:p w14:paraId="78230613">
      <w:pPr>
        <w:rPr>
          <w:rFonts w:hint="eastAsia" w:ascii="宋体" w:hAnsi="宋体" w:eastAsia="宋体" w:cs="宋体"/>
          <w:highlight w:val="none"/>
          <w:u w:val="none"/>
        </w:rPr>
      </w:pPr>
      <w:r>
        <w:rPr>
          <w:rFonts w:hint="eastAsia" w:ascii="宋体" w:hAnsi="宋体" w:eastAsia="宋体" w:cs="宋体"/>
          <w:highlight w:val="none"/>
          <w:u w:val="none"/>
        </w:rPr>
        <w:t>验收要求：</w:t>
      </w:r>
    </w:p>
    <w:p w14:paraId="1587D2A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验收</w:t>
      </w:r>
      <w:r>
        <w:rPr>
          <w:rFonts w:hint="eastAsia" w:ascii="宋体" w:hAnsi="宋体" w:eastAsia="宋体" w:cs="宋体"/>
          <w:highlight w:val="none"/>
          <w:u w:val="none"/>
          <w:lang w:val="en-US" w:eastAsia="zh-CN"/>
        </w:rPr>
        <w:t>过程</w:t>
      </w:r>
      <w:r>
        <w:rPr>
          <w:rFonts w:hint="eastAsia" w:ascii="宋体" w:hAnsi="宋体" w:eastAsia="宋体" w:cs="宋体"/>
          <w:highlight w:val="none"/>
          <w:u w:val="none"/>
        </w:rPr>
        <w:t>依据招标文件、投标文件、合同、设计图纸、实物样品</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双方约定等</w:t>
      </w:r>
      <w:r>
        <w:rPr>
          <w:rFonts w:hint="eastAsia" w:ascii="宋体" w:hAnsi="宋体" w:eastAsia="宋体" w:cs="宋体"/>
          <w:highlight w:val="none"/>
          <w:u w:val="none"/>
        </w:rPr>
        <w:t>及国家有关规定进行。</w:t>
      </w:r>
    </w:p>
    <w:p w14:paraId="564930DF">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零星维修中用到的</w:t>
      </w:r>
      <w:r>
        <w:rPr>
          <w:rFonts w:hint="eastAsia" w:ascii="宋体" w:hAnsi="宋体" w:eastAsia="宋体" w:cs="宋体"/>
          <w:highlight w:val="none"/>
          <w:u w:val="none"/>
        </w:rPr>
        <w:t>墓体石材</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辅料等</w:t>
      </w:r>
      <w:r>
        <w:rPr>
          <w:rFonts w:hint="eastAsia" w:ascii="宋体" w:hAnsi="宋体" w:eastAsia="宋体" w:cs="宋体"/>
          <w:highlight w:val="none"/>
          <w:u w:val="none"/>
        </w:rPr>
        <w:t>及施工安装工程，由</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组建验收小组</w:t>
      </w:r>
      <w:r>
        <w:rPr>
          <w:rFonts w:hint="eastAsia" w:ascii="宋体" w:hAnsi="宋体" w:eastAsia="宋体" w:cs="宋体"/>
          <w:highlight w:val="none"/>
          <w:u w:val="none"/>
          <w:lang w:val="en-US" w:eastAsia="zh-CN"/>
        </w:rPr>
        <w:t>或指派专人进行验收</w:t>
      </w:r>
      <w:r>
        <w:rPr>
          <w:rFonts w:hint="eastAsia" w:ascii="宋体" w:hAnsi="宋体" w:eastAsia="宋体" w:cs="宋体"/>
          <w:highlight w:val="none"/>
          <w:u w:val="none"/>
          <w:lang w:eastAsia="zh-CN"/>
        </w:rPr>
        <w:t>。</w:t>
      </w:r>
      <w:r>
        <w:rPr>
          <w:rFonts w:hint="eastAsia" w:ascii="宋体" w:hAnsi="宋体" w:eastAsia="宋体" w:cs="宋体"/>
          <w:highlight w:val="none"/>
          <w:u w:val="none"/>
        </w:rPr>
        <w:t>必要时</w:t>
      </w:r>
      <w:r>
        <w:rPr>
          <w:rFonts w:hint="eastAsia" w:ascii="宋体" w:hAnsi="宋体" w:eastAsia="宋体" w:cs="宋体"/>
          <w:highlight w:val="none"/>
          <w:u w:val="none"/>
          <w:lang w:val="en-US" w:eastAsia="zh-CN"/>
        </w:rPr>
        <w:t>须</w:t>
      </w:r>
      <w:r>
        <w:rPr>
          <w:rFonts w:hint="eastAsia" w:ascii="宋体" w:hAnsi="宋体" w:eastAsia="宋体" w:cs="宋体"/>
          <w:highlight w:val="none"/>
          <w:u w:val="none"/>
        </w:rPr>
        <w:t>邀请</w:t>
      </w:r>
      <w:r>
        <w:rPr>
          <w:rFonts w:hint="eastAsia" w:ascii="宋体" w:hAnsi="宋体" w:eastAsia="宋体" w:cs="宋体"/>
          <w:highlight w:val="none"/>
          <w:u w:val="none"/>
          <w:lang w:val="en-US" w:eastAsia="zh-CN"/>
        </w:rPr>
        <w:t>招标人认可的</w:t>
      </w:r>
      <w:r>
        <w:rPr>
          <w:rFonts w:hint="eastAsia" w:ascii="宋体" w:hAnsi="宋体" w:eastAsia="宋体" w:cs="宋体"/>
          <w:highlight w:val="none"/>
          <w:u w:val="none"/>
        </w:rPr>
        <w:t>第三方专业机构参与</w:t>
      </w:r>
      <w:r>
        <w:rPr>
          <w:rFonts w:hint="eastAsia" w:ascii="宋体" w:hAnsi="宋体" w:eastAsia="宋体" w:cs="宋体"/>
          <w:highlight w:val="none"/>
          <w:u w:val="none"/>
          <w:lang w:eastAsia="zh-CN"/>
        </w:rPr>
        <w:t>，</w:t>
      </w:r>
      <w:r>
        <w:rPr>
          <w:rFonts w:hint="eastAsia" w:ascii="宋体" w:hAnsi="宋体" w:eastAsia="宋体" w:cs="宋体"/>
          <w:highlight w:val="none"/>
          <w:u w:val="none"/>
        </w:rPr>
        <w:t>验收费用由中标人承担。</w:t>
      </w:r>
    </w:p>
    <w:p w14:paraId="55D1EA68">
      <w:pPr>
        <w:rPr>
          <w:rFonts w:hint="eastAsia" w:ascii="宋体" w:hAnsi="宋体" w:eastAsia="宋体" w:cs="宋体"/>
          <w:highlight w:val="none"/>
          <w:u w:val="none"/>
        </w:rPr>
      </w:pPr>
      <w:r>
        <w:rPr>
          <w:rFonts w:hint="eastAsia" w:ascii="宋体" w:hAnsi="宋体" w:eastAsia="宋体" w:cs="宋体"/>
          <w:highlight w:val="none"/>
          <w:u w:val="none"/>
        </w:rPr>
        <w:t>规格尺寸允许偏差需满足高标准要求：</w:t>
      </w:r>
    </w:p>
    <w:p w14:paraId="21D95725">
      <w:pPr>
        <w:ind w:firstLine="420" w:firstLineChars="200"/>
        <w:rPr>
          <w:rFonts w:hint="eastAsia" w:ascii="宋体" w:hAnsi="宋体" w:eastAsia="宋体" w:cs="宋体"/>
          <w:highlight w:val="none"/>
          <w:u w:val="none"/>
          <w:lang w:val="en-US" w:eastAsia="zh-CN"/>
        </w:rPr>
      </w:pPr>
      <w:r>
        <w:rPr>
          <w:rFonts w:hint="eastAsia" w:ascii="宋体" w:hAnsi="宋体" w:eastAsia="宋体" w:cs="宋体"/>
          <w:highlight w:val="none"/>
          <w:u w:val="none"/>
          <w:lang w:val="en-US" w:eastAsia="zh-CN"/>
        </w:rPr>
        <w:t>所有工程项目施工结束后，对应项目的</w:t>
      </w:r>
      <w:r>
        <w:rPr>
          <w:rFonts w:hint="eastAsia" w:ascii="宋体" w:hAnsi="宋体" w:eastAsia="宋体" w:cs="宋体"/>
          <w:highlight w:val="none"/>
          <w:u w:val="none"/>
        </w:rPr>
        <w:t>长宽度公差</w:t>
      </w:r>
      <w:r>
        <w:rPr>
          <w:rFonts w:hint="eastAsia" w:ascii="宋体" w:hAnsi="宋体" w:eastAsia="宋体" w:cs="宋体"/>
          <w:highlight w:val="none"/>
          <w:u w:val="none"/>
          <w:lang w:val="en-US" w:eastAsia="zh-CN"/>
        </w:rPr>
        <w:t>不得超过</w:t>
      </w:r>
      <w:r>
        <w:rPr>
          <w:rFonts w:hint="eastAsia" w:ascii="宋体" w:hAnsi="宋体" w:eastAsia="宋体" w:cs="宋体"/>
          <w:highlight w:val="none"/>
          <w:u w:val="none"/>
        </w:rPr>
        <w:t>±5mm</w:t>
      </w:r>
      <w:r>
        <w:rPr>
          <w:rFonts w:hint="eastAsia" w:ascii="宋体" w:hAnsi="宋体" w:eastAsia="宋体" w:cs="宋体"/>
          <w:highlight w:val="none"/>
          <w:u w:val="none"/>
          <w:lang w:val="en-US" w:eastAsia="zh-CN"/>
        </w:rPr>
        <w:t xml:space="preserve"> 。</w:t>
      </w:r>
    </w:p>
    <w:p w14:paraId="62075775">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平面度偏差需控制在±</w:t>
      </w:r>
      <w:r>
        <w:rPr>
          <w:rFonts w:hint="eastAsia" w:ascii="宋体" w:hAnsi="宋体" w:eastAsia="宋体" w:cs="宋体"/>
          <w:highlight w:val="none"/>
          <w:u w:val="none"/>
          <w:lang w:val="en-US" w:eastAsia="zh-CN"/>
        </w:rPr>
        <w:t>1mm</w:t>
      </w:r>
      <w:r>
        <w:rPr>
          <w:rFonts w:hint="eastAsia" w:ascii="宋体" w:hAnsi="宋体" w:eastAsia="宋体" w:cs="宋体"/>
          <w:highlight w:val="none"/>
          <w:u w:val="none"/>
        </w:rPr>
        <w:t>、角度等偏差需控制在±</w:t>
      </w:r>
      <w:r>
        <w:rPr>
          <w:rFonts w:hint="eastAsia" w:ascii="宋体" w:hAnsi="宋体" w:eastAsia="宋体" w:cs="宋体"/>
          <w:highlight w:val="none"/>
          <w:u w:val="none"/>
          <w:lang w:val="en-US" w:eastAsia="zh-CN"/>
        </w:rPr>
        <w:t>1°的</w:t>
      </w:r>
      <w:r>
        <w:rPr>
          <w:rFonts w:hint="eastAsia" w:ascii="宋体" w:hAnsi="宋体" w:eastAsia="宋体" w:cs="宋体"/>
          <w:highlight w:val="none"/>
          <w:u w:val="none"/>
        </w:rPr>
        <w:t>范围内</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合同特别约定的除外</w:t>
      </w:r>
      <w:r>
        <w:rPr>
          <w:rFonts w:hint="eastAsia" w:ascii="宋体" w:hAnsi="宋体" w:eastAsia="宋体" w:cs="宋体"/>
          <w:highlight w:val="none"/>
          <w:u w:val="none"/>
          <w:lang w:eastAsia="zh-CN"/>
        </w:rPr>
        <w:t>）。</w:t>
      </w:r>
    </w:p>
    <w:p w14:paraId="3D55E58F">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lang w:val="en-US" w:eastAsia="zh-CN"/>
        </w:rPr>
        <w:t>零星维修中中标人提供的</w:t>
      </w:r>
      <w:r>
        <w:rPr>
          <w:rFonts w:hint="eastAsia" w:ascii="宋体" w:hAnsi="宋体" w:eastAsia="宋体" w:cs="宋体"/>
          <w:highlight w:val="none"/>
          <w:u w:val="none"/>
        </w:rPr>
        <w:t>石材上石胆（污点）尺寸不能超过15mm×15mm</w:t>
      </w:r>
      <w:r>
        <w:rPr>
          <w:rFonts w:hint="eastAsia" w:ascii="宋体" w:hAnsi="宋体" w:eastAsia="宋体" w:cs="宋体"/>
          <w:highlight w:val="none"/>
          <w:u w:val="none"/>
          <w:lang w:val="en-US" w:eastAsia="zh-CN"/>
        </w:rPr>
        <w:t xml:space="preserve"> </w:t>
      </w:r>
      <w:r>
        <w:rPr>
          <w:rFonts w:hint="eastAsia" w:ascii="宋体" w:hAnsi="宋体" w:eastAsia="宋体" w:cs="宋体"/>
          <w:highlight w:val="none"/>
          <w:u w:val="none"/>
          <w:lang w:eastAsia="zh-CN"/>
        </w:rPr>
        <w:t>。</w:t>
      </w:r>
    </w:p>
    <w:p w14:paraId="0B7F270C">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不符合质量要求的，中标人须无条件更换或返工，直至合格。因质量问题造成工期延误或其它损失的，</w:t>
      </w:r>
      <w:r>
        <w:rPr>
          <w:rFonts w:hint="eastAsia" w:ascii="宋体" w:hAnsi="宋体" w:eastAsia="宋体" w:cs="宋体"/>
          <w:highlight w:val="none"/>
          <w:u w:val="none"/>
          <w:lang w:eastAsia="zh-CN"/>
        </w:rPr>
        <w:t>相关违约责任按本章'违约责任总则'条款执行。</w:t>
      </w:r>
    </w:p>
    <w:p w14:paraId="79C3B438">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有权委托第三方审计机构对结算进行审计，审计结果作为最终结算依据。</w:t>
      </w:r>
    </w:p>
    <w:p w14:paraId="371CEF2A">
      <w:pPr>
        <w:rPr>
          <w:rFonts w:hint="eastAsia" w:ascii="宋体" w:hAnsi="宋体" w:eastAsia="宋体" w:cs="宋体"/>
          <w:highlight w:val="none"/>
          <w:u w:val="none"/>
        </w:rPr>
      </w:pPr>
    </w:p>
    <w:p w14:paraId="3DB3C8CF">
      <w:pPr>
        <w:rPr>
          <w:rFonts w:hint="eastAsia" w:ascii="宋体" w:hAnsi="宋体" w:eastAsia="宋体" w:cs="宋体"/>
          <w:b/>
          <w:bCs/>
          <w:sz w:val="30"/>
          <w:szCs w:val="30"/>
          <w:highlight w:val="none"/>
          <w:u w:val="none"/>
        </w:rPr>
      </w:pPr>
      <w:r>
        <w:rPr>
          <w:rFonts w:hint="eastAsia" w:ascii="宋体" w:hAnsi="宋体" w:eastAsia="宋体" w:cs="宋体"/>
          <w:b/>
          <w:bCs/>
          <w:sz w:val="30"/>
          <w:szCs w:val="30"/>
          <w:highlight w:val="none"/>
          <w:u w:val="none"/>
        </w:rPr>
        <w:t>六、综合考核与结算</w:t>
      </w:r>
    </w:p>
    <w:p w14:paraId="7960898D">
      <w:pPr>
        <w:jc w:val="left"/>
        <w:rPr>
          <w:rFonts w:hint="eastAsia" w:ascii="宋体" w:hAnsi="宋体" w:eastAsia="宋体" w:cs="宋体"/>
          <w:highlight w:val="none"/>
          <w:u w:val="none"/>
        </w:rPr>
      </w:pPr>
      <w:r>
        <w:rPr>
          <w:rFonts w:hint="eastAsia" w:ascii="宋体" w:hAnsi="宋体" w:eastAsia="宋体" w:cs="宋体"/>
          <w:highlight w:val="none"/>
          <w:u w:val="none"/>
        </w:rPr>
        <w:t>（一）综合考核机制</w:t>
      </w:r>
    </w:p>
    <w:p w14:paraId="7E713E04">
      <w:pPr>
        <w:jc w:val="left"/>
        <w:rPr>
          <w:rFonts w:hint="eastAsia" w:ascii="宋体" w:hAnsi="宋体" w:eastAsia="宋体" w:cs="宋体"/>
          <w:highlight w:val="none"/>
          <w:u w:val="none"/>
        </w:rPr>
      </w:pPr>
      <w:r>
        <w:rPr>
          <w:rFonts w:hint="eastAsia" w:ascii="宋体" w:hAnsi="宋体" w:eastAsia="宋体" w:cs="宋体"/>
          <w:highlight w:val="none"/>
          <w:u w:val="none"/>
          <w:lang w:val="en-US" w:eastAsia="zh-CN"/>
        </w:rPr>
        <w:t xml:space="preserve">1. </w:t>
      </w:r>
      <w:r>
        <w:rPr>
          <w:rFonts w:hint="eastAsia" w:ascii="宋体" w:hAnsi="宋体" w:eastAsia="宋体" w:cs="宋体"/>
          <w:highlight w:val="none"/>
          <w:u w:val="none"/>
        </w:rPr>
        <w:t>考核周期与依据</w:t>
      </w:r>
    </w:p>
    <w:p w14:paraId="48E35F32">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本项目实行"按季考核、半年结算"机制。每半年末进行一次综合服务考核，考核内容涵盖本章所有服务项目的技术标准、管理方案及考核细则。</w:t>
      </w:r>
    </w:p>
    <w:p w14:paraId="5EB44367">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半年度综合结算考核得分以当期半年度两个季度业务考核评分的算术平均值为准。</w:t>
      </w:r>
    </w:p>
    <w:p w14:paraId="22209214">
      <w:pPr>
        <w:numPr>
          <w:ilvl w:val="0"/>
          <w:numId w:val="3"/>
        </w:numPr>
        <w:jc w:val="left"/>
        <w:rPr>
          <w:rFonts w:hint="eastAsia" w:ascii="宋体" w:hAnsi="宋体" w:eastAsia="宋体" w:cs="宋体"/>
          <w:highlight w:val="none"/>
          <w:u w:val="none"/>
        </w:rPr>
      </w:pPr>
      <w:r>
        <w:rPr>
          <w:rFonts w:hint="eastAsia" w:ascii="宋体" w:hAnsi="宋体" w:eastAsia="宋体" w:cs="宋体"/>
          <w:highlight w:val="none"/>
          <w:u w:val="none"/>
        </w:rPr>
        <w:t>合同续签资格</w:t>
      </w:r>
    </w:p>
    <w:p w14:paraId="6AAA53E1">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宋体" w:hAnsi="宋体" w:eastAsia="宋体" w:cs="宋体"/>
          <w:highlight w:val="none"/>
          <w:u w:val="none"/>
        </w:rPr>
      </w:pPr>
      <w:r>
        <w:rPr>
          <w:rFonts w:hint="eastAsia" w:ascii="宋体" w:hAnsi="宋体" w:eastAsia="宋体" w:cs="宋体"/>
          <w:highlight w:val="none"/>
          <w:u w:val="none"/>
        </w:rPr>
        <w:t>供应商若年度内任一次半年度综合结算考核结果为基本合格或以下，则采购人有权不予续签。</w:t>
      </w:r>
    </w:p>
    <w:p w14:paraId="6204F359">
      <w:pPr>
        <w:numPr>
          <w:ilvl w:val="0"/>
          <w:numId w:val="3"/>
        </w:numPr>
        <w:ind w:left="0" w:leftChars="0" w:firstLine="0" w:firstLineChars="0"/>
        <w:jc w:val="left"/>
        <w:rPr>
          <w:rFonts w:hint="eastAsia" w:ascii="宋体" w:hAnsi="宋体" w:eastAsia="宋体" w:cs="宋体"/>
          <w:highlight w:val="none"/>
          <w:u w:val="none"/>
        </w:rPr>
      </w:pPr>
      <w:r>
        <w:rPr>
          <w:rFonts w:hint="eastAsia" w:ascii="宋体" w:hAnsi="宋体" w:eastAsia="宋体" w:cs="宋体"/>
          <w:highlight w:val="none"/>
          <w:u w:val="none"/>
        </w:rPr>
        <w:t>履约保证金管理</w:t>
      </w:r>
    </w:p>
    <w:p w14:paraId="25FE9CBC">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一次考核为基本合格或不合格的，</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有权要求中标人限期整改，并按本章"违约责任总则"相关条款扣除相应履约保证金。</w:t>
      </w:r>
    </w:p>
    <w:p w14:paraId="524EBF0E">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年度内累计两次季度考核结果为"不合格"或出现一次"严重不合格"的，</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有权单方解除合同，履约保证金不予退还。</w:t>
      </w:r>
    </w:p>
    <w:p w14:paraId="197A9B03">
      <w:pPr>
        <w:jc w:val="left"/>
        <w:rPr>
          <w:rFonts w:hint="eastAsia" w:ascii="宋体" w:hAnsi="宋体" w:eastAsia="宋体" w:cs="宋体"/>
          <w:highlight w:val="none"/>
          <w:u w:val="none"/>
        </w:rPr>
      </w:pPr>
      <w:r>
        <w:rPr>
          <w:rFonts w:hint="eastAsia" w:ascii="宋体" w:hAnsi="宋体" w:eastAsia="宋体" w:cs="宋体"/>
          <w:highlight w:val="none"/>
          <w:u w:val="none"/>
        </w:rPr>
        <w:t>（二）付款方式</w:t>
      </w:r>
    </w:p>
    <w:p w14:paraId="7C900351">
      <w:pPr>
        <w:jc w:val="left"/>
        <w:rPr>
          <w:rFonts w:hint="eastAsia" w:ascii="宋体" w:hAnsi="宋体" w:eastAsia="宋体" w:cs="宋体"/>
          <w:highlight w:val="none"/>
          <w:u w:val="none"/>
        </w:rPr>
      </w:pPr>
      <w:r>
        <w:rPr>
          <w:rFonts w:hint="eastAsia" w:ascii="宋体" w:hAnsi="宋体" w:eastAsia="宋体" w:cs="宋体"/>
          <w:highlight w:val="none"/>
          <w:u w:val="none"/>
          <w:lang w:val="en-US" w:eastAsia="zh-CN"/>
        </w:rPr>
        <w:t xml:space="preserve">1. </w:t>
      </w:r>
      <w:r>
        <w:rPr>
          <w:rFonts w:hint="eastAsia" w:ascii="宋体" w:hAnsi="宋体" w:eastAsia="宋体" w:cs="宋体"/>
          <w:highlight w:val="none"/>
          <w:u w:val="none"/>
        </w:rPr>
        <w:t>结算原则</w:t>
      </w:r>
    </w:p>
    <w:p w14:paraId="1D02F8CB">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本项目按半年度进行考核结算。每半年根据考核结果、实际完成服务量及审计确认的金额进行结算支付。</w:t>
      </w:r>
    </w:p>
    <w:p w14:paraId="6A7F1FB0">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本项目不支付预付款。中标人须按合同约定开具增值税发票。</w:t>
      </w:r>
    </w:p>
    <w:p w14:paraId="54FBDD7B">
      <w:pPr>
        <w:numPr>
          <w:ilvl w:val="0"/>
          <w:numId w:val="4"/>
        </w:numPr>
        <w:jc w:val="left"/>
        <w:rPr>
          <w:rFonts w:hint="eastAsia" w:ascii="宋体" w:hAnsi="宋体" w:eastAsia="宋体" w:cs="宋体"/>
          <w:highlight w:val="none"/>
          <w:u w:val="none"/>
        </w:rPr>
      </w:pPr>
      <w:r>
        <w:rPr>
          <w:rFonts w:hint="eastAsia" w:ascii="宋体" w:hAnsi="宋体" w:eastAsia="宋体" w:cs="宋体"/>
          <w:highlight w:val="none"/>
          <w:u w:val="none"/>
        </w:rPr>
        <w:t>计价模式</w:t>
      </w:r>
    </w:p>
    <w:p w14:paraId="4058E0F1">
      <w:pPr>
        <w:jc w:val="left"/>
        <w:rPr>
          <w:rFonts w:hint="eastAsia" w:ascii="宋体" w:hAnsi="宋体" w:eastAsia="宋体" w:cs="宋体"/>
          <w:highlight w:val="none"/>
          <w:u w:val="none"/>
        </w:rPr>
      </w:pPr>
      <w:r>
        <w:rPr>
          <w:rFonts w:hint="eastAsia" w:ascii="宋体" w:hAnsi="宋体" w:eastAsia="宋体" w:cs="宋体"/>
          <w:highlight w:val="none"/>
          <w:u w:val="none"/>
        </w:rPr>
        <w:t>费用包干项：</w:t>
      </w:r>
    </w:p>
    <w:p w14:paraId="79F1D738">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包括两处墓区的石椁内衬</w:t>
      </w:r>
      <w:r>
        <w:rPr>
          <w:rFonts w:hint="eastAsia" w:ascii="宋体" w:hAnsi="宋体" w:cs="宋体"/>
          <w:highlight w:val="none"/>
          <w:u w:val="none"/>
          <w:lang w:val="en-US" w:eastAsia="zh-CN"/>
        </w:rPr>
        <w:t>木</w:t>
      </w:r>
      <w:r>
        <w:rPr>
          <w:rFonts w:hint="eastAsia" w:ascii="宋体" w:hAnsi="宋体" w:eastAsia="宋体" w:cs="宋体"/>
          <w:highlight w:val="none"/>
          <w:u w:val="none"/>
        </w:rPr>
        <w:t>板</w:t>
      </w:r>
      <w:r>
        <w:rPr>
          <w:rFonts w:hint="eastAsia" w:ascii="宋体" w:hAnsi="宋体" w:cs="宋体"/>
          <w:highlight w:val="none"/>
          <w:u w:val="none"/>
          <w:lang w:val="en-US" w:eastAsia="zh-CN"/>
        </w:rPr>
        <w:t>采购制作</w:t>
      </w:r>
      <w:r>
        <w:rPr>
          <w:rFonts w:hint="eastAsia" w:ascii="宋体" w:hAnsi="宋体" w:eastAsia="宋体" w:cs="宋体"/>
          <w:highlight w:val="none"/>
          <w:u w:val="none"/>
        </w:rPr>
        <w:t>、环境整治修补、值班值守、绿化养护、保洁服务、材料保管等子项，实行费用包干。包干价已包含人工、材料、机械、管理费、利润及风险等全部费用，结算时不作调整。</w:t>
      </w:r>
    </w:p>
    <w:p w14:paraId="53DA934C">
      <w:pPr>
        <w:jc w:val="left"/>
        <w:rPr>
          <w:rFonts w:hint="eastAsia" w:ascii="宋体" w:hAnsi="宋体" w:eastAsia="宋体" w:cs="宋体"/>
          <w:highlight w:val="none"/>
          <w:u w:val="none"/>
        </w:rPr>
      </w:pPr>
      <w:r>
        <w:rPr>
          <w:rFonts w:hint="eastAsia" w:ascii="宋体" w:hAnsi="宋体" w:eastAsia="宋体" w:cs="宋体"/>
          <w:highlight w:val="none"/>
          <w:u w:val="none"/>
        </w:rPr>
        <w:t>据实结算项：</w:t>
      </w:r>
    </w:p>
    <w:p w14:paraId="3980FFB6">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基础建设、墓体安装、落葬服务、零星维修等子项，执行合同约定的单价，按实际完成的合格工程量乘以合同单价据实结算。</w:t>
      </w:r>
    </w:p>
    <w:p w14:paraId="5AEADA78">
      <w:pPr>
        <w:numPr>
          <w:ilvl w:val="0"/>
          <w:numId w:val="4"/>
        </w:numPr>
        <w:ind w:left="0" w:leftChars="0" w:firstLine="0" w:firstLineChars="0"/>
        <w:jc w:val="left"/>
        <w:rPr>
          <w:rFonts w:hint="eastAsia" w:ascii="宋体" w:hAnsi="宋体" w:eastAsia="宋体" w:cs="宋体"/>
          <w:highlight w:val="none"/>
          <w:u w:val="none"/>
        </w:rPr>
      </w:pPr>
      <w:r>
        <w:rPr>
          <w:rFonts w:hint="eastAsia" w:ascii="宋体" w:hAnsi="宋体" w:eastAsia="宋体" w:cs="宋体"/>
          <w:highlight w:val="none"/>
          <w:u w:val="none"/>
        </w:rPr>
        <w:t>服务费支付机制</w:t>
      </w:r>
    </w:p>
    <w:p w14:paraId="2D88A695">
      <w:pPr>
        <w:keepNext w:val="0"/>
        <w:keepLines w:val="0"/>
        <w:pageBreakBefore w:val="0"/>
        <w:widowControl w:val="0"/>
        <w:kinsoku/>
        <w:wordWrap/>
        <w:overflowPunct/>
        <w:topLinePunct w:val="0"/>
        <w:autoSpaceDE/>
        <w:autoSpaceDN/>
        <w:bidi w:val="0"/>
        <w:adjustRightInd/>
        <w:snapToGrid/>
        <w:ind w:firstLine="420" w:firstLineChars="200"/>
        <w:jc w:val="left"/>
        <w:textAlignment w:val="auto"/>
        <w:rPr>
          <w:rFonts w:hint="eastAsia" w:ascii="宋体" w:hAnsi="宋体" w:eastAsia="宋体" w:cs="宋体"/>
          <w:highlight w:val="none"/>
          <w:u w:val="none"/>
        </w:rPr>
      </w:pPr>
      <w:r>
        <w:rPr>
          <w:rFonts w:hint="eastAsia" w:ascii="宋体" w:hAnsi="宋体" w:eastAsia="宋体" w:cs="宋体"/>
          <w:highlight w:val="none"/>
          <w:u w:val="none"/>
        </w:rPr>
        <w:t>季度考核</w:t>
      </w:r>
      <w:r>
        <w:rPr>
          <w:rFonts w:hint="eastAsia" w:ascii="宋体" w:hAnsi="宋体" w:eastAsia="宋体" w:cs="宋体"/>
          <w:highlight w:val="none"/>
          <w:u w:val="none"/>
          <w:lang w:val="en-US" w:eastAsia="zh-CN"/>
        </w:rPr>
        <w:t>标准</w:t>
      </w:r>
      <w:r>
        <w:rPr>
          <w:rFonts w:hint="eastAsia" w:ascii="宋体" w:hAnsi="宋体" w:eastAsia="宋体" w:cs="宋体"/>
          <w:highlight w:val="none"/>
          <w:u w:val="none"/>
        </w:rPr>
        <w:t>：</w:t>
      </w:r>
    </w:p>
    <w:p w14:paraId="59337642">
      <w:pPr>
        <w:ind w:firstLine="420" w:firstLineChars="200"/>
        <w:jc w:val="left"/>
        <w:rPr>
          <w:rFonts w:hint="eastAsia" w:ascii="宋体" w:hAnsi="宋体" w:eastAsia="宋体" w:cs="宋体"/>
          <w:highlight w:val="none"/>
          <w:u w:val="none"/>
          <w:lang w:eastAsia="zh-CN"/>
        </w:rPr>
      </w:pPr>
      <w:r>
        <w:rPr>
          <w:rFonts w:hint="eastAsia" w:ascii="宋体" w:hAnsi="宋体" w:eastAsia="宋体" w:cs="宋体"/>
          <w:highlight w:val="none"/>
          <w:u w:val="none"/>
        </w:rPr>
        <w:t>优秀（95分及以上）</w:t>
      </w:r>
      <w:r>
        <w:rPr>
          <w:rFonts w:hint="eastAsia" w:ascii="宋体" w:hAnsi="宋体" w:cs="宋体"/>
          <w:highlight w:val="none"/>
          <w:u w:val="none"/>
          <w:lang w:eastAsia="zh-CN"/>
        </w:rPr>
        <w:t>；</w:t>
      </w:r>
    </w:p>
    <w:p w14:paraId="2F8B05E8">
      <w:pPr>
        <w:ind w:firstLine="420" w:firstLineChars="200"/>
        <w:jc w:val="left"/>
        <w:rPr>
          <w:rFonts w:hint="eastAsia" w:ascii="宋体" w:hAnsi="宋体" w:eastAsia="宋体" w:cs="宋体"/>
          <w:highlight w:val="none"/>
          <w:u w:val="none"/>
          <w:lang w:eastAsia="zh-CN"/>
        </w:rPr>
      </w:pPr>
      <w:r>
        <w:rPr>
          <w:rFonts w:hint="eastAsia" w:ascii="宋体" w:hAnsi="宋体" w:eastAsia="宋体" w:cs="宋体"/>
          <w:highlight w:val="none"/>
          <w:u w:val="none"/>
        </w:rPr>
        <w:t>良好（90分—94分）</w:t>
      </w:r>
      <w:r>
        <w:rPr>
          <w:rFonts w:hint="eastAsia" w:ascii="宋体" w:hAnsi="宋体" w:cs="宋体"/>
          <w:highlight w:val="none"/>
          <w:u w:val="none"/>
          <w:lang w:eastAsia="zh-CN"/>
        </w:rPr>
        <w:t>；</w:t>
      </w:r>
    </w:p>
    <w:p w14:paraId="0297FD61">
      <w:pPr>
        <w:ind w:firstLine="420" w:firstLineChars="200"/>
        <w:jc w:val="left"/>
        <w:rPr>
          <w:rFonts w:hint="eastAsia" w:ascii="宋体" w:hAnsi="宋体" w:eastAsia="宋体" w:cs="宋体"/>
          <w:highlight w:val="none"/>
          <w:u w:val="none"/>
          <w:lang w:eastAsia="zh-CN"/>
        </w:rPr>
      </w:pPr>
      <w:r>
        <w:rPr>
          <w:rFonts w:hint="eastAsia" w:ascii="宋体" w:hAnsi="宋体" w:eastAsia="宋体" w:cs="宋体"/>
          <w:highlight w:val="none"/>
          <w:u w:val="none"/>
        </w:rPr>
        <w:t>合格（80分—89分）</w:t>
      </w:r>
      <w:r>
        <w:rPr>
          <w:rFonts w:hint="eastAsia" w:ascii="宋体" w:hAnsi="宋体" w:cs="宋体"/>
          <w:highlight w:val="none"/>
          <w:u w:val="none"/>
          <w:lang w:eastAsia="zh-CN"/>
        </w:rPr>
        <w:t>；</w:t>
      </w:r>
    </w:p>
    <w:p w14:paraId="3BD26EAD">
      <w:pPr>
        <w:ind w:firstLine="420" w:firstLineChars="200"/>
        <w:jc w:val="left"/>
        <w:rPr>
          <w:rFonts w:hint="eastAsia" w:ascii="宋体" w:hAnsi="宋体" w:eastAsia="宋体" w:cs="宋体"/>
          <w:highlight w:val="none"/>
          <w:u w:val="none"/>
          <w:lang w:eastAsia="zh-CN"/>
        </w:rPr>
      </w:pPr>
      <w:r>
        <w:rPr>
          <w:rFonts w:hint="eastAsia" w:ascii="宋体" w:hAnsi="宋体" w:eastAsia="宋体" w:cs="宋体"/>
          <w:highlight w:val="none"/>
          <w:u w:val="none"/>
        </w:rPr>
        <w:t>基本合格（70分—79分）</w:t>
      </w:r>
      <w:r>
        <w:rPr>
          <w:rFonts w:hint="eastAsia" w:ascii="宋体" w:hAnsi="宋体" w:cs="宋体"/>
          <w:highlight w:val="none"/>
          <w:u w:val="none"/>
          <w:lang w:eastAsia="zh-CN"/>
        </w:rPr>
        <w:t>；</w:t>
      </w:r>
    </w:p>
    <w:p w14:paraId="47EF46B7">
      <w:pPr>
        <w:ind w:firstLine="420" w:firstLineChars="200"/>
        <w:jc w:val="left"/>
        <w:rPr>
          <w:rFonts w:hint="eastAsia" w:ascii="宋体" w:hAnsi="宋体" w:eastAsia="宋体" w:cs="宋体"/>
          <w:highlight w:val="none"/>
          <w:u w:val="none"/>
          <w:lang w:eastAsia="zh-CN"/>
        </w:rPr>
      </w:pPr>
      <w:r>
        <w:rPr>
          <w:rFonts w:hint="eastAsia" w:ascii="宋体" w:hAnsi="宋体" w:eastAsia="宋体" w:cs="宋体"/>
          <w:highlight w:val="none"/>
          <w:u w:val="none"/>
        </w:rPr>
        <w:t>不合格（60分（含）—70分（不含））与严重不合格（60分以下）</w:t>
      </w:r>
      <w:r>
        <w:rPr>
          <w:rFonts w:hint="eastAsia" w:ascii="宋体" w:hAnsi="宋体" w:cs="宋体"/>
          <w:highlight w:val="none"/>
          <w:u w:val="none"/>
          <w:lang w:eastAsia="zh-CN"/>
        </w:rPr>
        <w:t>；</w:t>
      </w:r>
    </w:p>
    <w:p w14:paraId="497B5070">
      <w:pPr>
        <w:jc w:val="left"/>
        <w:rPr>
          <w:rFonts w:hint="eastAsia" w:ascii="宋体" w:hAnsi="宋体" w:eastAsia="宋体" w:cs="宋体"/>
          <w:highlight w:val="none"/>
          <w:u w:val="none"/>
        </w:rPr>
      </w:pPr>
      <w:r>
        <w:rPr>
          <w:rFonts w:hint="eastAsia" w:ascii="宋体" w:hAnsi="宋体" w:eastAsia="宋体" w:cs="宋体"/>
          <w:highlight w:val="none"/>
          <w:u w:val="none"/>
        </w:rPr>
        <w:t>半年度结算</w:t>
      </w:r>
      <w:r>
        <w:rPr>
          <w:rFonts w:hint="eastAsia" w:ascii="宋体" w:hAnsi="宋体" w:eastAsia="宋体" w:cs="宋体"/>
          <w:highlight w:val="none"/>
          <w:u w:val="none"/>
          <w:lang w:val="en-US" w:eastAsia="zh-CN"/>
        </w:rPr>
        <w:t>办法</w:t>
      </w:r>
      <w:r>
        <w:rPr>
          <w:rFonts w:hint="eastAsia" w:ascii="宋体" w:hAnsi="宋体" w:eastAsia="宋体" w:cs="宋体"/>
          <w:highlight w:val="none"/>
          <w:u w:val="none"/>
        </w:rPr>
        <w:t>：</w:t>
      </w:r>
    </w:p>
    <w:p w14:paraId="040B9B76">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半年度结算在季度考核基础上进行最终调整。每半年度应付服务费根据两个季度考核评分的算术平均值确定，具体标准如下：</w:t>
      </w:r>
    </w:p>
    <w:p w14:paraId="3179DA33">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考核均分在9</w:t>
      </w:r>
      <w:r>
        <w:rPr>
          <w:rFonts w:hint="eastAsia" w:ascii="宋体" w:hAnsi="宋体" w:eastAsia="宋体" w:cs="宋体"/>
          <w:highlight w:val="none"/>
          <w:u w:val="none"/>
          <w:lang w:val="en-US" w:eastAsia="zh-CN"/>
        </w:rPr>
        <w:t>5</w:t>
      </w:r>
      <w:r>
        <w:rPr>
          <w:rFonts w:hint="eastAsia" w:ascii="宋体" w:hAnsi="宋体" w:eastAsia="宋体" w:cs="宋体"/>
          <w:highlight w:val="none"/>
          <w:u w:val="none"/>
        </w:rPr>
        <w:t>分（含）以上的，半年度服务费（如有扣罚违约金行为，先行扣除）按100%比例支付；</w:t>
      </w:r>
    </w:p>
    <w:p w14:paraId="39F4F830">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考核均分在70分（含）至9</w:t>
      </w:r>
      <w:r>
        <w:rPr>
          <w:rFonts w:hint="eastAsia" w:ascii="宋体" w:hAnsi="宋体" w:eastAsia="宋体" w:cs="宋体"/>
          <w:highlight w:val="none"/>
          <w:u w:val="none"/>
          <w:lang w:val="en-US" w:eastAsia="zh-CN"/>
        </w:rPr>
        <w:t>5</w:t>
      </w:r>
      <w:r>
        <w:rPr>
          <w:rFonts w:hint="eastAsia" w:ascii="宋体" w:hAnsi="宋体" w:eastAsia="宋体" w:cs="宋体"/>
          <w:highlight w:val="none"/>
          <w:u w:val="none"/>
        </w:rPr>
        <w:t>分（不含）之间的，以9</w:t>
      </w:r>
      <w:r>
        <w:rPr>
          <w:rFonts w:hint="eastAsia" w:ascii="宋体" w:hAnsi="宋体" w:eastAsia="宋体" w:cs="宋体"/>
          <w:highlight w:val="none"/>
          <w:u w:val="none"/>
          <w:lang w:val="en-US" w:eastAsia="zh-CN"/>
        </w:rPr>
        <w:t>5</w:t>
      </w:r>
      <w:r>
        <w:rPr>
          <w:rFonts w:hint="eastAsia" w:ascii="宋体" w:hAnsi="宋体" w:eastAsia="宋体" w:cs="宋体"/>
          <w:highlight w:val="none"/>
          <w:u w:val="none"/>
        </w:rPr>
        <w:t>分为基准，每低1分专项扣除本项目半年度服务费的0.5%；</w:t>
      </w:r>
    </w:p>
    <w:p w14:paraId="7AA35B1A">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考核均分低于70分的，</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有权暂停支付剩余服务费，待整改验收合格后，以70分为基准，每低1分专项扣除本项目半年度服务费的1%再行结算。</w:t>
      </w:r>
    </w:p>
    <w:p w14:paraId="733A5EE0">
      <w:pPr>
        <w:numPr>
          <w:ilvl w:val="0"/>
          <w:numId w:val="4"/>
        </w:numPr>
        <w:ind w:left="0" w:leftChars="0" w:firstLine="0" w:firstLineChars="0"/>
        <w:jc w:val="left"/>
        <w:rPr>
          <w:rFonts w:hint="eastAsia" w:ascii="宋体" w:hAnsi="宋体" w:eastAsia="宋体" w:cs="宋体"/>
          <w:highlight w:val="none"/>
          <w:u w:val="none"/>
        </w:rPr>
      </w:pPr>
      <w:r>
        <w:rPr>
          <w:rFonts w:hint="eastAsia" w:ascii="宋体" w:hAnsi="宋体" w:eastAsia="宋体" w:cs="宋体"/>
          <w:highlight w:val="none"/>
          <w:u w:val="none"/>
        </w:rPr>
        <w:t>最终结算依据</w:t>
      </w:r>
    </w:p>
    <w:p w14:paraId="2D284E60">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rPr>
        <w:t>具体项目计价标准参照招标文件"</w:t>
      </w:r>
      <w:r>
        <w:rPr>
          <w:rFonts w:hint="eastAsia" w:ascii="宋体" w:hAnsi="宋体" w:eastAsia="宋体" w:cs="宋体"/>
          <w:highlight w:val="none"/>
          <w:u w:val="none"/>
          <w:lang w:val="en-US" w:eastAsia="zh-CN"/>
        </w:rPr>
        <w:t>八</w:t>
      </w:r>
      <w:r>
        <w:rPr>
          <w:rFonts w:hint="eastAsia" w:ascii="宋体" w:hAnsi="宋体" w:eastAsia="宋体" w:cs="宋体"/>
          <w:highlight w:val="none"/>
          <w:u w:val="none"/>
        </w:rPr>
        <w:t>、服务项目分项招标限价与预估业务量"，并结合投标报价费率进行据实结算。</w:t>
      </w:r>
    </w:p>
    <w:p w14:paraId="23FA7268">
      <w:pPr>
        <w:ind w:firstLine="420" w:firstLineChars="200"/>
        <w:jc w:val="left"/>
        <w:rPr>
          <w:rFonts w:hint="eastAsia" w:ascii="宋体" w:hAnsi="宋体" w:eastAsia="宋体" w:cs="宋体"/>
          <w:highlight w:val="none"/>
          <w:u w:val="none"/>
        </w:rPr>
      </w:pP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有权委托第三方审计机构对结算进行审计，审计结果作为最终结算依据。</w:t>
      </w:r>
    </w:p>
    <w:p w14:paraId="4C90E832">
      <w:pPr>
        <w:jc w:val="left"/>
        <w:rPr>
          <w:rFonts w:hint="eastAsia" w:ascii="宋体" w:hAnsi="宋体" w:eastAsia="宋体" w:cs="宋体"/>
          <w:highlight w:val="none"/>
          <w:u w:val="none"/>
        </w:rPr>
      </w:pPr>
    </w:p>
    <w:p w14:paraId="6D1B4698">
      <w:pPr>
        <w:jc w:val="left"/>
        <w:rPr>
          <w:rFonts w:hint="eastAsia" w:ascii="宋体" w:hAnsi="宋体" w:eastAsia="宋体" w:cs="宋体"/>
          <w:highlight w:val="none"/>
          <w:u w:val="none"/>
        </w:rPr>
      </w:pPr>
      <w:r>
        <w:rPr>
          <w:rFonts w:hint="eastAsia" w:ascii="宋体" w:hAnsi="宋体" w:eastAsia="宋体" w:cs="宋体"/>
          <w:b/>
          <w:bCs/>
          <w:sz w:val="30"/>
          <w:szCs w:val="30"/>
          <w:highlight w:val="none"/>
          <w:u w:val="none"/>
        </w:rPr>
        <w:t>七、其他重要要求</w:t>
      </w:r>
    </w:p>
    <w:p w14:paraId="5779A266">
      <w:pPr>
        <w:rPr>
          <w:rFonts w:hint="eastAsia" w:ascii="宋体" w:hAnsi="宋体" w:eastAsia="宋体" w:cs="宋体"/>
          <w:highlight w:val="none"/>
          <w:u w:val="none"/>
        </w:rPr>
      </w:pPr>
      <w:r>
        <w:rPr>
          <w:rFonts w:hint="eastAsia" w:ascii="宋体" w:hAnsi="宋体" w:eastAsia="宋体" w:cs="宋体"/>
          <w:highlight w:val="none"/>
          <w:u w:val="none"/>
        </w:rPr>
        <w:t>人员管理：</w:t>
      </w:r>
    </w:p>
    <w:p w14:paraId="57A9A536">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不得拖欠施工人员工资，如拖欠工人工资，</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有权终止合同。</w:t>
      </w:r>
    </w:p>
    <w:p w14:paraId="30CD4F46">
      <w:pPr>
        <w:rPr>
          <w:rFonts w:hint="eastAsia" w:ascii="宋体" w:hAnsi="宋体" w:eastAsia="宋体" w:cs="宋体"/>
          <w:highlight w:val="none"/>
          <w:u w:val="none"/>
        </w:rPr>
      </w:pPr>
      <w:r>
        <w:rPr>
          <w:rFonts w:hint="eastAsia" w:ascii="宋体" w:hAnsi="宋体" w:eastAsia="宋体" w:cs="宋体"/>
          <w:highlight w:val="none"/>
          <w:u w:val="none"/>
        </w:rPr>
        <w:t>疫情防控：</w:t>
      </w:r>
    </w:p>
    <w:p w14:paraId="726EFA19">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需配合</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的要求开展疫情防控工作。</w:t>
      </w:r>
    </w:p>
    <w:p w14:paraId="57231BFF">
      <w:pPr>
        <w:rPr>
          <w:rFonts w:hint="eastAsia" w:ascii="宋体" w:hAnsi="宋体" w:eastAsia="宋体" w:cs="宋体"/>
          <w:highlight w:val="none"/>
          <w:u w:val="none"/>
        </w:rPr>
      </w:pPr>
      <w:r>
        <w:rPr>
          <w:rFonts w:hint="eastAsia" w:ascii="宋体" w:hAnsi="宋体" w:eastAsia="宋体" w:cs="宋体"/>
          <w:highlight w:val="none"/>
          <w:u w:val="none"/>
        </w:rPr>
        <w:t>运输责任：</w:t>
      </w:r>
    </w:p>
    <w:p w14:paraId="48237AC5">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负责</w:t>
      </w:r>
      <w:r>
        <w:rPr>
          <w:rFonts w:hint="eastAsia" w:ascii="宋体" w:hAnsi="宋体" w:eastAsia="宋体" w:cs="宋体"/>
          <w:highlight w:val="none"/>
          <w:u w:val="none"/>
          <w:lang w:val="en-US" w:eastAsia="zh-CN"/>
        </w:rPr>
        <w:t>包括但不限于本合同范围内</w:t>
      </w:r>
      <w:r>
        <w:rPr>
          <w:rFonts w:hint="eastAsia" w:ascii="宋体" w:hAnsi="宋体" w:eastAsia="宋体" w:cs="宋体"/>
          <w:highlight w:val="none"/>
          <w:u w:val="none"/>
        </w:rPr>
        <w:t>货物</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材料等</w:t>
      </w:r>
      <w:r>
        <w:rPr>
          <w:rFonts w:hint="eastAsia" w:ascii="宋体" w:hAnsi="宋体" w:eastAsia="宋体" w:cs="宋体"/>
          <w:highlight w:val="none"/>
          <w:u w:val="none"/>
        </w:rPr>
        <w:t>到</w:t>
      </w:r>
      <w:r>
        <w:rPr>
          <w:rFonts w:hint="eastAsia" w:ascii="宋体" w:hAnsi="宋体" w:eastAsia="宋体" w:cs="宋体"/>
          <w:highlight w:val="none"/>
          <w:u w:val="none"/>
          <w:lang w:val="en-US" w:eastAsia="zh-CN"/>
        </w:rPr>
        <w:t>储存</w:t>
      </w:r>
      <w:r>
        <w:rPr>
          <w:rFonts w:hint="eastAsia" w:ascii="宋体" w:hAnsi="宋体" w:eastAsia="宋体" w:cs="宋体"/>
          <w:highlight w:val="none"/>
          <w:u w:val="none"/>
        </w:rPr>
        <w:t>现场</w:t>
      </w:r>
      <w:r>
        <w:rPr>
          <w:rFonts w:hint="eastAsia" w:ascii="宋体" w:hAnsi="宋体" w:eastAsia="宋体" w:cs="宋体"/>
          <w:highlight w:val="none"/>
          <w:u w:val="none"/>
          <w:lang w:val="en-US" w:eastAsia="zh-CN"/>
        </w:rPr>
        <w:t>与施工现场或招标人指定地点</w:t>
      </w:r>
      <w:r>
        <w:rPr>
          <w:rFonts w:hint="eastAsia" w:ascii="宋体" w:hAnsi="宋体" w:eastAsia="宋体" w:cs="宋体"/>
          <w:highlight w:val="none"/>
          <w:u w:val="none"/>
        </w:rPr>
        <w:t>过程中的全部运输及费用，包括装卸车、货物运至</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指定现场的搬运费用等。材料运输期间，材料遭到的损失破坏均由</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自行负责。</w:t>
      </w:r>
    </w:p>
    <w:p w14:paraId="4A98082E">
      <w:pPr>
        <w:rPr>
          <w:rFonts w:hint="eastAsia" w:ascii="宋体" w:hAnsi="宋体" w:eastAsia="宋体" w:cs="宋体"/>
          <w:highlight w:val="none"/>
          <w:u w:val="none"/>
        </w:rPr>
      </w:pPr>
      <w:r>
        <w:rPr>
          <w:rFonts w:hint="eastAsia" w:ascii="宋体" w:hAnsi="宋体" w:eastAsia="宋体" w:cs="宋体"/>
          <w:highlight w:val="none"/>
          <w:u w:val="none"/>
        </w:rPr>
        <w:t>施工监督：</w:t>
      </w:r>
    </w:p>
    <w:p w14:paraId="7B83E5C2">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进行施工时应当接受</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对施工进度和质量的监督</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接受服从招标人的相关要求</w:t>
      </w:r>
      <w:r>
        <w:rPr>
          <w:rFonts w:hint="eastAsia" w:ascii="宋体" w:hAnsi="宋体" w:eastAsia="宋体" w:cs="宋体"/>
          <w:highlight w:val="none"/>
          <w:u w:val="none"/>
        </w:rPr>
        <w:t>。</w:t>
      </w:r>
    </w:p>
    <w:p w14:paraId="0A8176F4">
      <w:pPr>
        <w:rPr>
          <w:rFonts w:hint="eastAsia" w:ascii="宋体" w:hAnsi="宋体" w:eastAsia="宋体" w:cs="宋体"/>
          <w:highlight w:val="none"/>
          <w:u w:val="none"/>
        </w:rPr>
      </w:pPr>
      <w:r>
        <w:rPr>
          <w:rFonts w:hint="eastAsia" w:ascii="宋体" w:hAnsi="宋体" w:eastAsia="宋体" w:cs="宋体"/>
          <w:highlight w:val="none"/>
          <w:u w:val="none"/>
        </w:rPr>
        <w:t>环境保护：</w:t>
      </w:r>
    </w:p>
    <w:p w14:paraId="0DA4C4D0">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lang w:eastAsia="zh-CN"/>
        </w:rPr>
        <w:t>中标人</w:t>
      </w:r>
      <w:r>
        <w:rPr>
          <w:rFonts w:hint="eastAsia" w:ascii="宋体" w:hAnsi="宋体" w:eastAsia="宋体" w:cs="宋体"/>
          <w:highlight w:val="none"/>
          <w:u w:val="none"/>
        </w:rPr>
        <w:t>在施工期间造成周边环境的破坏</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包括但不限于：墓体、</w:t>
      </w:r>
      <w:r>
        <w:rPr>
          <w:rFonts w:hint="eastAsia" w:ascii="宋体" w:hAnsi="宋体" w:eastAsia="宋体" w:cs="宋体"/>
          <w:highlight w:val="none"/>
          <w:u w:val="none"/>
        </w:rPr>
        <w:t>绿化带、人行通道</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公墓设备设施</w:t>
      </w:r>
      <w:r>
        <w:rPr>
          <w:rFonts w:hint="eastAsia" w:ascii="宋体" w:hAnsi="宋体" w:eastAsia="宋体" w:cs="宋体"/>
          <w:highlight w:val="none"/>
          <w:u w:val="none"/>
        </w:rPr>
        <w:t>等，则由</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负责修复，遗留的垃圾由</w:t>
      </w:r>
      <w:r>
        <w:rPr>
          <w:rFonts w:hint="eastAsia" w:ascii="宋体" w:hAnsi="宋体" w:eastAsia="宋体" w:cs="宋体"/>
          <w:highlight w:val="none"/>
          <w:u w:val="none"/>
          <w:lang w:eastAsia="zh-CN"/>
        </w:rPr>
        <w:t>中标人</w:t>
      </w:r>
      <w:r>
        <w:rPr>
          <w:rFonts w:hint="eastAsia" w:ascii="宋体" w:hAnsi="宋体" w:eastAsia="宋体" w:cs="宋体"/>
          <w:highlight w:val="none"/>
          <w:u w:val="none"/>
        </w:rPr>
        <w:t>自行清理。</w:t>
      </w:r>
    </w:p>
    <w:p w14:paraId="27B83E24">
      <w:pPr>
        <w:rPr>
          <w:rFonts w:hint="eastAsia" w:ascii="宋体" w:hAnsi="宋体" w:eastAsia="宋体" w:cs="宋体"/>
          <w:highlight w:val="none"/>
          <w:u w:val="none"/>
        </w:rPr>
      </w:pPr>
      <w:r>
        <w:rPr>
          <w:rFonts w:hint="eastAsia" w:ascii="宋体" w:hAnsi="宋体" w:eastAsia="宋体" w:cs="宋体"/>
          <w:highlight w:val="none"/>
          <w:u w:val="none"/>
          <w:lang w:val="en-US" w:eastAsia="zh-CN"/>
        </w:rPr>
        <w:t>涉墓</w:t>
      </w:r>
      <w:r>
        <w:rPr>
          <w:rFonts w:hint="eastAsia" w:ascii="宋体" w:hAnsi="宋体" w:eastAsia="宋体" w:cs="宋体"/>
          <w:highlight w:val="none"/>
          <w:u w:val="none"/>
        </w:rPr>
        <w:t>服务：</w:t>
      </w:r>
    </w:p>
    <w:p w14:paraId="11E41ABA">
      <w:pPr>
        <w:ind w:firstLine="420" w:firstLineChars="200"/>
        <w:rPr>
          <w:rFonts w:hint="eastAsia" w:ascii="宋体" w:hAnsi="宋体" w:eastAsia="宋体" w:cs="宋体"/>
          <w:highlight w:val="none"/>
          <w:u w:val="none"/>
          <w:lang w:eastAsia="zh-CN"/>
        </w:rPr>
      </w:pPr>
      <w:r>
        <w:rPr>
          <w:rFonts w:hint="eastAsia" w:ascii="宋体" w:hAnsi="宋体" w:eastAsia="宋体" w:cs="宋体"/>
          <w:highlight w:val="none"/>
          <w:u w:val="none"/>
        </w:rPr>
        <w:t>中标人开展</w:t>
      </w:r>
      <w:r>
        <w:rPr>
          <w:rFonts w:hint="eastAsia" w:ascii="宋体" w:hAnsi="宋体" w:eastAsia="宋体" w:cs="宋体"/>
          <w:highlight w:val="none"/>
          <w:u w:val="none"/>
          <w:lang w:val="en-US" w:eastAsia="zh-CN"/>
        </w:rPr>
        <w:t>涉墓</w:t>
      </w:r>
      <w:r>
        <w:rPr>
          <w:rFonts w:hint="eastAsia" w:ascii="宋体" w:hAnsi="宋体" w:eastAsia="宋体" w:cs="宋体"/>
          <w:highlight w:val="none"/>
          <w:u w:val="none"/>
        </w:rPr>
        <w:t>服务</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包括但不限于：开坑、</w:t>
      </w:r>
      <w:r>
        <w:rPr>
          <w:rFonts w:hint="eastAsia" w:ascii="宋体" w:hAnsi="宋体" w:eastAsia="宋体" w:cs="宋体"/>
          <w:highlight w:val="none"/>
          <w:u w:val="none"/>
        </w:rPr>
        <w:t>拆除</w:t>
      </w:r>
      <w:r>
        <w:rPr>
          <w:rFonts w:hint="eastAsia" w:ascii="宋体" w:hAnsi="宋体" w:eastAsia="宋体" w:cs="宋体"/>
          <w:highlight w:val="none"/>
          <w:u w:val="none"/>
          <w:lang w:eastAsia="zh-CN"/>
        </w:rPr>
        <w:t>、</w:t>
      </w:r>
      <w:r>
        <w:rPr>
          <w:rFonts w:hint="eastAsia" w:ascii="宋体" w:hAnsi="宋体" w:eastAsia="宋体" w:cs="宋体"/>
          <w:highlight w:val="none"/>
          <w:u w:val="none"/>
          <w:lang w:val="en-US" w:eastAsia="zh-CN"/>
        </w:rPr>
        <w:t>安装</w:t>
      </w:r>
      <w:r>
        <w:rPr>
          <w:rFonts w:hint="eastAsia" w:ascii="宋体" w:hAnsi="宋体" w:eastAsia="宋体" w:cs="宋体"/>
          <w:highlight w:val="none"/>
          <w:u w:val="none"/>
        </w:rPr>
        <w:t>及恢复过程中，因中标人的原因造成墓体、材料等损坏的，由中标人</w:t>
      </w:r>
      <w:r>
        <w:rPr>
          <w:rFonts w:hint="eastAsia" w:ascii="宋体" w:hAnsi="宋体" w:eastAsia="宋体" w:cs="宋体"/>
          <w:highlight w:val="none"/>
          <w:u w:val="none"/>
          <w:lang w:val="en-US" w:eastAsia="zh-CN"/>
        </w:rPr>
        <w:t>承担</w:t>
      </w:r>
      <w:r>
        <w:rPr>
          <w:rFonts w:hint="eastAsia" w:ascii="宋体" w:hAnsi="宋体" w:eastAsia="宋体" w:cs="宋体"/>
          <w:highlight w:val="none"/>
          <w:u w:val="none"/>
        </w:rPr>
        <w:t>一切</w:t>
      </w:r>
      <w:r>
        <w:rPr>
          <w:rFonts w:hint="eastAsia" w:ascii="宋体" w:hAnsi="宋体" w:eastAsia="宋体" w:cs="宋体"/>
          <w:highlight w:val="none"/>
          <w:u w:val="none"/>
          <w:lang w:val="en-US" w:eastAsia="zh-CN"/>
        </w:rPr>
        <w:t>包括但不限于经济、法律等</w:t>
      </w:r>
      <w:r>
        <w:rPr>
          <w:rFonts w:hint="eastAsia" w:ascii="宋体" w:hAnsi="宋体" w:eastAsia="宋体" w:cs="宋体"/>
          <w:highlight w:val="none"/>
          <w:u w:val="none"/>
        </w:rPr>
        <w:t>后果</w:t>
      </w:r>
      <w:r>
        <w:rPr>
          <w:rFonts w:hint="eastAsia" w:ascii="宋体" w:hAnsi="宋体" w:eastAsia="宋体" w:cs="宋体"/>
          <w:highlight w:val="none"/>
          <w:u w:val="none"/>
          <w:lang w:eastAsia="zh-CN"/>
        </w:rPr>
        <w:t>。</w:t>
      </w:r>
    </w:p>
    <w:p w14:paraId="6E6988C8">
      <w:pPr>
        <w:rPr>
          <w:rFonts w:hint="eastAsia" w:ascii="宋体" w:hAnsi="宋体" w:eastAsia="宋体" w:cs="宋体"/>
          <w:highlight w:val="none"/>
          <w:u w:val="none"/>
        </w:rPr>
      </w:pPr>
      <w:r>
        <w:rPr>
          <w:rFonts w:hint="eastAsia" w:ascii="宋体" w:hAnsi="宋体" w:eastAsia="宋体" w:cs="宋体"/>
          <w:highlight w:val="none"/>
          <w:u w:val="none"/>
        </w:rPr>
        <w:t>政策调整：</w:t>
      </w:r>
    </w:p>
    <w:p w14:paraId="5594962E">
      <w:pPr>
        <w:ind w:firstLine="420" w:firstLineChars="200"/>
        <w:rPr>
          <w:rFonts w:hint="eastAsia" w:ascii="宋体" w:hAnsi="宋体" w:eastAsia="宋体" w:cs="宋体"/>
          <w:highlight w:val="none"/>
          <w:u w:val="none"/>
        </w:rPr>
      </w:pPr>
      <w:r>
        <w:rPr>
          <w:rFonts w:hint="eastAsia" w:ascii="宋体" w:hAnsi="宋体" w:eastAsia="宋体" w:cs="宋体"/>
          <w:highlight w:val="none"/>
          <w:u w:val="none"/>
        </w:rPr>
        <w:t>中标人所提供</w:t>
      </w:r>
      <w:r>
        <w:rPr>
          <w:rFonts w:hint="eastAsia" w:ascii="宋体" w:hAnsi="宋体" w:eastAsia="宋体" w:cs="宋体"/>
          <w:highlight w:val="none"/>
          <w:u w:val="none"/>
          <w:lang w:val="en-US" w:eastAsia="zh-CN"/>
        </w:rPr>
        <w:t>由中标人承担的所有物料、用工</w:t>
      </w:r>
      <w:r>
        <w:rPr>
          <w:rFonts w:hint="eastAsia" w:ascii="宋体" w:hAnsi="宋体" w:eastAsia="宋体" w:cs="宋体"/>
          <w:highlight w:val="none"/>
          <w:u w:val="none"/>
        </w:rPr>
        <w:t>等</w:t>
      </w:r>
      <w:r>
        <w:rPr>
          <w:rFonts w:hint="eastAsia" w:ascii="宋体" w:hAnsi="宋体" w:eastAsia="宋体" w:cs="宋体"/>
          <w:highlight w:val="none"/>
          <w:u w:val="none"/>
          <w:lang w:eastAsia="zh-CN"/>
        </w:rPr>
        <w:t>，</w:t>
      </w:r>
      <w:r>
        <w:rPr>
          <w:rFonts w:hint="eastAsia" w:ascii="宋体" w:hAnsi="宋体" w:eastAsia="宋体" w:cs="宋体"/>
          <w:highlight w:val="none"/>
          <w:u w:val="none"/>
        </w:rPr>
        <w:t>必须符合</w:t>
      </w:r>
      <w:r>
        <w:rPr>
          <w:rFonts w:hint="eastAsia" w:ascii="宋体" w:hAnsi="宋体" w:eastAsia="宋体" w:cs="宋体"/>
          <w:highlight w:val="none"/>
          <w:u w:val="none"/>
          <w:lang w:val="en-US" w:eastAsia="zh-CN"/>
        </w:rPr>
        <w:t>国家及</w:t>
      </w:r>
      <w:r>
        <w:rPr>
          <w:rFonts w:hint="eastAsia" w:ascii="宋体" w:hAnsi="宋体" w:eastAsia="宋体" w:cs="宋体"/>
          <w:highlight w:val="none"/>
          <w:u w:val="none"/>
        </w:rPr>
        <w:t>省、市相关法律法规的要求，同时，如果遇到国家、省、市相关法律法规及政策调整，中标人必须无条件配合</w:t>
      </w:r>
      <w:r>
        <w:rPr>
          <w:rFonts w:hint="eastAsia" w:ascii="宋体" w:hAnsi="宋体" w:eastAsia="宋体" w:cs="宋体"/>
          <w:highlight w:val="none"/>
          <w:u w:val="none"/>
          <w:lang w:eastAsia="zh-CN"/>
        </w:rPr>
        <w:t>招标人</w:t>
      </w:r>
      <w:r>
        <w:rPr>
          <w:rFonts w:hint="eastAsia" w:ascii="宋体" w:hAnsi="宋体" w:eastAsia="宋体" w:cs="宋体"/>
          <w:highlight w:val="none"/>
          <w:u w:val="none"/>
          <w:lang w:val="en-US" w:eastAsia="zh-CN"/>
        </w:rPr>
        <w:t>处置</w:t>
      </w:r>
      <w:r>
        <w:rPr>
          <w:rFonts w:hint="eastAsia" w:ascii="宋体" w:hAnsi="宋体" w:eastAsia="宋体" w:cs="宋体"/>
          <w:highlight w:val="none"/>
          <w:u w:val="none"/>
        </w:rPr>
        <w:t>。由于国家、省、市相关法律法规及政策调整造成本项目无法履约的，</w:t>
      </w:r>
      <w:r>
        <w:rPr>
          <w:rFonts w:hint="eastAsia" w:ascii="宋体" w:hAnsi="宋体" w:eastAsia="宋体" w:cs="宋体"/>
          <w:highlight w:val="none"/>
          <w:u w:val="none"/>
          <w:lang w:eastAsia="zh-CN"/>
        </w:rPr>
        <w:t>招标人</w:t>
      </w:r>
      <w:r>
        <w:rPr>
          <w:rFonts w:hint="eastAsia" w:ascii="宋体" w:hAnsi="宋体" w:eastAsia="宋体" w:cs="宋体"/>
          <w:highlight w:val="none"/>
          <w:u w:val="none"/>
        </w:rPr>
        <w:t>不承担损失。</w:t>
      </w:r>
    </w:p>
    <w:p w14:paraId="11CA57DA">
      <w:pPr>
        <w:rPr>
          <w:rFonts w:hint="eastAsia" w:ascii="宋体" w:hAnsi="宋体" w:eastAsia="宋体" w:cs="宋体"/>
          <w:highlight w:val="none"/>
          <w:u w:val="none"/>
        </w:rPr>
      </w:pPr>
      <w:r>
        <w:rPr>
          <w:rFonts w:hint="eastAsia" w:ascii="宋体" w:hAnsi="宋体" w:eastAsia="宋体" w:cs="宋体"/>
          <w:b/>
          <w:bCs/>
          <w:highlight w:val="none"/>
          <w:u w:val="none"/>
        </w:rPr>
        <w:t>特别说明：</w:t>
      </w:r>
    </w:p>
    <w:p w14:paraId="6DA58E31">
      <w:pPr>
        <w:ind w:firstLine="422" w:firstLineChars="200"/>
        <w:rPr>
          <w:rFonts w:hint="eastAsia" w:ascii="宋体" w:hAnsi="宋体" w:eastAsia="宋体" w:cs="宋体"/>
          <w:b/>
          <w:bCs/>
          <w:highlight w:val="none"/>
          <w:u w:val="none"/>
        </w:rPr>
      </w:pPr>
      <w:r>
        <w:rPr>
          <w:rFonts w:hint="eastAsia" w:ascii="宋体" w:hAnsi="宋体" w:eastAsia="宋体" w:cs="宋体"/>
          <w:b/>
          <w:bCs/>
          <w:highlight w:val="none"/>
          <w:u w:val="none"/>
        </w:rPr>
        <w:t>本章所述技术规格、要求和数量</w:t>
      </w:r>
      <w:r>
        <w:rPr>
          <w:rFonts w:hint="eastAsia" w:ascii="宋体" w:hAnsi="宋体" w:eastAsia="宋体" w:cs="宋体"/>
          <w:b/>
          <w:bCs/>
          <w:highlight w:val="none"/>
          <w:u w:val="none"/>
          <w:lang w:eastAsia="zh-CN"/>
        </w:rPr>
        <w:t>、</w:t>
      </w:r>
      <w:r>
        <w:rPr>
          <w:rFonts w:hint="eastAsia" w:ascii="宋体" w:hAnsi="宋体" w:eastAsia="宋体" w:cs="宋体"/>
          <w:b/>
          <w:bCs/>
          <w:highlight w:val="none"/>
          <w:u w:val="none"/>
          <w:lang w:val="en-US" w:eastAsia="zh-CN"/>
        </w:rPr>
        <w:t>质保期（无论在不在合同期内）</w:t>
      </w:r>
      <w:r>
        <w:rPr>
          <w:rFonts w:hint="eastAsia" w:ascii="宋体" w:hAnsi="宋体" w:eastAsia="宋体" w:cs="宋体"/>
          <w:b/>
          <w:bCs/>
          <w:highlight w:val="none"/>
          <w:u w:val="none"/>
        </w:rPr>
        <w:t>等均为招标项目的实质性要求，投标人在编制投标文件时必须严格按照本章要求进行响应，任何偏离或不满足本章要求的投标将被视为无效投标。中标后，本章内容将作为合同的重要组成部分，具有同等法律效力。</w:t>
      </w:r>
    </w:p>
    <w:p w14:paraId="081A3DF0">
      <w:pPr>
        <w:rPr>
          <w:rFonts w:hint="eastAsia" w:ascii="宋体" w:hAnsi="宋体" w:eastAsia="宋体" w:cs="宋体"/>
          <w:highlight w:val="none"/>
          <w:u w:val="none"/>
        </w:rPr>
      </w:pPr>
    </w:p>
    <w:p w14:paraId="4E4C0CD0">
      <w:pPr>
        <w:rPr>
          <w:rFonts w:hint="eastAsia" w:ascii="宋体" w:hAnsi="宋体" w:eastAsia="宋体" w:cs="宋体"/>
          <w:highlight w:val="none"/>
          <w:u w:val="none"/>
        </w:rPr>
        <w:sectPr>
          <w:footerReference r:id="rId4" w:type="default"/>
          <w:pgSz w:w="11906" w:h="16838"/>
          <w:pgMar w:top="1440" w:right="1800" w:bottom="1440" w:left="1800" w:header="851" w:footer="992" w:gutter="0"/>
          <w:pgNumType w:fmt="decimal" w:start="1"/>
          <w:cols w:space="425" w:num="1"/>
          <w:docGrid w:type="lines" w:linePitch="312" w:charSpace="0"/>
        </w:sectPr>
      </w:pPr>
    </w:p>
    <w:p w14:paraId="5C4FDCE9">
      <w:pPr>
        <w:numPr>
          <w:ilvl w:val="0"/>
          <w:numId w:val="5"/>
        </w:numPr>
        <w:jc w:val="left"/>
        <w:rPr>
          <w:rFonts w:hint="eastAsia" w:ascii="宋体" w:hAnsi="宋体" w:eastAsia="宋体" w:cs="宋体"/>
          <w:b/>
          <w:bCs/>
          <w:sz w:val="30"/>
          <w:szCs w:val="30"/>
          <w:highlight w:val="none"/>
          <w:u w:val="none"/>
          <w:lang w:val="en-US" w:eastAsia="zh-CN"/>
        </w:rPr>
      </w:pPr>
      <w:r>
        <w:rPr>
          <w:rFonts w:hint="eastAsia" w:ascii="宋体" w:hAnsi="宋体" w:eastAsia="宋体" w:cs="宋体"/>
          <w:b/>
          <w:bCs/>
          <w:sz w:val="30"/>
          <w:szCs w:val="30"/>
          <w:highlight w:val="none"/>
          <w:u w:val="none"/>
          <w:lang w:val="en-US" w:eastAsia="zh-CN"/>
        </w:rPr>
        <w:t>服务项目分项招标限价与预估业务量：</w:t>
      </w:r>
    </w:p>
    <w:p w14:paraId="5F5AC51D">
      <w:pPr>
        <w:numPr>
          <w:ilvl w:val="0"/>
          <w:numId w:val="0"/>
        </w:numPr>
        <w:jc w:val="left"/>
        <w:rPr>
          <w:rFonts w:hint="eastAsia" w:ascii="宋体" w:hAnsi="宋体" w:eastAsia="宋体" w:cs="宋体"/>
          <w:b/>
          <w:bCs/>
          <w:sz w:val="30"/>
          <w:szCs w:val="30"/>
          <w:highlight w:val="none"/>
          <w:u w:val="none"/>
          <w:lang w:val="en-US" w:eastAsia="zh-CN"/>
        </w:rPr>
      </w:pPr>
    </w:p>
    <w:tbl>
      <w:tblPr>
        <w:tblStyle w:val="3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18"/>
        <w:gridCol w:w="2580"/>
        <w:gridCol w:w="526"/>
        <w:gridCol w:w="2362"/>
        <w:gridCol w:w="2442"/>
        <w:gridCol w:w="1117"/>
        <w:gridCol w:w="1690"/>
        <w:gridCol w:w="1746"/>
      </w:tblGrid>
      <w:tr w14:paraId="0B714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114618C7">
            <w:pPr>
              <w:keepNext w:val="0"/>
              <w:keepLines w:val="0"/>
              <w:widowControl/>
              <w:suppressLineNumbers w:val="0"/>
              <w:jc w:val="center"/>
              <w:textAlignment w:val="center"/>
              <w:rPr>
                <w:rFonts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类目</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6E912E5C">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说明</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46D38735">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3DDE44ED">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项目</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30020D0A">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招标控制价（元）</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7783833B">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预估每年业务数量</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17A6092C">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招标单项总限价/年（元）</w:t>
            </w:r>
          </w:p>
        </w:tc>
        <w:tc>
          <w:tcPr>
            <w:tcW w:w="0" w:type="auto"/>
            <w:tcBorders>
              <w:top w:val="single" w:color="000000" w:sz="4" w:space="0"/>
              <w:left w:val="single" w:color="000000" w:sz="4" w:space="0"/>
              <w:bottom w:val="single" w:color="000000" w:sz="4" w:space="0"/>
              <w:right w:val="single" w:color="000000" w:sz="4" w:space="0"/>
            </w:tcBorders>
            <w:shd w:val="clear" w:color="auto" w:fill="0070C0"/>
            <w:vAlign w:val="center"/>
          </w:tcPr>
          <w:p w14:paraId="608CD6F4">
            <w:pPr>
              <w:keepNext w:val="0"/>
              <w:keepLines w:val="0"/>
              <w:widowControl/>
              <w:suppressLineNumbers w:val="0"/>
              <w:jc w:val="center"/>
              <w:textAlignment w:val="center"/>
              <w:rPr>
                <w:rFonts w:hint="eastAsia" w:ascii="微软雅黑" w:hAnsi="微软雅黑" w:eastAsia="微软雅黑" w:cs="微软雅黑"/>
                <w:b/>
                <w:bCs/>
                <w:i w:val="0"/>
                <w:iCs w:val="0"/>
                <w:color w:val="FFFFFF"/>
                <w:sz w:val="22"/>
                <w:szCs w:val="22"/>
                <w:highlight w:val="none"/>
                <w:u w:val="none"/>
              </w:rPr>
            </w:pPr>
            <w:r>
              <w:rPr>
                <w:rFonts w:hint="eastAsia" w:ascii="微软雅黑" w:hAnsi="微软雅黑" w:eastAsia="微软雅黑" w:cs="微软雅黑"/>
                <w:b/>
                <w:bCs/>
                <w:i w:val="0"/>
                <w:iCs w:val="0"/>
                <w:color w:val="FFFFFF"/>
                <w:kern w:val="0"/>
                <w:sz w:val="22"/>
                <w:szCs w:val="22"/>
                <w:highlight w:val="none"/>
                <w:u w:val="none"/>
                <w:lang w:val="en-US" w:eastAsia="zh-CN" w:bidi="ar"/>
              </w:rPr>
              <w:t>招标单项总限价3年（元）</w:t>
            </w:r>
          </w:p>
        </w:tc>
      </w:tr>
      <w:tr w14:paraId="56029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EBF1F8"/>
            <w:vAlign w:val="center"/>
          </w:tcPr>
          <w:p w14:paraId="78988D8A">
            <w:pPr>
              <w:keepNext w:val="0"/>
              <w:keepLines w:val="0"/>
              <w:widowControl/>
              <w:suppressLineNumbers w:val="0"/>
              <w:jc w:val="left"/>
              <w:textAlignment w:val="center"/>
              <w:rPr>
                <w:rFonts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提前预埋排水、地下墓室工程</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088813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排水铺设椁，椁具基础建设，椁具安装，填土等</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479937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BB4AD0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安装椁具费（含搬运）</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EFD018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E757A0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7B45FC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29146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DEB710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87438</w:t>
            </w:r>
          </w:p>
        </w:tc>
      </w:tr>
      <w:tr w14:paraId="79A4C0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62EEF4A">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206F0A">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9E9B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C5FE0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开坑、回土费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49B58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407A0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4BC14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49560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7BD7C">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148680</w:t>
            </w:r>
          </w:p>
        </w:tc>
      </w:tr>
      <w:tr w14:paraId="05BF3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D30E7C8">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542A74">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19EA9A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44201C7">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坑内基础砌砖及石椁四面墙体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608148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A1E3F9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E69A1B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54280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6B8530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162840</w:t>
            </w:r>
          </w:p>
        </w:tc>
      </w:tr>
      <w:tr w14:paraId="47EB2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35D6639">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B634146">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D0E4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DC09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开挖下水道铺设管网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3356F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9B789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F983E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FFCF3">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42480</w:t>
            </w:r>
          </w:p>
        </w:tc>
      </w:tr>
      <w:tr w14:paraId="45F70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8C6AA51">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98F4096">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00FC18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DD8A65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每穴地下渗水管路铺设接入管网</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B30598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90990E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853BAE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14160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1617B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42480</w:t>
            </w:r>
          </w:p>
        </w:tc>
      </w:tr>
      <w:tr w14:paraId="78556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EE04E31">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53032E">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08D27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5EDFF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铺设10CM砂石垫层</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F083F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E6BCA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B114A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C27FA">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35400</w:t>
            </w:r>
          </w:p>
        </w:tc>
      </w:tr>
      <w:tr w14:paraId="2F9ED4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6AC8FB9">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0312ADF">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1381B2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6F6473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多余土方处置</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9A9C74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758DF1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32F4F8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24780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D5BC46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74340</w:t>
            </w:r>
          </w:p>
        </w:tc>
      </w:tr>
      <w:tr w14:paraId="68DB1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DD7EF28">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4B74883">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27041D4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160141F2">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1677</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02E4F23B">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2C4E63C">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0EC5658A">
            <w:pPr>
              <w:jc w:val="right"/>
              <w:rPr>
                <w:rFonts w:hint="eastAsia" w:ascii="微软雅黑" w:hAnsi="微软雅黑" w:eastAsia="微软雅黑" w:cs="微软雅黑"/>
                <w:b/>
                <w:bCs/>
                <w:i w:val="0"/>
                <w:iCs w:val="0"/>
                <w:color w:val="000000"/>
                <w:sz w:val="22"/>
                <w:szCs w:val="22"/>
                <w:highlight w:val="none"/>
                <w:u w:val="none"/>
              </w:rPr>
            </w:pPr>
          </w:p>
        </w:tc>
      </w:tr>
      <w:tr w14:paraId="03B789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EBF1F8"/>
            <w:vAlign w:val="center"/>
          </w:tcPr>
          <w:p w14:paraId="21760178">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落葬服务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2491F6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未提前安装椁具</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452F02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467A9C2">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开坑费及回填土做堆</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134F99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820（土方清运）</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DF9B9C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F7741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137760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F7B53F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413280</w:t>
            </w:r>
          </w:p>
        </w:tc>
      </w:tr>
      <w:tr w14:paraId="7425A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39B806C">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F929A6A">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890754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B678CE">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安装石椁具费（含搬运）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895228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21D0B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94A3B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41496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1C01">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124488</w:t>
            </w:r>
          </w:p>
        </w:tc>
      </w:tr>
      <w:tr w14:paraId="5117E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ED31A04">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78FB92">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B4F22F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36C26D2">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石椁木内板及安装加工（含搬运）</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0B30A2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182安装加工费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D45A6F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6D5F79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30576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247D57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91728</w:t>
            </w:r>
          </w:p>
        </w:tc>
      </w:tr>
      <w:tr w14:paraId="2EE7F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2B06404">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A95D8C0">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FA914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D2383D">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协助落葬遗体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6F71B3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2419E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83EE6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3360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4CC3">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10080</w:t>
            </w:r>
          </w:p>
        </w:tc>
      </w:tr>
      <w:tr w14:paraId="04A63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6002224">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DB6A88">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0C8471A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16979DE3">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1269</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0CF4A747">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06BA17C">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3865BB0D">
            <w:pPr>
              <w:jc w:val="right"/>
              <w:rPr>
                <w:rFonts w:hint="eastAsia" w:ascii="微软雅黑" w:hAnsi="微软雅黑" w:eastAsia="微软雅黑" w:cs="微软雅黑"/>
                <w:b/>
                <w:bCs/>
                <w:i w:val="0"/>
                <w:iCs w:val="0"/>
                <w:color w:val="000000"/>
                <w:sz w:val="22"/>
                <w:szCs w:val="22"/>
                <w:highlight w:val="none"/>
                <w:u w:val="none"/>
              </w:rPr>
            </w:pPr>
          </w:p>
        </w:tc>
      </w:tr>
      <w:tr w14:paraId="39D43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7C44A48">
            <w:pPr>
              <w:jc w:val="left"/>
              <w:rPr>
                <w:rFonts w:hint="default" w:ascii="Calibri" w:hAnsi="Calibri" w:eastAsia="等线" w:cs="Calibri"/>
                <w:i w:val="0"/>
                <w:iCs w:val="0"/>
                <w:color w:val="000000"/>
                <w:sz w:val="22"/>
                <w:szCs w:val="22"/>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04B62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已提前安装椁具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43079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3659A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开坑费及回填土做堆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08585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02DD4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01C04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102960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85AC">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308880</w:t>
            </w:r>
          </w:p>
        </w:tc>
      </w:tr>
      <w:tr w14:paraId="34CEF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5BF579E">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C8D03B">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BE6523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FD870B3">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石椁内板</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2D86EF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312EC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0282E4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29700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D40B15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89100</w:t>
            </w:r>
          </w:p>
        </w:tc>
      </w:tr>
      <w:tr w14:paraId="284126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A8E42F0">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61177">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A8C9E7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164758">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加工安装椁内衬板费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E5ACB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54D50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DC5FD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A8F46">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19008</w:t>
            </w:r>
          </w:p>
        </w:tc>
      </w:tr>
      <w:tr w14:paraId="4BAA5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8AE7EC9">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A063F1">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42E2E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5F02B42">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起椁盖板及安装椁盖板</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E5E71D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B342AE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07EFBA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D82D50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0</w:t>
            </w:r>
          </w:p>
        </w:tc>
      </w:tr>
      <w:tr w14:paraId="613A3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87C7CF8">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7EA242">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0C4C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0C763F">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协助落葬遗体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BD3306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8619C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98C2D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3960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D4958">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11880</w:t>
            </w:r>
          </w:p>
        </w:tc>
      </w:tr>
      <w:tr w14:paraId="1FF46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8FC3CC1">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AB5ABA">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10135C6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0C5B12D">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722</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0AC5A7FE">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1FAB28F4">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0144A292">
            <w:pPr>
              <w:jc w:val="right"/>
              <w:rPr>
                <w:rFonts w:hint="eastAsia" w:ascii="微软雅黑" w:hAnsi="微软雅黑" w:eastAsia="微软雅黑" w:cs="微软雅黑"/>
                <w:b/>
                <w:bCs/>
                <w:i w:val="0"/>
                <w:iCs w:val="0"/>
                <w:color w:val="000000"/>
                <w:sz w:val="22"/>
                <w:szCs w:val="22"/>
                <w:highlight w:val="none"/>
                <w:u w:val="none"/>
              </w:rPr>
            </w:pPr>
          </w:p>
        </w:tc>
      </w:tr>
      <w:tr w14:paraId="4B534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9661F4A">
            <w:pPr>
              <w:jc w:val="left"/>
              <w:rPr>
                <w:rFonts w:hint="default" w:ascii="Calibri" w:hAnsi="Calibri" w:eastAsia="等线" w:cs="Calibri"/>
                <w:i w:val="0"/>
                <w:iCs w:val="0"/>
                <w:color w:val="000000"/>
                <w:sz w:val="22"/>
                <w:szCs w:val="22"/>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46A98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墓体安装 单墓/中墓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E473F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9C26E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建筑材料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E926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BD59F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D68D9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85932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B11C2">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257796</w:t>
            </w:r>
          </w:p>
        </w:tc>
      </w:tr>
      <w:tr w14:paraId="5B356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832EF87">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C78D8">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68A5F4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26FF837">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安装费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170D36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540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165A92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373D76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106920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2CD735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320760</w:t>
            </w:r>
          </w:p>
        </w:tc>
      </w:tr>
      <w:tr w14:paraId="76E22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0BE9F0C">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78EB77">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8500C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EF1B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二次处理土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011911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E75435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673E39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28314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CA0FC">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84942</w:t>
            </w:r>
          </w:p>
        </w:tc>
      </w:tr>
      <w:tr w14:paraId="1079BB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6E0FEC2">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0E9327">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0CE555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938795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墓间距</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F2507C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78F209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536378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33462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D4BED6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100386</w:t>
            </w:r>
          </w:p>
        </w:tc>
      </w:tr>
      <w:tr w14:paraId="5E207D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255514E">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36F451">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0939C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D3BEA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墓间道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7493F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568316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64A1B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58410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5D664">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175230</w:t>
            </w:r>
          </w:p>
        </w:tc>
      </w:tr>
      <w:tr w14:paraId="5AC46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8DC3912">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BCEF51">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9781D2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65A3BA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竹排油漆</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F6237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3ACBCF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868D6A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594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840756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1782</w:t>
            </w:r>
          </w:p>
        </w:tc>
      </w:tr>
      <w:tr w14:paraId="05DDE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8052669">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CB65E">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E4E1A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0B41E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绿化种植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09923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366A7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13B7B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15444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6C590">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46332</w:t>
            </w:r>
          </w:p>
        </w:tc>
      </w:tr>
      <w:tr w14:paraId="77ADE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51DEC79">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088ECE">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7751F9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C6B830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垃圾费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A9E935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FCCBC7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4F570E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23166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3A33C4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69498</w:t>
            </w:r>
          </w:p>
        </w:tc>
      </w:tr>
      <w:tr w14:paraId="1983B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6875C00">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B35F72">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23965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2675A3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砖砌基础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532084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62FA9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AE2F8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38610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E580E">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115830</w:t>
            </w:r>
          </w:p>
        </w:tc>
      </w:tr>
      <w:tr w14:paraId="1B2B42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9E79780">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C7DA8B">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55D93CA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32FCDB52">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1974</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2921C0C">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2754CC86">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68E680E3">
            <w:pPr>
              <w:jc w:val="right"/>
              <w:rPr>
                <w:rFonts w:hint="eastAsia" w:ascii="微软雅黑" w:hAnsi="微软雅黑" w:eastAsia="微软雅黑" w:cs="微软雅黑"/>
                <w:b/>
                <w:bCs/>
                <w:i w:val="0"/>
                <w:iCs w:val="0"/>
                <w:color w:val="000000"/>
                <w:sz w:val="22"/>
                <w:szCs w:val="22"/>
                <w:highlight w:val="none"/>
                <w:u w:val="none"/>
              </w:rPr>
            </w:pPr>
          </w:p>
        </w:tc>
      </w:tr>
      <w:tr w14:paraId="72AC06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CF1F810">
            <w:pPr>
              <w:jc w:val="left"/>
              <w:rPr>
                <w:rFonts w:hint="default" w:ascii="Calibri" w:hAnsi="Calibri" w:eastAsia="等线" w:cs="Calibri"/>
                <w:i w:val="0"/>
                <w:iCs w:val="0"/>
                <w:color w:val="000000"/>
                <w:sz w:val="22"/>
                <w:szCs w:val="22"/>
                <w:highlight w:val="none"/>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938242">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墓体安装 双墓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0BD491">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4680E8">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建筑材料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4412D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507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AB7AB1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89E30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35490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C9E97">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106470</w:t>
            </w:r>
          </w:p>
        </w:tc>
      </w:tr>
      <w:tr w14:paraId="1939C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7BE536B">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672B9D">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E4DD3F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7E91B5E">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安装费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0AD887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637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913223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D00EF2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44590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F9872E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133770</w:t>
            </w:r>
          </w:p>
        </w:tc>
      </w:tr>
      <w:tr w14:paraId="4FAB0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DC8C612">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754768">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691E9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E82D6F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二次处理土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2FC1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0C88F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153E0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AAB0B">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30030</w:t>
            </w:r>
          </w:p>
        </w:tc>
      </w:tr>
      <w:tr w14:paraId="16B13D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ED2402D">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2883F">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B2E8DB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80CD9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墓间距</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A1A02B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169</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990928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4C469C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11830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45FEA4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35490</w:t>
            </w:r>
          </w:p>
        </w:tc>
      </w:tr>
      <w:tr w14:paraId="0F088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088FFAF">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FC5E07">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D3DEA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6FDF2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墓间道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E28F6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590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1C1A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98FDA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41300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F053F">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123900</w:t>
            </w:r>
          </w:p>
        </w:tc>
      </w:tr>
      <w:tr w14:paraId="56503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E4CDE2F">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D6C73">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F78803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7A23FC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竹排油漆</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688C40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38A9DF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A3F088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44A63E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630</w:t>
            </w:r>
          </w:p>
        </w:tc>
      </w:tr>
      <w:tr w14:paraId="070D5E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313E402">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D974FB">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67F540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B3DF58">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绿化种植</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380B5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9336DE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B4C56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10920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50A0">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32760</w:t>
            </w:r>
          </w:p>
        </w:tc>
      </w:tr>
      <w:tr w14:paraId="2C8EA9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955F115">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BCE5B3">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67B71F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C13A75E">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垃圾费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532BDF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3E0725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AA9962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16380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738A90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49140</w:t>
            </w:r>
          </w:p>
        </w:tc>
      </w:tr>
      <w:tr w14:paraId="66C9F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B5C85A3">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83993">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CEE4CE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3BDCC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砖砌基础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67819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6E844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EEE57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13650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46BE0F">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40950</w:t>
            </w:r>
          </w:p>
        </w:tc>
      </w:tr>
      <w:tr w14:paraId="5D919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0BB3AA6">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3170711">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2CD6856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CC3E134">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2634</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1DA7C692">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6DCA302C">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3A7A8BDD">
            <w:pPr>
              <w:jc w:val="right"/>
              <w:rPr>
                <w:rFonts w:hint="eastAsia" w:ascii="微软雅黑" w:hAnsi="微软雅黑" w:eastAsia="微软雅黑" w:cs="微软雅黑"/>
                <w:b/>
                <w:bCs/>
                <w:i w:val="0"/>
                <w:iCs w:val="0"/>
                <w:color w:val="000000"/>
                <w:sz w:val="22"/>
                <w:szCs w:val="22"/>
                <w:highlight w:val="none"/>
                <w:u w:val="none"/>
              </w:rPr>
            </w:pPr>
          </w:p>
        </w:tc>
      </w:tr>
      <w:tr w14:paraId="61D57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EBF1F8"/>
            <w:vAlign w:val="center"/>
          </w:tcPr>
          <w:p w14:paraId="640D370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回回并穴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F84388F">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已经建好墓穴拆半边墓，开挖墓穴安装椁具恢复墓体等</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4DBCC1">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F663FC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建筑材料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F5859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5BF752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5A9C9B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30380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1ACDA">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91140</w:t>
            </w:r>
          </w:p>
        </w:tc>
      </w:tr>
      <w:tr w14:paraId="2E60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8B4E366">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1BC90E">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C4BA3B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34D529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并穴拆墓费恢复墓体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CBE280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6886FD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6D8858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68600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4F122B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205800</w:t>
            </w:r>
          </w:p>
        </w:tc>
      </w:tr>
      <w:tr w14:paraId="22BFE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F9EE0E3">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DCB77B">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2F6DE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7ADC5E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清运土方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D7BFBA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25CEFC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0C950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6876C">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63000</w:t>
            </w:r>
          </w:p>
        </w:tc>
      </w:tr>
      <w:tr w14:paraId="13B6F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1BF173F">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4243EA">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555D12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79C86C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二次处理土</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7A5FE4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4A11A8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1CEEFE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EB969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30030</w:t>
            </w:r>
          </w:p>
        </w:tc>
      </w:tr>
      <w:tr w14:paraId="53C30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C79DD0D">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11B5B7">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B0EC4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C97F6D">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更换材料（无论换不换整墓包干制）</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E5B24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533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75F26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4C3FE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37310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DA6B8">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111930</w:t>
            </w:r>
          </w:p>
        </w:tc>
      </w:tr>
      <w:tr w14:paraId="4692E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E3CCD91">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DF92F">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95BBEA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5B4B87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整体描碑</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A1E671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57FF7C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813EFE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11200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9E1AC5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33600</w:t>
            </w:r>
          </w:p>
        </w:tc>
      </w:tr>
      <w:tr w14:paraId="58B6A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0E3E582">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DD69C6">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41B1CA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6B562D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补刻日期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235914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E3654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EC1765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86B02">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33600</w:t>
            </w:r>
          </w:p>
        </w:tc>
      </w:tr>
      <w:tr w14:paraId="0E29F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928860F">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A7A396">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BCE321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16030A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绿化种植</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46D805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BAC016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E158FD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5460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ACBE10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16380</w:t>
            </w:r>
          </w:p>
        </w:tc>
      </w:tr>
      <w:tr w14:paraId="73FFB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EE8CB8A">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DD03F3">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CE26E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9445DD">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垃圾清理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FC052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117</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7D1B9D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D380F0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8190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8571D">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24570</w:t>
            </w:r>
          </w:p>
        </w:tc>
      </w:tr>
      <w:tr w14:paraId="08AC3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304F276">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2AD251">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197AFC2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459A1E9A">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2905</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2375E941">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606F9240">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6C74EF31">
            <w:pPr>
              <w:jc w:val="right"/>
              <w:rPr>
                <w:rFonts w:hint="eastAsia" w:ascii="微软雅黑" w:hAnsi="微软雅黑" w:eastAsia="微软雅黑" w:cs="微软雅黑"/>
                <w:b/>
                <w:bCs/>
                <w:i w:val="0"/>
                <w:iCs w:val="0"/>
                <w:color w:val="000000"/>
                <w:sz w:val="22"/>
                <w:szCs w:val="22"/>
                <w:highlight w:val="none"/>
                <w:u w:val="none"/>
              </w:rPr>
            </w:pPr>
          </w:p>
        </w:tc>
      </w:tr>
      <w:tr w14:paraId="25337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EBF1F8"/>
            <w:vAlign w:val="center"/>
          </w:tcPr>
          <w:p w14:paraId="5B0EBC5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回汉并穴</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A5CFB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已经建好墓穴开挖骨坑安装骨灰椁落葬骨灰盒</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0946B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2C16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开坑费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388D1E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1C3A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7FC72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9B8AC">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36000</w:t>
            </w:r>
          </w:p>
        </w:tc>
      </w:tr>
      <w:tr w14:paraId="3FF946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B2857A7">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C8EB7C">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D472FE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4615E8E">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处理土方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C79681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14A77C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FC5D4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4800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3DD42C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14400</w:t>
            </w:r>
          </w:p>
        </w:tc>
      </w:tr>
      <w:tr w14:paraId="4A348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CBC1744">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0C0F6A">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F21A2B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002E8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骨灰椁及骨灰盒安葬</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E849E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AD9C72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A5A4C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14160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161C2">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42480</w:t>
            </w:r>
          </w:p>
        </w:tc>
      </w:tr>
      <w:tr w14:paraId="6951D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666EF10">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E01FBA">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0E2A9D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225C77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绿化种植</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D7B60A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A39E6F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FD8A38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5040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A95CF2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15120</w:t>
            </w:r>
          </w:p>
        </w:tc>
      </w:tr>
      <w:tr w14:paraId="1D29F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BB61EF4">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0F7A68">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864F2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61107DB">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描碑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941A11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8423A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173F0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4A32">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28800</w:t>
            </w:r>
          </w:p>
        </w:tc>
      </w:tr>
      <w:tr w14:paraId="457C9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CCD9780">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EBEB3D">
            <w:pPr>
              <w:jc w:val="left"/>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EDB7F5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F7B5A43">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补刻日期</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CDFB5B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E38D80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5882F9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9600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CAFAD1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28800</w:t>
            </w:r>
          </w:p>
        </w:tc>
      </w:tr>
      <w:tr w14:paraId="15D48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E3011DB">
            <w:pPr>
              <w:jc w:val="left"/>
              <w:rPr>
                <w:rFonts w:hint="default" w:ascii="Calibri" w:hAnsi="Calibri" w:eastAsia="等线" w:cs="Calibri"/>
                <w:i w:val="0"/>
                <w:iCs w:val="0"/>
                <w:color w:val="000000"/>
                <w:sz w:val="22"/>
                <w:szCs w:val="22"/>
                <w:highlight w:val="none"/>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20E94D">
            <w:pPr>
              <w:jc w:val="left"/>
              <w:rPr>
                <w:rFonts w:hint="default" w:ascii="Calibri" w:hAnsi="Calibri" w:eastAsia="等线" w:cs="Calibri"/>
                <w:i w:val="0"/>
                <w:iCs w:val="0"/>
                <w:color w:val="000000"/>
                <w:sz w:val="22"/>
                <w:szCs w:val="22"/>
                <w:highlight w:val="none"/>
                <w:u w:val="none"/>
              </w:rPr>
            </w:pP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D9E1F2"/>
            <w:vAlign w:val="center"/>
          </w:tcPr>
          <w:p w14:paraId="4AA5E34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74434EC9">
            <w:pPr>
              <w:keepNext w:val="0"/>
              <w:keepLines w:val="0"/>
              <w:widowControl/>
              <w:suppressLineNumbers w:val="0"/>
              <w:jc w:val="right"/>
              <w:textAlignment w:val="center"/>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kern w:val="0"/>
                <w:sz w:val="22"/>
                <w:szCs w:val="22"/>
                <w:highlight w:val="none"/>
                <w:u w:val="none"/>
                <w:lang w:val="en-US" w:eastAsia="zh-CN" w:bidi="ar"/>
              </w:rPr>
              <w:t>920</w:t>
            </w: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671376FF">
            <w:pPr>
              <w:jc w:val="center"/>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582DFCBA">
            <w:pPr>
              <w:jc w:val="right"/>
              <w:rPr>
                <w:rFonts w:hint="eastAsia" w:ascii="微软雅黑" w:hAnsi="微软雅黑" w:eastAsia="微软雅黑" w:cs="微软雅黑"/>
                <w:b/>
                <w:bCs/>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D9E1F2"/>
            <w:vAlign w:val="center"/>
          </w:tcPr>
          <w:p w14:paraId="14ADB96A">
            <w:pPr>
              <w:jc w:val="right"/>
              <w:rPr>
                <w:rFonts w:hint="eastAsia" w:ascii="微软雅黑" w:hAnsi="微软雅黑" w:eastAsia="微软雅黑" w:cs="微软雅黑"/>
                <w:b/>
                <w:bCs/>
                <w:i w:val="0"/>
                <w:iCs w:val="0"/>
                <w:color w:val="000000"/>
                <w:sz w:val="22"/>
                <w:szCs w:val="22"/>
                <w:highlight w:val="none"/>
                <w:u w:val="none"/>
              </w:rPr>
            </w:pPr>
          </w:p>
        </w:tc>
      </w:tr>
      <w:tr w14:paraId="3B4D4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restart"/>
            <w:tcBorders>
              <w:top w:val="single" w:color="000000" w:sz="4" w:space="0"/>
              <w:left w:val="single" w:color="000000" w:sz="4" w:space="0"/>
              <w:bottom w:val="single" w:color="000000" w:sz="4" w:space="0"/>
              <w:right w:val="single" w:color="000000" w:sz="4" w:space="0"/>
            </w:tcBorders>
            <w:shd w:val="clear" w:color="auto" w:fill="EBF1F8"/>
            <w:vAlign w:val="center"/>
          </w:tcPr>
          <w:p w14:paraId="251A5B0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零星业务</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44BD7D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FBF82F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下沉维修拆装墓做地基（单墓）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A90D80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678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FAF031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64811C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8136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0F4855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24408</w:t>
            </w:r>
          </w:p>
        </w:tc>
      </w:tr>
      <w:tr w14:paraId="3C2C7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DF9F89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4CF481">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C363F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下沉维修普通地基改钢筋混凝土地基（单墓）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E95B03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1552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47EC1A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E153C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12416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8455">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37248</w:t>
            </w:r>
          </w:p>
        </w:tc>
      </w:tr>
      <w:tr w14:paraId="4180F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B69DCD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566BDC1">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269A08D">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下沉维修打工字钢（4根）</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EB0B54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684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6DE8FE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189CE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4104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B76479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12312</w:t>
            </w:r>
          </w:p>
        </w:tc>
      </w:tr>
      <w:tr w14:paraId="35955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CA3B10D">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B00F0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E3D8FD">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下沉维修拆装墓做地基（双墓）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E5DA3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0F284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4C209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12192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E3B78">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36576</w:t>
            </w:r>
          </w:p>
        </w:tc>
      </w:tr>
      <w:tr w14:paraId="3AE24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708666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9FD227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690E4D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下沉维修普通地基改钢筋混凝土地基（双墓）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100FB4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3047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7F41AF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4C55A2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24376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4A114D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73128</w:t>
            </w:r>
          </w:p>
        </w:tc>
      </w:tr>
      <w:tr w14:paraId="3EAF2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CDFEF17">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0746C5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20F5CA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下沉维修打工字钢（6根）</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E0185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B2613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7224C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6156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36914">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18468</w:t>
            </w:r>
          </w:p>
        </w:tc>
      </w:tr>
      <w:tr w14:paraId="61106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59BD383">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3208B3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CBA7877">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重做出新水泥墓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9CB85F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586</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D762FC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C3BCB3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1172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2C878A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3516</w:t>
            </w:r>
          </w:p>
        </w:tc>
      </w:tr>
      <w:tr w14:paraId="20334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E90D4FA">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BF861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AF511E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更换扶手（单侧）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926D07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480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0D52F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DDE682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78BFF">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14400</w:t>
            </w:r>
          </w:p>
        </w:tc>
      </w:tr>
      <w:tr w14:paraId="783E42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45BA6D1">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ED7745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B8C289E">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更换归真板（单块）</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2DDA61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ADD5CA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8445DD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4800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5B8175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14400</w:t>
            </w:r>
          </w:p>
        </w:tc>
      </w:tr>
      <w:tr w14:paraId="6D9398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DAD08F4">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FA3AB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6881EB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贴黑碑（不拆墓改字）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0E8964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DD58D2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F4716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E317F">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18000</w:t>
            </w:r>
          </w:p>
        </w:tc>
      </w:tr>
      <w:tr w14:paraId="4ACEA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BDD9E0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25325F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A56123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换碑白或黑碑（带帽子需要拆墓的）</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DC6C6C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1F1902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A65EC4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B8CDE5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22500</w:t>
            </w:r>
          </w:p>
        </w:tc>
      </w:tr>
      <w:tr w14:paraId="7E266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A6BE202">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7EA18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7B46B1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换碑大碑A-202D（黑）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94F9B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1431.5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FCCDBA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891707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2863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5F19F">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8589</w:t>
            </w:r>
          </w:p>
        </w:tc>
      </w:tr>
      <w:tr w14:paraId="06B49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69D2038">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85001D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A570ACC">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换碑（水泥墓、老款无帽款）单墓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C0AB67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1BDC07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E82257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A72858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7200</w:t>
            </w:r>
          </w:p>
        </w:tc>
      </w:tr>
      <w:tr w14:paraId="50CB5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6D7F98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3FBB3C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016BBA3">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重做墓服务（单墓）不含墓石材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4768FB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0B0BD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A8D4AB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45570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2ABE5">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136710</w:t>
            </w:r>
          </w:p>
        </w:tc>
      </w:tr>
      <w:tr w14:paraId="01A5A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5C3392D">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295A5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F678BFF">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重做墓服务（中墓）不含墓石材</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373583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3588</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84F64F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6072F4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14352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C6D01A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43056</w:t>
            </w:r>
          </w:p>
        </w:tc>
      </w:tr>
      <w:tr w14:paraId="6080B0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A91F379">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DCFC3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4D257DF">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重做墓服务（双墓）不含墓石材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D4F448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4138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D2BD7F">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F857DE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49656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831A4">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148968</w:t>
            </w:r>
          </w:p>
        </w:tc>
      </w:tr>
      <w:tr w14:paraId="11B54E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83BD06B">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901B1C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A4C3551">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拆单墓（含旧墓垃圾土方清运）</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3CAE58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79F408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B1DFE4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2B5811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22500</w:t>
            </w:r>
          </w:p>
        </w:tc>
      </w:tr>
      <w:tr w14:paraId="3E3E1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9E9C534">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C1214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7CC9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拆双墓（含旧墓垃圾土方清运）</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1A6C8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9B2F01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49539B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8000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C4EDE">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24000</w:t>
            </w:r>
          </w:p>
        </w:tc>
      </w:tr>
      <w:tr w14:paraId="3862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5E001BD">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879D18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FE850F5">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老墓描碑</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CDBF8F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076C47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5C06CE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3600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6EB09D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10800</w:t>
            </w:r>
          </w:p>
        </w:tc>
      </w:tr>
      <w:tr w14:paraId="46C87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567A954">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A46CE5C">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CE107A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老墓碑补刻字（正面，有亡人姓名面）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AC91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≤10字30元/字，11-50字15元/字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FCB24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CB6F98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00064">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9000</w:t>
            </w:r>
          </w:p>
        </w:tc>
      </w:tr>
      <w:tr w14:paraId="1A4E3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17BBC9D">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2235CB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256A02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老墓填土</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4F3053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7B48F1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85FCED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57B693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420</w:t>
            </w:r>
          </w:p>
        </w:tc>
      </w:tr>
      <w:tr w14:paraId="528D1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8AE7B73">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E33683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20D17F3">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刻字（含碑文模板）</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3A1141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2F629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AD69E4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8FE34">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2148</w:t>
            </w:r>
          </w:p>
        </w:tc>
      </w:tr>
      <w:tr w14:paraId="69105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082E0A4A">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02069E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89265CA">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碑后刻字（大字10字内）</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79662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1A2A2D0">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15FC0C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4000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0CD02F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12000</w:t>
            </w:r>
          </w:p>
        </w:tc>
      </w:tr>
      <w:tr w14:paraId="48D99E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BBC0195">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866BC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2E5F66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碑后刻字（（反面，无亡人姓名面）</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2FCE37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≤10字25元/字，11-50字10元/字，≥50字议价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F131E4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9FDB3B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0FE19">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9000</w:t>
            </w:r>
          </w:p>
        </w:tc>
      </w:tr>
      <w:tr w14:paraId="4DDB1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DF41200">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D9F03F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519B1A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扶手、帽子等墓穴配件倒塌扶正加固</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8789A0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20CF92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214B15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1800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6E4093E">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5400</w:t>
            </w:r>
          </w:p>
        </w:tc>
      </w:tr>
      <w:tr w14:paraId="6FE20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2B5982A">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15AAFA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6AF83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草皮种植（单墓）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3AE056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6AD80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9DA9D1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0FB6E">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960</w:t>
            </w:r>
          </w:p>
        </w:tc>
      </w:tr>
      <w:tr w14:paraId="54307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6C0E473">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41AA68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9C5335F">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草皮种植（中墓）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95432B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D4FAEF6">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BC586A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AF01FF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w:t>
            </w:r>
          </w:p>
        </w:tc>
      </w:tr>
      <w:tr w14:paraId="1A7AD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27EA7BA">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47DC4F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B7C8C7">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草皮种植（双墓）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096A46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472613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E23244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3E8AB">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1800</w:t>
            </w:r>
          </w:p>
        </w:tc>
      </w:tr>
      <w:tr w14:paraId="75F6A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273B212">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CF33AD5">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EF11AF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铺鹅卵石单墓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359230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93E660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D1E93C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A100C0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1200</w:t>
            </w:r>
          </w:p>
        </w:tc>
      </w:tr>
      <w:tr w14:paraId="1B533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2800F205">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B83146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3A47DD3">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种红心石兰树</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655220">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F063DC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B584C7B">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C7B60">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780</w:t>
            </w:r>
          </w:p>
        </w:tc>
      </w:tr>
      <w:tr w14:paraId="43440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63BB73E4">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9920544">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7BB28A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老墓环境整理</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25BBDD3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6ACBA5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2CFE4F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140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D6A1B9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420</w:t>
            </w:r>
          </w:p>
        </w:tc>
      </w:tr>
      <w:tr w14:paraId="2A3730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7E02C80E">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B91EDB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16F0857">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修剪树木（红心石兰树或小型树木）</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580B974">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7EE8B6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F566B3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97002">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1200</w:t>
            </w:r>
          </w:p>
        </w:tc>
      </w:tr>
      <w:tr w14:paraId="5D22F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1BA77907">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00BF922">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D67DC4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修剪树木（高大松树）</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48A4D46">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EF1E3B3">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C3FC808">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09CF6007">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6000</w:t>
            </w:r>
          </w:p>
        </w:tc>
      </w:tr>
      <w:tr w14:paraId="65D16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DF05C13">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BEB1E07">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BF20239">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墓体出新抛光（单墓）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BA5ACE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DD6597A">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875519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16718">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3000</w:t>
            </w:r>
          </w:p>
        </w:tc>
      </w:tr>
      <w:tr w14:paraId="29E36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5BEB2296">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732B0278">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C18CD34">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墓体出新抛光（双墓）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34370DF">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A9F479E">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B893DFD">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1500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0EB1E6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4500</w:t>
            </w:r>
          </w:p>
        </w:tc>
      </w:tr>
      <w:tr w14:paraId="696B7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3002C9C2">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212F31">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1E9EA50">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高压水枪洗墓（单墓）</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5533F3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3FDF6D">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56B86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0650D">
            <w:pPr>
              <w:keepNext w:val="0"/>
              <w:keepLines w:val="0"/>
              <w:widowControl/>
              <w:suppressLineNumbers w:val="0"/>
              <w:jc w:val="right"/>
              <w:textAlignment w:val="center"/>
              <w:rPr>
                <w:rFonts w:hint="eastAsia" w:ascii="等线" w:hAnsi="等线" w:eastAsia="等线" w:cs="等线"/>
                <w:i w:val="0"/>
                <w:iCs w:val="0"/>
                <w:color w:val="000000"/>
                <w:sz w:val="20"/>
                <w:szCs w:val="20"/>
                <w:highlight w:val="none"/>
                <w:u w:val="none"/>
              </w:rPr>
            </w:pPr>
            <w:r>
              <w:rPr>
                <w:rFonts w:hint="eastAsia" w:ascii="等线" w:hAnsi="等线" w:eastAsia="等线" w:cs="等线"/>
                <w:i w:val="0"/>
                <w:iCs w:val="0"/>
                <w:color w:val="000000"/>
                <w:kern w:val="0"/>
                <w:sz w:val="20"/>
                <w:szCs w:val="20"/>
                <w:highlight w:val="none"/>
                <w:u w:val="none"/>
                <w:lang w:val="en-US" w:eastAsia="zh-CN" w:bidi="ar"/>
              </w:rPr>
              <w:t>600</w:t>
            </w:r>
          </w:p>
        </w:tc>
      </w:tr>
      <w:tr w14:paraId="090A7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2"/>
            <w:vMerge w:val="continue"/>
            <w:tcBorders>
              <w:top w:val="single" w:color="000000" w:sz="4" w:space="0"/>
              <w:left w:val="single" w:color="000000" w:sz="4" w:space="0"/>
              <w:bottom w:val="single" w:color="000000" w:sz="4" w:space="0"/>
              <w:right w:val="single" w:color="000000" w:sz="4" w:space="0"/>
            </w:tcBorders>
            <w:shd w:val="clear" w:color="auto" w:fill="EBF1F8"/>
            <w:vAlign w:val="center"/>
          </w:tcPr>
          <w:p w14:paraId="41666A6F">
            <w:pPr>
              <w:jc w:val="center"/>
              <w:rPr>
                <w:rFonts w:hint="default" w:ascii="Calibri" w:hAnsi="Calibri" w:eastAsia="等线" w:cs="Calibri"/>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3C0377EB">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6E7EC746">
            <w:pPr>
              <w:keepNext w:val="0"/>
              <w:keepLines w:val="0"/>
              <w:widowControl/>
              <w:suppressLineNumbers w:val="0"/>
              <w:jc w:val="lef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高压水枪洗墓（双墓）</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4F2919F5">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18C68AA9">
            <w:pPr>
              <w:keepNext w:val="0"/>
              <w:keepLines w:val="0"/>
              <w:widowControl/>
              <w:suppressLineNumbers w:val="0"/>
              <w:jc w:val="center"/>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808426C">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EBF1F8"/>
            <w:vAlign w:val="center"/>
          </w:tcPr>
          <w:p w14:paraId="53B7861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780</w:t>
            </w:r>
          </w:p>
        </w:tc>
      </w:tr>
      <w:tr w14:paraId="2413F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E2EFDA"/>
            <w:vAlign w:val="center"/>
          </w:tcPr>
          <w:p w14:paraId="560233C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项目招标控制单价</w:t>
            </w:r>
            <w:r>
              <w:rPr>
                <w:rFonts w:hint="default" w:ascii="Calibri" w:hAnsi="Calibri" w:eastAsia="宋体" w:cs="Calibri"/>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年预估业务量</w:t>
            </w:r>
          </w:p>
        </w:tc>
        <w:tc>
          <w:tcPr>
            <w:tcW w:w="0" w:type="auto"/>
            <w:tcBorders>
              <w:top w:val="single" w:color="000000" w:sz="4" w:space="0"/>
              <w:left w:val="single" w:color="000000" w:sz="4" w:space="0"/>
              <w:bottom w:val="single" w:color="000000" w:sz="4" w:space="0"/>
              <w:right w:val="single" w:color="000000" w:sz="4" w:space="0"/>
            </w:tcBorders>
            <w:shd w:val="clear" w:color="auto" w:fill="E2EFDA"/>
            <w:vAlign w:val="center"/>
          </w:tcPr>
          <w:p w14:paraId="13A38519">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1633545</w:t>
            </w:r>
          </w:p>
        </w:tc>
        <w:tc>
          <w:tcPr>
            <w:tcW w:w="0" w:type="auto"/>
            <w:tcBorders>
              <w:top w:val="single" w:color="000000" w:sz="4" w:space="0"/>
              <w:left w:val="single" w:color="000000" w:sz="4" w:space="0"/>
              <w:bottom w:val="single" w:color="000000" w:sz="4" w:space="0"/>
              <w:right w:val="single" w:color="000000" w:sz="4" w:space="0"/>
            </w:tcBorders>
            <w:shd w:val="clear" w:color="auto" w:fill="E2EFDA"/>
            <w:vAlign w:val="center"/>
          </w:tcPr>
          <w:p w14:paraId="78772CA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4900635</w:t>
            </w:r>
          </w:p>
        </w:tc>
      </w:tr>
      <w:tr w14:paraId="0864E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FFF2CC"/>
            <w:vAlign w:val="center"/>
          </w:tcPr>
          <w:p w14:paraId="50E5E55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两个公墓的环境整治、整体绿化、值班保卫、卫生保洁总体打包限价</w:t>
            </w:r>
          </w:p>
        </w:tc>
        <w:tc>
          <w:tcPr>
            <w:tcW w:w="0" w:type="auto"/>
            <w:tcBorders>
              <w:top w:val="single" w:color="000000" w:sz="4" w:space="0"/>
              <w:left w:val="single" w:color="000000" w:sz="4" w:space="0"/>
              <w:bottom w:val="single" w:color="000000" w:sz="4" w:space="0"/>
              <w:right w:val="single" w:color="000000" w:sz="4" w:space="0"/>
            </w:tcBorders>
            <w:shd w:val="clear" w:color="auto" w:fill="FFF2CC"/>
            <w:vAlign w:val="center"/>
          </w:tcPr>
          <w:p w14:paraId="01F73D03">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165000</w:t>
            </w:r>
          </w:p>
        </w:tc>
        <w:tc>
          <w:tcPr>
            <w:tcW w:w="0" w:type="auto"/>
            <w:tcBorders>
              <w:top w:val="single" w:color="000000" w:sz="4" w:space="0"/>
              <w:left w:val="single" w:color="000000" w:sz="4" w:space="0"/>
              <w:bottom w:val="single" w:color="000000" w:sz="4" w:space="0"/>
              <w:right w:val="single" w:color="000000" w:sz="4" w:space="0"/>
            </w:tcBorders>
            <w:shd w:val="clear" w:color="auto" w:fill="FFF2CC"/>
            <w:vAlign w:val="center"/>
          </w:tcPr>
          <w:p w14:paraId="31EE546A">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495000</w:t>
            </w:r>
          </w:p>
        </w:tc>
      </w:tr>
      <w:tr w14:paraId="0D8E9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FCE4D6"/>
            <w:vAlign w:val="center"/>
          </w:tcPr>
          <w:p w14:paraId="57D1834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马诚山、马子山墓区综合服务采购总限价</w:t>
            </w:r>
          </w:p>
        </w:tc>
        <w:tc>
          <w:tcPr>
            <w:tcW w:w="0" w:type="auto"/>
            <w:tcBorders>
              <w:top w:val="single" w:color="000000" w:sz="4" w:space="0"/>
              <w:left w:val="single" w:color="000000" w:sz="4" w:space="0"/>
              <w:bottom w:val="single" w:color="000000" w:sz="4" w:space="0"/>
              <w:right w:val="single" w:color="000000" w:sz="4" w:space="0"/>
            </w:tcBorders>
            <w:shd w:val="clear" w:color="auto" w:fill="FCE4D6"/>
            <w:vAlign w:val="center"/>
          </w:tcPr>
          <w:p w14:paraId="1A9F0132">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1798545</w:t>
            </w:r>
          </w:p>
        </w:tc>
        <w:tc>
          <w:tcPr>
            <w:tcW w:w="0" w:type="auto"/>
            <w:tcBorders>
              <w:top w:val="single" w:color="000000" w:sz="4" w:space="0"/>
              <w:left w:val="single" w:color="000000" w:sz="4" w:space="0"/>
              <w:bottom w:val="single" w:color="000000" w:sz="4" w:space="0"/>
              <w:right w:val="single" w:color="000000" w:sz="4" w:space="0"/>
            </w:tcBorders>
            <w:shd w:val="clear" w:color="auto" w:fill="FCE4D6"/>
            <w:vAlign w:val="center"/>
          </w:tcPr>
          <w:p w14:paraId="0E2E8B41">
            <w:pPr>
              <w:keepNext w:val="0"/>
              <w:keepLines w:val="0"/>
              <w:widowControl/>
              <w:suppressLineNumbers w:val="0"/>
              <w:jc w:val="right"/>
              <w:textAlignment w:val="center"/>
              <w:rPr>
                <w:rFonts w:hint="default" w:ascii="Calibri" w:hAnsi="Calibri" w:eastAsia="等线" w:cs="Calibri"/>
                <w:i w:val="0"/>
                <w:iCs w:val="0"/>
                <w:color w:val="000000"/>
                <w:sz w:val="22"/>
                <w:szCs w:val="22"/>
                <w:highlight w:val="none"/>
                <w:u w:val="none"/>
              </w:rPr>
            </w:pPr>
            <w:r>
              <w:rPr>
                <w:rFonts w:hint="default" w:ascii="Calibri" w:hAnsi="Calibri" w:eastAsia="等线" w:cs="Calibri"/>
                <w:i w:val="0"/>
                <w:iCs w:val="0"/>
                <w:color w:val="000000"/>
                <w:kern w:val="0"/>
                <w:sz w:val="22"/>
                <w:szCs w:val="22"/>
                <w:highlight w:val="none"/>
                <w:u w:val="none"/>
                <w:lang w:val="en-US" w:eastAsia="zh-CN" w:bidi="ar"/>
              </w:rPr>
              <w:t>5395635</w:t>
            </w:r>
          </w:p>
        </w:tc>
      </w:tr>
    </w:tbl>
    <w:p w14:paraId="502550DB">
      <w:pPr>
        <w:numPr>
          <w:ilvl w:val="0"/>
          <w:numId w:val="0"/>
        </w:numPr>
        <w:jc w:val="left"/>
        <w:rPr>
          <w:rFonts w:hint="eastAsia" w:ascii="宋体" w:hAnsi="宋体" w:eastAsia="宋体" w:cs="宋体"/>
          <w:b/>
          <w:bCs/>
          <w:sz w:val="30"/>
          <w:szCs w:val="30"/>
          <w:highlight w:val="none"/>
          <w:u w:val="none"/>
          <w:lang w:val="en-US" w:eastAsia="zh-CN"/>
        </w:rPr>
        <w:sectPr>
          <w:pgSz w:w="16838" w:h="11906" w:orient="landscape"/>
          <w:pgMar w:top="1800" w:right="1440" w:bottom="1800" w:left="1440" w:header="851" w:footer="992" w:gutter="0"/>
          <w:pgNumType w:fmt="decimal"/>
          <w:cols w:space="425" w:num="1"/>
          <w:docGrid w:type="lines" w:linePitch="312" w:charSpace="0"/>
        </w:sectPr>
      </w:pPr>
    </w:p>
    <w:p w14:paraId="2720BCE9">
      <w:pPr>
        <w:rPr>
          <w:rFonts w:hint="eastAsia" w:ascii="宋体" w:hAnsi="宋体" w:cs="宋体"/>
          <w:b/>
          <w:color w:val="000000"/>
          <w:sz w:val="32"/>
          <w:szCs w:val="32"/>
          <w:highlight w:val="none"/>
          <w:lang w:val="en-US" w:eastAsia="zh-CN"/>
        </w:rPr>
      </w:pPr>
    </w:p>
    <w:p w14:paraId="3D3E9B0E">
      <w:pPr>
        <w:widowControl/>
        <w:shd w:val="clear" w:color="auto" w:fill="FFFFFF"/>
        <w:spacing w:line="360" w:lineRule="auto"/>
        <w:ind w:firstLine="480"/>
        <w:jc w:val="center"/>
        <w:outlineLvl w:val="0"/>
        <w:rPr>
          <w:rFonts w:hint="eastAsia" w:ascii="宋体" w:hAnsi="宋体" w:cs="宋体"/>
          <w:b/>
          <w:color w:val="000000"/>
          <w:sz w:val="32"/>
          <w:szCs w:val="32"/>
          <w:highlight w:val="none"/>
        </w:rPr>
      </w:pPr>
      <w:bookmarkStart w:id="50" w:name="_Toc732"/>
      <w:r>
        <w:rPr>
          <w:rFonts w:hint="eastAsia" w:ascii="宋体" w:hAnsi="宋体" w:cs="宋体"/>
          <w:b/>
          <w:color w:val="000000"/>
          <w:sz w:val="32"/>
          <w:szCs w:val="32"/>
          <w:highlight w:val="none"/>
          <w:lang w:val="en-US" w:eastAsia="zh-CN"/>
        </w:rPr>
        <w:t xml:space="preserve">第五章 </w:t>
      </w:r>
      <w:r>
        <w:rPr>
          <w:rFonts w:hint="eastAsia" w:ascii="宋体" w:hAnsi="宋体" w:cs="宋体"/>
          <w:b/>
          <w:color w:val="000000"/>
          <w:sz w:val="32"/>
          <w:szCs w:val="32"/>
          <w:highlight w:val="none"/>
        </w:rPr>
        <w:t>合同主要条款及格式</w:t>
      </w:r>
      <w:bookmarkEnd w:id="50"/>
    </w:p>
    <w:p w14:paraId="25CF4E98">
      <w:pPr>
        <w:rPr>
          <w:rFonts w:hint="eastAsia" w:hAnsi="宋体" w:cs="宋体"/>
          <w:b/>
          <w:bCs/>
          <w:color w:val="000000"/>
          <w:szCs w:val="21"/>
          <w:highlight w:val="none"/>
          <w:lang w:val="zh-CN"/>
        </w:rPr>
      </w:pPr>
    </w:p>
    <w:p w14:paraId="1D06D3EB">
      <w:pPr>
        <w:ind w:right="120" w:firstLine="6720"/>
        <w:rPr>
          <w:highlight w:val="none"/>
          <w:u w:val="single"/>
        </w:rPr>
      </w:pPr>
      <w:r>
        <w:rPr>
          <w:highlight w:val="none"/>
        </w:rPr>
        <w:t>合同编号：</w:t>
      </w:r>
      <w:r>
        <w:rPr>
          <w:rFonts w:hint="eastAsia"/>
          <w:highlight w:val="none"/>
          <w:u w:val="single"/>
        </w:rPr>
        <w:t xml:space="preserve"> </w:t>
      </w:r>
      <w:r>
        <w:rPr>
          <w:highlight w:val="none"/>
          <w:u w:val="single"/>
        </w:rPr>
        <w:t xml:space="preserve">           </w:t>
      </w:r>
    </w:p>
    <w:p w14:paraId="29FCA8C7">
      <w:pPr>
        <w:ind w:right="120" w:firstLine="6720"/>
        <w:rPr>
          <w:highlight w:val="none"/>
          <w:u w:val="single"/>
        </w:rPr>
      </w:pPr>
      <w:r>
        <w:rPr>
          <w:rFonts w:hint="eastAsia" w:cs="宋体"/>
          <w:color w:val="000000"/>
          <w:highlight w:val="none"/>
        </w:rPr>
        <w:t>签订地点：</w:t>
      </w:r>
    </w:p>
    <w:p w14:paraId="5CE39BEE">
      <w:pPr>
        <w:ind w:right="120" w:firstLine="6720"/>
        <w:rPr>
          <w:highlight w:val="none"/>
          <w:u w:val="single"/>
        </w:rPr>
      </w:pPr>
    </w:p>
    <w:p w14:paraId="22E1D7CC">
      <w:pPr>
        <w:ind w:right="120" w:firstLine="6720"/>
        <w:rPr>
          <w:highlight w:val="none"/>
          <w:u w:val="single"/>
        </w:rPr>
      </w:pPr>
    </w:p>
    <w:p w14:paraId="4D207AE2">
      <w:pPr>
        <w:jc w:val="center"/>
        <w:rPr>
          <w:b/>
          <w:sz w:val="72"/>
          <w:szCs w:val="72"/>
          <w:highlight w:val="none"/>
        </w:rPr>
      </w:pPr>
      <w:r>
        <w:rPr>
          <w:b/>
          <w:sz w:val="72"/>
          <w:szCs w:val="72"/>
          <w:highlight w:val="none"/>
        </w:rPr>
        <w:t>政府</w:t>
      </w:r>
      <w:r>
        <w:rPr>
          <w:b/>
          <w:color w:val="000000"/>
          <w:sz w:val="72"/>
          <w:szCs w:val="72"/>
          <w:highlight w:val="none"/>
        </w:rPr>
        <w:t>采购服务合同</w:t>
      </w:r>
    </w:p>
    <w:p w14:paraId="72171EC5">
      <w:pPr>
        <w:pStyle w:val="287"/>
        <w:ind w:firstLine="0"/>
        <w:rPr>
          <w:szCs w:val="24"/>
          <w:highlight w:val="none"/>
        </w:rPr>
      </w:pPr>
    </w:p>
    <w:p w14:paraId="7C045044">
      <w:pPr>
        <w:spacing w:before="120" w:line="22" w:lineRule="atLeast"/>
        <w:rPr>
          <w:highlight w:val="none"/>
        </w:rPr>
      </w:pPr>
    </w:p>
    <w:p w14:paraId="4C8845B3">
      <w:pPr>
        <w:spacing w:before="120" w:line="22" w:lineRule="atLeast"/>
        <w:ind w:firstLine="1807" w:firstLineChars="500"/>
        <w:rPr>
          <w:b/>
          <w:sz w:val="36"/>
          <w:szCs w:val="36"/>
          <w:highlight w:val="none"/>
        </w:rPr>
      </w:pPr>
    </w:p>
    <w:p w14:paraId="22E6CDC1">
      <w:pPr>
        <w:spacing w:before="120" w:line="22" w:lineRule="atLeast"/>
        <w:ind w:firstLine="1807" w:firstLineChars="500"/>
        <w:rPr>
          <w:b/>
          <w:sz w:val="36"/>
          <w:szCs w:val="36"/>
          <w:highlight w:val="none"/>
        </w:rPr>
      </w:pPr>
      <w:r>
        <w:rPr>
          <w:rFonts w:hint="eastAsia"/>
          <w:b/>
          <w:sz w:val="36"/>
          <w:szCs w:val="36"/>
          <w:highlight w:val="none"/>
        </w:rPr>
        <w:t>项目名称：</w:t>
      </w:r>
    </w:p>
    <w:p w14:paraId="0B7023E8">
      <w:pPr>
        <w:spacing w:before="120" w:line="22" w:lineRule="atLeast"/>
        <w:ind w:firstLine="1800"/>
        <w:rPr>
          <w:rFonts w:cs="宋体"/>
          <w:sz w:val="36"/>
          <w:szCs w:val="36"/>
          <w:highlight w:val="none"/>
          <w:u w:val="single"/>
        </w:rPr>
      </w:pPr>
      <w:r>
        <w:rPr>
          <w:rFonts w:hint="eastAsia"/>
          <w:b/>
          <w:sz w:val="36"/>
          <w:szCs w:val="36"/>
          <w:highlight w:val="none"/>
        </w:rPr>
        <w:t>项目编号：</w:t>
      </w:r>
    </w:p>
    <w:p w14:paraId="681E36FF">
      <w:pPr>
        <w:spacing w:before="40" w:line="560" w:lineRule="exact"/>
        <w:ind w:left="958" w:firstLine="840"/>
        <w:rPr>
          <w:highlight w:val="none"/>
        </w:rPr>
      </w:pPr>
    </w:p>
    <w:p w14:paraId="6A30CBEC">
      <w:pPr>
        <w:spacing w:before="40" w:line="560" w:lineRule="exact"/>
        <w:ind w:left="958" w:firstLine="840"/>
        <w:rPr>
          <w:highlight w:val="none"/>
        </w:rPr>
      </w:pPr>
    </w:p>
    <w:p w14:paraId="6D0BFD2A">
      <w:pPr>
        <w:spacing w:before="40" w:line="560" w:lineRule="exact"/>
        <w:ind w:left="958" w:firstLine="840"/>
        <w:rPr>
          <w:highlight w:val="none"/>
          <w:u w:val="single"/>
        </w:rPr>
      </w:pPr>
      <w:r>
        <w:rPr>
          <w:rFonts w:hint="eastAsia"/>
          <w:highlight w:val="none"/>
        </w:rPr>
        <w:t>甲方（招标人）：</w:t>
      </w:r>
      <w:r>
        <w:rPr>
          <w:rFonts w:hint="eastAsia"/>
          <w:highlight w:val="none"/>
          <w:u w:val="single"/>
        </w:rPr>
        <w:t xml:space="preserve">                                   </w:t>
      </w:r>
    </w:p>
    <w:p w14:paraId="7FFC2BB1">
      <w:pPr>
        <w:spacing w:before="40" w:line="560" w:lineRule="exact"/>
        <w:ind w:left="958" w:firstLine="840"/>
        <w:rPr>
          <w:highlight w:val="none"/>
          <w:u w:val="single"/>
        </w:rPr>
      </w:pPr>
      <w:r>
        <w:rPr>
          <w:rFonts w:hint="eastAsia"/>
          <w:highlight w:val="none"/>
        </w:rPr>
        <w:t>乙方（中标人）：</w:t>
      </w: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r>
        <w:rPr>
          <w:highlight w:val="none"/>
          <w:u w:val="single"/>
        </w:rPr>
        <w:t xml:space="preserve">  </w:t>
      </w:r>
    </w:p>
    <w:p w14:paraId="082513D3">
      <w:pPr>
        <w:spacing w:before="40" w:line="560" w:lineRule="exact"/>
        <w:ind w:left="958" w:firstLine="840"/>
        <w:rPr>
          <w:highlight w:val="none"/>
        </w:rPr>
      </w:pPr>
      <w:r>
        <w:rPr>
          <w:highlight w:val="none"/>
          <w:u w:val="single"/>
        </w:rPr>
        <w:t xml:space="preserve">        </w:t>
      </w:r>
      <w:r>
        <w:rPr>
          <w:rFonts w:hint="eastAsia"/>
          <w:highlight w:val="none"/>
          <w:u w:val="single"/>
        </w:rPr>
        <w:t xml:space="preserve"> </w:t>
      </w:r>
      <w:r>
        <w:rPr>
          <w:highlight w:val="none"/>
          <w:u w:val="single"/>
        </w:rPr>
        <w:t xml:space="preserve">   </w:t>
      </w:r>
      <w:r>
        <w:rPr>
          <w:rFonts w:hint="eastAsia"/>
          <w:highlight w:val="none"/>
          <w:u w:val="single"/>
        </w:rPr>
        <w:t xml:space="preserve">                 </w:t>
      </w:r>
    </w:p>
    <w:p w14:paraId="11763622">
      <w:pPr>
        <w:spacing w:before="120" w:line="560" w:lineRule="exact"/>
        <w:ind w:firstLine="1800"/>
        <w:rPr>
          <w:highlight w:val="none"/>
        </w:rPr>
      </w:pPr>
    </w:p>
    <w:p w14:paraId="7F077DD4">
      <w:pPr>
        <w:spacing w:before="120" w:line="560" w:lineRule="exact"/>
        <w:ind w:firstLine="1800"/>
        <w:rPr>
          <w:highlight w:val="none"/>
        </w:rPr>
      </w:pPr>
    </w:p>
    <w:p w14:paraId="5D733928">
      <w:pPr>
        <w:spacing w:before="120" w:line="560" w:lineRule="exact"/>
        <w:ind w:firstLine="1800"/>
        <w:rPr>
          <w:highlight w:val="none"/>
        </w:rPr>
      </w:pPr>
    </w:p>
    <w:p w14:paraId="28649936">
      <w:pPr>
        <w:spacing w:before="120" w:line="560" w:lineRule="exact"/>
        <w:ind w:firstLine="1800"/>
        <w:rPr>
          <w:highlight w:val="none"/>
          <w:u w:val="single"/>
        </w:rPr>
      </w:pPr>
      <w:r>
        <w:rPr>
          <w:rFonts w:hint="eastAsia"/>
          <w:highlight w:val="none"/>
        </w:rPr>
        <w:t>签订日期：</w:t>
      </w:r>
      <w:r>
        <w:rPr>
          <w:rFonts w:hint="eastAsia"/>
          <w:highlight w:val="none"/>
          <w:u w:val="single"/>
        </w:rPr>
        <w:t xml:space="preserve">          </w:t>
      </w:r>
      <w:r>
        <w:rPr>
          <w:rFonts w:hint="eastAsia"/>
          <w:highlight w:val="none"/>
        </w:rPr>
        <w:t>年</w:t>
      </w:r>
      <w:r>
        <w:rPr>
          <w:rFonts w:hint="eastAsia"/>
          <w:highlight w:val="none"/>
          <w:u w:val="single"/>
        </w:rPr>
        <w:t xml:space="preserve">       </w:t>
      </w:r>
      <w:r>
        <w:rPr>
          <w:rFonts w:hint="eastAsia"/>
          <w:highlight w:val="none"/>
        </w:rPr>
        <w:t>月</w:t>
      </w:r>
      <w:r>
        <w:rPr>
          <w:rFonts w:hint="eastAsia"/>
          <w:highlight w:val="none"/>
          <w:u w:val="single"/>
        </w:rPr>
        <w:t xml:space="preserve">      </w:t>
      </w:r>
      <w:r>
        <w:rPr>
          <w:rFonts w:hint="eastAsia"/>
          <w:highlight w:val="none"/>
        </w:rPr>
        <w:t>日</w:t>
      </w:r>
    </w:p>
    <w:p w14:paraId="365672C0">
      <w:pPr>
        <w:spacing w:line="440" w:lineRule="exact"/>
        <w:ind w:firstLine="480"/>
        <w:rPr>
          <w:highlight w:val="none"/>
        </w:rPr>
      </w:pPr>
      <w:r>
        <w:rPr>
          <w:highlight w:val="none"/>
          <w:u w:val="single"/>
          <w:lang w:val="zh-CN"/>
        </w:rPr>
        <w:br w:type="page" w:clear="all"/>
      </w:r>
      <w:r>
        <w:rPr>
          <w:rFonts w:hint="eastAsia"/>
          <w:highlight w:val="none"/>
          <w:u w:val="single"/>
          <w:lang w:val="zh-CN"/>
        </w:rPr>
        <w:t xml:space="preserve"> </w:t>
      </w:r>
      <w:r>
        <w:rPr>
          <w:highlight w:val="none"/>
          <w:u w:val="single"/>
          <w:lang w:val="zh-CN"/>
        </w:rPr>
        <w:t>2026</w:t>
      </w:r>
      <w:r>
        <w:rPr>
          <w:rFonts w:hint="eastAsia"/>
          <w:highlight w:val="none"/>
          <w:u w:val="single"/>
          <w:lang w:val="zh-CN"/>
        </w:rPr>
        <w:t xml:space="preserve">  </w:t>
      </w:r>
      <w:r>
        <w:rPr>
          <w:rFonts w:hint="eastAsia"/>
          <w:highlight w:val="none"/>
          <w:lang w:val="zh-CN"/>
        </w:rPr>
        <w:t>年</w:t>
      </w:r>
      <w:r>
        <w:rPr>
          <w:rFonts w:hint="eastAsia"/>
          <w:highlight w:val="none"/>
          <w:u w:val="single"/>
          <w:lang w:val="zh-CN"/>
        </w:rPr>
        <w:t xml:space="preserve">    </w:t>
      </w:r>
      <w:r>
        <w:rPr>
          <w:rFonts w:hint="eastAsia"/>
          <w:highlight w:val="none"/>
          <w:lang w:val="zh-CN"/>
        </w:rPr>
        <w:t>月</w:t>
      </w:r>
      <w:r>
        <w:rPr>
          <w:rFonts w:hint="eastAsia"/>
          <w:highlight w:val="none"/>
          <w:u w:val="single"/>
          <w:lang w:val="zh-CN"/>
        </w:rPr>
        <w:t xml:space="preserve">    </w:t>
      </w:r>
      <w:r>
        <w:rPr>
          <w:rFonts w:hint="eastAsia"/>
          <w:highlight w:val="none"/>
          <w:lang w:val="zh-CN"/>
        </w:rPr>
        <w:t>日</w:t>
      </w:r>
      <w:r>
        <w:rPr>
          <w:rFonts w:hint="eastAsia"/>
          <w:highlight w:val="none"/>
        </w:rPr>
        <w:t>，</w:t>
      </w:r>
      <w:r>
        <w:rPr>
          <w:rFonts w:hint="eastAsia"/>
          <w:highlight w:val="none"/>
          <w:u w:val="single"/>
        </w:rPr>
        <w:t xml:space="preserve"> </w:t>
      </w:r>
      <w:r>
        <w:rPr>
          <w:rFonts w:hint="eastAsia" w:ascii="Segoe UI Symbol" w:hAnsi="Segoe UI Symbol" w:cs="Segoe UI Symbol"/>
          <w:b/>
          <w:color w:val="000000"/>
          <w:highlight w:val="none"/>
          <w:u w:val="single"/>
        </w:rPr>
        <w:t xml:space="preserve">     </w:t>
      </w:r>
      <w:r>
        <w:rPr>
          <w:rFonts w:hint="eastAsia"/>
          <w:highlight w:val="none"/>
          <w:u w:val="single"/>
        </w:rPr>
        <w:t xml:space="preserve"> </w:t>
      </w:r>
      <w:r>
        <w:rPr>
          <w:rFonts w:hint="eastAsia"/>
          <w:highlight w:val="none"/>
        </w:rPr>
        <w:t>以</w:t>
      </w:r>
      <w:r>
        <w:rPr>
          <w:rFonts w:hint="eastAsia"/>
          <w:highlight w:val="none"/>
          <w:u w:val="single"/>
        </w:rPr>
        <w:t xml:space="preserve"> </w:t>
      </w:r>
      <w:r>
        <w:rPr>
          <w:rFonts w:hint="eastAsia"/>
          <w:b/>
          <w:highlight w:val="none"/>
          <w:u w:val="single"/>
        </w:rPr>
        <w:t>公开招标</w:t>
      </w:r>
      <w:r>
        <w:rPr>
          <w:rFonts w:hint="eastAsia"/>
          <w:highlight w:val="none"/>
        </w:rPr>
        <w:t xml:space="preserve"> 对</w:t>
      </w:r>
      <w:r>
        <w:rPr>
          <w:rFonts w:hint="eastAsia"/>
          <w:highlight w:val="none"/>
          <w:u w:val="single"/>
        </w:rPr>
        <w:t xml:space="preserve"> </w:t>
      </w:r>
      <w:r>
        <w:rPr>
          <w:rFonts w:hint="eastAsia" w:ascii="Segoe UI Symbol" w:hAnsi="Segoe UI Symbol" w:cs="Segoe UI Symbol"/>
          <w:highlight w:val="none"/>
          <w:u w:val="single"/>
        </w:rPr>
        <w:t xml:space="preserve">   </w:t>
      </w:r>
      <w:r>
        <w:rPr>
          <w:rFonts w:hint="eastAsia"/>
          <w:highlight w:val="none"/>
          <w:u w:val="single"/>
        </w:rPr>
        <w:t xml:space="preserve"> </w:t>
      </w:r>
      <w:r>
        <w:rPr>
          <w:rFonts w:hint="eastAsia"/>
          <w:highlight w:val="none"/>
        </w:rPr>
        <w:t>项目进行了采购。经</w:t>
      </w:r>
      <w:r>
        <w:rPr>
          <w:rFonts w:hint="eastAsia"/>
          <w:highlight w:val="none"/>
          <w:u w:val="single"/>
        </w:rPr>
        <w:t>评标委员会</w:t>
      </w:r>
      <w:r>
        <w:rPr>
          <w:rFonts w:hint="eastAsia"/>
          <w:highlight w:val="none"/>
        </w:rPr>
        <w:t>评定，</w:t>
      </w:r>
      <w:r>
        <w:rPr>
          <w:rFonts w:hint="eastAsia"/>
          <w:highlight w:val="none"/>
          <w:u w:val="single"/>
        </w:rPr>
        <w:t xml:space="preserve">   （中标人名称） </w:t>
      </w:r>
      <w:r>
        <w:rPr>
          <w:rFonts w:hint="eastAsia"/>
          <w:highlight w:val="none"/>
        </w:rPr>
        <w:t>为该项目中标人。现于中标通知书发出之日起三十日内，按照采购文件确定的事项签订本合同。</w:t>
      </w:r>
    </w:p>
    <w:p w14:paraId="2D7D0A31">
      <w:pPr>
        <w:spacing w:line="440" w:lineRule="exact"/>
        <w:ind w:firstLine="480"/>
        <w:rPr>
          <w:highlight w:val="none"/>
        </w:rPr>
      </w:pPr>
      <w:bookmarkStart w:id="51" w:name="_Hlk63008672"/>
      <w:bookmarkStart w:id="52" w:name="_Hlk63008690"/>
      <w:r>
        <w:rPr>
          <w:highlight w:val="none"/>
        </w:rPr>
        <w:t>根据《中华人民共和国政府采购法》及</w:t>
      </w:r>
      <w:r>
        <w:rPr>
          <w:rFonts w:hint="eastAsia"/>
          <w:highlight w:val="none"/>
        </w:rPr>
        <w:t>其</w:t>
      </w:r>
      <w:r>
        <w:rPr>
          <w:highlight w:val="none"/>
        </w:rPr>
        <w:t>实施条例、</w:t>
      </w:r>
      <w:r>
        <w:rPr>
          <w:rFonts w:hint="eastAsia"/>
          <w:highlight w:val="none"/>
        </w:rPr>
        <w:t>《中华人民共和国民法典》</w:t>
      </w:r>
      <w:bookmarkEnd w:id="51"/>
      <w:r>
        <w:rPr>
          <w:highlight w:val="none"/>
        </w:rPr>
        <w:t>等法律法规的规定</w:t>
      </w:r>
      <w:bookmarkEnd w:id="52"/>
      <w:r>
        <w:rPr>
          <w:rFonts w:hint="eastAsia"/>
          <w:highlight w:val="none"/>
          <w:lang w:val="zh-CN"/>
        </w:rPr>
        <w:t>，按照平等、自愿、公平和诚实信用的原则，经</w:t>
      </w:r>
      <w:r>
        <w:rPr>
          <w:rFonts w:hint="eastAsia" w:ascii="Segoe UI Symbol" w:hAnsi="Segoe UI Symbol" w:cs="Segoe UI Symbol"/>
          <w:b/>
          <w:color w:val="000000"/>
          <w:highlight w:val="none"/>
          <w:u w:val="single"/>
        </w:rPr>
        <w:t xml:space="preserve">      </w:t>
      </w:r>
      <w:r>
        <w:rPr>
          <w:rFonts w:hint="eastAsia"/>
          <w:highlight w:val="none"/>
          <w:lang w:val="zh-CN"/>
        </w:rPr>
        <w:t>(以下简称：甲方）和</w:t>
      </w:r>
      <w:r>
        <w:rPr>
          <w:rFonts w:hint="eastAsia"/>
          <w:highlight w:val="none"/>
          <w:u w:val="single"/>
        </w:rPr>
        <w:t xml:space="preserve">   （中标人名称）   </w:t>
      </w:r>
      <w:r>
        <w:rPr>
          <w:rFonts w:hint="eastAsia"/>
          <w:highlight w:val="none"/>
          <w:lang w:val="zh-CN"/>
        </w:rPr>
        <w:t>(以下简称：乙方）协商一致，约定以下合同</w:t>
      </w:r>
      <w:r>
        <w:rPr>
          <w:rFonts w:hint="eastAsia"/>
          <w:highlight w:val="none"/>
        </w:rPr>
        <w:t>条款，以兹共同遵守、全面履行。</w:t>
      </w:r>
    </w:p>
    <w:p w14:paraId="30FCB67E">
      <w:pPr>
        <w:spacing w:line="440" w:lineRule="exact"/>
        <w:ind w:firstLine="480"/>
        <w:rPr>
          <w:rFonts w:cs="宋体"/>
          <w:b/>
          <w:highlight w:val="none"/>
        </w:rPr>
      </w:pPr>
      <w:r>
        <w:rPr>
          <w:rFonts w:hint="eastAsia" w:cs="宋体"/>
          <w:b/>
          <w:color w:val="000000"/>
          <w:highlight w:val="none"/>
        </w:rPr>
        <w:t>第一条 定义</w:t>
      </w:r>
    </w:p>
    <w:p w14:paraId="69F1DE8E">
      <w:pPr>
        <w:spacing w:line="440" w:lineRule="exact"/>
        <w:ind w:firstLine="560"/>
        <w:rPr>
          <w:rFonts w:cs="宋体"/>
          <w:highlight w:val="none"/>
        </w:rPr>
      </w:pPr>
      <w:r>
        <w:rPr>
          <w:rFonts w:hint="eastAsia" w:cs="宋体"/>
          <w:color w:val="000000"/>
          <w:highlight w:val="none"/>
        </w:rPr>
        <w:t>除非另有特别解释或说明，本合同有关词语应按如下定义解释：</w:t>
      </w:r>
    </w:p>
    <w:p w14:paraId="7EF3E52B">
      <w:pPr>
        <w:spacing w:line="440" w:lineRule="exact"/>
        <w:ind w:firstLine="500"/>
        <w:rPr>
          <w:rFonts w:cs="宋体"/>
          <w:highlight w:val="none"/>
        </w:rPr>
      </w:pPr>
      <w:r>
        <w:rPr>
          <w:rFonts w:hint="eastAsia" w:cs="宋体"/>
          <w:color w:val="000000"/>
          <w:highlight w:val="none"/>
        </w:rPr>
        <w:t>1.</w:t>
      </w:r>
      <w:r>
        <w:rPr>
          <w:rFonts w:cs="宋体"/>
          <w:color w:val="000000"/>
          <w:highlight w:val="none"/>
        </w:rPr>
        <w:t>1</w:t>
      </w:r>
      <w:r>
        <w:rPr>
          <w:rFonts w:hint="eastAsia" w:cs="宋体"/>
          <w:color w:val="000000"/>
          <w:highlight w:val="none"/>
        </w:rPr>
        <w:t>合同：甲乙双方签署的，与本项目相关的合同书、附件、附录、其他文件以及政府采购程序中的全部文件。</w:t>
      </w:r>
    </w:p>
    <w:p w14:paraId="6DAB9EED">
      <w:pPr>
        <w:spacing w:line="440" w:lineRule="exact"/>
        <w:ind w:firstLine="500"/>
        <w:rPr>
          <w:rFonts w:cs="宋体"/>
          <w:highlight w:val="none"/>
        </w:rPr>
      </w:pPr>
      <w:r>
        <w:rPr>
          <w:rFonts w:cs="宋体"/>
          <w:color w:val="000000"/>
          <w:highlight w:val="none"/>
        </w:rPr>
        <w:t>1.2</w:t>
      </w:r>
      <w:r>
        <w:rPr>
          <w:rFonts w:hint="eastAsia" w:cs="宋体"/>
          <w:color w:val="000000"/>
          <w:highlight w:val="none"/>
        </w:rPr>
        <w:t>甲方：购买本合同项下服务的国家机关、事业单位、团体组织。</w:t>
      </w:r>
    </w:p>
    <w:p w14:paraId="6BFCD11F">
      <w:pPr>
        <w:spacing w:line="440" w:lineRule="exact"/>
        <w:ind w:firstLine="500"/>
        <w:rPr>
          <w:rFonts w:cs="宋体"/>
          <w:highlight w:val="none"/>
        </w:rPr>
      </w:pPr>
      <w:r>
        <w:rPr>
          <w:rFonts w:cs="宋体"/>
          <w:color w:val="000000"/>
          <w:highlight w:val="none"/>
        </w:rPr>
        <w:t>1.3</w:t>
      </w:r>
      <w:r>
        <w:rPr>
          <w:rFonts w:hint="eastAsia" w:cs="宋体"/>
          <w:color w:val="000000"/>
          <w:highlight w:val="none"/>
        </w:rPr>
        <w:t>乙方：提供本合同项下服务的法人、其他组织或自然人。</w:t>
      </w:r>
    </w:p>
    <w:p w14:paraId="5CEF892C">
      <w:pPr>
        <w:spacing w:line="440" w:lineRule="exact"/>
        <w:ind w:firstLine="500"/>
        <w:rPr>
          <w:rFonts w:cs="宋体"/>
          <w:highlight w:val="none"/>
        </w:rPr>
      </w:pPr>
      <w:r>
        <w:rPr>
          <w:rFonts w:cs="宋体"/>
          <w:color w:val="000000"/>
          <w:highlight w:val="none"/>
        </w:rPr>
        <w:t>1.4</w:t>
      </w:r>
      <w:r>
        <w:rPr>
          <w:rFonts w:hint="eastAsia" w:cs="宋体"/>
          <w:color w:val="000000"/>
          <w:highlight w:val="none"/>
        </w:rPr>
        <w:t>服务：提供本合同规定的乙方承担的</w:t>
      </w:r>
      <w:r>
        <w:rPr>
          <w:rFonts w:cs="宋体"/>
          <w:color w:val="000000"/>
          <w:highlight w:val="none"/>
          <w:u w:val="single"/>
        </w:rPr>
        <w:t xml:space="preserve">  </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rPr>
        <w:t>服务及相关工作。</w:t>
      </w:r>
    </w:p>
    <w:p w14:paraId="6C6E4103">
      <w:pPr>
        <w:spacing w:line="440" w:lineRule="exact"/>
        <w:ind w:firstLine="500"/>
        <w:rPr>
          <w:rFonts w:cs="宋体"/>
          <w:color w:val="000000"/>
          <w:highlight w:val="none"/>
        </w:rPr>
      </w:pPr>
      <w:r>
        <w:rPr>
          <w:rFonts w:cs="宋体"/>
          <w:color w:val="000000"/>
          <w:highlight w:val="none"/>
        </w:rPr>
        <w:t>1.5</w:t>
      </w:r>
      <w:r>
        <w:rPr>
          <w:rFonts w:hint="eastAsia" w:cs="宋体"/>
          <w:color w:val="000000"/>
          <w:highlight w:val="none"/>
        </w:rPr>
        <w:t>合同价款：根据合同规定乙方在正确地完全履行合同义务后甲方应支付给乙方的价款，包含了甲方购买合同项下相关服务的一切费用。</w:t>
      </w:r>
    </w:p>
    <w:p w14:paraId="5CC0FCBC">
      <w:pPr>
        <w:spacing w:line="440" w:lineRule="exact"/>
        <w:ind w:firstLine="480"/>
        <w:rPr>
          <w:rFonts w:cs="宋体"/>
          <w:b/>
          <w:highlight w:val="none"/>
        </w:rPr>
      </w:pPr>
      <w:r>
        <w:rPr>
          <w:rFonts w:hint="eastAsia" w:cs="宋体"/>
          <w:b/>
          <w:color w:val="000000"/>
          <w:highlight w:val="none"/>
        </w:rPr>
        <w:t>第二条 组成本合同的文件</w:t>
      </w:r>
    </w:p>
    <w:p w14:paraId="72ACA0D2">
      <w:pPr>
        <w:spacing w:line="440" w:lineRule="exact"/>
        <w:ind w:firstLine="540"/>
        <w:rPr>
          <w:rFonts w:cs="宋体"/>
          <w:color w:val="000000"/>
          <w:highlight w:val="none"/>
        </w:rPr>
      </w:pPr>
      <w:r>
        <w:rPr>
          <w:rFonts w:hint="eastAsia" w:cs="宋体"/>
          <w:color w:val="000000"/>
          <w:highlight w:val="none"/>
        </w:rPr>
        <w:t>2</w:t>
      </w:r>
      <w:r>
        <w:rPr>
          <w:rFonts w:cs="宋体"/>
          <w:color w:val="000000"/>
          <w:highlight w:val="none"/>
        </w:rPr>
        <w:t>.1</w:t>
      </w:r>
      <w:r>
        <w:rPr>
          <w:rFonts w:hint="eastAsia" w:cs="宋体"/>
          <w:color w:val="000000"/>
          <w:highlight w:val="none"/>
        </w:rPr>
        <w:t>下列文件是组成本合同的不可分割的部分：</w:t>
      </w:r>
    </w:p>
    <w:p w14:paraId="63A28109">
      <w:pPr>
        <w:spacing w:line="440" w:lineRule="exact"/>
        <w:ind w:firstLine="480"/>
        <w:rPr>
          <w:rFonts w:ascii="Calibri" w:hAnsi="Calibri"/>
          <w:highlight w:val="none"/>
        </w:rPr>
      </w:pPr>
      <w:r>
        <w:rPr>
          <w:rFonts w:hint="eastAsia"/>
          <w:color w:val="000000"/>
          <w:highlight w:val="none"/>
        </w:rPr>
        <w:t>①中标通知书；</w:t>
      </w:r>
    </w:p>
    <w:p w14:paraId="6C3D3412">
      <w:pPr>
        <w:spacing w:line="440" w:lineRule="exact"/>
        <w:ind w:firstLine="480"/>
        <w:rPr>
          <w:rFonts w:ascii="Calibri" w:hAnsi="Calibri"/>
          <w:highlight w:val="none"/>
        </w:rPr>
      </w:pPr>
      <w:r>
        <w:rPr>
          <w:rFonts w:hint="eastAsia"/>
          <w:color w:val="000000"/>
          <w:highlight w:val="none"/>
        </w:rPr>
        <w:t>②招标文件（以下统称“采购文件”）；</w:t>
      </w:r>
    </w:p>
    <w:p w14:paraId="030395C5">
      <w:pPr>
        <w:spacing w:line="440" w:lineRule="exact"/>
        <w:ind w:firstLine="480"/>
        <w:rPr>
          <w:rFonts w:ascii="Calibri" w:hAnsi="Calibri"/>
          <w:highlight w:val="none"/>
        </w:rPr>
      </w:pPr>
      <w:r>
        <w:rPr>
          <w:rFonts w:hint="eastAsia"/>
          <w:color w:val="000000"/>
          <w:highlight w:val="none"/>
        </w:rPr>
        <w:t>③乙方的投标文件；</w:t>
      </w:r>
    </w:p>
    <w:p w14:paraId="3B956A87">
      <w:pPr>
        <w:spacing w:line="440" w:lineRule="exact"/>
        <w:ind w:firstLine="480"/>
        <w:rPr>
          <w:color w:val="000000"/>
          <w:highlight w:val="none"/>
        </w:rPr>
      </w:pPr>
      <w:r>
        <w:rPr>
          <w:rFonts w:hint="eastAsia"/>
          <w:color w:val="000000"/>
          <w:highlight w:val="none"/>
        </w:rPr>
        <w:t>④乙方在报价过程中所作的其他承诺、声明、书面澄清等。</w:t>
      </w:r>
    </w:p>
    <w:p w14:paraId="6E248D37">
      <w:pPr>
        <w:spacing w:line="440" w:lineRule="exact"/>
        <w:ind w:firstLine="480"/>
        <w:rPr>
          <w:color w:val="000000"/>
          <w:highlight w:val="none"/>
        </w:rPr>
      </w:pPr>
      <w:r>
        <w:rPr>
          <w:rFonts w:hint="eastAsia"/>
          <w:color w:val="000000"/>
          <w:highlight w:val="none"/>
        </w:rPr>
        <w:t>2</w:t>
      </w:r>
      <w:r>
        <w:rPr>
          <w:color w:val="000000"/>
          <w:highlight w:val="none"/>
        </w:rPr>
        <w:t>.2</w:t>
      </w:r>
      <w:r>
        <w:rPr>
          <w:rFonts w:hint="eastAsia"/>
          <w:color w:val="000000"/>
          <w:highlight w:val="none"/>
        </w:rPr>
        <w:t>上述文件之间如果出现不一致的，以甲方文件确定的内容为准，但乙方文件的内容对甲方更有利的，适用乙方文件。</w:t>
      </w:r>
    </w:p>
    <w:p w14:paraId="0B4A7577">
      <w:pPr>
        <w:spacing w:line="440" w:lineRule="exact"/>
        <w:ind w:firstLine="480"/>
        <w:rPr>
          <w:color w:val="000000"/>
          <w:highlight w:val="none"/>
        </w:rPr>
      </w:pPr>
      <w:r>
        <w:rPr>
          <w:color w:val="000000"/>
          <w:highlight w:val="none"/>
        </w:rPr>
        <w:t>2.3</w:t>
      </w:r>
      <w:r>
        <w:rPr>
          <w:rFonts w:hint="eastAsia"/>
          <w:color w:val="000000"/>
          <w:highlight w:val="none"/>
        </w:rPr>
        <w:t>乙方文件应当符合采购文件确定的原则，如果乙方文件中的表述，形式上符合招标文件原则，但具体内容对甲方不利、对乙方有利的，视为背离采购文件，不予适用。</w:t>
      </w:r>
    </w:p>
    <w:p w14:paraId="4288FAB9">
      <w:pPr>
        <w:spacing w:line="440" w:lineRule="exact"/>
        <w:ind w:firstLine="480"/>
        <w:rPr>
          <w:rFonts w:cs="宋体"/>
          <w:b/>
          <w:highlight w:val="none"/>
        </w:rPr>
      </w:pPr>
      <w:r>
        <w:rPr>
          <w:rFonts w:hint="eastAsia" w:cs="宋体"/>
          <w:b/>
          <w:color w:val="000000"/>
          <w:highlight w:val="none"/>
        </w:rPr>
        <w:t>第三条 合同内容</w:t>
      </w:r>
    </w:p>
    <w:p w14:paraId="1C07504B">
      <w:pPr>
        <w:spacing w:line="420" w:lineRule="exact"/>
        <w:ind w:firstLine="480"/>
        <w:rPr>
          <w:rFonts w:cs="宋体"/>
          <w:highlight w:val="none"/>
          <w:u w:val="single"/>
        </w:rPr>
      </w:pPr>
      <w:r>
        <w:rPr>
          <w:rFonts w:cs="宋体"/>
          <w:color w:val="000000"/>
          <w:highlight w:val="none"/>
        </w:rPr>
        <w:t>3.1</w:t>
      </w:r>
      <w:r>
        <w:rPr>
          <w:rFonts w:hint="eastAsia" w:cs="宋体"/>
          <w:color w:val="000000"/>
          <w:highlight w:val="none"/>
        </w:rPr>
        <w:t>服务内容：</w:t>
      </w:r>
      <w:r>
        <w:rPr>
          <w:rFonts w:hint="eastAsia" w:cs="Segoe UI Symbol"/>
          <w:color w:val="000000"/>
          <w:highlight w:val="none"/>
          <w:u w:val="single"/>
        </w:rPr>
        <w:t xml:space="preserve">                    </w:t>
      </w:r>
      <w:r>
        <w:rPr>
          <w:rFonts w:hint="eastAsia"/>
          <w:highlight w:val="none"/>
          <w:u w:val="single"/>
        </w:rPr>
        <w:t>。</w:t>
      </w:r>
    </w:p>
    <w:p w14:paraId="5FA012DA">
      <w:pPr>
        <w:spacing w:line="440" w:lineRule="exact"/>
        <w:ind w:firstLine="480"/>
        <w:rPr>
          <w:rFonts w:cs="宋体"/>
          <w:color w:val="000000"/>
          <w:highlight w:val="none"/>
          <w:u w:val="single"/>
        </w:rPr>
      </w:pPr>
      <w:r>
        <w:rPr>
          <w:rFonts w:cs="宋体"/>
          <w:color w:val="000000"/>
          <w:highlight w:val="none"/>
        </w:rPr>
        <w:t>3.2</w:t>
      </w:r>
      <w:r>
        <w:rPr>
          <w:rFonts w:hint="eastAsia" w:cs="宋体"/>
          <w:color w:val="000000"/>
          <w:highlight w:val="none"/>
        </w:rPr>
        <w:t>服务期限：</w:t>
      </w:r>
      <w:r>
        <w:rPr>
          <w:rFonts w:hint="eastAsia" w:cs="宋体"/>
          <w:color w:val="000000"/>
          <w:highlight w:val="none"/>
          <w:u w:val="single"/>
        </w:rPr>
        <w:t xml:space="preserve">                  </w:t>
      </w:r>
    </w:p>
    <w:p w14:paraId="1B002B96">
      <w:pPr>
        <w:spacing w:line="440" w:lineRule="exact"/>
        <w:ind w:firstLine="480"/>
        <w:rPr>
          <w:rFonts w:cs="宋体"/>
          <w:b/>
          <w:highlight w:val="none"/>
        </w:rPr>
      </w:pPr>
      <w:r>
        <w:rPr>
          <w:rFonts w:hint="eastAsia" w:cs="宋体"/>
          <w:b/>
          <w:color w:val="000000"/>
          <w:highlight w:val="none"/>
        </w:rPr>
        <w:t>第四条 合同价款</w:t>
      </w:r>
    </w:p>
    <w:p w14:paraId="7094CCAA">
      <w:pPr>
        <w:spacing w:line="440" w:lineRule="exact"/>
        <w:ind w:firstLine="480"/>
        <w:rPr>
          <w:highlight w:val="none"/>
        </w:rPr>
      </w:pPr>
      <w:bookmarkStart w:id="53" w:name="_Toc14993"/>
      <w:bookmarkStart w:id="54" w:name="_Toc3654"/>
      <w:bookmarkStart w:id="55" w:name="_Toc30158"/>
      <w:bookmarkStart w:id="56" w:name="_Toc30506"/>
      <w:bookmarkStart w:id="57" w:name="_Toc26916"/>
      <w:r>
        <w:rPr>
          <w:rFonts w:hint="eastAsia"/>
          <w:highlight w:val="none"/>
        </w:rPr>
        <w:t>本合同金额为（大写）：____________________圆（_________________元）人民币。</w:t>
      </w:r>
    </w:p>
    <w:bookmarkEnd w:id="53"/>
    <w:bookmarkEnd w:id="54"/>
    <w:bookmarkEnd w:id="55"/>
    <w:bookmarkEnd w:id="56"/>
    <w:bookmarkEnd w:id="57"/>
    <w:p w14:paraId="177C9849">
      <w:pPr>
        <w:spacing w:line="440" w:lineRule="exact"/>
        <w:ind w:firstLine="480"/>
        <w:rPr>
          <w:rFonts w:cs="宋体"/>
          <w:b/>
          <w:highlight w:val="none"/>
        </w:rPr>
      </w:pPr>
      <w:r>
        <w:rPr>
          <w:rFonts w:hint="eastAsia" w:cs="宋体"/>
          <w:b/>
          <w:highlight w:val="none"/>
        </w:rPr>
        <w:t>第五条 支付结算</w:t>
      </w:r>
    </w:p>
    <w:p w14:paraId="21EAEC2F">
      <w:pPr>
        <w:spacing w:line="430" w:lineRule="exact"/>
        <w:ind w:firstLine="480"/>
        <w:rPr>
          <w:color w:val="000000"/>
          <w:highlight w:val="none"/>
        </w:rPr>
      </w:pPr>
      <w:r>
        <w:rPr>
          <w:color w:val="000000"/>
          <w:highlight w:val="none"/>
        </w:rPr>
        <w:t>5.1</w:t>
      </w:r>
      <w:r>
        <w:rPr>
          <w:rFonts w:hint="eastAsia"/>
          <w:color w:val="000000"/>
          <w:highlight w:val="none"/>
        </w:rPr>
        <w:t>甲方在合同期内每半年度对综合服务进行考核（详见附件：考核要求），如达不到要求，甲方有权按照考核分数扣减服务费用。</w:t>
      </w:r>
    </w:p>
    <w:p w14:paraId="4C737B60">
      <w:pPr>
        <w:spacing w:line="430" w:lineRule="exact"/>
        <w:ind w:firstLine="480"/>
        <w:rPr>
          <w:color w:val="000000"/>
          <w:highlight w:val="none"/>
        </w:rPr>
      </w:pPr>
      <w:r>
        <w:rPr>
          <w:color w:val="000000"/>
          <w:highlight w:val="none"/>
        </w:rPr>
        <w:t>5.2自合同签订之日起，</w:t>
      </w:r>
      <w:r>
        <w:rPr>
          <w:rFonts w:hint="eastAsia"/>
          <w:color w:val="000000"/>
          <w:highlight w:val="none"/>
        </w:rPr>
        <w:t>甲方</w:t>
      </w:r>
      <w:r>
        <w:rPr>
          <w:color w:val="000000"/>
          <w:highlight w:val="none"/>
        </w:rPr>
        <w:t>将依据考核要求进行</w:t>
      </w:r>
      <w:r>
        <w:rPr>
          <w:rFonts w:hint="eastAsia"/>
          <w:color w:val="000000"/>
          <w:highlight w:val="none"/>
        </w:rPr>
        <w:t>半年度</w:t>
      </w:r>
      <w:r>
        <w:rPr>
          <w:color w:val="000000"/>
          <w:highlight w:val="none"/>
        </w:rPr>
        <w:t>考核。每</w:t>
      </w:r>
      <w:r>
        <w:rPr>
          <w:rFonts w:hint="eastAsia"/>
          <w:color w:val="000000"/>
          <w:highlight w:val="none"/>
        </w:rPr>
        <w:t>半年度</w:t>
      </w:r>
      <w:r>
        <w:rPr>
          <w:color w:val="000000"/>
          <w:highlight w:val="none"/>
        </w:rPr>
        <w:t>应付服务费根据当</w:t>
      </w:r>
      <w:r>
        <w:rPr>
          <w:rFonts w:hint="eastAsia"/>
          <w:color w:val="000000"/>
          <w:highlight w:val="none"/>
        </w:rPr>
        <w:t>半年度</w:t>
      </w:r>
      <w:r>
        <w:rPr>
          <w:color w:val="000000"/>
          <w:highlight w:val="none"/>
        </w:rPr>
        <w:t>考核得分确定。 </w:t>
      </w:r>
    </w:p>
    <w:p w14:paraId="0550E37A">
      <w:pPr>
        <w:spacing w:line="420" w:lineRule="exact"/>
        <w:ind w:firstLine="720"/>
        <w:rPr>
          <w:b/>
          <w:color w:val="000000"/>
          <w:highlight w:val="none"/>
        </w:rPr>
      </w:pPr>
      <w:r>
        <w:rPr>
          <w:rFonts w:hint="eastAsia"/>
          <w:b/>
          <w:color w:val="000000"/>
          <w:highlight w:val="none"/>
        </w:rPr>
        <w:t>注：</w:t>
      </w:r>
      <w:r>
        <w:rPr>
          <w:b/>
          <w:color w:val="000000"/>
          <w:highlight w:val="none"/>
        </w:rPr>
        <w:t>1</w:t>
      </w:r>
      <w:r>
        <w:rPr>
          <w:rFonts w:hint="eastAsia"/>
          <w:b/>
          <w:color w:val="000000"/>
          <w:highlight w:val="none"/>
        </w:rPr>
        <w:t>）本合同项目下所有款项允许通过数字人民币支付。</w:t>
      </w:r>
    </w:p>
    <w:p w14:paraId="0B336B62">
      <w:pPr>
        <w:spacing w:line="420" w:lineRule="exact"/>
        <w:ind w:firstLine="1200"/>
        <w:rPr>
          <w:b/>
          <w:color w:val="000000"/>
          <w:highlight w:val="none"/>
        </w:rPr>
      </w:pPr>
      <w:r>
        <w:rPr>
          <w:b/>
          <w:color w:val="000000"/>
          <w:highlight w:val="none"/>
        </w:rPr>
        <w:t>2</w:t>
      </w:r>
      <w:r>
        <w:rPr>
          <w:rFonts w:hint="eastAsia"/>
          <w:b/>
          <w:color w:val="000000"/>
          <w:highlight w:val="none"/>
        </w:rPr>
        <w:t>）以上每次付款前，乙方均应提供符合甲方要求的同等金额的合法有效发票。否则，甲方有权顺延付款时间，且不承担任何违约或赔偿责任。</w:t>
      </w:r>
    </w:p>
    <w:p w14:paraId="1C1FE8EF">
      <w:pPr>
        <w:spacing w:line="440" w:lineRule="exact"/>
        <w:ind w:left="0" w:leftChars="0" w:firstLine="1060" w:firstLineChars="0"/>
        <w:rPr>
          <w:rFonts w:hint="eastAsia"/>
          <w:b/>
          <w:color w:val="000000"/>
          <w:highlight w:val="none"/>
        </w:rPr>
      </w:pPr>
      <w:r>
        <w:rPr>
          <w:rFonts w:hint="eastAsia"/>
          <w:b/>
          <w:color w:val="000000"/>
          <w:highlight w:val="none"/>
        </w:rPr>
        <w:t>3）半年度结算办法：</w:t>
      </w:r>
    </w:p>
    <w:p w14:paraId="27B715D8">
      <w:pPr>
        <w:spacing w:line="440" w:lineRule="exact"/>
        <w:ind w:left="0" w:leftChars="0" w:firstLine="1060" w:firstLineChars="0"/>
        <w:rPr>
          <w:rFonts w:hint="eastAsia"/>
          <w:b/>
          <w:color w:val="000000"/>
          <w:highlight w:val="none"/>
        </w:rPr>
      </w:pPr>
      <w:r>
        <w:rPr>
          <w:rFonts w:hint="eastAsia"/>
          <w:b/>
          <w:color w:val="000000"/>
          <w:highlight w:val="none"/>
        </w:rPr>
        <w:t>半年度结算在季度考核基础上进行最终调整。每半年度应付服务费根据两个季度考核评分的算术平均值确定，具体标准如下：</w:t>
      </w:r>
    </w:p>
    <w:p w14:paraId="71B6029E">
      <w:pPr>
        <w:ind w:firstLine="1054" w:firstLineChars="500"/>
        <w:jc w:val="left"/>
        <w:rPr>
          <w:rFonts w:hint="eastAsia"/>
          <w:b/>
          <w:color w:val="000000"/>
          <w:highlight w:val="none"/>
        </w:rPr>
      </w:pPr>
      <w:r>
        <w:rPr>
          <w:rFonts w:hint="eastAsia"/>
          <w:b/>
          <w:color w:val="000000"/>
          <w:highlight w:val="none"/>
        </w:rPr>
        <w:t>考核均分在95分（含）以上的，半年度服务费（如有扣罚违约金行为，先行扣除）按100%比例支付；</w:t>
      </w:r>
    </w:p>
    <w:p w14:paraId="73A8AAF8">
      <w:pPr>
        <w:spacing w:line="440" w:lineRule="exact"/>
        <w:ind w:left="0" w:leftChars="0" w:firstLine="1060" w:firstLineChars="0"/>
        <w:rPr>
          <w:rFonts w:hint="eastAsia"/>
          <w:b/>
          <w:color w:val="000000"/>
          <w:highlight w:val="none"/>
        </w:rPr>
      </w:pPr>
      <w:r>
        <w:rPr>
          <w:rFonts w:hint="eastAsia"/>
          <w:b/>
          <w:color w:val="000000"/>
          <w:highlight w:val="none"/>
        </w:rPr>
        <w:t>考核均分在70分（含）至95分（不含）之间的，以95分为基准，每低1分专项扣除本项目半年度服务费的0.5%；</w:t>
      </w:r>
    </w:p>
    <w:p w14:paraId="1055BD91">
      <w:pPr>
        <w:spacing w:line="440" w:lineRule="exact"/>
        <w:ind w:left="0" w:leftChars="0" w:firstLine="1060" w:firstLineChars="0"/>
        <w:rPr>
          <w:rFonts w:hint="eastAsia"/>
          <w:b/>
          <w:color w:val="000000"/>
          <w:highlight w:val="none"/>
        </w:rPr>
      </w:pPr>
      <w:r>
        <w:rPr>
          <w:rFonts w:hint="eastAsia"/>
          <w:b/>
          <w:color w:val="000000"/>
          <w:highlight w:val="none"/>
        </w:rPr>
        <w:t>考核均分低于70分的，招标人有权暂停支付剩余服务费，待整改验收合格后，以70分为基准，每低1分专项扣除本项目半年度服务费的1%再行结算。</w:t>
      </w:r>
    </w:p>
    <w:p w14:paraId="19F357DF">
      <w:pPr>
        <w:spacing w:line="440" w:lineRule="exact"/>
        <w:ind w:firstLine="480"/>
        <w:rPr>
          <w:b/>
          <w:color w:val="000000"/>
          <w:highlight w:val="none"/>
          <w:u w:val="single"/>
        </w:rPr>
      </w:pPr>
      <w:r>
        <w:rPr>
          <w:highlight w:val="none"/>
        </w:rPr>
        <w:t>5.3</w:t>
      </w:r>
      <w:r>
        <w:rPr>
          <w:rFonts w:hint="eastAsia"/>
          <w:highlight w:val="none"/>
        </w:rPr>
        <w:t>结算方式：</w:t>
      </w:r>
      <w:r>
        <w:rPr>
          <w:rFonts w:hint="eastAsia"/>
          <w:b/>
          <w:highlight w:val="none"/>
          <w:u w:val="single"/>
        </w:rPr>
        <w:t>环境整治、绿化保洁、值守、材料保管采取总价包干制，墓穴基础建设、墓体安装、零星维修按实结算</w:t>
      </w:r>
      <w:r>
        <w:rPr>
          <w:rFonts w:hint="eastAsia"/>
          <w:b/>
          <w:color w:val="000000"/>
          <w:highlight w:val="none"/>
          <w:u w:val="single"/>
        </w:rPr>
        <w:t>。每半年结算一次。结算完成后15日内支付相应款项。年度款项待审计完成后15日内支付至审定价的97%，余款待全部质保期满后付清。</w:t>
      </w:r>
    </w:p>
    <w:p w14:paraId="277ED583">
      <w:pPr>
        <w:spacing w:line="440" w:lineRule="exact"/>
        <w:ind w:firstLine="480"/>
        <w:rPr>
          <w:highlight w:val="none"/>
        </w:rPr>
      </w:pPr>
      <w:r>
        <w:rPr>
          <w:rFonts w:hint="eastAsia"/>
          <w:highlight w:val="none"/>
        </w:rPr>
        <w:t>注：如遇采购文件中</w:t>
      </w:r>
      <w:r>
        <w:rPr>
          <w:rFonts w:hint="eastAsia" w:cs="宋体"/>
          <w:highlight w:val="none"/>
        </w:rPr>
        <w:t>定制服务项不能满足更高标准需求时，</w:t>
      </w:r>
      <w:r>
        <w:rPr>
          <w:rFonts w:hint="eastAsia"/>
          <w:highlight w:val="none"/>
        </w:rPr>
        <w:t>充分考虑实际情况后，须</w:t>
      </w:r>
      <w:r>
        <w:rPr>
          <w:rFonts w:hint="eastAsia" w:cs="宋体"/>
          <w:highlight w:val="none"/>
        </w:rPr>
        <w:t>经甲方同意后，双方可另行约定。</w:t>
      </w:r>
    </w:p>
    <w:p w14:paraId="47D1D1B7">
      <w:pPr>
        <w:spacing w:line="440" w:lineRule="exact"/>
        <w:ind w:firstLine="480"/>
        <w:rPr>
          <w:highlight w:val="none"/>
        </w:rPr>
      </w:pPr>
      <w:r>
        <w:rPr>
          <w:highlight w:val="none"/>
        </w:rPr>
        <w:t>5.4</w:t>
      </w:r>
      <w:r>
        <w:rPr>
          <w:rFonts w:hint="eastAsia"/>
          <w:highlight w:val="none"/>
        </w:rPr>
        <w:t>发票开具方式：</w:t>
      </w:r>
      <w:r>
        <w:rPr>
          <w:rFonts w:hint="eastAsia"/>
          <w:b/>
          <w:highlight w:val="none"/>
          <w:u w:val="single"/>
        </w:rPr>
        <w:t>增值税发票</w:t>
      </w:r>
      <w:r>
        <w:rPr>
          <w:rFonts w:hint="eastAsia"/>
          <w:highlight w:val="none"/>
        </w:rPr>
        <w:t>。</w:t>
      </w:r>
    </w:p>
    <w:p w14:paraId="57672C20">
      <w:pPr>
        <w:spacing w:line="520" w:lineRule="exact"/>
        <w:ind w:firstLine="480"/>
        <w:rPr>
          <w:rFonts w:cs="宋体"/>
          <w:b/>
          <w:color w:val="000000"/>
          <w:highlight w:val="none"/>
        </w:rPr>
      </w:pPr>
      <w:r>
        <w:rPr>
          <w:rFonts w:hint="eastAsia" w:cs="宋体"/>
          <w:b/>
          <w:color w:val="000000"/>
          <w:highlight w:val="none"/>
        </w:rPr>
        <w:t>第六条 验收办法</w:t>
      </w:r>
    </w:p>
    <w:p w14:paraId="2C14AEE1">
      <w:pPr>
        <w:spacing w:line="460" w:lineRule="exact"/>
        <w:ind w:firstLine="480"/>
        <w:rPr>
          <w:rFonts w:cs="宋体"/>
          <w:color w:val="000000"/>
          <w:highlight w:val="none"/>
        </w:rPr>
      </w:pPr>
      <w:r>
        <w:rPr>
          <w:rFonts w:hint="eastAsia" w:cs="宋体"/>
          <w:color w:val="000000"/>
          <w:highlight w:val="none"/>
        </w:rPr>
        <w:t>6.1甲方依法组织履约验收工作。</w:t>
      </w:r>
    </w:p>
    <w:p w14:paraId="3085ACC1">
      <w:pPr>
        <w:spacing w:line="460" w:lineRule="exact"/>
        <w:ind w:firstLine="480"/>
        <w:rPr>
          <w:rFonts w:cs="宋体"/>
          <w:color w:val="000000"/>
          <w:highlight w:val="none"/>
        </w:rPr>
      </w:pPr>
      <w:r>
        <w:rPr>
          <w:rFonts w:hint="eastAsia" w:cs="宋体"/>
          <w:color w:val="000000"/>
          <w:highlight w:val="none"/>
        </w:rPr>
        <w:t>6.2甲方按照采购文件确定的验收方案或分期考核方案（包括履约验收的时间、方式、程序等内容），综合考核情况和服务效果进行验收。乙方应根据验收方案内容做好相应配合工作。</w:t>
      </w:r>
    </w:p>
    <w:p w14:paraId="134138BD">
      <w:pPr>
        <w:spacing w:line="460" w:lineRule="exact"/>
        <w:ind w:firstLine="480"/>
        <w:rPr>
          <w:rFonts w:cs="宋体"/>
          <w:color w:val="000000"/>
          <w:highlight w:val="none"/>
        </w:rPr>
      </w:pPr>
      <w:r>
        <w:rPr>
          <w:rFonts w:hint="eastAsia" w:cs="宋体"/>
          <w:color w:val="000000"/>
          <w:highlight w:val="none"/>
        </w:rPr>
        <w:t>6.3对于实际使用人和甲方分离的项目，甲方邀请实际使用人参与验收。</w:t>
      </w:r>
    </w:p>
    <w:p w14:paraId="482A6F38">
      <w:pPr>
        <w:spacing w:line="460" w:lineRule="exact"/>
        <w:ind w:firstLine="480"/>
        <w:rPr>
          <w:rFonts w:cs="宋体"/>
          <w:color w:val="000000"/>
          <w:highlight w:val="none"/>
        </w:rPr>
      </w:pPr>
      <w:r>
        <w:rPr>
          <w:rFonts w:hint="eastAsia" w:cs="宋体"/>
          <w:color w:val="000000"/>
          <w:highlight w:val="none"/>
        </w:rPr>
        <w:t>6.4如有必要，甲方邀请参加本项目的其他供应商或第三方专业机构及专家参与验收，相关意见将作为验收书的参考资料。</w:t>
      </w:r>
    </w:p>
    <w:p w14:paraId="1EF998E7">
      <w:pPr>
        <w:spacing w:line="460" w:lineRule="exact"/>
        <w:ind w:firstLine="480"/>
        <w:rPr>
          <w:rFonts w:cs="宋体"/>
          <w:color w:val="000000"/>
          <w:highlight w:val="none"/>
        </w:rPr>
      </w:pPr>
      <w:r>
        <w:rPr>
          <w:rFonts w:hint="eastAsia" w:cs="宋体"/>
          <w:color w:val="000000"/>
          <w:highlight w:val="none"/>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686B9C6C">
      <w:pPr>
        <w:spacing w:line="460" w:lineRule="exact"/>
        <w:ind w:firstLine="480"/>
        <w:rPr>
          <w:rFonts w:cs="宋体"/>
          <w:color w:val="000000"/>
          <w:highlight w:val="none"/>
        </w:rPr>
      </w:pPr>
      <w:r>
        <w:rPr>
          <w:rFonts w:hint="eastAsia" w:cs="宋体"/>
          <w:color w:val="000000"/>
          <w:highlight w:val="none"/>
        </w:rPr>
        <w:t>6.6 验收合格的项目，甲方根据采购合同的约定及时向乙方支付合同款项。验收不合格的项目，甲方依法及时处理。</w:t>
      </w:r>
    </w:p>
    <w:p w14:paraId="035CD885">
      <w:pPr>
        <w:spacing w:line="440" w:lineRule="exact"/>
        <w:ind w:firstLine="480"/>
        <w:rPr>
          <w:rFonts w:cs="宋体"/>
          <w:b/>
          <w:color w:val="000000"/>
          <w:highlight w:val="none"/>
        </w:rPr>
      </w:pPr>
      <w:r>
        <w:rPr>
          <w:rFonts w:hint="eastAsia" w:cs="宋体"/>
          <w:color w:val="000000"/>
          <w:highlight w:val="none"/>
        </w:rPr>
        <w:t>6.7绩效考核标准：</w:t>
      </w:r>
      <w:r>
        <w:rPr>
          <w:rFonts w:hint="eastAsia" w:cs="宋体"/>
          <w:b/>
          <w:color w:val="000000"/>
          <w:highlight w:val="none"/>
        </w:rPr>
        <w:t>详见附件，考核办法在合同期内可根据实际情况作适当调整。</w:t>
      </w:r>
    </w:p>
    <w:p w14:paraId="1BEB0E68">
      <w:pPr>
        <w:spacing w:line="460" w:lineRule="exact"/>
        <w:ind w:firstLine="480"/>
        <w:rPr>
          <w:rFonts w:cs="宋体"/>
          <w:b/>
          <w:color w:val="000000"/>
          <w:highlight w:val="none"/>
        </w:rPr>
      </w:pPr>
      <w:r>
        <w:rPr>
          <w:rFonts w:hint="eastAsia" w:cs="宋体"/>
          <w:b/>
          <w:color w:val="000000"/>
          <w:highlight w:val="none"/>
        </w:rPr>
        <w:t>第七条</w:t>
      </w:r>
      <w:r>
        <w:rPr>
          <w:rFonts w:hint="eastAsia" w:cs="宋体"/>
          <w:b/>
          <w:color w:val="000000"/>
          <w:highlight w:val="none"/>
        </w:rPr>
        <w:tab/>
      </w:r>
      <w:r>
        <w:rPr>
          <w:rFonts w:hint="eastAsia" w:cs="宋体"/>
          <w:b/>
          <w:color w:val="000000"/>
          <w:highlight w:val="none"/>
        </w:rPr>
        <w:t xml:space="preserve"> 双方的其他权利义务</w:t>
      </w:r>
    </w:p>
    <w:p w14:paraId="23946614">
      <w:pPr>
        <w:spacing w:line="460" w:lineRule="exact"/>
        <w:ind w:firstLine="480"/>
        <w:rPr>
          <w:rFonts w:cs="宋体"/>
          <w:b/>
          <w:color w:val="000000"/>
          <w:highlight w:val="none"/>
        </w:rPr>
      </w:pPr>
      <w:r>
        <w:rPr>
          <w:rFonts w:hint="eastAsia" w:cs="宋体"/>
          <w:b/>
          <w:color w:val="000000"/>
          <w:highlight w:val="none"/>
        </w:rPr>
        <w:t>7.1甲方权利义务</w:t>
      </w:r>
    </w:p>
    <w:p w14:paraId="0F1CCCE2">
      <w:pPr>
        <w:spacing w:line="440" w:lineRule="exact"/>
        <w:ind w:firstLine="480"/>
        <w:rPr>
          <w:highlight w:val="none"/>
        </w:rPr>
      </w:pPr>
      <w:r>
        <w:rPr>
          <w:rFonts w:hint="eastAsia" w:cs="宋体"/>
          <w:color w:val="000000"/>
          <w:highlight w:val="none"/>
        </w:rPr>
        <w:t>（1）甲方有权随时向乙方了解服务进展，提出改进意见和建议；</w:t>
      </w:r>
      <w:r>
        <w:rPr>
          <w:rFonts w:hint="eastAsia" w:cs="宋体"/>
          <w:highlight w:val="none"/>
        </w:rPr>
        <w:t>甲方不得要求乙方违反国家有关规定进行工作</w:t>
      </w:r>
      <w:r>
        <w:rPr>
          <w:rFonts w:hint="eastAsia" w:cs="宋体"/>
          <w:color w:val="000000"/>
          <w:highlight w:val="none"/>
        </w:rPr>
        <w:t>。</w:t>
      </w:r>
    </w:p>
    <w:p w14:paraId="5EECB5BE">
      <w:pPr>
        <w:spacing w:line="440" w:lineRule="exact"/>
        <w:ind w:firstLine="480"/>
        <w:rPr>
          <w:rFonts w:cs="宋体"/>
          <w:color w:val="000000"/>
          <w:highlight w:val="none"/>
        </w:rPr>
      </w:pPr>
      <w:r>
        <w:rPr>
          <w:rFonts w:hint="eastAsia" w:cs="宋体"/>
          <w:color w:val="000000"/>
          <w:highlight w:val="none"/>
        </w:rPr>
        <w:t>（</w:t>
      </w:r>
      <w:r>
        <w:rPr>
          <w:rFonts w:cs="宋体"/>
          <w:color w:val="000000"/>
          <w:highlight w:val="none"/>
        </w:rPr>
        <w:t>2</w:t>
      </w:r>
      <w:r>
        <w:rPr>
          <w:rFonts w:hint="eastAsia" w:cs="宋体"/>
          <w:color w:val="000000"/>
          <w:highlight w:val="none"/>
        </w:rPr>
        <w:t>）甲方应按时支付合同价款，以及本合同约定的其他义务。</w:t>
      </w:r>
    </w:p>
    <w:p w14:paraId="3A052A57">
      <w:pPr>
        <w:spacing w:line="440" w:lineRule="exact"/>
        <w:ind w:firstLine="480"/>
        <w:rPr>
          <w:rFonts w:cs="宋体"/>
          <w:color w:val="000000"/>
          <w:highlight w:val="none"/>
        </w:rPr>
      </w:pPr>
      <w:r>
        <w:rPr>
          <w:rFonts w:hint="eastAsia" w:cs="宋体"/>
          <w:highlight w:val="none"/>
        </w:rPr>
        <w:t>（3）甲方为乙方提供必要的工作场所和工作人员的值班场所，所产生的费用由招标人承担。</w:t>
      </w:r>
    </w:p>
    <w:p w14:paraId="73363028">
      <w:pPr>
        <w:spacing w:line="440" w:lineRule="exact"/>
        <w:ind w:firstLine="480"/>
        <w:rPr>
          <w:rFonts w:cs="宋体"/>
          <w:color w:val="000000"/>
          <w:highlight w:val="none"/>
        </w:rPr>
      </w:pPr>
      <w:r>
        <w:rPr>
          <w:rFonts w:hint="eastAsia" w:cs="宋体"/>
          <w:color w:val="000000"/>
          <w:highlight w:val="none"/>
        </w:rPr>
        <w:t>（</w:t>
      </w:r>
      <w:r>
        <w:rPr>
          <w:rFonts w:cs="宋体"/>
          <w:color w:val="000000"/>
          <w:highlight w:val="none"/>
        </w:rPr>
        <w:t>4</w:t>
      </w:r>
      <w:r>
        <w:rPr>
          <w:rFonts w:hint="eastAsia" w:cs="宋体"/>
          <w:color w:val="000000"/>
          <w:highlight w:val="none"/>
        </w:rPr>
        <w:t>）</w:t>
      </w:r>
      <w:r>
        <w:rPr>
          <w:rFonts w:cs="宋体"/>
          <w:color w:val="000000"/>
          <w:highlight w:val="none"/>
        </w:rPr>
        <w:t>法规、政策规定由</w:t>
      </w:r>
      <w:r>
        <w:rPr>
          <w:rFonts w:hint="eastAsia" w:cs="宋体"/>
          <w:color w:val="000000"/>
          <w:highlight w:val="none"/>
        </w:rPr>
        <w:t>甲</w:t>
      </w:r>
      <w:r>
        <w:rPr>
          <w:rFonts w:cs="宋体"/>
          <w:color w:val="000000"/>
          <w:highlight w:val="none"/>
        </w:rPr>
        <w:t>方承担的其他责任</w:t>
      </w:r>
      <w:r>
        <w:rPr>
          <w:rFonts w:hint="eastAsia" w:cs="宋体"/>
          <w:color w:val="000000"/>
          <w:highlight w:val="none"/>
        </w:rPr>
        <w:t>。</w:t>
      </w:r>
    </w:p>
    <w:p w14:paraId="00E26599">
      <w:pPr>
        <w:spacing w:line="460" w:lineRule="exact"/>
        <w:ind w:firstLine="480"/>
        <w:rPr>
          <w:rFonts w:cs="宋体"/>
          <w:b/>
          <w:highlight w:val="none"/>
        </w:rPr>
      </w:pPr>
      <w:r>
        <w:rPr>
          <w:rFonts w:hint="eastAsia" w:cs="宋体"/>
          <w:b/>
          <w:color w:val="000000"/>
          <w:highlight w:val="none"/>
        </w:rPr>
        <w:t>7.2乙方权利义务</w:t>
      </w:r>
    </w:p>
    <w:p w14:paraId="086043D3">
      <w:pPr>
        <w:spacing w:line="420" w:lineRule="exact"/>
        <w:ind w:firstLine="480"/>
        <w:rPr>
          <w:highlight w:val="none"/>
        </w:rPr>
      </w:pPr>
      <w:r>
        <w:rPr>
          <w:rFonts w:hint="eastAsia"/>
          <w:highlight w:val="none"/>
        </w:rPr>
        <w:t>（1）乙方应及时履行合同一般性义务和文件中规定的具体义务。乙方所提供服务的质量应与招标文件规定及投标文件承诺的内容相一致。</w:t>
      </w:r>
    </w:p>
    <w:p w14:paraId="7016B3B1">
      <w:pPr>
        <w:spacing w:line="440" w:lineRule="exact"/>
        <w:ind w:firstLine="480"/>
        <w:rPr>
          <w:rFonts w:cs="宋体"/>
          <w:color w:val="000000"/>
          <w:highlight w:val="none"/>
        </w:rPr>
      </w:pPr>
      <w:r>
        <w:rPr>
          <w:rFonts w:hint="eastAsia" w:cs="宋体"/>
          <w:color w:val="000000"/>
          <w:highlight w:val="none"/>
        </w:rPr>
        <w:t>（</w:t>
      </w:r>
      <w:r>
        <w:rPr>
          <w:rFonts w:cs="宋体"/>
          <w:color w:val="000000"/>
          <w:highlight w:val="none"/>
        </w:rPr>
        <w:t>2</w:t>
      </w:r>
      <w:r>
        <w:rPr>
          <w:rFonts w:hint="eastAsia" w:cs="宋体"/>
          <w:color w:val="000000"/>
          <w:highlight w:val="none"/>
        </w:rPr>
        <w:t>）乙方有权按照合同获得合同价款；乙方有权根据服务内容的需要，请求甲方予以配合。</w:t>
      </w:r>
    </w:p>
    <w:p w14:paraId="31F881EE">
      <w:pPr>
        <w:spacing w:line="440" w:lineRule="exact"/>
        <w:ind w:firstLine="480"/>
        <w:rPr>
          <w:rFonts w:cs="宋体"/>
          <w:highlight w:val="none"/>
        </w:rPr>
      </w:pPr>
      <w:r>
        <w:rPr>
          <w:rFonts w:hint="eastAsia" w:cs="宋体"/>
          <w:color w:val="000000"/>
          <w:highlight w:val="none"/>
        </w:rPr>
        <w:t>（</w:t>
      </w:r>
      <w:r>
        <w:rPr>
          <w:rFonts w:cs="宋体"/>
          <w:color w:val="000000"/>
          <w:highlight w:val="none"/>
        </w:rPr>
        <w:t>3</w:t>
      </w:r>
      <w:r>
        <w:rPr>
          <w:rFonts w:hint="eastAsia" w:cs="宋体"/>
          <w:color w:val="000000"/>
          <w:highlight w:val="none"/>
        </w:rPr>
        <w:t>）乙方承诺参与政府采购时显示的服务能力不会减弱，包括服务人员和团队人员不减少、服务资质不下降、团队具备的人才技能不下降。除了提升人员资质和执业等级（如有）或引进新的人才，如果乙方服务团队人员减少或资质下降人数超过总人数</w:t>
      </w:r>
      <w:r>
        <w:rPr>
          <w:rFonts w:cs="宋体"/>
          <w:b/>
          <w:color w:val="000000"/>
          <w:highlight w:val="none"/>
          <w:u w:val="single"/>
        </w:rPr>
        <w:t>30%</w:t>
      </w:r>
      <w:r>
        <w:rPr>
          <w:rFonts w:hint="eastAsia" w:cs="宋体"/>
          <w:color w:val="000000"/>
          <w:highlight w:val="none"/>
        </w:rPr>
        <w:t>的，视为乙方丧失提供服务的能力。</w:t>
      </w:r>
    </w:p>
    <w:p w14:paraId="259D43A1">
      <w:pPr>
        <w:spacing w:line="440" w:lineRule="exact"/>
        <w:ind w:firstLine="480"/>
        <w:rPr>
          <w:rFonts w:cs="宋体"/>
          <w:color w:val="000000"/>
          <w:highlight w:val="none"/>
        </w:rPr>
      </w:pPr>
      <w:r>
        <w:rPr>
          <w:rFonts w:hint="eastAsia" w:cs="宋体"/>
          <w:color w:val="000000"/>
          <w:highlight w:val="none"/>
        </w:rPr>
        <w:t>（</w:t>
      </w:r>
      <w:r>
        <w:rPr>
          <w:rFonts w:cs="宋体"/>
          <w:color w:val="000000"/>
          <w:highlight w:val="none"/>
        </w:rPr>
        <w:t>4</w:t>
      </w:r>
      <w:r>
        <w:rPr>
          <w:rFonts w:hint="eastAsia" w:cs="宋体"/>
          <w:color w:val="000000"/>
          <w:highlight w:val="none"/>
        </w:rPr>
        <w:t>）乙方应安排身体健康、品行良好的服务人员为甲方提供服务。</w:t>
      </w:r>
    </w:p>
    <w:p w14:paraId="1D384BDC">
      <w:pPr>
        <w:spacing w:line="440" w:lineRule="exact"/>
        <w:ind w:left="14" w:firstLine="500"/>
        <w:rPr>
          <w:rFonts w:cs="宋体"/>
          <w:color w:val="000000"/>
          <w:highlight w:val="none"/>
        </w:rPr>
      </w:pPr>
      <w:r>
        <w:rPr>
          <w:rFonts w:hint="eastAsia" w:cs="宋体"/>
          <w:color w:val="000000"/>
          <w:highlight w:val="none"/>
        </w:rPr>
        <w:t>（</w:t>
      </w:r>
      <w:r>
        <w:rPr>
          <w:rFonts w:cs="宋体"/>
          <w:color w:val="000000"/>
          <w:highlight w:val="none"/>
        </w:rPr>
        <w:t>5</w:t>
      </w:r>
      <w:r>
        <w:rPr>
          <w:rFonts w:hint="eastAsia" w:cs="宋体"/>
          <w:color w:val="000000"/>
          <w:highlight w:val="none"/>
        </w:rPr>
        <w:t>）乙方应保证服务人员的稳定，未经甲方同意，不得变更服务人员。</w:t>
      </w:r>
    </w:p>
    <w:p w14:paraId="13C2FEA2">
      <w:pPr>
        <w:spacing w:line="440" w:lineRule="exact"/>
        <w:ind w:firstLine="480"/>
        <w:rPr>
          <w:rFonts w:cs="宋体"/>
          <w:highlight w:val="none"/>
        </w:rPr>
      </w:pPr>
      <w:r>
        <w:rPr>
          <w:rFonts w:hint="eastAsia" w:cs="宋体"/>
          <w:color w:val="000000"/>
          <w:highlight w:val="none"/>
        </w:rPr>
        <w:t>（</w:t>
      </w:r>
      <w:r>
        <w:rPr>
          <w:rFonts w:cs="宋体"/>
          <w:color w:val="000000"/>
          <w:highlight w:val="none"/>
        </w:rPr>
        <w:t>6</w:t>
      </w:r>
      <w:r>
        <w:rPr>
          <w:rFonts w:hint="eastAsia" w:cs="宋体"/>
          <w:color w:val="000000"/>
          <w:highlight w:val="none"/>
        </w:rPr>
        <w:t>）乙方应当及时响应甲方的服务需求，在甲方提出派员到场服务时，应当与甲方确定到场时间。甲方紧急服务需求时，乙方应在</w:t>
      </w:r>
      <w:r>
        <w:rPr>
          <w:rFonts w:hint="eastAsia" w:cs="宋体"/>
          <w:color w:val="000000"/>
          <w:highlight w:val="none"/>
          <w:u w:val="single"/>
        </w:rPr>
        <w:t xml:space="preserve"> </w:t>
      </w:r>
      <w:r>
        <w:rPr>
          <w:rFonts w:cs="宋体"/>
          <w:b/>
          <w:color w:val="000000"/>
          <w:highlight w:val="none"/>
          <w:u w:val="single"/>
        </w:rPr>
        <w:t>2</w:t>
      </w:r>
      <w:r>
        <w:rPr>
          <w:rFonts w:hint="eastAsia" w:cs="宋体"/>
          <w:color w:val="000000"/>
          <w:highlight w:val="none"/>
          <w:u w:val="single"/>
        </w:rPr>
        <w:t xml:space="preserve"> </w:t>
      </w:r>
      <w:r>
        <w:rPr>
          <w:rFonts w:hint="eastAsia" w:cs="宋体"/>
          <w:color w:val="000000"/>
          <w:highlight w:val="none"/>
        </w:rPr>
        <w:t>小时内派员到场。</w:t>
      </w:r>
    </w:p>
    <w:p w14:paraId="3AAF39CF">
      <w:pPr>
        <w:spacing w:line="420" w:lineRule="exact"/>
        <w:ind w:firstLine="480"/>
        <w:rPr>
          <w:rFonts w:cs="宋体"/>
          <w:highlight w:val="none"/>
        </w:rPr>
      </w:pPr>
      <w:r>
        <w:rPr>
          <w:rFonts w:hint="eastAsia" w:cs="宋体"/>
          <w:color w:val="000000"/>
          <w:highlight w:val="none"/>
        </w:rPr>
        <w:t>（</w:t>
      </w:r>
      <w:r>
        <w:rPr>
          <w:rFonts w:cs="宋体"/>
          <w:color w:val="000000"/>
          <w:highlight w:val="none"/>
        </w:rPr>
        <w:t>7</w:t>
      </w:r>
      <w:r>
        <w:rPr>
          <w:rFonts w:hint="eastAsia" w:cs="宋体"/>
          <w:color w:val="000000"/>
          <w:highlight w:val="none"/>
        </w:rPr>
        <w:t>）定期组织服务人员进行培训学习，不断提高服务人员业务技能。</w:t>
      </w:r>
    </w:p>
    <w:p w14:paraId="6F499370">
      <w:pPr>
        <w:spacing w:line="420" w:lineRule="exact"/>
        <w:ind w:firstLine="480"/>
        <w:rPr>
          <w:rFonts w:cs="宋体"/>
          <w:highlight w:val="none"/>
        </w:rPr>
      </w:pPr>
      <w:r>
        <w:rPr>
          <w:rFonts w:hint="eastAsia" w:cs="宋体"/>
          <w:color w:val="000000"/>
          <w:highlight w:val="none"/>
        </w:rPr>
        <w:t>（</w:t>
      </w:r>
      <w:r>
        <w:rPr>
          <w:rFonts w:cs="宋体"/>
          <w:color w:val="000000"/>
          <w:highlight w:val="none"/>
        </w:rPr>
        <w:t>8</w:t>
      </w:r>
      <w:r>
        <w:rPr>
          <w:rFonts w:hint="eastAsia" w:cs="宋体"/>
          <w:color w:val="000000"/>
          <w:highlight w:val="none"/>
        </w:rPr>
        <w:t>）乙方做好安全生产工作，对在工作中出现的服务人员的人身安全承担责任，并对由于服务人员的原因导致的第三人的人身财产损失承担赔偿责任。</w:t>
      </w:r>
    </w:p>
    <w:p w14:paraId="74AA1656">
      <w:pPr>
        <w:spacing w:line="440" w:lineRule="exact"/>
        <w:ind w:firstLine="480"/>
        <w:rPr>
          <w:rFonts w:cs="宋体"/>
          <w:color w:val="000000"/>
          <w:highlight w:val="none"/>
        </w:rPr>
      </w:pPr>
      <w:r>
        <w:rPr>
          <w:rFonts w:hint="eastAsia" w:cs="宋体"/>
          <w:color w:val="000000"/>
          <w:highlight w:val="none"/>
        </w:rPr>
        <w:t>（</w:t>
      </w:r>
      <w:r>
        <w:rPr>
          <w:rFonts w:cs="宋体"/>
          <w:color w:val="000000"/>
          <w:highlight w:val="none"/>
        </w:rPr>
        <w:t>9</w:t>
      </w:r>
      <w:r>
        <w:rPr>
          <w:rFonts w:hint="eastAsia" w:cs="宋体"/>
          <w:color w:val="000000"/>
          <w:highlight w:val="none"/>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3C27DBC0">
      <w:pPr>
        <w:spacing w:line="420" w:lineRule="exact"/>
        <w:ind w:firstLine="480"/>
        <w:rPr>
          <w:highlight w:val="none"/>
        </w:rPr>
      </w:pPr>
      <w:r>
        <w:rPr>
          <w:rFonts w:hint="eastAsia"/>
          <w:highlight w:val="none"/>
        </w:rPr>
        <w:t>（</w:t>
      </w:r>
      <w:r>
        <w:rPr>
          <w:highlight w:val="none"/>
        </w:rPr>
        <w:t>10</w:t>
      </w:r>
      <w:r>
        <w:rPr>
          <w:rFonts w:hint="eastAsia"/>
          <w:highlight w:val="none"/>
        </w:rPr>
        <w:t>）在本合同期内或合同终止后，未经甲方同意，不得泄露与本项目有关的保密资料。</w:t>
      </w:r>
    </w:p>
    <w:p w14:paraId="60262DFD">
      <w:pPr>
        <w:spacing w:line="420" w:lineRule="exact"/>
        <w:ind w:firstLine="480"/>
        <w:rPr>
          <w:highlight w:val="none"/>
        </w:rPr>
      </w:pPr>
      <w:r>
        <w:rPr>
          <w:rFonts w:hint="eastAsia"/>
          <w:highlight w:val="none"/>
        </w:rPr>
        <w:t>（</w:t>
      </w:r>
      <w:r>
        <w:rPr>
          <w:highlight w:val="none"/>
        </w:rPr>
        <w:t>11</w:t>
      </w:r>
      <w:r>
        <w:rPr>
          <w:rFonts w:hint="eastAsia"/>
          <w:highlight w:val="none"/>
        </w:rPr>
        <w:t>）乙方应独立承担服务中由于乙方原因造成的各类责任。</w:t>
      </w:r>
    </w:p>
    <w:p w14:paraId="33BF2990">
      <w:pPr>
        <w:spacing w:line="420" w:lineRule="exact"/>
        <w:ind w:firstLine="480"/>
        <w:rPr>
          <w:highlight w:val="none"/>
        </w:rPr>
      </w:pPr>
      <w:r>
        <w:rPr>
          <w:rFonts w:hint="eastAsia"/>
          <w:highlight w:val="none"/>
        </w:rPr>
        <w:t>（1</w:t>
      </w:r>
      <w:r>
        <w:rPr>
          <w:highlight w:val="none"/>
        </w:rPr>
        <w:t>2</w:t>
      </w:r>
      <w:r>
        <w:rPr>
          <w:rFonts w:hint="eastAsia"/>
          <w:highlight w:val="none"/>
        </w:rPr>
        <w:t>）爱惜爱护公共设施及财物，妥善保管及使用甲方提供的殡仪服务设施设备，合同到期后，无损返还，如有遗失或损坏的，乙方须按价赔偿。</w:t>
      </w:r>
    </w:p>
    <w:p w14:paraId="47AA4D4F">
      <w:pPr>
        <w:spacing w:line="420" w:lineRule="exact"/>
        <w:ind w:firstLine="480"/>
        <w:rPr>
          <w:rFonts w:hint="eastAsia" w:eastAsia="宋体"/>
          <w:highlight w:val="none"/>
          <w:lang w:val="en-US" w:eastAsia="zh-CN"/>
        </w:rPr>
      </w:pPr>
      <w:r>
        <w:rPr>
          <w:rFonts w:hint="eastAsia"/>
          <w:highlight w:val="none"/>
        </w:rPr>
        <w:t>（1</w:t>
      </w:r>
      <w:r>
        <w:rPr>
          <w:highlight w:val="none"/>
        </w:rPr>
        <w:t>3</w:t>
      </w:r>
      <w:r>
        <w:rPr>
          <w:rFonts w:hint="eastAsia"/>
          <w:highlight w:val="none"/>
        </w:rPr>
        <w:t>）在区域内提供服务，必须服从甲方的现场管理，制定和遵守安全生产方案，承担相应的法律责任。</w:t>
      </w:r>
    </w:p>
    <w:p w14:paraId="6B649AED">
      <w:pPr>
        <w:spacing w:line="440" w:lineRule="exact"/>
        <w:ind w:firstLine="480"/>
        <w:rPr>
          <w:highlight w:val="none"/>
        </w:rPr>
      </w:pPr>
      <w:r>
        <w:rPr>
          <w:rFonts w:hint="eastAsia"/>
          <w:highlight w:val="none"/>
        </w:rPr>
        <w:t>（</w:t>
      </w:r>
      <w:r>
        <w:rPr>
          <w:highlight w:val="none"/>
        </w:rPr>
        <w:t>14</w:t>
      </w:r>
      <w:r>
        <w:rPr>
          <w:rFonts w:hint="eastAsia"/>
          <w:highlight w:val="none"/>
        </w:rPr>
        <w:t>）</w:t>
      </w:r>
      <w:r>
        <w:rPr>
          <w:highlight w:val="none"/>
        </w:rPr>
        <w:t>法规、政策规定由乙方承担的其他责任</w:t>
      </w:r>
      <w:r>
        <w:rPr>
          <w:rFonts w:hint="eastAsia"/>
          <w:highlight w:val="none"/>
        </w:rPr>
        <w:t>。</w:t>
      </w:r>
    </w:p>
    <w:p w14:paraId="0D985E07">
      <w:pPr>
        <w:spacing w:line="420" w:lineRule="exact"/>
        <w:ind w:firstLine="480"/>
        <w:rPr>
          <w:rFonts w:cs="宋体"/>
          <w:b/>
          <w:highlight w:val="none"/>
        </w:rPr>
      </w:pPr>
      <w:r>
        <w:rPr>
          <w:rFonts w:hint="eastAsia" w:cs="宋体"/>
          <w:b/>
          <w:color w:val="000000"/>
          <w:highlight w:val="none"/>
        </w:rPr>
        <w:t>第八条 质量保证</w:t>
      </w:r>
    </w:p>
    <w:p w14:paraId="295BE39F">
      <w:pPr>
        <w:spacing w:line="440" w:lineRule="exact"/>
        <w:ind w:firstLine="480"/>
        <w:rPr>
          <w:rFonts w:cs="宋体"/>
          <w:color w:val="000000"/>
          <w:highlight w:val="none"/>
        </w:rPr>
      </w:pPr>
      <w:r>
        <w:rPr>
          <w:rFonts w:hint="eastAsia" w:cs="宋体"/>
          <w:color w:val="000000"/>
          <w:highlight w:val="none"/>
        </w:rPr>
        <w:t>乙方各项服务承诺指标及所采取的措施按照采购文件要求及相应文件的承诺予以确定。</w:t>
      </w:r>
    </w:p>
    <w:p w14:paraId="453823A0">
      <w:pPr>
        <w:spacing w:line="420" w:lineRule="exact"/>
        <w:ind w:firstLine="480"/>
        <w:rPr>
          <w:rFonts w:cs="宋体"/>
          <w:b/>
          <w:highlight w:val="none"/>
        </w:rPr>
      </w:pPr>
      <w:r>
        <w:rPr>
          <w:rFonts w:hint="eastAsia" w:cs="宋体"/>
          <w:b/>
          <w:color w:val="000000"/>
          <w:highlight w:val="none"/>
        </w:rPr>
        <w:t>第九条 违约责任</w:t>
      </w:r>
    </w:p>
    <w:p w14:paraId="15BB9B4D">
      <w:pPr>
        <w:spacing w:line="420" w:lineRule="exact"/>
        <w:ind w:firstLine="480"/>
        <w:rPr>
          <w:rFonts w:cs="宋体"/>
          <w:highlight w:val="none"/>
        </w:rPr>
      </w:pPr>
      <w:r>
        <w:rPr>
          <w:rFonts w:cs="宋体"/>
          <w:color w:val="000000"/>
          <w:highlight w:val="none"/>
        </w:rPr>
        <w:t>9.1</w:t>
      </w:r>
      <w:r>
        <w:rPr>
          <w:rFonts w:hint="eastAsia" w:cs="宋体"/>
          <w:color w:val="000000"/>
          <w:highlight w:val="none"/>
        </w:rPr>
        <w:t>甲方未按合同规定期限向乙方支付合同价款的，每逾期一天向乙方偿付欠款总额</w:t>
      </w:r>
      <w:r>
        <w:rPr>
          <w:rFonts w:hint="eastAsia" w:cs="宋体"/>
          <w:color w:val="000000"/>
          <w:highlight w:val="none"/>
          <w:u w:val="single"/>
        </w:rPr>
        <w:t xml:space="preserve"> </w:t>
      </w:r>
      <w:r>
        <w:rPr>
          <w:rFonts w:cs="宋体"/>
          <w:color w:val="000000"/>
          <w:highlight w:val="none"/>
          <w:u w:val="single"/>
        </w:rPr>
        <w:t>0.5</w:t>
      </w:r>
      <w:r>
        <w:rPr>
          <w:rFonts w:hint="eastAsia" w:cs="宋体"/>
          <w:color w:val="000000"/>
          <w:highlight w:val="none"/>
        </w:rPr>
        <w:t>％的滞纳金，但累计总额不超过欠款总额的</w:t>
      </w:r>
      <w:r>
        <w:rPr>
          <w:rFonts w:cs="宋体"/>
          <w:b/>
          <w:color w:val="000000"/>
          <w:highlight w:val="none"/>
          <w:u w:val="single"/>
        </w:rPr>
        <w:t>5</w:t>
      </w:r>
      <w:r>
        <w:rPr>
          <w:rFonts w:hint="eastAsia" w:cs="宋体"/>
          <w:b/>
          <w:color w:val="000000"/>
          <w:highlight w:val="none"/>
        </w:rPr>
        <w:t>％</w:t>
      </w:r>
      <w:r>
        <w:rPr>
          <w:rFonts w:hint="eastAsia" w:cs="宋体"/>
          <w:color w:val="000000"/>
          <w:highlight w:val="none"/>
        </w:rPr>
        <w:t>。</w:t>
      </w:r>
    </w:p>
    <w:p w14:paraId="59419B35">
      <w:pPr>
        <w:spacing w:line="420" w:lineRule="exact"/>
        <w:ind w:firstLine="480"/>
        <w:rPr>
          <w:rFonts w:cs="宋体"/>
          <w:color w:val="000000"/>
          <w:highlight w:val="none"/>
        </w:rPr>
      </w:pPr>
      <w:r>
        <w:rPr>
          <w:rFonts w:cs="宋体"/>
          <w:color w:val="000000"/>
          <w:highlight w:val="none"/>
        </w:rPr>
        <w:t>9.2</w:t>
      </w:r>
      <w:r>
        <w:rPr>
          <w:rFonts w:hint="eastAsia" w:cs="宋体"/>
          <w:color w:val="000000"/>
          <w:highlight w:val="none"/>
        </w:rPr>
        <w:t>有下列情形之一的，乙方应当向甲方支付合同约定合同价款金额</w:t>
      </w:r>
      <w:r>
        <w:rPr>
          <w:rFonts w:hint="eastAsia" w:cs="宋体"/>
          <w:color w:val="000000"/>
          <w:highlight w:val="none"/>
          <w:u w:val="single"/>
        </w:rPr>
        <w:t xml:space="preserve"> 1 </w:t>
      </w:r>
      <w:r>
        <w:rPr>
          <w:rFonts w:cs="宋体"/>
          <w:color w:val="000000"/>
          <w:highlight w:val="none"/>
        </w:rPr>
        <w:t>%</w:t>
      </w:r>
      <w:r>
        <w:rPr>
          <w:rFonts w:hint="eastAsia" w:cs="宋体"/>
          <w:color w:val="000000"/>
          <w:highlight w:val="none"/>
        </w:rPr>
        <w:t>的违约金（另有约定的除外）：</w:t>
      </w:r>
    </w:p>
    <w:p w14:paraId="44EC2FF9">
      <w:pPr>
        <w:spacing w:line="420" w:lineRule="exact"/>
        <w:ind w:firstLine="480"/>
        <w:rPr>
          <w:rFonts w:cs="宋体"/>
          <w:color w:val="000000"/>
          <w:highlight w:val="none"/>
        </w:rPr>
      </w:pPr>
      <w:r>
        <w:rPr>
          <w:rFonts w:cs="宋体"/>
          <w:color w:val="000000"/>
          <w:highlight w:val="none"/>
        </w:rPr>
        <w:t>9.2.1</w:t>
      </w:r>
      <w:r>
        <w:rPr>
          <w:rFonts w:hint="eastAsia" w:cs="宋体"/>
          <w:color w:val="000000"/>
          <w:highlight w:val="none"/>
        </w:rPr>
        <w:t>乙方服务团队成员未经甲方同意发生变更，经甲方要求恢复后，未在合理期限内（</w:t>
      </w:r>
      <w:r>
        <w:rPr>
          <w:rFonts w:cs="宋体"/>
          <w:color w:val="000000"/>
          <w:highlight w:val="none"/>
          <w:u w:val="single"/>
        </w:rPr>
        <w:t xml:space="preserve">5 </w:t>
      </w:r>
      <w:r>
        <w:rPr>
          <w:rFonts w:hint="eastAsia" w:cs="宋体"/>
          <w:color w:val="000000"/>
          <w:highlight w:val="none"/>
        </w:rPr>
        <w:t>日内）恢复的；</w:t>
      </w:r>
    </w:p>
    <w:p w14:paraId="33F936A1">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.2.2</w:t>
      </w:r>
      <w:r>
        <w:rPr>
          <w:rFonts w:hint="eastAsia" w:cs="宋体"/>
          <w:color w:val="000000"/>
          <w:highlight w:val="none"/>
        </w:rPr>
        <w:t>乙方单位总体服务能力发生下降，专业技术人员减员或资质下降人数达到总人数</w:t>
      </w:r>
      <w:r>
        <w:rPr>
          <w:rFonts w:hint="eastAsia" w:cs="宋体"/>
          <w:bCs/>
          <w:color w:val="000000"/>
          <w:highlight w:val="none"/>
          <w:u w:val="single"/>
        </w:rPr>
        <w:t>3</w:t>
      </w:r>
      <w:r>
        <w:rPr>
          <w:rFonts w:cs="宋体"/>
          <w:bCs/>
          <w:color w:val="000000"/>
          <w:highlight w:val="none"/>
          <w:u w:val="single"/>
        </w:rPr>
        <w:t>0%</w:t>
      </w:r>
      <w:r>
        <w:rPr>
          <w:rFonts w:hint="eastAsia" w:cs="宋体"/>
          <w:color w:val="000000"/>
          <w:highlight w:val="none"/>
        </w:rPr>
        <w:t>的；</w:t>
      </w:r>
    </w:p>
    <w:p w14:paraId="7AB189CA">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.2.3</w:t>
      </w:r>
      <w:r>
        <w:rPr>
          <w:rFonts w:hint="eastAsia" w:cs="宋体"/>
          <w:color w:val="000000"/>
          <w:highlight w:val="none"/>
        </w:rPr>
        <w:t>乙方人员无故未能按约到甲方提供服务，服务期限内达到</w:t>
      </w:r>
      <w:r>
        <w:rPr>
          <w:rFonts w:cs="宋体"/>
          <w:bCs/>
          <w:color w:val="000000"/>
          <w:highlight w:val="none"/>
          <w:u w:val="single"/>
        </w:rPr>
        <w:t>3</w:t>
      </w:r>
      <w:r>
        <w:rPr>
          <w:rFonts w:hint="eastAsia" w:cs="宋体"/>
          <w:color w:val="000000"/>
          <w:highlight w:val="none"/>
        </w:rPr>
        <w:t>人次的；</w:t>
      </w:r>
    </w:p>
    <w:p w14:paraId="07FFF948">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.2.4</w:t>
      </w:r>
      <w:r>
        <w:rPr>
          <w:rFonts w:hint="eastAsia" w:cs="宋体"/>
          <w:color w:val="000000"/>
          <w:highlight w:val="none"/>
        </w:rPr>
        <w:t>乙方人员不能响应甲方紧急服务需求的；</w:t>
      </w:r>
    </w:p>
    <w:p w14:paraId="020AEC0B">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.2.5因</w:t>
      </w:r>
      <w:r>
        <w:rPr>
          <w:rFonts w:hint="eastAsia" w:cs="宋体"/>
          <w:color w:val="000000"/>
          <w:highlight w:val="none"/>
        </w:rPr>
        <w:t>乙方服务人员原因在服务期间给甲方造成不良影响的，在服务期限内达到</w:t>
      </w:r>
      <w:r>
        <w:rPr>
          <w:rFonts w:hint="eastAsia" w:cs="宋体"/>
          <w:color w:val="000000"/>
          <w:highlight w:val="none"/>
          <w:u w:val="single"/>
        </w:rPr>
        <w:t xml:space="preserve"> </w:t>
      </w:r>
      <w:r>
        <w:rPr>
          <w:rFonts w:cs="宋体"/>
          <w:color w:val="000000"/>
          <w:highlight w:val="none"/>
          <w:u w:val="single"/>
        </w:rPr>
        <w:t>3</w:t>
      </w:r>
      <w:r>
        <w:rPr>
          <w:rFonts w:hint="eastAsia" w:cs="宋体"/>
          <w:color w:val="000000"/>
          <w:highlight w:val="none"/>
        </w:rPr>
        <w:t>次的；</w:t>
      </w:r>
    </w:p>
    <w:p w14:paraId="780E0DE7">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.2.6</w:t>
      </w:r>
      <w:r>
        <w:rPr>
          <w:rFonts w:hint="eastAsia" w:cs="宋体"/>
          <w:color w:val="000000"/>
          <w:highlight w:val="none"/>
        </w:rPr>
        <w:t>乙方及其服务人员虚报服务内容、服务时间等，骗取甲方服务费用的；</w:t>
      </w:r>
    </w:p>
    <w:p w14:paraId="4E3841B1">
      <w:pPr>
        <w:spacing w:line="420" w:lineRule="exact"/>
        <w:ind w:firstLine="480"/>
        <w:rPr>
          <w:rFonts w:cs="宋体"/>
          <w:color w:val="000000"/>
          <w:highlight w:val="none"/>
        </w:rPr>
      </w:pPr>
      <w:r>
        <w:rPr>
          <w:rFonts w:hint="eastAsia" w:cs="宋体"/>
          <w:color w:val="000000"/>
          <w:highlight w:val="none"/>
        </w:rPr>
        <w:t>9</w:t>
      </w:r>
      <w:r>
        <w:rPr>
          <w:rFonts w:cs="宋体"/>
          <w:color w:val="000000"/>
          <w:highlight w:val="none"/>
        </w:rPr>
        <w:t>.2.7</w:t>
      </w:r>
      <w:r>
        <w:rPr>
          <w:rFonts w:hint="eastAsia" w:cs="宋体"/>
          <w:color w:val="000000"/>
          <w:highlight w:val="none"/>
        </w:rPr>
        <w:t>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cs="宋体"/>
          <w:b/>
          <w:color w:val="000000"/>
          <w:highlight w:val="none"/>
          <w:u w:val="single"/>
        </w:rPr>
        <w:t>5</w:t>
      </w:r>
      <w:r>
        <w:rPr>
          <w:rFonts w:cs="宋体"/>
          <w:color w:val="000000"/>
          <w:highlight w:val="none"/>
          <w:u w:val="single"/>
        </w:rPr>
        <w:t xml:space="preserve"> </w:t>
      </w:r>
      <w:r>
        <w:rPr>
          <w:rFonts w:hint="eastAsia" w:cs="宋体"/>
          <w:color w:val="000000"/>
          <w:highlight w:val="none"/>
        </w:rPr>
        <w:t>％的违约金。</w:t>
      </w:r>
    </w:p>
    <w:p w14:paraId="5F3D0DEC">
      <w:pPr>
        <w:spacing w:line="420" w:lineRule="exact"/>
        <w:ind w:firstLine="480"/>
        <w:rPr>
          <w:rFonts w:cs="宋体"/>
          <w:color w:val="000000"/>
          <w:highlight w:val="none"/>
        </w:rPr>
      </w:pPr>
      <w:r>
        <w:rPr>
          <w:rFonts w:hint="eastAsia" w:cs="宋体"/>
          <w:color w:val="000000"/>
          <w:highlight w:val="none"/>
        </w:rPr>
        <w:t>9.2.8本项目严禁任何形式的转包或肢解分包。项目经理（现场负责人）、施工人员、门卫保洁等核心团队必须为投标人自有员工。一旦发现现场实际施工队伍与投标文件承诺不符，立即进行整改，拒不整改的，责令清场并追究法律责任，并没收全额履约保证金，同时索赔合同总额5%的违约金。</w:t>
      </w:r>
    </w:p>
    <w:p w14:paraId="444C02C8">
      <w:pPr>
        <w:spacing w:line="420" w:lineRule="exact"/>
        <w:ind w:firstLine="480"/>
        <w:rPr>
          <w:rFonts w:cs="宋体"/>
          <w:color w:val="000000"/>
          <w:highlight w:val="none"/>
        </w:rPr>
      </w:pPr>
      <w:r>
        <w:rPr>
          <w:rFonts w:hint="eastAsia" w:cs="宋体"/>
          <w:color w:val="000000"/>
          <w:highlight w:val="none"/>
        </w:rPr>
        <w:t>9.2.9派驻的项目经理须为本单位正式在岗人员。履约期间，乙方必须每季度提供项目经理及核心团队的社保缴纳记录予以佐证。无法提供或未经甲方书面同意而记录中断的，视为违约。一经发现，甲方有权要求整改，拒不整改的，责令清场并追究法律责任，并没收全额履约保证金，同时索赔合同总额5%的违约金。</w:t>
      </w:r>
    </w:p>
    <w:p w14:paraId="331389A6">
      <w:pPr>
        <w:spacing w:line="420" w:lineRule="exact"/>
        <w:ind w:firstLine="480"/>
        <w:rPr>
          <w:rFonts w:hint="eastAsia" w:cs="宋体"/>
          <w:color w:val="000000"/>
          <w:highlight w:val="none"/>
        </w:rPr>
      </w:pPr>
      <w:r>
        <w:rPr>
          <w:rFonts w:hint="eastAsia" w:cs="宋体"/>
          <w:color w:val="000000"/>
          <w:highlight w:val="none"/>
        </w:rPr>
        <w:t>9.2.10项目经理每月缺勤超过3次且未安排替补负责人的，乙方按2000元/次支付违约金；累计缺勤超过10天，视为乙方严重违约，甲方有权单方解除合同，并没收全额履约保证金，同时索赔合同总额5%的违约金。</w:t>
      </w:r>
    </w:p>
    <w:p w14:paraId="5ADDA8F3">
      <w:pPr>
        <w:spacing w:line="420" w:lineRule="exact"/>
        <w:ind w:firstLine="480"/>
        <w:rPr>
          <w:rFonts w:hint="eastAsia" w:eastAsia="宋体" w:cs="宋体"/>
          <w:color w:val="000000"/>
          <w:highlight w:val="none"/>
          <w:lang w:val="en-US" w:eastAsia="zh-CN"/>
        </w:rPr>
      </w:pPr>
      <w:r>
        <w:rPr>
          <w:rFonts w:hint="eastAsia" w:cs="宋体"/>
          <w:color w:val="000000"/>
          <w:highlight w:val="none"/>
          <w:lang w:val="en-US" w:eastAsia="zh-CN"/>
        </w:rPr>
        <w:t>9.2.11 项目人员严禁在服务期间从事与本项目无关的工作。在墓区范围内出现违法乱纪行为的，乙方承担违约责任。如发生接私活、收小费、出售祭扫物品等影响服务工作行为的，</w:t>
      </w:r>
      <w:r>
        <w:rPr>
          <w:rFonts w:hint="eastAsia" w:cs="宋体"/>
          <w:color w:val="000000"/>
          <w:highlight w:val="none"/>
        </w:rPr>
        <w:t>乙方按2000元/次支付违约金</w:t>
      </w:r>
      <w:r>
        <w:rPr>
          <w:rFonts w:hint="eastAsia" w:cs="宋体"/>
          <w:color w:val="000000"/>
          <w:highlight w:val="none"/>
          <w:lang w:eastAsia="zh-CN"/>
        </w:rPr>
        <w:t>。</w:t>
      </w:r>
    </w:p>
    <w:p w14:paraId="0F947ABA">
      <w:pPr>
        <w:spacing w:line="420" w:lineRule="exact"/>
        <w:ind w:firstLine="480"/>
        <w:rPr>
          <w:rFonts w:cs="宋体"/>
          <w:color w:val="000000"/>
          <w:highlight w:val="none"/>
        </w:rPr>
      </w:pPr>
      <w:r>
        <w:rPr>
          <w:rFonts w:cs="宋体"/>
          <w:color w:val="000000"/>
          <w:highlight w:val="none"/>
        </w:rPr>
        <w:t>9.</w:t>
      </w:r>
      <w:r>
        <w:rPr>
          <w:rFonts w:hint="eastAsia" w:cs="宋体"/>
          <w:color w:val="000000"/>
          <w:highlight w:val="none"/>
        </w:rPr>
        <w:t>3乙方在承担上述9</w:t>
      </w:r>
      <w:r>
        <w:rPr>
          <w:rFonts w:cs="宋体"/>
          <w:color w:val="000000"/>
          <w:highlight w:val="none"/>
        </w:rPr>
        <w:t>.</w:t>
      </w:r>
      <w:r>
        <w:rPr>
          <w:rFonts w:hint="eastAsia" w:cs="宋体"/>
          <w:color w:val="000000"/>
          <w:highlight w:val="none"/>
        </w:rPr>
        <w:t>2项中一项或多项违约责任后，仍应继续履行合同规定的义务（甲方解除合同的除外）。甲方未能及时追究乙方的任何一项违约责任并不表明甲方放弃追究乙方该项或其他违约责任。</w:t>
      </w:r>
    </w:p>
    <w:p w14:paraId="4E34E7BE">
      <w:pPr>
        <w:spacing w:line="420" w:lineRule="exact"/>
        <w:ind w:firstLine="480"/>
        <w:rPr>
          <w:rFonts w:cs="宋体"/>
          <w:color w:val="000000"/>
          <w:highlight w:val="none"/>
        </w:rPr>
      </w:pPr>
      <w:r>
        <w:rPr>
          <w:rFonts w:hint="eastAsia" w:cs="宋体"/>
          <w:color w:val="000000"/>
          <w:highlight w:val="none"/>
        </w:rPr>
        <w:t>9.4如乙方单方面解除合同，应提前2个月书面通知甲方，否则除应承担的违约责任外，还应承担对甲方造成的损失，另对其处以合同总价15%的违约金赔偿。</w:t>
      </w:r>
    </w:p>
    <w:p w14:paraId="5EAB4A60">
      <w:pPr>
        <w:spacing w:line="420" w:lineRule="exact"/>
        <w:ind w:firstLine="480"/>
        <w:rPr>
          <w:rFonts w:cs="宋体"/>
          <w:b/>
          <w:color w:val="000000"/>
          <w:highlight w:val="none"/>
        </w:rPr>
      </w:pPr>
      <w:r>
        <w:rPr>
          <w:rFonts w:hint="eastAsia" w:cs="宋体"/>
          <w:b/>
          <w:color w:val="000000"/>
          <w:highlight w:val="none"/>
        </w:rPr>
        <w:t>第十条 合同的解除</w:t>
      </w:r>
    </w:p>
    <w:p w14:paraId="6C51235B">
      <w:pPr>
        <w:spacing w:line="420" w:lineRule="exact"/>
        <w:ind w:firstLine="480"/>
        <w:rPr>
          <w:rFonts w:cs="宋体"/>
          <w:color w:val="000000"/>
          <w:highlight w:val="none"/>
        </w:rPr>
      </w:pPr>
      <w:r>
        <w:rPr>
          <w:rFonts w:hint="eastAsia" w:cs="宋体"/>
          <w:color w:val="000000"/>
          <w:highlight w:val="none"/>
        </w:rPr>
        <w:t>出现下列情形之一的，甲方有权解除本合同（另对其处以合同总价15%的违约金罚款。）：</w:t>
      </w:r>
    </w:p>
    <w:p w14:paraId="7FC65C21">
      <w:pPr>
        <w:spacing w:line="420" w:lineRule="exact"/>
        <w:ind w:firstLine="480"/>
        <w:rPr>
          <w:rFonts w:cs="宋体"/>
          <w:color w:val="000000"/>
          <w:highlight w:val="none"/>
        </w:rPr>
      </w:pPr>
      <w:r>
        <w:rPr>
          <w:rFonts w:cs="宋体"/>
          <w:color w:val="000000"/>
          <w:highlight w:val="none"/>
        </w:rPr>
        <w:t>10.1</w:t>
      </w:r>
      <w:r>
        <w:rPr>
          <w:rFonts w:hint="eastAsia" w:cs="宋体"/>
          <w:color w:val="000000"/>
          <w:highlight w:val="none"/>
        </w:rPr>
        <w:t>乙方单位总体服务能力发生下降，专业技术人员减员或资质下降人数达到总人数</w:t>
      </w:r>
      <w:r>
        <w:rPr>
          <w:rFonts w:cs="宋体"/>
          <w:b/>
          <w:color w:val="000000"/>
          <w:highlight w:val="none"/>
          <w:u w:val="single"/>
        </w:rPr>
        <w:t>30%</w:t>
      </w:r>
      <w:r>
        <w:rPr>
          <w:rFonts w:hint="eastAsia" w:cs="宋体"/>
          <w:color w:val="000000"/>
          <w:highlight w:val="none"/>
          <w:u w:val="single"/>
        </w:rPr>
        <w:t xml:space="preserve"> </w:t>
      </w:r>
      <w:r>
        <w:rPr>
          <w:rFonts w:hint="eastAsia" w:cs="宋体"/>
          <w:color w:val="000000"/>
          <w:highlight w:val="none"/>
        </w:rPr>
        <w:t>的；</w:t>
      </w:r>
    </w:p>
    <w:p w14:paraId="77C96AC7">
      <w:pPr>
        <w:spacing w:line="420" w:lineRule="exact"/>
        <w:ind w:firstLine="480"/>
        <w:rPr>
          <w:rFonts w:cs="宋体"/>
          <w:color w:val="000000"/>
          <w:highlight w:val="none"/>
        </w:rPr>
      </w:pPr>
      <w:r>
        <w:rPr>
          <w:rFonts w:cs="宋体"/>
          <w:color w:val="000000"/>
          <w:highlight w:val="none"/>
        </w:rPr>
        <w:t>10.2</w:t>
      </w:r>
      <w:r>
        <w:rPr>
          <w:rFonts w:hint="eastAsia" w:cs="宋体"/>
          <w:color w:val="000000"/>
          <w:highlight w:val="none"/>
        </w:rPr>
        <w:t>乙方人员无故未能按约为甲方提供服务，服务期限内达到</w:t>
      </w:r>
      <w:r>
        <w:rPr>
          <w:rFonts w:hint="eastAsia" w:cs="宋体"/>
          <w:color w:val="000000"/>
          <w:highlight w:val="none"/>
          <w:u w:val="single"/>
        </w:rPr>
        <w:t xml:space="preserve"> </w:t>
      </w:r>
      <w:r>
        <w:rPr>
          <w:rFonts w:cs="宋体"/>
          <w:b/>
          <w:color w:val="000000"/>
          <w:highlight w:val="none"/>
          <w:u w:val="single"/>
        </w:rPr>
        <w:t>5</w:t>
      </w:r>
      <w:r>
        <w:rPr>
          <w:rFonts w:hint="eastAsia" w:cs="宋体"/>
          <w:b/>
          <w:color w:val="000000"/>
          <w:highlight w:val="none"/>
          <w:u w:val="single"/>
        </w:rPr>
        <w:t xml:space="preserve"> </w:t>
      </w:r>
      <w:r>
        <w:rPr>
          <w:rFonts w:hint="eastAsia" w:cs="宋体"/>
          <w:color w:val="000000"/>
          <w:highlight w:val="none"/>
        </w:rPr>
        <w:t>次的；</w:t>
      </w:r>
    </w:p>
    <w:p w14:paraId="051239D3">
      <w:pPr>
        <w:spacing w:line="420" w:lineRule="exact"/>
        <w:ind w:firstLine="480"/>
        <w:rPr>
          <w:rFonts w:cs="宋体"/>
          <w:color w:val="000000"/>
          <w:highlight w:val="none"/>
        </w:rPr>
      </w:pPr>
      <w:r>
        <w:rPr>
          <w:rFonts w:cs="宋体"/>
          <w:color w:val="000000"/>
          <w:highlight w:val="none"/>
        </w:rPr>
        <w:t>10.3</w:t>
      </w:r>
      <w:r>
        <w:rPr>
          <w:rFonts w:hint="eastAsia" w:cs="宋体"/>
          <w:color w:val="000000"/>
          <w:highlight w:val="none"/>
        </w:rPr>
        <w:t>乙方人员不能响应甲方紧急服务需求的，经甲方指出后未能改正的；</w:t>
      </w:r>
    </w:p>
    <w:p w14:paraId="27410BED">
      <w:pPr>
        <w:spacing w:line="420" w:lineRule="exact"/>
        <w:ind w:firstLine="480"/>
        <w:rPr>
          <w:rFonts w:cs="宋体"/>
          <w:color w:val="000000"/>
          <w:highlight w:val="none"/>
        </w:rPr>
      </w:pPr>
      <w:r>
        <w:rPr>
          <w:rFonts w:cs="宋体"/>
          <w:color w:val="000000"/>
          <w:highlight w:val="none"/>
        </w:rPr>
        <w:t>10.4因</w:t>
      </w:r>
      <w:r>
        <w:rPr>
          <w:rFonts w:hint="eastAsia" w:cs="宋体"/>
          <w:color w:val="000000"/>
          <w:highlight w:val="none"/>
        </w:rPr>
        <w:t>乙方服务人员原因在服务期间给甲方造成不良影响的，在服务期限内达到</w:t>
      </w:r>
      <w:r>
        <w:rPr>
          <w:rFonts w:hint="eastAsia" w:cs="宋体"/>
          <w:color w:val="000000"/>
          <w:highlight w:val="none"/>
          <w:u w:val="single"/>
        </w:rPr>
        <w:t xml:space="preserve"> </w:t>
      </w:r>
      <w:r>
        <w:rPr>
          <w:rFonts w:hint="eastAsia" w:cs="宋体"/>
          <w:b/>
          <w:color w:val="000000"/>
          <w:highlight w:val="none"/>
          <w:u w:val="single"/>
        </w:rPr>
        <w:t>3</w:t>
      </w:r>
      <w:r>
        <w:rPr>
          <w:rFonts w:hint="eastAsia" w:cs="宋体"/>
          <w:color w:val="000000"/>
          <w:highlight w:val="none"/>
        </w:rPr>
        <w:t>次的；</w:t>
      </w:r>
    </w:p>
    <w:p w14:paraId="05734663">
      <w:pPr>
        <w:spacing w:line="420" w:lineRule="exact"/>
        <w:ind w:firstLine="480"/>
        <w:rPr>
          <w:rFonts w:cs="宋体"/>
          <w:color w:val="000000"/>
          <w:highlight w:val="none"/>
        </w:rPr>
      </w:pPr>
      <w:r>
        <w:rPr>
          <w:rFonts w:cs="宋体"/>
          <w:color w:val="000000"/>
          <w:highlight w:val="none"/>
        </w:rPr>
        <w:t>10.5</w:t>
      </w:r>
      <w:r>
        <w:rPr>
          <w:rFonts w:hint="eastAsia" w:cs="宋体"/>
          <w:color w:val="000000"/>
          <w:highlight w:val="none"/>
        </w:rPr>
        <w:t>乙方及其服务人员虚报服务内容、服务时间等，骗取甲方服务费用的；</w:t>
      </w:r>
    </w:p>
    <w:p w14:paraId="325FFBCA">
      <w:pPr>
        <w:spacing w:line="420" w:lineRule="exact"/>
        <w:ind w:firstLine="480"/>
        <w:rPr>
          <w:rFonts w:cs="宋体"/>
          <w:color w:val="000000"/>
          <w:highlight w:val="none"/>
        </w:rPr>
      </w:pPr>
      <w:r>
        <w:rPr>
          <w:rFonts w:cs="宋体"/>
          <w:color w:val="000000"/>
          <w:highlight w:val="none"/>
        </w:rPr>
        <w:t>10.6</w:t>
      </w:r>
      <w:r>
        <w:rPr>
          <w:rFonts w:hint="eastAsia" w:cs="宋体"/>
          <w:color w:val="000000"/>
          <w:highlight w:val="none"/>
        </w:rPr>
        <w:t>因乙方不当服务或服务人员在工作场所有违法行为，给甲方造成严重不良影响的；</w:t>
      </w:r>
    </w:p>
    <w:p w14:paraId="274B3439">
      <w:pPr>
        <w:spacing w:line="420" w:lineRule="exact"/>
        <w:ind w:firstLine="480"/>
        <w:rPr>
          <w:rFonts w:cs="宋体"/>
          <w:color w:val="000000"/>
          <w:highlight w:val="none"/>
        </w:rPr>
      </w:pPr>
      <w:r>
        <w:rPr>
          <w:rFonts w:hint="eastAsia" w:cs="宋体"/>
          <w:color w:val="000000"/>
          <w:highlight w:val="none"/>
        </w:rPr>
        <w:t>10.7乙方一年内因生产安全事故受到行政处罚达到一次的，或者因为乙方发生生产安全事故、环境损害事故，给甲方造成重大不良影响的或导致甲方受到行政处罚的。</w:t>
      </w:r>
    </w:p>
    <w:p w14:paraId="0B1F3F42">
      <w:pPr>
        <w:spacing w:line="420" w:lineRule="exact"/>
        <w:ind w:firstLine="480"/>
        <w:rPr>
          <w:rFonts w:cs="宋体"/>
          <w:color w:val="000000"/>
          <w:highlight w:val="none"/>
        </w:rPr>
      </w:pPr>
      <w:r>
        <w:rPr>
          <w:rFonts w:hint="eastAsia" w:cs="宋体"/>
          <w:color w:val="000000"/>
          <w:highlight w:val="none"/>
        </w:rPr>
        <w:t>10.8以及前款所述条款。</w:t>
      </w:r>
    </w:p>
    <w:p w14:paraId="48CA8491">
      <w:pPr>
        <w:spacing w:line="420" w:lineRule="exact"/>
        <w:ind w:firstLine="480"/>
        <w:rPr>
          <w:rFonts w:cs="宋体"/>
          <w:b/>
          <w:highlight w:val="none"/>
        </w:rPr>
      </w:pPr>
      <w:r>
        <w:rPr>
          <w:rFonts w:hint="eastAsia" w:cs="宋体"/>
          <w:b/>
          <w:color w:val="000000"/>
          <w:highlight w:val="none"/>
        </w:rPr>
        <w:t>第十一条 不可抗力</w:t>
      </w:r>
    </w:p>
    <w:p w14:paraId="1C4C945B">
      <w:pPr>
        <w:spacing w:line="440" w:lineRule="exact"/>
        <w:ind w:firstLine="480"/>
        <w:rPr>
          <w:rFonts w:cs="宋体"/>
          <w:color w:val="000000"/>
          <w:highlight w:val="none"/>
        </w:rPr>
      </w:pPr>
      <w:r>
        <w:rPr>
          <w:rFonts w:cs="宋体"/>
          <w:color w:val="000000"/>
          <w:highlight w:val="none"/>
        </w:rPr>
        <w:t>11.1</w:t>
      </w:r>
      <w:r>
        <w:rPr>
          <w:rFonts w:hint="eastAsia" w:cs="宋体"/>
          <w:color w:val="000000"/>
          <w:highlight w:val="none"/>
        </w:rPr>
        <w:t>不可抗力，是指不能预见、不能避免并不能克服的客观情况，如战争、动乱、洪水、地震、风暴等。</w:t>
      </w:r>
    </w:p>
    <w:p w14:paraId="40E42D31">
      <w:pPr>
        <w:spacing w:line="440" w:lineRule="exact"/>
        <w:ind w:firstLine="480"/>
        <w:rPr>
          <w:rFonts w:cs="宋体"/>
          <w:highlight w:val="none"/>
        </w:rPr>
      </w:pPr>
      <w:r>
        <w:rPr>
          <w:rFonts w:cs="宋体"/>
          <w:color w:val="000000"/>
          <w:highlight w:val="none"/>
        </w:rPr>
        <w:t>11.2</w:t>
      </w:r>
      <w:r>
        <w:rPr>
          <w:rFonts w:hint="eastAsia" w:cs="宋体"/>
          <w:color w:val="000000"/>
          <w:highlight w:val="none"/>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CA68B3E">
      <w:pPr>
        <w:spacing w:line="420" w:lineRule="exact"/>
        <w:ind w:firstLine="480"/>
        <w:rPr>
          <w:rFonts w:cs="宋体"/>
          <w:highlight w:val="none"/>
        </w:rPr>
      </w:pPr>
      <w:r>
        <w:rPr>
          <w:rFonts w:cs="宋体"/>
          <w:color w:val="000000"/>
          <w:highlight w:val="none"/>
        </w:rPr>
        <w:t>11.3</w:t>
      </w:r>
      <w:r>
        <w:rPr>
          <w:rFonts w:hint="eastAsia" w:cs="宋体"/>
          <w:color w:val="000000"/>
          <w:highlight w:val="none"/>
        </w:rPr>
        <w:t>发生不可抗力事件，任何一方均不对因不可抗力无法履行或迟延履行本合同义务而使另一方蒙受的任何损失承担责任，法律另有规定的除外。</w:t>
      </w:r>
    </w:p>
    <w:p w14:paraId="6C388637">
      <w:pPr>
        <w:spacing w:line="420" w:lineRule="exact"/>
        <w:ind w:firstLine="480"/>
        <w:rPr>
          <w:rFonts w:cs="宋体"/>
          <w:highlight w:val="none"/>
        </w:rPr>
      </w:pPr>
      <w:r>
        <w:rPr>
          <w:rFonts w:cs="宋体"/>
          <w:color w:val="000000"/>
          <w:highlight w:val="none"/>
        </w:rPr>
        <w:t>11.4</w:t>
      </w:r>
      <w:r>
        <w:rPr>
          <w:rFonts w:hint="eastAsia" w:cs="宋体"/>
          <w:color w:val="000000"/>
          <w:highlight w:val="none"/>
        </w:rPr>
        <w:t>合同各方应根据不可抗力对本合同履行的影响程度，协商确定是否终止或是继续履行本合同。</w:t>
      </w:r>
    </w:p>
    <w:p w14:paraId="4F81CAC4">
      <w:pPr>
        <w:spacing w:line="420" w:lineRule="exact"/>
        <w:ind w:firstLine="480"/>
        <w:rPr>
          <w:rFonts w:cs="宋体"/>
          <w:b/>
          <w:highlight w:val="none"/>
        </w:rPr>
      </w:pPr>
      <w:r>
        <w:rPr>
          <w:rFonts w:hint="eastAsia" w:cs="宋体"/>
          <w:b/>
          <w:color w:val="000000"/>
          <w:highlight w:val="none"/>
        </w:rPr>
        <w:t>第十二条 合同的变更、中止</w:t>
      </w:r>
    </w:p>
    <w:p w14:paraId="414C9280">
      <w:pPr>
        <w:spacing w:line="420" w:lineRule="exact"/>
        <w:ind w:firstLine="480"/>
        <w:rPr>
          <w:rFonts w:cs="宋体"/>
          <w:highlight w:val="none"/>
        </w:rPr>
      </w:pPr>
      <w:r>
        <w:rPr>
          <w:rFonts w:hint="eastAsia" w:cs="宋体"/>
          <w:color w:val="000000"/>
          <w:highlight w:val="none"/>
        </w:rPr>
        <w:t>本合同一经签订，双方均不得擅自变更或中止合同，除非合同的继续履行将损害国家利益和社会公共利益。</w:t>
      </w:r>
    </w:p>
    <w:p w14:paraId="319D156A">
      <w:pPr>
        <w:spacing w:line="420" w:lineRule="exact"/>
        <w:ind w:firstLine="480"/>
        <w:rPr>
          <w:rFonts w:cs="宋体"/>
          <w:b/>
          <w:highlight w:val="none"/>
        </w:rPr>
      </w:pPr>
      <w:r>
        <w:rPr>
          <w:rFonts w:hint="eastAsia" w:cs="宋体"/>
          <w:b/>
          <w:color w:val="000000"/>
          <w:highlight w:val="none"/>
        </w:rPr>
        <w:t>第十三条 合同的终止</w:t>
      </w:r>
    </w:p>
    <w:p w14:paraId="724B3FF9">
      <w:pPr>
        <w:spacing w:line="420" w:lineRule="exact"/>
        <w:ind w:firstLine="480"/>
        <w:rPr>
          <w:rFonts w:cs="宋体"/>
          <w:highlight w:val="none"/>
        </w:rPr>
      </w:pPr>
      <w:r>
        <w:rPr>
          <w:rFonts w:hint="eastAsia" w:cs="宋体"/>
          <w:color w:val="000000"/>
          <w:highlight w:val="none"/>
        </w:rPr>
        <w:t>13.1 本合同因下列原因而终止：</w:t>
      </w:r>
    </w:p>
    <w:p w14:paraId="4BE223B3">
      <w:pPr>
        <w:spacing w:line="420" w:lineRule="exact"/>
        <w:ind w:firstLine="480"/>
        <w:rPr>
          <w:rFonts w:cs="宋体"/>
          <w:highlight w:val="none"/>
        </w:rPr>
      </w:pPr>
      <w:r>
        <w:rPr>
          <w:rFonts w:hint="eastAsia" w:cs="宋体"/>
          <w:color w:val="000000"/>
          <w:highlight w:val="none"/>
        </w:rPr>
        <w:t>13.1.1 本合同正常履行完毕；</w:t>
      </w:r>
    </w:p>
    <w:p w14:paraId="3D8067C3">
      <w:pPr>
        <w:spacing w:line="420" w:lineRule="exact"/>
        <w:ind w:firstLine="480"/>
        <w:rPr>
          <w:rFonts w:cs="宋体"/>
          <w:highlight w:val="none"/>
        </w:rPr>
      </w:pPr>
      <w:r>
        <w:rPr>
          <w:rFonts w:hint="eastAsia" w:cs="宋体"/>
          <w:color w:val="000000"/>
          <w:highlight w:val="none"/>
        </w:rPr>
        <w:t>13.1.2 因不可抗力导致本合同无法履行或履行不必要；</w:t>
      </w:r>
    </w:p>
    <w:p w14:paraId="02198699">
      <w:pPr>
        <w:spacing w:line="420" w:lineRule="exact"/>
        <w:ind w:firstLine="480"/>
        <w:rPr>
          <w:rFonts w:cs="宋体"/>
          <w:highlight w:val="none"/>
        </w:rPr>
      </w:pPr>
      <w:r>
        <w:rPr>
          <w:rFonts w:hint="eastAsia" w:cs="宋体"/>
          <w:color w:val="000000"/>
          <w:highlight w:val="none"/>
        </w:rPr>
        <w:t>13.1.3 任何一方行使解除权解除本合同；</w:t>
      </w:r>
    </w:p>
    <w:p w14:paraId="284D5E7F">
      <w:pPr>
        <w:spacing w:line="420" w:lineRule="exact"/>
        <w:ind w:firstLine="480"/>
        <w:rPr>
          <w:rFonts w:cs="宋体"/>
          <w:highlight w:val="none"/>
        </w:rPr>
      </w:pPr>
      <w:r>
        <w:rPr>
          <w:rFonts w:hint="eastAsia" w:cs="宋体"/>
          <w:color w:val="000000"/>
          <w:highlight w:val="none"/>
        </w:rPr>
        <w:t>13.1.4 合同的继续履行将损害国家利益和社会公共利益且不宜变更、中止的。</w:t>
      </w:r>
    </w:p>
    <w:p w14:paraId="3B2EE97C">
      <w:pPr>
        <w:spacing w:line="440" w:lineRule="exact"/>
        <w:ind w:firstLine="480"/>
        <w:rPr>
          <w:rFonts w:cs="宋体"/>
          <w:color w:val="000000"/>
          <w:highlight w:val="none"/>
        </w:rPr>
      </w:pPr>
      <w:r>
        <w:rPr>
          <w:rFonts w:hint="eastAsia" w:cs="宋体"/>
          <w:color w:val="000000"/>
          <w:highlight w:val="none"/>
        </w:rPr>
        <w:t>13.2除上述情形外，甲乙双方不得擅自终止合同。</w:t>
      </w:r>
    </w:p>
    <w:p w14:paraId="11BFFF22">
      <w:pPr>
        <w:spacing w:line="420" w:lineRule="exact"/>
        <w:ind w:firstLine="480"/>
        <w:rPr>
          <w:rFonts w:cs="宋体"/>
          <w:b/>
          <w:highlight w:val="none"/>
        </w:rPr>
      </w:pPr>
      <w:r>
        <w:rPr>
          <w:rFonts w:hint="eastAsia" w:cs="宋体"/>
          <w:b/>
          <w:color w:val="000000"/>
          <w:highlight w:val="none"/>
        </w:rPr>
        <w:t>第十四条 合同的转让</w:t>
      </w:r>
    </w:p>
    <w:p w14:paraId="0DAB80F7">
      <w:pPr>
        <w:spacing w:line="420" w:lineRule="exact"/>
        <w:ind w:firstLine="480"/>
        <w:rPr>
          <w:rFonts w:cs="宋体"/>
          <w:highlight w:val="none"/>
        </w:rPr>
      </w:pPr>
      <w:r>
        <w:rPr>
          <w:rFonts w:hint="eastAsia" w:cs="宋体"/>
          <w:color w:val="000000"/>
          <w:highlight w:val="none"/>
        </w:rPr>
        <w:t>乙方不得将其合同项下的权利义务部分或全部转让给第三方。</w:t>
      </w:r>
    </w:p>
    <w:p w14:paraId="077F2D65">
      <w:pPr>
        <w:spacing w:line="420" w:lineRule="exact"/>
        <w:ind w:firstLine="480"/>
        <w:rPr>
          <w:rFonts w:cs="宋体"/>
          <w:b/>
          <w:color w:val="000000"/>
          <w:highlight w:val="none"/>
        </w:rPr>
      </w:pPr>
      <w:r>
        <w:rPr>
          <w:rFonts w:hint="eastAsia" w:cs="宋体"/>
          <w:b/>
          <w:color w:val="000000"/>
          <w:highlight w:val="none"/>
        </w:rPr>
        <w:t>第十五条 履约保证金</w:t>
      </w:r>
      <w:r>
        <w:rPr>
          <w:rFonts w:hint="eastAsia"/>
          <w:b/>
          <w:color w:val="000000"/>
          <w:highlight w:val="none"/>
        </w:rPr>
        <w:t>：</w:t>
      </w:r>
    </w:p>
    <w:p w14:paraId="34FD2EDE">
      <w:pPr>
        <w:spacing w:line="440" w:lineRule="exact"/>
        <w:ind w:firstLine="600"/>
        <w:rPr>
          <w:rFonts w:cs="宋体"/>
          <w:highlight w:val="none"/>
          <w:lang w:val="zh-CN"/>
        </w:rPr>
      </w:pPr>
      <w:r>
        <w:rPr>
          <w:rFonts w:hint="eastAsia" w:cs="宋体"/>
          <w:highlight w:val="none"/>
        </w:rPr>
        <w:t>15.1</w:t>
      </w:r>
      <w:r>
        <w:rPr>
          <w:rFonts w:hint="eastAsia" w:cs="宋体"/>
          <w:highlight w:val="none"/>
          <w:lang w:val="zh-CN"/>
        </w:rPr>
        <w:t>履约保证金提交方式及数额：乙方在签订合同前需向甲方提交</w:t>
      </w:r>
      <w:r>
        <w:rPr>
          <w:rFonts w:hint="eastAsia" w:cs="宋体"/>
          <w:highlight w:val="none"/>
          <w:u w:val="single"/>
        </w:rPr>
        <w:t xml:space="preserve">    </w:t>
      </w:r>
      <w:r>
        <w:rPr>
          <w:rFonts w:hint="eastAsia" w:cs="宋体"/>
          <w:highlight w:val="none"/>
        </w:rPr>
        <w:t>万元（合同价的10%）</w:t>
      </w:r>
      <w:r>
        <w:rPr>
          <w:rFonts w:cs="宋体"/>
          <w:highlight w:val="none"/>
          <w:lang w:val="zh-CN"/>
        </w:rPr>
        <w:t>作为履约保证金。履约担保形式：第三方机构出具的电子履约保函（保险）【开具电子保函路径：（1）苏采云（江苏政府采购一体化平台）--政策支持--保险保函；（2）江苏政府采购网--保险保函；（3）PC端登录 https://www.jsdzbh.com 直接开具。咨询电话：4006800040】、银行保函、支票，保函期限应覆盖本合同履约期限。</w:t>
      </w:r>
    </w:p>
    <w:p w14:paraId="6FFBD6CF">
      <w:pPr>
        <w:spacing w:line="440" w:lineRule="exact"/>
        <w:ind w:firstLine="480"/>
        <w:rPr>
          <w:rFonts w:cs="宋体"/>
          <w:highlight w:val="none"/>
          <w:lang w:val="zh-CN"/>
        </w:rPr>
      </w:pPr>
      <w:r>
        <w:rPr>
          <w:rFonts w:hint="eastAsia" w:cs="宋体"/>
          <w:highlight w:val="none"/>
        </w:rPr>
        <w:t>15.2</w:t>
      </w:r>
      <w:r>
        <w:rPr>
          <w:rFonts w:cs="宋体"/>
          <w:highlight w:val="none"/>
          <w:lang w:val="zh-CN"/>
        </w:rPr>
        <w:t>履约保证金在乙方履行合同完毕</w:t>
      </w:r>
      <w:r>
        <w:rPr>
          <w:rFonts w:hint="eastAsia" w:cs="宋体"/>
          <w:highlight w:val="none"/>
          <w:lang w:val="zh-CN"/>
        </w:rPr>
        <w:t>后且甲方无服务质量异议的</w:t>
      </w:r>
      <w:r>
        <w:rPr>
          <w:rFonts w:cs="宋体"/>
          <w:highlight w:val="none"/>
          <w:lang w:val="zh-CN"/>
        </w:rPr>
        <w:t>五个工作日内</w:t>
      </w:r>
      <w:r>
        <w:rPr>
          <w:rFonts w:hint="eastAsia" w:cs="宋体"/>
          <w:highlight w:val="none"/>
          <w:lang w:val="zh-CN"/>
        </w:rPr>
        <w:t>退还，</w:t>
      </w:r>
      <w:r>
        <w:rPr>
          <w:rFonts w:cs="宋体"/>
          <w:highlight w:val="none"/>
          <w:lang w:val="zh-CN"/>
        </w:rPr>
        <w:t>不计利息。</w:t>
      </w:r>
    </w:p>
    <w:p w14:paraId="2B6CAD13">
      <w:pPr>
        <w:spacing w:line="440" w:lineRule="exact"/>
        <w:ind w:firstLine="480"/>
        <w:rPr>
          <w:highlight w:val="none"/>
        </w:rPr>
      </w:pPr>
      <w:r>
        <w:rPr>
          <w:highlight w:val="none"/>
        </w:rPr>
        <w:t>15.3如果乙方不履行合同</w:t>
      </w:r>
      <w:r>
        <w:rPr>
          <w:rFonts w:hint="eastAsia"/>
          <w:highlight w:val="none"/>
        </w:rPr>
        <w:t>，履约保证金不予退还；如果乙方</w:t>
      </w:r>
      <w:r>
        <w:rPr>
          <w:highlight w:val="none"/>
        </w:rPr>
        <w:t>未能按合同</w:t>
      </w:r>
      <w:r>
        <w:rPr>
          <w:rFonts w:hint="eastAsia"/>
          <w:highlight w:val="none"/>
        </w:rPr>
        <w:t>约</w:t>
      </w:r>
      <w:r>
        <w:rPr>
          <w:highlight w:val="none"/>
        </w:rPr>
        <w:t>定全面履行义务，那么甲方有权从履约保证金中取得补偿或赔偿</w:t>
      </w:r>
      <w:r>
        <w:rPr>
          <w:rFonts w:hint="eastAsia"/>
          <w:highlight w:val="none"/>
        </w:rPr>
        <w:t>，同时不影响甲方要求乙方承担合同约定的超过履约保证金的违约责任的权利。</w:t>
      </w:r>
    </w:p>
    <w:p w14:paraId="03387EB5">
      <w:pPr>
        <w:spacing w:line="420" w:lineRule="exact"/>
        <w:ind w:firstLine="480"/>
        <w:rPr>
          <w:rFonts w:cs="宋体"/>
          <w:highlight w:val="none"/>
        </w:rPr>
      </w:pPr>
      <w:r>
        <w:rPr>
          <w:rFonts w:cs="宋体"/>
          <w:highlight w:val="none"/>
        </w:rPr>
        <w:t>15.4</w:t>
      </w:r>
      <w:r>
        <w:rPr>
          <w:rFonts w:hint="eastAsia" w:cs="宋体"/>
          <w:highlight w:val="none"/>
        </w:rPr>
        <w:t>合同履行中乙方因违约需向甲方支付违约金、赔偿金等费用的，甲方有权在履约保证金中扣除，如合同尚未终止，履约保证金无法覆盖时，乙方应当补足履约保证金。</w:t>
      </w:r>
    </w:p>
    <w:p w14:paraId="2961A033">
      <w:pPr>
        <w:spacing w:line="420" w:lineRule="exact"/>
        <w:ind w:firstLine="480"/>
        <w:rPr>
          <w:rFonts w:cs="宋体"/>
          <w:highlight w:val="none"/>
        </w:rPr>
      </w:pPr>
      <w:r>
        <w:rPr>
          <w:rFonts w:hint="eastAsia" w:cs="宋体"/>
          <w:highlight w:val="none"/>
        </w:rPr>
        <w:t>15.</w:t>
      </w:r>
      <w:r>
        <w:rPr>
          <w:rFonts w:cs="宋体"/>
          <w:highlight w:val="none"/>
        </w:rPr>
        <w:t>5</w:t>
      </w:r>
      <w:r>
        <w:rPr>
          <w:rFonts w:hint="eastAsia" w:cs="宋体"/>
          <w:highlight w:val="none"/>
        </w:rPr>
        <w:t>合同履行结束后，甲方应结算各方应承担的责任，及时退还剩余的履约保证金。</w:t>
      </w:r>
    </w:p>
    <w:p w14:paraId="214B9215">
      <w:pPr>
        <w:spacing w:line="440" w:lineRule="exact"/>
        <w:ind w:firstLine="480"/>
        <w:rPr>
          <w:rFonts w:cs="宋体"/>
          <w:highlight w:val="none"/>
          <w:lang w:val="zh-CN"/>
        </w:rPr>
      </w:pPr>
      <w:r>
        <w:rPr>
          <w:highlight w:val="none"/>
        </w:rPr>
        <w:t>15.</w:t>
      </w:r>
      <w:r>
        <w:rPr>
          <w:rFonts w:cs="宋体"/>
          <w:highlight w:val="none"/>
          <w:lang w:val="zh-CN"/>
        </w:rPr>
        <w:t>6</w:t>
      </w:r>
      <w:r>
        <w:rPr>
          <w:rFonts w:hint="eastAsia" w:cs="宋体"/>
          <w:highlight w:val="none"/>
          <w:lang w:val="zh-CN"/>
        </w:rPr>
        <w:t>合同期内终止服务，甲方有权没收履约保证金，不再支付服务年度内未支付的服务费。</w:t>
      </w:r>
      <w:r>
        <w:rPr>
          <w:rFonts w:hint="eastAsia" w:cs="宋体"/>
          <w:color w:val="000000"/>
          <w:highlight w:val="none"/>
        </w:rPr>
        <w:t>另对乙方处以合同总价15%的违约赔偿。</w:t>
      </w:r>
    </w:p>
    <w:p w14:paraId="6B2FFA08">
      <w:pPr>
        <w:spacing w:line="420" w:lineRule="exact"/>
        <w:ind w:firstLine="540"/>
        <w:rPr>
          <w:rFonts w:cs="宋体"/>
          <w:b/>
          <w:highlight w:val="none"/>
        </w:rPr>
      </w:pPr>
      <w:r>
        <w:rPr>
          <w:rFonts w:hint="eastAsia" w:cs="宋体"/>
          <w:b/>
          <w:color w:val="000000"/>
          <w:highlight w:val="none"/>
        </w:rPr>
        <w:t>第十六条 争议解决方式</w:t>
      </w:r>
    </w:p>
    <w:p w14:paraId="2A97ECE9">
      <w:pPr>
        <w:spacing w:line="420" w:lineRule="exact"/>
        <w:ind w:firstLine="540"/>
        <w:rPr>
          <w:rFonts w:cs="宋体"/>
          <w:color w:val="000000"/>
          <w:highlight w:val="none"/>
        </w:rPr>
      </w:pPr>
      <w:r>
        <w:rPr>
          <w:rFonts w:hint="eastAsia" w:cs="宋体"/>
          <w:color w:val="000000"/>
          <w:highlight w:val="none"/>
        </w:rPr>
        <w:t>16.1在执行本合同过程中所发生的或与本合同有关的一切争端，甲乙双方友好协商解决。如协商不能解决，则全部争端由甲方所在地人民法院管辖。</w:t>
      </w:r>
    </w:p>
    <w:p w14:paraId="21685E9E">
      <w:pPr>
        <w:spacing w:line="420" w:lineRule="exact"/>
        <w:ind w:firstLine="540"/>
        <w:rPr>
          <w:rFonts w:cs="宋体"/>
          <w:color w:val="000000"/>
          <w:highlight w:val="none"/>
        </w:rPr>
      </w:pPr>
      <w:r>
        <w:rPr>
          <w:rFonts w:cs="宋体"/>
          <w:color w:val="000000"/>
          <w:highlight w:val="none"/>
        </w:rPr>
        <w:t>1</w:t>
      </w:r>
      <w:r>
        <w:rPr>
          <w:rFonts w:hint="eastAsia" w:cs="宋体"/>
          <w:color w:val="000000"/>
          <w:highlight w:val="none"/>
        </w:rPr>
        <w:t>6.2如因乙方违约，导致甲方起诉的，甲方由此产生的诉讼费用、律师费用、差旅费用等，均由乙方承担。</w:t>
      </w:r>
    </w:p>
    <w:p w14:paraId="3C02A12D">
      <w:pPr>
        <w:spacing w:line="420" w:lineRule="exact"/>
        <w:ind w:firstLine="540"/>
        <w:rPr>
          <w:rFonts w:cs="宋体"/>
          <w:b/>
          <w:color w:val="000000"/>
          <w:highlight w:val="none"/>
        </w:rPr>
      </w:pPr>
      <w:r>
        <w:rPr>
          <w:rFonts w:hint="eastAsia" w:cs="宋体"/>
          <w:b/>
          <w:color w:val="000000"/>
          <w:highlight w:val="none"/>
        </w:rPr>
        <w:t>第十七条 通知与送达</w:t>
      </w:r>
    </w:p>
    <w:p w14:paraId="4BEE03A7">
      <w:pPr>
        <w:spacing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w:t>
      </w:r>
      <w:r>
        <w:rPr>
          <w:rFonts w:hint="eastAsia" w:cs="宋体"/>
          <w:color w:val="000000"/>
          <w:highlight w:val="none"/>
        </w:rPr>
        <w:t>甲乙双方因履行本合同需要向对方发送通知、文件、资料的，均以下列联系信息确定内容进行：</w:t>
      </w:r>
    </w:p>
    <w:p w14:paraId="050F0260">
      <w:pPr>
        <w:spacing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.1.1</w:t>
      </w:r>
      <w:r>
        <w:rPr>
          <w:rFonts w:hint="eastAsia" w:cs="宋体"/>
          <w:color w:val="000000"/>
          <w:highlight w:val="none"/>
        </w:rPr>
        <w:t>甲方联系信息：</w:t>
      </w:r>
    </w:p>
    <w:p w14:paraId="2BDAD526">
      <w:pPr>
        <w:spacing w:line="440" w:lineRule="exact"/>
        <w:ind w:firstLine="480"/>
        <w:rPr>
          <w:rFonts w:cs="宋体"/>
          <w:color w:val="000000"/>
          <w:highlight w:val="none"/>
          <w:u w:val="single"/>
        </w:rPr>
      </w:pPr>
      <w:r>
        <w:rPr>
          <w:rFonts w:hint="eastAsia" w:cs="宋体"/>
          <w:color w:val="000000"/>
          <w:highlight w:val="none"/>
        </w:rPr>
        <w:t>指定收件人：</w:t>
      </w:r>
      <w:r>
        <w:rPr>
          <w:rFonts w:hint="eastAsia" w:cs="宋体"/>
          <w:color w:val="000000"/>
          <w:highlight w:val="none"/>
          <w:u w:val="single"/>
        </w:rPr>
        <w:t xml:space="preserve">      </w:t>
      </w:r>
      <w:r>
        <w:rPr>
          <w:rFonts w:hint="eastAsia" w:cs="宋体"/>
          <w:color w:val="000000"/>
          <w:highlight w:val="none"/>
        </w:rPr>
        <w:t>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指定电子收件方式：</w:t>
      </w:r>
      <w:r>
        <w:rPr>
          <w:rFonts w:hint="eastAsia" w:cs="宋体"/>
          <w:color w:val="000000"/>
          <w:highlight w:val="none"/>
          <w:u w:val="single"/>
        </w:rPr>
        <w:t xml:space="preserve">          </w:t>
      </w:r>
    </w:p>
    <w:p w14:paraId="052FD618">
      <w:pPr>
        <w:spacing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.1.2</w:t>
      </w:r>
      <w:r>
        <w:rPr>
          <w:rFonts w:hint="eastAsia" w:cs="宋体"/>
          <w:color w:val="000000"/>
          <w:highlight w:val="none"/>
        </w:rPr>
        <w:t>乙方联系信息：</w:t>
      </w:r>
    </w:p>
    <w:p w14:paraId="17350E8B">
      <w:pPr>
        <w:spacing w:line="440" w:lineRule="exact"/>
        <w:ind w:firstLine="480"/>
        <w:rPr>
          <w:rFonts w:cs="宋体"/>
          <w:color w:val="000000"/>
          <w:highlight w:val="none"/>
          <w:u w:val="single"/>
        </w:rPr>
      </w:pPr>
      <w:r>
        <w:rPr>
          <w:rFonts w:hint="eastAsia" w:cs="宋体"/>
          <w:color w:val="000000"/>
          <w:highlight w:val="none"/>
        </w:rPr>
        <w:t>指定收件人：</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送达地址：</w:t>
      </w:r>
      <w:r>
        <w:rPr>
          <w:rFonts w:hint="eastAsia" w:cs="宋体"/>
          <w:color w:val="000000"/>
          <w:highlight w:val="none"/>
          <w:u w:val="single"/>
        </w:rPr>
        <w:t xml:space="preserve">                </w:t>
      </w:r>
      <w:r>
        <w:rPr>
          <w:rFonts w:cs="宋体"/>
          <w:color w:val="000000"/>
          <w:highlight w:val="none"/>
          <w:u w:val="single"/>
        </w:rPr>
        <w:t xml:space="preserve">  </w:t>
      </w:r>
      <w:r>
        <w:rPr>
          <w:rFonts w:hint="eastAsia" w:cs="宋体"/>
          <w:color w:val="000000"/>
          <w:highlight w:val="none"/>
          <w:u w:val="single"/>
        </w:rPr>
        <w:t xml:space="preserve">   </w:t>
      </w:r>
      <w:r>
        <w:rPr>
          <w:rFonts w:hint="eastAsia" w:cs="宋体"/>
          <w:color w:val="000000"/>
          <w:highlight w:val="none"/>
        </w:rPr>
        <w:t>指定电子收件方式：</w:t>
      </w:r>
      <w:r>
        <w:rPr>
          <w:rFonts w:hint="eastAsia" w:cs="宋体"/>
          <w:color w:val="000000"/>
          <w:highlight w:val="none"/>
          <w:u w:val="single"/>
        </w:rPr>
        <w:t xml:space="preserve">         </w:t>
      </w:r>
    </w:p>
    <w:p w14:paraId="697BAA55">
      <w:pPr>
        <w:spacing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.2</w:t>
      </w:r>
      <w:r>
        <w:rPr>
          <w:rFonts w:hint="eastAsia" w:cs="宋体"/>
          <w:color w:val="000000"/>
          <w:highlight w:val="none"/>
        </w:rPr>
        <w:t>双方确认前述联系信息作为解决争议时接受人民法院诉讼文书的送达地址和联系方式。</w:t>
      </w:r>
    </w:p>
    <w:p w14:paraId="484275CA">
      <w:pPr>
        <w:spacing w:line="440" w:lineRule="exact"/>
        <w:ind w:firstLine="480"/>
        <w:rPr>
          <w:rFonts w:cs="宋体"/>
          <w:color w:val="000000"/>
          <w:highlight w:val="none"/>
        </w:rPr>
      </w:pPr>
      <w:r>
        <w:rPr>
          <w:rFonts w:cs="宋体"/>
          <w:color w:val="000000"/>
          <w:highlight w:val="none"/>
        </w:rPr>
        <w:t>1</w:t>
      </w:r>
      <w:r>
        <w:rPr>
          <w:rFonts w:hint="eastAsia" w:cs="宋体"/>
          <w:color w:val="000000"/>
          <w:highlight w:val="none"/>
        </w:rPr>
        <w:t>7</w:t>
      </w:r>
      <w:r>
        <w:rPr>
          <w:rFonts w:cs="宋体"/>
          <w:color w:val="000000"/>
          <w:highlight w:val="none"/>
        </w:rPr>
        <w:t>.3</w:t>
      </w:r>
      <w:r>
        <w:rPr>
          <w:rFonts w:hint="eastAsia" w:cs="宋体"/>
          <w:color w:val="000000"/>
          <w:highlight w:val="none"/>
        </w:rPr>
        <w:t>任何一方改变前述联系信息的，应在发生变更后的3天内告知对方并做好通知到达对方前可能存在的邮件的接收。如未通知的，视为没有变更。</w:t>
      </w:r>
    </w:p>
    <w:p w14:paraId="38ADAA57">
      <w:pPr>
        <w:spacing w:line="440" w:lineRule="exact"/>
        <w:ind w:firstLine="480"/>
        <w:rPr>
          <w:rFonts w:cs="宋体"/>
          <w:b/>
          <w:highlight w:val="none"/>
        </w:rPr>
      </w:pPr>
      <w:r>
        <w:rPr>
          <w:rFonts w:hint="eastAsia" w:cs="宋体"/>
          <w:b/>
          <w:color w:val="000000"/>
          <w:highlight w:val="none"/>
        </w:rPr>
        <w:t>第十八条 合同生效及其他</w:t>
      </w:r>
    </w:p>
    <w:p w14:paraId="796C8AEB">
      <w:pPr>
        <w:spacing w:line="440" w:lineRule="exact"/>
        <w:ind w:firstLine="480"/>
        <w:rPr>
          <w:rFonts w:ascii="Calibri" w:hAnsi="Calibri"/>
          <w:b/>
          <w:highlight w:val="none"/>
        </w:rPr>
      </w:pPr>
      <w:r>
        <w:rPr>
          <w:rFonts w:hint="eastAsia" w:cs="宋体"/>
          <w:color w:val="000000"/>
          <w:highlight w:val="none"/>
        </w:rPr>
        <w:t xml:space="preserve">18.1 </w:t>
      </w:r>
      <w:r>
        <w:rPr>
          <w:rFonts w:hint="eastAsia"/>
          <w:b/>
          <w:color w:val="000000"/>
          <w:highlight w:val="none"/>
        </w:rPr>
        <w:t>合同在双方加盖公章且双方法定代表人或授权代表签字后生效。</w:t>
      </w:r>
    </w:p>
    <w:p w14:paraId="541A45DE">
      <w:pPr>
        <w:spacing w:line="440" w:lineRule="exact"/>
        <w:ind w:firstLine="480"/>
        <w:rPr>
          <w:color w:val="000000"/>
          <w:highlight w:val="none"/>
        </w:rPr>
      </w:pPr>
      <w:r>
        <w:rPr>
          <w:rFonts w:hint="eastAsia" w:cs="宋体"/>
          <w:color w:val="000000"/>
          <w:highlight w:val="none"/>
        </w:rPr>
        <w:t xml:space="preserve">18.2 </w:t>
      </w:r>
      <w:r>
        <w:rPr>
          <w:rFonts w:hint="eastAsia"/>
          <w:color w:val="000000"/>
          <w:highlight w:val="none"/>
        </w:rPr>
        <w:t>本合同一式</w:t>
      </w:r>
      <w:r>
        <w:rPr>
          <w:rFonts w:hint="eastAsia"/>
          <w:color w:val="000000"/>
          <w:highlight w:val="none"/>
          <w:u w:val="single"/>
        </w:rPr>
        <w:t xml:space="preserve"> </w:t>
      </w:r>
      <w:r>
        <w:rPr>
          <w:rFonts w:hint="eastAsia"/>
          <w:b/>
          <w:color w:val="000000"/>
          <w:highlight w:val="none"/>
          <w:u w:val="single"/>
        </w:rPr>
        <w:t>四</w:t>
      </w:r>
      <w:r>
        <w:rPr>
          <w:rFonts w:hint="eastAsia"/>
          <w:color w:val="000000"/>
          <w:highlight w:val="none"/>
          <w:u w:val="single"/>
        </w:rPr>
        <w:t xml:space="preserve"> </w:t>
      </w:r>
      <w:r>
        <w:rPr>
          <w:rFonts w:hint="eastAsia"/>
          <w:color w:val="000000"/>
          <w:highlight w:val="none"/>
        </w:rPr>
        <w:t>份，以简体中文书写，</w:t>
      </w:r>
      <w:r>
        <w:rPr>
          <w:highlight w:val="none"/>
        </w:rPr>
        <w:t>甲方</w:t>
      </w:r>
      <w:r>
        <w:rPr>
          <w:rFonts w:hint="eastAsia"/>
          <w:highlight w:val="none"/>
        </w:rPr>
        <w:t>两份</w:t>
      </w:r>
      <w:r>
        <w:rPr>
          <w:highlight w:val="none"/>
        </w:rPr>
        <w:t>、乙方和代理</w:t>
      </w:r>
      <w:r>
        <w:rPr>
          <w:rFonts w:hint="eastAsia"/>
          <w:highlight w:val="none"/>
        </w:rPr>
        <w:t>机构</w:t>
      </w:r>
      <w:r>
        <w:rPr>
          <w:highlight w:val="none"/>
        </w:rPr>
        <w:t>各执一份</w:t>
      </w:r>
      <w:r>
        <w:rPr>
          <w:rFonts w:hint="eastAsia"/>
          <w:color w:val="000000"/>
          <w:highlight w:val="none"/>
        </w:rPr>
        <w:t>。</w:t>
      </w:r>
    </w:p>
    <w:p w14:paraId="0EF73017">
      <w:pPr>
        <w:spacing w:line="440" w:lineRule="exact"/>
        <w:ind w:firstLine="480"/>
        <w:rPr>
          <w:rFonts w:cs="宋体"/>
          <w:color w:val="000000"/>
          <w:highlight w:val="none"/>
        </w:rPr>
      </w:pPr>
      <w:r>
        <w:rPr>
          <w:rFonts w:hint="eastAsia" w:cs="宋体"/>
          <w:color w:val="000000"/>
          <w:highlight w:val="none"/>
        </w:rPr>
        <w:t>18.3 本合同应按照中华人民共和国的现行法律进行解释。</w:t>
      </w:r>
    </w:p>
    <w:p w14:paraId="3BFC9F0C">
      <w:pPr>
        <w:spacing w:line="440" w:lineRule="exact"/>
        <w:ind w:firstLine="480"/>
        <w:rPr>
          <w:highlight w:val="none"/>
          <w:lang w:val="zh-CN"/>
        </w:rPr>
      </w:pPr>
    </w:p>
    <w:p w14:paraId="656E6E24">
      <w:pPr>
        <w:spacing w:line="440" w:lineRule="exact"/>
        <w:ind w:firstLine="480"/>
        <w:rPr>
          <w:highlight w:val="none"/>
          <w:lang w:val="zh-CN"/>
        </w:rPr>
      </w:pPr>
    </w:p>
    <w:p w14:paraId="588452AA">
      <w:pPr>
        <w:spacing w:line="500" w:lineRule="exact"/>
        <w:ind w:firstLine="480"/>
        <w:rPr>
          <w:highlight w:val="none"/>
          <w:lang w:val="zh-CN"/>
        </w:rPr>
      </w:pPr>
      <w:r>
        <w:rPr>
          <w:rFonts w:hint="eastAsia"/>
          <w:highlight w:val="none"/>
          <w:lang w:val="zh-CN"/>
        </w:rPr>
        <w:t>甲方</w:t>
      </w:r>
      <w:r>
        <w:rPr>
          <w:rFonts w:hint="eastAsia"/>
          <w:highlight w:val="none"/>
        </w:rPr>
        <w:t>（盖章）</w:t>
      </w:r>
      <w:r>
        <w:rPr>
          <w:rFonts w:hint="eastAsia"/>
          <w:highlight w:val="none"/>
          <w:lang w:val="zh-CN"/>
        </w:rPr>
        <w:t>：                           乙方</w:t>
      </w:r>
      <w:r>
        <w:rPr>
          <w:rFonts w:hint="eastAsia"/>
          <w:highlight w:val="none"/>
        </w:rPr>
        <w:t>（盖章）</w:t>
      </w:r>
      <w:r>
        <w:rPr>
          <w:rFonts w:hint="eastAsia"/>
          <w:highlight w:val="none"/>
          <w:lang w:val="zh-CN"/>
        </w:rPr>
        <w:t>：</w:t>
      </w:r>
    </w:p>
    <w:p w14:paraId="676419B3">
      <w:pPr>
        <w:spacing w:line="500" w:lineRule="exact"/>
        <w:ind w:firstLine="480"/>
        <w:rPr>
          <w:highlight w:val="none"/>
          <w:lang w:val="zh-CN"/>
        </w:rPr>
      </w:pPr>
      <w:r>
        <w:rPr>
          <w:rFonts w:hint="eastAsia"/>
          <w:highlight w:val="none"/>
          <w:lang w:val="zh-CN"/>
        </w:rPr>
        <w:t xml:space="preserve">法人（授权）代表人签字：             </w:t>
      </w:r>
      <w:r>
        <w:rPr>
          <w:highlight w:val="none"/>
          <w:lang w:val="zh-CN"/>
        </w:rPr>
        <w:t xml:space="preserve">    </w:t>
      </w:r>
      <w:r>
        <w:rPr>
          <w:rFonts w:hint="eastAsia"/>
          <w:highlight w:val="none"/>
          <w:lang w:val="zh-CN"/>
        </w:rPr>
        <w:t>法人（授权）代表人签字：</w:t>
      </w:r>
    </w:p>
    <w:p w14:paraId="063ACEFC">
      <w:pPr>
        <w:spacing w:line="500" w:lineRule="exact"/>
        <w:ind w:firstLine="480"/>
        <w:rPr>
          <w:highlight w:val="none"/>
        </w:rPr>
      </w:pPr>
      <w:r>
        <w:rPr>
          <w:rFonts w:hint="eastAsia"/>
          <w:highlight w:val="none"/>
        </w:rPr>
        <w:t>签订日期：</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r>
        <w:rPr>
          <w:rFonts w:hint="eastAsia"/>
          <w:highlight w:val="none"/>
        </w:rPr>
        <w:t xml:space="preserve">                签订日期： </w:t>
      </w:r>
      <w:r>
        <w:rPr>
          <w:highlight w:val="none"/>
        </w:rPr>
        <w:t xml:space="preserve">   </w:t>
      </w:r>
      <w:r>
        <w:rPr>
          <w:rFonts w:hint="eastAsia"/>
          <w:highlight w:val="none"/>
        </w:rPr>
        <w:t xml:space="preserve">年 </w:t>
      </w:r>
      <w:r>
        <w:rPr>
          <w:highlight w:val="none"/>
        </w:rPr>
        <w:t xml:space="preserve">  月</w:t>
      </w:r>
      <w:r>
        <w:rPr>
          <w:rFonts w:hint="eastAsia"/>
          <w:highlight w:val="none"/>
        </w:rPr>
        <w:t xml:space="preserve"> </w:t>
      </w:r>
      <w:r>
        <w:rPr>
          <w:highlight w:val="none"/>
        </w:rPr>
        <w:t xml:space="preserve"> 日</w:t>
      </w:r>
    </w:p>
    <w:p w14:paraId="19233CB1">
      <w:pPr>
        <w:rPr>
          <w:rFonts w:hint="eastAsia" w:hAnsi="宋体" w:cs="宋体"/>
          <w:b/>
          <w:bCs/>
          <w:color w:val="000000"/>
          <w:sz w:val="32"/>
          <w:szCs w:val="32"/>
          <w:highlight w:val="none"/>
          <w:lang w:val="zh-CN"/>
        </w:rPr>
      </w:pPr>
      <w:r>
        <w:rPr>
          <w:rFonts w:ascii="宋体" w:hAnsi="宋体"/>
          <w:sz w:val="36"/>
          <w:szCs w:val="36"/>
          <w:highlight w:val="none"/>
        </w:rPr>
        <w:br w:type="page" w:clear="all"/>
      </w:r>
    </w:p>
    <w:p w14:paraId="77DC0D0B">
      <w:pPr>
        <w:pStyle w:val="306"/>
        <w:spacing w:line="360" w:lineRule="auto"/>
        <w:jc w:val="center"/>
        <w:outlineLvl w:val="0"/>
        <w:rPr>
          <w:rFonts w:hint="eastAsia" w:hAnsi="宋体" w:cs="宋体"/>
          <w:b/>
          <w:bCs/>
          <w:color w:val="000000"/>
          <w:sz w:val="32"/>
          <w:szCs w:val="32"/>
          <w:highlight w:val="none"/>
          <w:lang w:val="zh-CN"/>
        </w:rPr>
      </w:pPr>
      <w:bookmarkStart w:id="58" w:name="_Toc5307"/>
      <w:r>
        <w:rPr>
          <w:rFonts w:hint="eastAsia" w:hAnsi="宋体" w:cs="宋体"/>
          <w:b/>
          <w:bCs/>
          <w:color w:val="000000"/>
          <w:sz w:val="32"/>
          <w:szCs w:val="32"/>
          <w:highlight w:val="none"/>
          <w:lang w:val="zh-CN"/>
        </w:rPr>
        <w:t>第六章</w:t>
      </w:r>
      <w:r>
        <w:rPr>
          <w:rFonts w:hint="eastAsia" w:hAnsi="宋体" w:cs="宋体"/>
          <w:b/>
          <w:bCs/>
          <w:color w:val="000000"/>
          <w:sz w:val="32"/>
          <w:szCs w:val="32"/>
          <w:highlight w:val="none"/>
          <w:lang w:val="en-US" w:eastAsia="zh-CN"/>
        </w:rPr>
        <w:t xml:space="preserve"> </w:t>
      </w:r>
      <w:r>
        <w:rPr>
          <w:rFonts w:hint="eastAsia" w:hAnsi="宋体" w:cs="宋体"/>
          <w:b/>
          <w:bCs/>
          <w:color w:val="000000"/>
          <w:sz w:val="32"/>
          <w:szCs w:val="32"/>
          <w:highlight w:val="none"/>
          <w:lang w:val="zh-CN"/>
        </w:rPr>
        <w:t>投标文件格式及附件</w:t>
      </w:r>
      <w:bookmarkEnd w:id="58"/>
    </w:p>
    <w:p w14:paraId="4FED486B">
      <w:pPr>
        <w:spacing w:line="240" w:lineRule="atLeast"/>
        <w:ind w:left="560"/>
        <w:jc w:val="center"/>
        <w:rPr>
          <w:rFonts w:hint="eastAsia" w:ascii="宋体" w:hAnsi="宋体" w:cs="宋体"/>
          <w:b/>
          <w:bCs/>
          <w:color w:val="000000"/>
          <w:sz w:val="28"/>
          <w:szCs w:val="28"/>
          <w:highlight w:val="none"/>
          <w:lang w:val="zh-CN"/>
        </w:rPr>
      </w:pPr>
    </w:p>
    <w:p w14:paraId="5D002096">
      <w:pPr>
        <w:jc w:val="center"/>
        <w:rPr>
          <w:rFonts w:hint="eastAsia" w:ascii="宋体" w:hAnsi="宋体" w:cs="宋体"/>
          <w:b/>
          <w:color w:val="000000"/>
          <w:sz w:val="28"/>
          <w:szCs w:val="28"/>
          <w:highlight w:val="none"/>
        </w:rPr>
      </w:pPr>
    </w:p>
    <w:p w14:paraId="68EF1406">
      <w:pPr>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投  标  文  件</w:t>
      </w:r>
    </w:p>
    <w:p w14:paraId="36E01BD9">
      <w:pPr>
        <w:ind w:firstLine="2884"/>
        <w:rPr>
          <w:rFonts w:hint="eastAsia" w:ascii="宋体" w:hAnsi="宋体" w:cs="宋体"/>
          <w:b/>
          <w:color w:val="000000"/>
          <w:sz w:val="36"/>
          <w:szCs w:val="36"/>
          <w:highlight w:val="none"/>
        </w:rPr>
      </w:pPr>
    </w:p>
    <w:p w14:paraId="4E991C5D">
      <w:pPr>
        <w:jc w:val="center"/>
        <w:rPr>
          <w:rFonts w:hint="eastAsia" w:ascii="宋体" w:hAnsi="宋体" w:cs="宋体"/>
          <w:b/>
          <w:color w:val="000000"/>
          <w:sz w:val="36"/>
          <w:szCs w:val="36"/>
          <w:highlight w:val="none"/>
        </w:rPr>
      </w:pPr>
    </w:p>
    <w:p w14:paraId="62E1EF07">
      <w:pPr>
        <w:jc w:val="center"/>
        <w:rPr>
          <w:rFonts w:hint="eastAsia" w:ascii="宋体" w:hAnsi="宋体" w:cs="宋体"/>
          <w:b/>
          <w:color w:val="000000"/>
          <w:sz w:val="36"/>
          <w:szCs w:val="36"/>
          <w:highlight w:val="none"/>
        </w:rPr>
      </w:pPr>
    </w:p>
    <w:p w14:paraId="109BD82E">
      <w:pPr>
        <w:jc w:val="center"/>
        <w:rPr>
          <w:rFonts w:hint="eastAsia" w:ascii="宋体" w:hAnsi="宋体" w:cs="宋体"/>
          <w:b/>
          <w:color w:val="000000"/>
          <w:sz w:val="36"/>
          <w:szCs w:val="36"/>
          <w:highlight w:val="none"/>
        </w:rPr>
      </w:pPr>
    </w:p>
    <w:p w14:paraId="45C1211F">
      <w:pPr>
        <w:jc w:val="center"/>
        <w:rPr>
          <w:rFonts w:hint="eastAsia" w:ascii="宋体" w:hAnsi="宋体" w:cs="宋体"/>
          <w:b/>
          <w:color w:val="000000"/>
          <w:sz w:val="36"/>
          <w:szCs w:val="36"/>
          <w:highlight w:val="none"/>
        </w:rPr>
      </w:pPr>
    </w:p>
    <w:p w14:paraId="1D2075E2">
      <w:pPr>
        <w:ind w:firstLine="843"/>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 目 编 号： </w:t>
      </w:r>
    </w:p>
    <w:p w14:paraId="01572DDB">
      <w:pPr>
        <w:ind w:firstLine="843"/>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项 目 名 称： </w:t>
      </w:r>
      <w:r>
        <w:rPr>
          <w:rFonts w:ascii="宋体" w:hAnsi="宋体" w:cs="宋体"/>
          <w:b/>
          <w:color w:val="000000"/>
          <w:sz w:val="36"/>
          <w:szCs w:val="36"/>
          <w:highlight w:val="none"/>
        </w:rPr>
        <w:t>.</w:t>
      </w:r>
    </w:p>
    <w:p w14:paraId="0886DA5E">
      <w:pPr>
        <w:ind w:firstLine="843"/>
        <w:rPr>
          <w:rFonts w:hint="eastAsia" w:ascii="宋体" w:hAnsi="宋体" w:cs="宋体"/>
          <w:b/>
          <w:color w:val="000000"/>
          <w:sz w:val="36"/>
          <w:szCs w:val="36"/>
          <w:highlight w:val="none"/>
        </w:rPr>
      </w:pPr>
    </w:p>
    <w:p w14:paraId="3873F748">
      <w:pPr>
        <w:ind w:firstLine="843"/>
        <w:rPr>
          <w:rFonts w:hint="eastAsia" w:ascii="宋体" w:hAnsi="宋体" w:cs="宋体"/>
          <w:b/>
          <w:color w:val="000000"/>
          <w:sz w:val="36"/>
          <w:szCs w:val="36"/>
          <w:highlight w:val="none"/>
        </w:rPr>
      </w:pPr>
    </w:p>
    <w:p w14:paraId="53E24DCC">
      <w:pPr>
        <w:ind w:firstLine="843"/>
        <w:rPr>
          <w:rFonts w:hint="eastAsia" w:ascii="宋体" w:hAnsi="宋体" w:cs="宋体"/>
          <w:b/>
          <w:color w:val="000000"/>
          <w:sz w:val="36"/>
          <w:szCs w:val="36"/>
          <w:highlight w:val="none"/>
        </w:rPr>
      </w:pPr>
    </w:p>
    <w:p w14:paraId="2BCF7BF4">
      <w:pPr>
        <w:ind w:firstLine="843"/>
        <w:rPr>
          <w:rFonts w:hint="eastAsia" w:ascii="宋体" w:hAnsi="宋体" w:cs="宋体"/>
          <w:b/>
          <w:color w:val="000000"/>
          <w:sz w:val="36"/>
          <w:szCs w:val="36"/>
          <w:highlight w:val="none"/>
        </w:rPr>
      </w:pPr>
    </w:p>
    <w:p w14:paraId="51D3083F">
      <w:pPr>
        <w:ind w:firstLine="843"/>
        <w:rPr>
          <w:rFonts w:hint="eastAsia" w:ascii="宋体" w:hAnsi="宋体" w:cs="宋体"/>
          <w:b/>
          <w:color w:val="000000"/>
          <w:sz w:val="36"/>
          <w:szCs w:val="36"/>
          <w:highlight w:val="none"/>
        </w:rPr>
      </w:pPr>
    </w:p>
    <w:p w14:paraId="27F0331A">
      <w:pPr>
        <w:rPr>
          <w:rFonts w:hint="eastAsia" w:ascii="宋体" w:hAnsi="宋体" w:cs="宋体"/>
          <w:b/>
          <w:color w:val="000000"/>
          <w:sz w:val="36"/>
          <w:szCs w:val="36"/>
          <w:highlight w:val="none"/>
        </w:rPr>
      </w:pPr>
    </w:p>
    <w:p w14:paraId="44E53A98">
      <w:pPr>
        <w:ind w:firstLine="843"/>
        <w:rPr>
          <w:rFonts w:hint="eastAsia" w:ascii="宋体" w:hAnsi="宋体" w:cs="宋体"/>
          <w:b/>
          <w:color w:val="000000"/>
          <w:sz w:val="36"/>
          <w:szCs w:val="36"/>
          <w:highlight w:val="none"/>
        </w:rPr>
      </w:pPr>
      <w:r>
        <w:rPr>
          <w:rFonts w:hint="eastAsia" w:ascii="宋体" w:hAnsi="宋体" w:cs="宋体"/>
          <w:b/>
          <w:color w:val="000000"/>
          <w:sz w:val="36"/>
          <w:szCs w:val="36"/>
          <w:highlight w:val="none"/>
        </w:rPr>
        <w:t>投标人名称：</w:t>
      </w:r>
    </w:p>
    <w:p w14:paraId="2905C45E">
      <w:pPr>
        <w:ind w:firstLine="843"/>
        <w:rPr>
          <w:rFonts w:hint="eastAsia" w:ascii="宋体" w:hAnsi="宋体" w:cs="宋体"/>
          <w:b/>
          <w:color w:val="000000"/>
          <w:sz w:val="36"/>
          <w:szCs w:val="36"/>
          <w:highlight w:val="none"/>
        </w:rPr>
      </w:pPr>
      <w:r>
        <w:rPr>
          <w:rFonts w:hint="eastAsia" w:ascii="宋体" w:hAnsi="宋体" w:cs="宋体"/>
          <w:b/>
          <w:color w:val="000000"/>
          <w:sz w:val="36"/>
          <w:szCs w:val="36"/>
          <w:highlight w:val="none"/>
        </w:rPr>
        <w:t>日      期：</w:t>
      </w:r>
    </w:p>
    <w:p w14:paraId="5D4B1A3F">
      <w:pPr>
        <w:jc w:val="center"/>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br w:type="page" w:clear="all"/>
      </w:r>
      <w:bookmarkStart w:id="59" w:name="_Toc489655320"/>
      <w:r>
        <w:rPr>
          <w:rFonts w:hint="eastAsia" w:ascii="宋体" w:hAnsi="宋体" w:cs="宋体"/>
          <w:b/>
          <w:bCs/>
          <w:color w:val="000000"/>
          <w:sz w:val="28"/>
          <w:szCs w:val="28"/>
          <w:highlight w:val="none"/>
        </w:rPr>
        <w:t>投标文件主要目录</w:t>
      </w:r>
      <w:bookmarkEnd w:id="59"/>
      <w:r>
        <w:rPr>
          <w:rFonts w:hint="eastAsia" w:ascii="宋体" w:hAnsi="宋体" w:cs="宋体"/>
          <w:b/>
          <w:bCs/>
          <w:color w:val="000000"/>
          <w:sz w:val="28"/>
          <w:szCs w:val="28"/>
          <w:highlight w:val="none"/>
        </w:rPr>
        <w:t>及相关证明材料格式、附件</w:t>
      </w:r>
    </w:p>
    <w:p w14:paraId="253AC365">
      <w:pPr>
        <w:rPr>
          <w:rFonts w:hint="eastAsia" w:ascii="宋体" w:hAnsi="宋体" w:cs="宋体"/>
          <w:color w:val="000000"/>
          <w:sz w:val="28"/>
          <w:szCs w:val="28"/>
          <w:highlight w:val="none"/>
        </w:rPr>
      </w:pPr>
    </w:p>
    <w:p w14:paraId="5A66D1BB">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投标申请及声明</w:t>
      </w:r>
    </w:p>
    <w:p w14:paraId="3588DD2F">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法定代表人授权书</w:t>
      </w:r>
    </w:p>
    <w:p w14:paraId="5E9A1D47">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开标一览表</w:t>
      </w:r>
    </w:p>
    <w:p w14:paraId="59621864">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南京市政府采购供应商信用记录表暨信用承诺书</w:t>
      </w:r>
    </w:p>
    <w:p w14:paraId="234E87E0">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分项报价表</w:t>
      </w:r>
    </w:p>
    <w:p w14:paraId="16BF6429">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技术条款偏离表</w:t>
      </w:r>
    </w:p>
    <w:p w14:paraId="47722CD2">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商务条款偏离表</w:t>
      </w:r>
    </w:p>
    <w:p w14:paraId="022E4969">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技术说明或服务方案</w:t>
      </w:r>
    </w:p>
    <w:p w14:paraId="44C301CF">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拟参与本项目服务人员一览表</w:t>
      </w:r>
    </w:p>
    <w:p w14:paraId="082932AE">
      <w:pPr>
        <w:numPr>
          <w:ilvl w:val="0"/>
          <w:numId w:val="6"/>
        </w:num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投标人类似业绩情况</w:t>
      </w:r>
    </w:p>
    <w:p w14:paraId="2F89E47A">
      <w:pPr>
        <w:tabs>
          <w:tab w:val="left" w:pos="1145"/>
        </w:tabs>
        <w:spacing w:line="360" w:lineRule="auto"/>
        <w:ind w:left="425"/>
        <w:rPr>
          <w:rFonts w:hint="eastAsia" w:ascii="宋体" w:hAnsi="宋体" w:cs="宋体"/>
          <w:color w:val="000000"/>
          <w:szCs w:val="21"/>
          <w:highlight w:val="none"/>
        </w:rPr>
      </w:pPr>
      <w:r>
        <w:rPr>
          <w:rFonts w:ascii="宋体" w:hAnsi="宋体" w:cs="宋体"/>
          <w:color w:val="000000"/>
          <w:szCs w:val="21"/>
          <w:highlight w:val="none"/>
        </w:rPr>
        <w:t>十一、</w:t>
      </w:r>
      <w:r>
        <w:rPr>
          <w:rFonts w:hint="eastAsia" w:ascii="宋体" w:hAnsi="宋体" w:cs="宋体"/>
          <w:color w:val="000000"/>
          <w:szCs w:val="21"/>
          <w:highlight w:val="none"/>
        </w:rPr>
        <w:t>投标需要的其他证明文件及材料（若有）</w:t>
      </w:r>
    </w:p>
    <w:p w14:paraId="580ED6B0">
      <w:pPr>
        <w:spacing w:line="360" w:lineRule="auto"/>
        <w:rPr>
          <w:rFonts w:hint="eastAsia" w:ascii="宋体" w:hAnsi="宋体" w:cs="宋体"/>
          <w:color w:val="000000"/>
          <w:szCs w:val="21"/>
          <w:highlight w:val="none"/>
        </w:rPr>
      </w:pPr>
    </w:p>
    <w:p w14:paraId="4C4F0AE2">
      <w:pPr>
        <w:spacing w:line="360" w:lineRule="auto"/>
        <w:jc w:val="left"/>
        <w:rPr>
          <w:rFonts w:hint="eastAsia" w:ascii="宋体" w:hAnsi="宋体" w:cs="宋体"/>
          <w:color w:val="000000"/>
          <w:szCs w:val="21"/>
          <w:highlight w:val="none"/>
        </w:rPr>
      </w:pPr>
    </w:p>
    <w:p w14:paraId="0F615DFD">
      <w:pPr>
        <w:spacing w:line="360" w:lineRule="auto"/>
        <w:jc w:val="left"/>
        <w:rPr>
          <w:rFonts w:hint="eastAsia" w:ascii="宋体" w:hAnsi="宋体" w:cs="宋体"/>
          <w:color w:val="000000"/>
          <w:szCs w:val="21"/>
          <w:highlight w:val="none"/>
        </w:rPr>
      </w:pPr>
    </w:p>
    <w:p w14:paraId="255F7D3E">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附件一、中小企业声明函格式</w:t>
      </w:r>
    </w:p>
    <w:p w14:paraId="5B546E31">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附件二、无重大违法记录声明格式</w:t>
      </w:r>
    </w:p>
    <w:p w14:paraId="51143041">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附件三、具备履行合同所必需的设备和专业技术能力的声明格式及证明材料</w:t>
      </w:r>
    </w:p>
    <w:p w14:paraId="0E8C2161">
      <w:pPr>
        <w:pStyle w:val="297"/>
        <w:spacing w:after="0" w:line="360" w:lineRule="auto"/>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附件四、残疾人福利性单位声明函格式</w:t>
      </w:r>
    </w:p>
    <w:p w14:paraId="30E95211">
      <w:pPr>
        <w:pStyle w:val="297"/>
        <w:spacing w:after="0" w:line="360" w:lineRule="auto"/>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附件五、属于监狱企业的证明文件</w:t>
      </w:r>
    </w:p>
    <w:p w14:paraId="01FE2920">
      <w:pPr>
        <w:rPr>
          <w:szCs w:val="21"/>
          <w:highlight w:val="none"/>
        </w:rPr>
      </w:pPr>
      <w:r>
        <w:rPr>
          <w:rFonts w:hint="eastAsia" w:ascii="宋体" w:hAnsi="宋体" w:cs="宋体"/>
          <w:color w:val="000000"/>
          <w:szCs w:val="21"/>
          <w:highlight w:val="none"/>
        </w:rPr>
        <w:t>附件六、关于符合本国产品标准的声明函</w:t>
      </w:r>
    </w:p>
    <w:p w14:paraId="0E7C6707">
      <w:pPr>
        <w:rPr>
          <w:rFonts w:hint="eastAsia" w:ascii="宋体" w:hAnsi="宋体" w:cs="宋体"/>
          <w:color w:val="000000"/>
          <w:szCs w:val="21"/>
          <w:highlight w:val="none"/>
        </w:rPr>
      </w:pPr>
    </w:p>
    <w:p w14:paraId="55892613">
      <w:pPr>
        <w:spacing w:line="360" w:lineRule="auto"/>
        <w:jc w:val="left"/>
        <w:rPr>
          <w:rFonts w:hint="eastAsia" w:ascii="宋体" w:hAnsi="宋体" w:cs="宋体"/>
          <w:b/>
          <w:color w:val="000000"/>
          <w:sz w:val="28"/>
          <w:szCs w:val="28"/>
          <w:highlight w:val="none"/>
          <w:lang w:val="zh-CN"/>
        </w:rPr>
        <w:sectPr>
          <w:footerReference r:id="rId5" w:type="default"/>
          <w:endnotePr>
            <w:numFmt w:val="decimal"/>
          </w:endnotePr>
          <w:pgSz w:w="11906" w:h="16838"/>
          <w:pgMar w:top="1440" w:right="1800" w:bottom="1440" w:left="1800" w:header="567" w:footer="720" w:gutter="0"/>
          <w:pgNumType w:fmt="decimal"/>
          <w:cols w:space="1701" w:num="1"/>
          <w:docGrid w:linePitch="360" w:charSpace="0"/>
        </w:sectPr>
      </w:pPr>
    </w:p>
    <w:p w14:paraId="09869008">
      <w:pPr>
        <w:spacing w:line="360" w:lineRule="auto"/>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一、投标申请及声明格式</w:t>
      </w:r>
    </w:p>
    <w:p w14:paraId="0A503051">
      <w:pPr>
        <w:spacing w:line="360" w:lineRule="auto"/>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投标申请及声明</w:t>
      </w:r>
    </w:p>
    <w:p w14:paraId="415A49C0">
      <w:pPr>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致：南京市回民殡葬服务所</w:t>
      </w:r>
    </w:p>
    <w:p w14:paraId="3FCC18AD">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根据贵方（项目名称）（项目编号）投标邀请，正式授权下述签字人（姓名和职务）代表投标人（投标人名称），提交投标文件。</w:t>
      </w:r>
    </w:p>
    <w:p w14:paraId="13DB7B18">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据此函，签字人兹宣布声明和承诺如下：</w:t>
      </w:r>
    </w:p>
    <w:p w14:paraId="660DFDD1">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lang w:val="zh-CN"/>
        </w:rPr>
        <w:t>1.我方的资格条件符合政府采购法和本次招标要求，</w:t>
      </w:r>
      <w:r>
        <w:rPr>
          <w:rFonts w:hint="eastAsia" w:ascii="宋体" w:hAnsi="宋体" w:cs="宋体"/>
          <w:color w:val="000000"/>
          <w:szCs w:val="21"/>
          <w:highlight w:val="none"/>
        </w:rPr>
        <w:t>我方</w:t>
      </w:r>
      <w:r>
        <w:rPr>
          <w:rFonts w:hint="eastAsia" w:ascii="宋体" w:hAnsi="宋体" w:cs="宋体"/>
          <w:color w:val="000000"/>
          <w:szCs w:val="21"/>
          <w:highlight w:val="none"/>
          <w:lang w:val="zh-CN"/>
        </w:rPr>
        <w:t>同意并向贵方提供了与投标有关的所有证据和资料。</w:t>
      </w:r>
    </w:p>
    <w:p w14:paraId="41CF1A4F">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2.按招标要求，我方投标的报价为</w:t>
      </w:r>
      <w:r>
        <w:rPr>
          <w:rFonts w:hint="eastAsia" w:ascii="宋体" w:hAnsi="宋体" w:cs="宋体"/>
          <w:color w:val="000000"/>
          <w:szCs w:val="21"/>
          <w:highlight w:val="none"/>
          <w:u w:val="single"/>
        </w:rPr>
        <w:t xml:space="preserve">   （大写）   </w:t>
      </w:r>
      <w:r>
        <w:rPr>
          <w:rFonts w:hint="eastAsia" w:ascii="宋体" w:hAnsi="宋体" w:cs="宋体"/>
          <w:color w:val="000000"/>
          <w:szCs w:val="21"/>
          <w:highlight w:val="none"/>
        </w:rPr>
        <w:t>万元，</w:t>
      </w:r>
      <w:r>
        <w:rPr>
          <w:rFonts w:hint="eastAsia" w:ascii="宋体" w:hAnsi="宋体" w:cs="宋体"/>
          <w:color w:val="000000"/>
          <w:szCs w:val="21"/>
          <w:highlight w:val="none"/>
          <w:u w:val="single"/>
        </w:rPr>
        <w:t xml:space="preserve">   （小写）   </w:t>
      </w:r>
      <w:r>
        <w:rPr>
          <w:rFonts w:hint="eastAsia" w:ascii="宋体" w:hAnsi="宋体" w:cs="宋体"/>
          <w:color w:val="000000"/>
          <w:szCs w:val="21"/>
          <w:highlight w:val="none"/>
        </w:rPr>
        <w:t>万元。</w:t>
      </w:r>
    </w:p>
    <w:p w14:paraId="41312B4E">
      <w:pPr>
        <w:spacing w:line="288" w:lineRule="auto"/>
        <w:ind w:firstLine="560"/>
        <w:rPr>
          <w:rFonts w:hint="eastAsia" w:ascii="宋体" w:hAnsi="宋体" w:cs="宋体"/>
          <w:color w:val="000000"/>
          <w:szCs w:val="21"/>
          <w:highlight w:val="none"/>
          <w:u w:val="single"/>
        </w:rPr>
      </w:pPr>
      <w:r>
        <w:rPr>
          <w:rFonts w:hint="eastAsia" w:ascii="宋体" w:hAnsi="宋体" w:cs="宋体"/>
          <w:color w:val="000000"/>
          <w:szCs w:val="21"/>
          <w:highlight w:val="none"/>
          <w:lang w:val="zh-CN"/>
        </w:rPr>
        <w:t>3.</w:t>
      </w:r>
      <w:r>
        <w:rPr>
          <w:rFonts w:hint="eastAsia" w:ascii="宋体" w:hAnsi="宋体" w:cs="宋体"/>
          <w:color w:val="000000"/>
          <w:szCs w:val="21"/>
          <w:highlight w:val="none"/>
        </w:rPr>
        <w:t>合同履行期限：</w:t>
      </w:r>
      <w:r>
        <w:rPr>
          <w:rFonts w:hint="eastAsia" w:ascii="宋体" w:hAnsi="宋体" w:cs="宋体"/>
          <w:color w:val="000000"/>
          <w:szCs w:val="21"/>
          <w:highlight w:val="none"/>
          <w:u w:val="single"/>
        </w:rPr>
        <w:t>三年，每年考核合格后可续签，最多续签2次</w:t>
      </w:r>
      <w:r>
        <w:rPr>
          <w:rFonts w:hint="eastAsia" w:ascii="宋体" w:hAnsi="宋体" w:cs="宋体"/>
          <w:color w:val="000000"/>
          <w:szCs w:val="21"/>
          <w:highlight w:val="none"/>
          <w:u w:val="single"/>
          <w:lang w:val="zh-CN"/>
        </w:rPr>
        <w:t>。</w:t>
      </w:r>
    </w:p>
    <w:p w14:paraId="16572AAD">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4.</w:t>
      </w:r>
      <w:r>
        <w:rPr>
          <w:rFonts w:hint="eastAsia" w:ascii="宋体" w:hAnsi="宋体" w:cs="宋体"/>
          <w:color w:val="000000"/>
          <w:szCs w:val="21"/>
          <w:highlight w:val="none"/>
          <w:lang w:val="zh-CN"/>
        </w:rPr>
        <w:t>我方参加本次采购活动前三年内，在经营活动中没有重大违法记录。</w:t>
      </w:r>
    </w:p>
    <w:p w14:paraId="290CF26F">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5</w:t>
      </w:r>
      <w:r>
        <w:rPr>
          <w:rFonts w:hint="eastAsia" w:ascii="宋体" w:hAnsi="宋体" w:cs="宋体"/>
          <w:color w:val="000000"/>
          <w:szCs w:val="21"/>
          <w:highlight w:val="none"/>
          <w:lang w:val="zh-CN"/>
        </w:rPr>
        <w:t>.我方参加本次采购活动前，没有被信用中国网站、中国政府采购网站列入失信被执行人名单、重大税收违法案件当事人名单、政府采购严重违法失信行为记录名单。</w:t>
      </w:r>
    </w:p>
    <w:p w14:paraId="70BD6004">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6</w:t>
      </w:r>
      <w:r>
        <w:rPr>
          <w:rFonts w:hint="eastAsia" w:ascii="宋体" w:hAnsi="宋体" w:cs="宋体"/>
          <w:color w:val="000000"/>
          <w:szCs w:val="21"/>
          <w:highlight w:val="none"/>
          <w:lang w:val="zh-CN"/>
        </w:rPr>
        <w:t>.我方在全国范围内未受过财政部门禁止参加政府采购活动的处罚，或禁止参加政府采购活动的处罚期限已满。</w:t>
      </w:r>
    </w:p>
    <w:p w14:paraId="2C197589">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7</w:t>
      </w:r>
      <w:r>
        <w:rPr>
          <w:rFonts w:hint="eastAsia" w:ascii="宋体" w:hAnsi="宋体" w:cs="宋体"/>
          <w:color w:val="000000"/>
          <w:szCs w:val="21"/>
          <w:highlight w:val="none"/>
          <w:lang w:val="zh-CN"/>
        </w:rPr>
        <w:t>.我方没有为本采购项目提供整体设计、规范编制，以及项目管理、监理、检测等服务。</w:t>
      </w:r>
    </w:p>
    <w:p w14:paraId="67BEDAD0">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8</w:t>
      </w:r>
      <w:r>
        <w:rPr>
          <w:rFonts w:hint="eastAsia" w:ascii="宋体" w:hAnsi="宋体" w:cs="宋体"/>
          <w:color w:val="000000"/>
          <w:szCs w:val="21"/>
          <w:highlight w:val="none"/>
          <w:lang w:val="zh-CN"/>
        </w:rPr>
        <w:t>.我方与参与本次采购活动的其他投标人的</w:t>
      </w:r>
      <w:r>
        <w:rPr>
          <w:rFonts w:hint="eastAsia" w:ascii="宋体" w:hAnsi="宋体" w:cs="宋体"/>
          <w:color w:val="000000"/>
          <w:szCs w:val="21"/>
          <w:highlight w:val="none"/>
        </w:rPr>
        <w:t>委托代理人</w:t>
      </w:r>
      <w:r>
        <w:rPr>
          <w:rFonts w:hint="eastAsia" w:ascii="宋体" w:hAnsi="宋体" w:cs="宋体"/>
          <w:color w:val="000000"/>
          <w:szCs w:val="21"/>
          <w:highlight w:val="none"/>
          <w:lang w:val="zh-CN"/>
        </w:rPr>
        <w:t>（或法定代表人、项目经理、项目总监、项目负责人等），在招标文件发布日上月至投标截止日当月未在同一单位缴纳社会保险。</w:t>
      </w:r>
    </w:p>
    <w:p w14:paraId="1FDD59CC">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9</w:t>
      </w:r>
      <w:r>
        <w:rPr>
          <w:rFonts w:hint="eastAsia" w:ascii="宋体" w:hAnsi="宋体" w:cs="宋体"/>
          <w:color w:val="000000"/>
          <w:szCs w:val="21"/>
          <w:highlight w:val="none"/>
          <w:lang w:val="zh-CN"/>
        </w:rPr>
        <w:t>.我方与参与本次采购活动的其他投标人的法定代表人或</w:t>
      </w:r>
      <w:r>
        <w:rPr>
          <w:rFonts w:hint="eastAsia" w:ascii="宋体" w:hAnsi="宋体" w:cs="宋体"/>
          <w:color w:val="000000"/>
          <w:szCs w:val="21"/>
          <w:highlight w:val="none"/>
        </w:rPr>
        <w:t>委托代理人</w:t>
      </w:r>
      <w:r>
        <w:rPr>
          <w:rFonts w:hint="eastAsia" w:ascii="宋体" w:hAnsi="宋体" w:cs="宋体"/>
          <w:color w:val="000000"/>
          <w:szCs w:val="21"/>
          <w:highlight w:val="none"/>
          <w:lang w:val="zh-CN"/>
        </w:rPr>
        <w:t>无夫妻、直系血亲关系。</w:t>
      </w:r>
    </w:p>
    <w:p w14:paraId="09CAA0BC">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rPr>
        <w:t>10</w:t>
      </w:r>
      <w:r>
        <w:rPr>
          <w:rFonts w:hint="eastAsia" w:ascii="宋体" w:hAnsi="宋体" w:cs="宋体"/>
          <w:color w:val="000000"/>
          <w:szCs w:val="21"/>
          <w:highlight w:val="none"/>
          <w:lang w:val="zh-CN"/>
        </w:rPr>
        <w:t>.我方与参与本次采购活动的其他投标人的负责人不是同一人，也不存在直接控股、管理关系。</w:t>
      </w:r>
    </w:p>
    <w:p w14:paraId="3D84F38F">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1</w:t>
      </w:r>
      <w:r>
        <w:rPr>
          <w:rFonts w:hint="eastAsia" w:ascii="宋体" w:hAnsi="宋体" w:cs="宋体"/>
          <w:color w:val="000000"/>
          <w:szCs w:val="21"/>
          <w:highlight w:val="none"/>
          <w:lang w:val="zh-CN"/>
        </w:rPr>
        <w:t>.我方已详细审阅全部招标文件及其有效补充文件，放弃对招标文件任何误解的权利，提交投标文件后，不对招标文件本身提出质疑。否则，属于不诚信和故意扰乱政府采购活动行为，我们将无条件接受处罚。</w:t>
      </w:r>
    </w:p>
    <w:p w14:paraId="308095AF">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2</w:t>
      </w:r>
      <w:r>
        <w:rPr>
          <w:rFonts w:hint="eastAsia" w:ascii="宋体" w:hAnsi="宋体" w:cs="宋体"/>
          <w:color w:val="000000"/>
          <w:szCs w:val="21"/>
          <w:highlight w:val="none"/>
          <w:lang w:val="zh-CN"/>
        </w:rPr>
        <w:t>.我方同意从规定的开标日期起遵循本投标文件，并在规定的投标有效期期满之前均具有约束力。</w:t>
      </w:r>
    </w:p>
    <w:p w14:paraId="4FFB2128">
      <w:pPr>
        <w:spacing w:line="288" w:lineRule="auto"/>
        <w:ind w:firstLine="560"/>
        <w:rPr>
          <w:rFonts w:hint="eastAsia" w:ascii="宋体" w:hAnsi="宋体" w:cs="宋体"/>
          <w:color w:val="000000"/>
          <w:szCs w:val="21"/>
          <w:highlight w:val="none"/>
          <w:lang w:val="zh-CN"/>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3</w:t>
      </w:r>
      <w:r>
        <w:rPr>
          <w:rFonts w:hint="eastAsia" w:ascii="宋体" w:hAnsi="宋体" w:cs="宋体"/>
          <w:color w:val="000000"/>
          <w:szCs w:val="21"/>
          <w:highlight w:val="none"/>
          <w:lang w:val="zh-CN"/>
        </w:rPr>
        <w:t>.一旦我方中标，将根据招标文件的规定严格履行合同，并保证按承诺的时间完成服务的启动/集成、调试等服务，交付招标人验收、使用。</w:t>
      </w:r>
    </w:p>
    <w:p w14:paraId="7033D96A">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lang w:val="zh-CN"/>
        </w:rPr>
        <w:t>1</w:t>
      </w:r>
      <w:r>
        <w:rPr>
          <w:rFonts w:hint="eastAsia" w:ascii="宋体" w:hAnsi="宋体" w:cs="宋体"/>
          <w:color w:val="000000"/>
          <w:szCs w:val="21"/>
          <w:highlight w:val="none"/>
        </w:rPr>
        <w:t>4</w:t>
      </w:r>
      <w:r>
        <w:rPr>
          <w:rFonts w:hint="eastAsia" w:ascii="宋体" w:hAnsi="宋体" w:cs="宋体"/>
          <w:color w:val="000000"/>
          <w:szCs w:val="21"/>
          <w:highlight w:val="none"/>
          <w:lang w:val="zh-CN"/>
        </w:rPr>
        <w:t>.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p>
    <w:p w14:paraId="1028A834">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15.与本投标有关的正式联系方式为：</w:t>
      </w:r>
    </w:p>
    <w:p w14:paraId="02C98D90">
      <w:pPr>
        <w:spacing w:line="288"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地址：</w:t>
      </w:r>
    </w:p>
    <w:p w14:paraId="09488969">
      <w:pPr>
        <w:spacing w:line="288"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电话：</w:t>
      </w:r>
    </w:p>
    <w:p w14:paraId="3ECC282F">
      <w:pPr>
        <w:spacing w:line="288"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传真：</w:t>
      </w:r>
    </w:p>
    <w:p w14:paraId="392E75E5">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开户银行：</w:t>
      </w:r>
    </w:p>
    <w:p w14:paraId="466DB326">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银行账号：</w:t>
      </w:r>
    </w:p>
    <w:p w14:paraId="797E944A">
      <w:pPr>
        <w:spacing w:line="288" w:lineRule="auto"/>
        <w:ind w:firstLine="560"/>
        <w:jc w:val="left"/>
        <w:rPr>
          <w:rFonts w:hint="eastAsia" w:ascii="宋体" w:hAnsi="宋体" w:cs="宋体"/>
          <w:color w:val="000000"/>
          <w:szCs w:val="21"/>
          <w:highlight w:val="none"/>
          <w:u w:val="single"/>
        </w:rPr>
      </w:pPr>
      <w:r>
        <w:rPr>
          <w:rFonts w:hint="eastAsia" w:ascii="宋体" w:hAnsi="宋体" w:cs="宋体"/>
          <w:color w:val="000000"/>
          <w:szCs w:val="21"/>
          <w:highlight w:val="none"/>
        </w:rPr>
        <w:t>投标人授权代表姓名（签字）：</w:t>
      </w:r>
    </w:p>
    <w:p w14:paraId="080BD2C6">
      <w:pPr>
        <w:spacing w:line="288" w:lineRule="auto"/>
        <w:ind w:firstLine="560"/>
        <w:jc w:val="left"/>
        <w:rPr>
          <w:rFonts w:hint="eastAsia" w:ascii="宋体" w:hAnsi="宋体" w:cs="宋体"/>
          <w:color w:val="000000"/>
          <w:szCs w:val="21"/>
          <w:highlight w:val="none"/>
        </w:rPr>
      </w:pPr>
      <w:r>
        <w:rPr>
          <w:rFonts w:hint="eastAsia" w:ascii="宋体" w:hAnsi="宋体" w:cs="宋体"/>
          <w:color w:val="000000"/>
          <w:szCs w:val="21"/>
          <w:highlight w:val="none"/>
        </w:rPr>
        <w:t>投标人名称（盖章）：</w:t>
      </w:r>
    </w:p>
    <w:p w14:paraId="48A19B05">
      <w:pPr>
        <w:spacing w:line="288" w:lineRule="auto"/>
        <w:ind w:firstLine="560"/>
        <w:jc w:val="left"/>
        <w:rPr>
          <w:rFonts w:hint="eastAsia" w:ascii="宋体" w:hAnsi="宋体" w:cs="宋体"/>
          <w:b/>
          <w:color w:val="000000"/>
          <w:szCs w:val="21"/>
          <w:highlight w:val="none"/>
          <w:lang w:val="zh-CN"/>
        </w:rPr>
        <w:sectPr>
          <w:endnotePr>
            <w:numFmt w:val="decimal"/>
          </w:endnotePr>
          <w:pgSz w:w="11906" w:h="16838"/>
          <w:pgMar w:top="1440" w:right="1800" w:bottom="1440" w:left="1800" w:header="567" w:footer="720" w:gutter="0"/>
          <w:pgNumType w:fmt="decimal"/>
          <w:cols w:space="1701" w:num="1"/>
          <w:docGrid w:linePitch="360" w:charSpace="0"/>
        </w:sectPr>
      </w:pPr>
      <w:r>
        <w:rPr>
          <w:rFonts w:hint="eastAsia" w:ascii="宋体" w:hAnsi="宋体" w:cs="宋体"/>
          <w:color w:val="000000"/>
          <w:szCs w:val="21"/>
          <w:highlight w:val="none"/>
        </w:rPr>
        <w:t>日期：年月日</w:t>
      </w:r>
    </w:p>
    <w:p w14:paraId="7AC4E548">
      <w:pP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二、法定代表人授权委托书格式</w:t>
      </w:r>
    </w:p>
    <w:p w14:paraId="6E9CEC85">
      <w:pPr>
        <w:widowControl/>
        <w:spacing w:line="360" w:lineRule="auto"/>
        <w:jc w:val="cente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t>法定代表人授权委托书</w:t>
      </w:r>
    </w:p>
    <w:p w14:paraId="152AA3C7">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南京市回民殡葬服务所：</w:t>
      </w:r>
    </w:p>
    <w:p w14:paraId="1FD9CDB4">
      <w:pPr>
        <w:widowControl/>
        <w:spacing w:line="360" w:lineRule="auto"/>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p>
    <w:p w14:paraId="01B54604">
      <w:pPr>
        <w:widowControl/>
        <w:spacing w:line="360" w:lineRule="auto"/>
        <w:ind w:firstLine="56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本授权书于年  月  日签字生效，特此声明。</w:t>
      </w:r>
    </w:p>
    <w:p w14:paraId="224BAFD7">
      <w:pPr>
        <w:widowControl/>
        <w:spacing w:line="360" w:lineRule="auto"/>
        <w:ind w:firstLine="560"/>
        <w:jc w:val="left"/>
        <w:rPr>
          <w:rFonts w:hint="eastAsia" w:ascii="宋体" w:hAnsi="宋体" w:cs="宋体"/>
          <w:color w:val="000000"/>
          <w:szCs w:val="21"/>
          <w:highlight w:val="none"/>
          <w:lang w:val="zh-CN"/>
        </w:rPr>
      </w:pPr>
    </w:p>
    <w:p w14:paraId="4CA5A146">
      <w:pPr>
        <w:widowControl/>
        <w:spacing w:line="360" w:lineRule="auto"/>
        <w:ind w:firstLine="560"/>
        <w:jc w:val="left"/>
        <w:rPr>
          <w:rFonts w:hint="eastAsia" w:ascii="宋体" w:hAnsi="宋体" w:cs="宋体"/>
          <w:color w:val="000000"/>
          <w:szCs w:val="21"/>
          <w:highlight w:val="none"/>
          <w:lang w:val="zh-CN"/>
        </w:rPr>
      </w:pPr>
    </w:p>
    <w:p w14:paraId="0928E6EE">
      <w:pPr>
        <w:widowControl/>
        <w:spacing w:line="360" w:lineRule="auto"/>
        <w:ind w:firstLine="56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法定代表人签字：</w:t>
      </w:r>
    </w:p>
    <w:p w14:paraId="012FEC8A">
      <w:pPr>
        <w:widowControl/>
        <w:spacing w:line="360" w:lineRule="auto"/>
        <w:ind w:firstLine="56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授权委托人签字：</w:t>
      </w:r>
    </w:p>
    <w:p w14:paraId="269226D4">
      <w:pPr>
        <w:widowControl/>
        <w:tabs>
          <w:tab w:val="left" w:pos="1440"/>
        </w:tabs>
        <w:spacing w:line="360" w:lineRule="auto"/>
        <w:ind w:firstLine="56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投标人：（盖章）</w:t>
      </w:r>
    </w:p>
    <w:p w14:paraId="4FE84B70">
      <w:pPr>
        <w:widowControl/>
        <w:tabs>
          <w:tab w:val="left" w:pos="1440"/>
        </w:tabs>
        <w:spacing w:line="360" w:lineRule="auto"/>
        <w:ind w:firstLine="56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日        期：</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年    月    日</w:t>
      </w:r>
    </w:p>
    <w:p w14:paraId="1DA2E46A">
      <w:pPr>
        <w:widowControl/>
        <w:tabs>
          <w:tab w:val="left" w:pos="1440"/>
        </w:tabs>
        <w:spacing w:line="360" w:lineRule="auto"/>
        <w:ind w:firstLine="420"/>
        <w:jc w:val="left"/>
        <w:rPr>
          <w:rFonts w:hint="eastAsia" w:ascii="宋体" w:hAnsi="宋体" w:cs="宋体"/>
          <w:color w:val="000000"/>
          <w:szCs w:val="21"/>
          <w:highlight w:val="none"/>
          <w:lang w:val="zh-CN"/>
        </w:rPr>
      </w:pPr>
    </w:p>
    <w:p w14:paraId="0D2174B4">
      <w:pPr>
        <w:widowControl/>
        <w:tabs>
          <w:tab w:val="left" w:pos="1440"/>
        </w:tabs>
        <w:spacing w:line="360" w:lineRule="auto"/>
        <w:ind w:firstLine="420"/>
        <w:jc w:val="left"/>
        <w:rPr>
          <w:rFonts w:hint="eastAsia" w:ascii="宋体" w:hAnsi="宋体" w:cs="宋体"/>
          <w:color w:val="000000"/>
          <w:szCs w:val="21"/>
          <w:highlight w:val="none"/>
          <w:lang w:val="zh-CN"/>
        </w:rPr>
      </w:pPr>
    </w:p>
    <w:p w14:paraId="5786C7B9">
      <w:pPr>
        <w:widowControl/>
        <w:tabs>
          <w:tab w:val="left" w:pos="1440"/>
        </w:tabs>
        <w:spacing w:line="360" w:lineRule="auto"/>
        <w:ind w:firstLine="420"/>
        <w:jc w:val="left"/>
        <w:rPr>
          <w:rFonts w:hint="eastAsia" w:ascii="宋体" w:hAnsi="宋体" w:cs="宋体"/>
          <w:color w:val="000000"/>
          <w:szCs w:val="21"/>
          <w:highlight w:val="none"/>
          <w:lang w:val="zh-CN"/>
        </w:rPr>
      </w:pPr>
    </w:p>
    <w:p w14:paraId="68A8F619">
      <w:pPr>
        <w:widowControl/>
        <w:tabs>
          <w:tab w:val="left" w:pos="1440"/>
        </w:tabs>
        <w:spacing w:line="360" w:lineRule="auto"/>
        <w:ind w:firstLine="420"/>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法定代表人或被授权人身份证复印件：</w:t>
      </w:r>
    </w:p>
    <w:p w14:paraId="34F5FA85">
      <w:pPr>
        <w:widowControl/>
        <w:tabs>
          <w:tab w:val="left" w:pos="1440"/>
        </w:tabs>
        <w:spacing w:line="360" w:lineRule="auto"/>
        <w:ind w:firstLine="420"/>
        <w:jc w:val="left"/>
        <w:rPr>
          <w:rFonts w:hint="eastAsia" w:ascii="宋体" w:hAnsi="宋体" w:cs="宋体"/>
          <w:color w:val="000000"/>
          <w:szCs w:val="21"/>
          <w:highlight w:val="none"/>
          <w:lang w:val="zh-CN"/>
        </w:rPr>
      </w:pPr>
    </w:p>
    <w:p w14:paraId="5B988732">
      <w:pPr>
        <w:widowControl/>
        <w:tabs>
          <w:tab w:val="left" w:pos="1440"/>
        </w:tabs>
        <w:spacing w:line="360" w:lineRule="auto"/>
        <w:ind w:firstLine="420"/>
        <w:jc w:val="left"/>
        <w:rPr>
          <w:rFonts w:hint="eastAsia" w:ascii="宋体" w:hAnsi="宋体" w:cs="宋体"/>
          <w:color w:val="000000"/>
          <w:szCs w:val="21"/>
          <w:highlight w:val="none"/>
          <w:lang w:val="zh-CN"/>
        </w:rPr>
      </w:pPr>
    </w:p>
    <w:p w14:paraId="058782ED">
      <w:pPr>
        <w:widowControl/>
        <w:tabs>
          <w:tab w:val="left" w:pos="1440"/>
        </w:tabs>
        <w:spacing w:line="360" w:lineRule="auto"/>
        <w:ind w:firstLine="420"/>
        <w:jc w:val="left"/>
        <w:rPr>
          <w:rFonts w:hint="eastAsia" w:ascii="宋体" w:hAnsi="宋体" w:cs="宋体"/>
          <w:color w:val="000000"/>
          <w:szCs w:val="21"/>
          <w:highlight w:val="none"/>
        </w:rPr>
      </w:pPr>
      <w:r>
        <w:rPr>
          <w:rFonts w:hint="eastAsia" w:ascii="宋体" w:hAnsi="宋体" w:cs="宋体"/>
          <w:color w:val="000000"/>
          <w:szCs w:val="21"/>
          <w:highlight w:val="none"/>
          <w:lang w:val="zh-CN"/>
        </w:rPr>
        <w:t>投标人为被授权人缴纳社保证明：</w:t>
      </w:r>
    </w:p>
    <w:p w14:paraId="3AB677F1">
      <w:pPr>
        <w:widowControl/>
        <w:spacing w:line="360" w:lineRule="auto"/>
        <w:jc w:val="left"/>
        <w:rPr>
          <w:rFonts w:hint="eastAsia" w:ascii="宋体" w:hAnsi="宋体" w:cs="宋体"/>
          <w:b/>
          <w:color w:val="000000"/>
          <w:szCs w:val="21"/>
          <w:highlight w:val="none"/>
          <w:lang w:val="zh-CN"/>
        </w:rPr>
        <w:sectPr>
          <w:endnotePr>
            <w:numFmt w:val="decimal"/>
          </w:endnotePr>
          <w:pgSz w:w="11906" w:h="16838"/>
          <w:pgMar w:top="1440" w:right="1800" w:bottom="1440" w:left="1800" w:header="567" w:footer="720" w:gutter="0"/>
          <w:pgNumType w:fmt="decimal"/>
          <w:cols w:space="1701" w:num="1"/>
          <w:docGrid w:linePitch="360" w:charSpace="0"/>
        </w:sectPr>
      </w:pPr>
    </w:p>
    <w:p w14:paraId="05243B16">
      <w:pPr>
        <w:widowControl/>
        <w:spacing w:line="360" w:lineRule="auto"/>
        <w:jc w:val="left"/>
        <w:rPr>
          <w:rFonts w:hint="eastAsia" w:ascii="宋体" w:hAnsi="宋体" w:cs="宋体"/>
          <w:b/>
          <w:color w:val="000000"/>
          <w:szCs w:val="21"/>
          <w:highlight w:val="none"/>
          <w:lang w:val="zh-CN"/>
        </w:rPr>
      </w:pPr>
      <w:r>
        <w:rPr>
          <w:rFonts w:hint="eastAsia" w:ascii="宋体" w:hAnsi="宋体" w:cs="宋体"/>
          <w:b/>
          <w:color w:val="000000"/>
          <w:szCs w:val="21"/>
          <w:highlight w:val="none"/>
        </w:rPr>
        <w:t>三</w:t>
      </w:r>
      <w:r>
        <w:rPr>
          <w:rFonts w:hint="eastAsia" w:ascii="宋体" w:hAnsi="宋体" w:cs="宋体"/>
          <w:b/>
          <w:color w:val="000000"/>
          <w:szCs w:val="21"/>
          <w:highlight w:val="none"/>
          <w:lang w:val="zh-CN"/>
        </w:rPr>
        <w:t>、开标一览表</w:t>
      </w:r>
    </w:p>
    <w:p w14:paraId="59FB68FF">
      <w:pPr>
        <w:pStyle w:val="262"/>
        <w:keepNext w:val="0"/>
        <w:keepLines w:val="0"/>
        <w:widowControl/>
        <w:jc w:val="center"/>
        <w:outlineLvl w:val="9"/>
        <w:rPr>
          <w:color w:val="000000"/>
          <w:sz w:val="21"/>
          <w:szCs w:val="21"/>
          <w:highlight w:val="none"/>
        </w:rPr>
      </w:pPr>
      <w:r>
        <w:rPr>
          <w:rStyle w:val="354"/>
          <w:b w:val="0"/>
          <w:color w:val="000000"/>
          <w:sz w:val="21"/>
          <w:szCs w:val="21"/>
          <w:highlight w:val="none"/>
        </w:rPr>
        <w:t>开标一览表</w:t>
      </w:r>
    </w:p>
    <w:p w14:paraId="1CF7ECB5">
      <w:pPr>
        <w:pStyle w:val="343"/>
        <w:rPr>
          <w:rFonts w:hint="eastAsia"/>
          <w:color w:val="000000"/>
          <w:sz w:val="21"/>
          <w:szCs w:val="21"/>
          <w:highlight w:val="none"/>
        </w:rPr>
      </w:pPr>
      <w:r>
        <w:rPr>
          <w:color w:val="000000"/>
          <w:sz w:val="21"/>
          <w:szCs w:val="21"/>
          <w:highlight w:val="none"/>
        </w:rPr>
        <w:t>投标人全称（CA公章）：</w:t>
      </w:r>
      <w:r>
        <w:rPr>
          <w:rFonts w:hint="eastAsia"/>
          <w:color w:val="000000"/>
          <w:sz w:val="21"/>
          <w:szCs w:val="21"/>
          <w:highlight w:val="none"/>
        </w:rPr>
        <w:t>投标人</w:t>
      </w:r>
      <w:r>
        <w:rPr>
          <w:color w:val="000000"/>
          <w:sz w:val="21"/>
          <w:szCs w:val="21"/>
          <w:highlight w:val="none"/>
        </w:rPr>
        <w:t>名称 </w:t>
      </w:r>
    </w:p>
    <w:p w14:paraId="6E40AF12">
      <w:pPr>
        <w:pStyle w:val="343"/>
        <w:rPr>
          <w:rFonts w:hint="eastAsia"/>
          <w:color w:val="000000"/>
          <w:sz w:val="21"/>
          <w:szCs w:val="21"/>
          <w:highlight w:val="none"/>
        </w:rPr>
      </w:pPr>
      <w:r>
        <w:rPr>
          <w:color w:val="000000"/>
          <w:sz w:val="21"/>
          <w:szCs w:val="21"/>
          <w:highlight w:val="none"/>
        </w:rPr>
        <w:t xml:space="preserve">项目名称： </w:t>
      </w:r>
      <w:r>
        <w:rPr>
          <w:rFonts w:hint="eastAsia"/>
          <w:color w:val="000000"/>
          <w:sz w:val="21"/>
          <w:szCs w:val="21"/>
          <w:highlight w:val="none"/>
        </w:rPr>
        <w:t xml:space="preserve"> </w:t>
      </w:r>
    </w:p>
    <w:p w14:paraId="42894524">
      <w:pPr>
        <w:pStyle w:val="343"/>
        <w:rPr>
          <w:rFonts w:hint="eastAsia"/>
          <w:color w:val="000000"/>
          <w:sz w:val="21"/>
          <w:szCs w:val="21"/>
          <w:highlight w:val="none"/>
        </w:rPr>
      </w:pPr>
      <w:r>
        <w:rPr>
          <w:color w:val="000000"/>
          <w:sz w:val="21"/>
          <w:szCs w:val="21"/>
          <w:highlight w:val="none"/>
        </w:rPr>
        <w:t>项目编号：  </w:t>
      </w:r>
    </w:p>
    <w:p w14:paraId="272E5CCF">
      <w:pPr>
        <w:pStyle w:val="343"/>
        <w:rPr>
          <w:rFonts w:hint="eastAsia"/>
          <w:color w:val="000000"/>
          <w:sz w:val="21"/>
          <w:szCs w:val="21"/>
          <w:highlight w:val="none"/>
        </w:rPr>
      </w:pPr>
      <w:r>
        <w:rPr>
          <w:color w:val="000000"/>
          <w:sz w:val="21"/>
          <w:szCs w:val="21"/>
          <w:highlight w:val="none"/>
        </w:rPr>
        <w:t>分包号： </w:t>
      </w:r>
    </w:p>
    <w:tbl>
      <w:tblPr>
        <w:tblStyle w:val="30"/>
        <w:tblW w:w="4515" w:type="pct"/>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082"/>
        <w:gridCol w:w="5527"/>
      </w:tblGrid>
      <w:tr w14:paraId="627B4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10" w:hRule="atLeast"/>
          <w:tblCellSpacing w:w="15" w:type="dxa"/>
        </w:trPr>
        <w:tc>
          <w:tcPr>
            <w:tcW w:w="898" w:type="dxa"/>
            <w:vAlign w:val="center"/>
          </w:tcPr>
          <w:p w14:paraId="38AB25CD">
            <w:pPr>
              <w:pStyle w:val="343"/>
              <w:jc w:val="center"/>
              <w:rPr>
                <w:rFonts w:hint="eastAsia"/>
                <w:color w:val="000000"/>
                <w:sz w:val="21"/>
                <w:szCs w:val="21"/>
                <w:highlight w:val="none"/>
              </w:rPr>
            </w:pPr>
            <w:r>
              <w:rPr>
                <w:color w:val="000000"/>
                <w:sz w:val="21"/>
                <w:szCs w:val="21"/>
                <w:highlight w:val="none"/>
              </w:rPr>
              <w:t>投标项目名称</w:t>
            </w:r>
          </w:p>
        </w:tc>
        <w:tc>
          <w:tcPr>
            <w:tcW w:w="2416" w:type="dxa"/>
            <w:vAlign w:val="center"/>
          </w:tcPr>
          <w:p w14:paraId="18D5F095">
            <w:pPr>
              <w:pStyle w:val="343"/>
              <w:jc w:val="center"/>
              <w:rPr>
                <w:rFonts w:hint="eastAsia"/>
                <w:color w:val="000000"/>
                <w:sz w:val="21"/>
                <w:szCs w:val="21"/>
                <w:highlight w:val="none"/>
              </w:rPr>
            </w:pPr>
            <w:r>
              <w:rPr>
                <w:rFonts w:hint="eastAsia"/>
                <w:color w:val="000000"/>
                <w:sz w:val="21"/>
                <w:szCs w:val="21"/>
                <w:highlight w:val="none"/>
              </w:rPr>
              <w:t>报价（万元）</w:t>
            </w:r>
          </w:p>
        </w:tc>
      </w:tr>
      <w:tr w14:paraId="1B4FE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825" w:hRule="atLeast"/>
          <w:tblCellSpacing w:w="15" w:type="dxa"/>
        </w:trPr>
        <w:tc>
          <w:tcPr>
            <w:tcW w:w="898" w:type="dxa"/>
            <w:vAlign w:val="center"/>
          </w:tcPr>
          <w:p w14:paraId="2E3BCE06">
            <w:pPr>
              <w:widowControl/>
              <w:jc w:val="center"/>
              <w:rPr>
                <w:color w:val="000000"/>
                <w:szCs w:val="21"/>
                <w:highlight w:val="none"/>
              </w:rPr>
            </w:pPr>
            <w:r>
              <w:rPr>
                <w:rFonts w:ascii="宋体" w:hAnsi="宋体" w:cs="宋体"/>
                <w:color w:val="000000"/>
                <w:szCs w:val="21"/>
                <w:highlight w:val="none"/>
                <w:lang w:bidi="ar"/>
              </w:rPr>
              <w:t> 投标</w:t>
            </w:r>
            <w:r>
              <w:rPr>
                <w:rFonts w:hint="eastAsia" w:ascii="宋体" w:hAnsi="宋体" w:cs="宋体"/>
                <w:color w:val="000000"/>
                <w:szCs w:val="21"/>
                <w:highlight w:val="none"/>
                <w:lang w:bidi="ar"/>
              </w:rPr>
              <w:t>项目</w:t>
            </w:r>
            <w:r>
              <w:rPr>
                <w:rFonts w:ascii="宋体" w:hAnsi="宋体" w:cs="宋体"/>
                <w:color w:val="000000"/>
                <w:szCs w:val="21"/>
                <w:highlight w:val="none"/>
                <w:lang w:bidi="ar"/>
              </w:rPr>
              <w:t>名称 </w:t>
            </w:r>
          </w:p>
        </w:tc>
        <w:tc>
          <w:tcPr>
            <w:tcW w:w="2416" w:type="dxa"/>
            <w:vAlign w:val="center"/>
          </w:tcPr>
          <w:p w14:paraId="475B7979">
            <w:pPr>
              <w:pStyle w:val="343"/>
              <w:rPr>
                <w:rFonts w:hint="eastAsia"/>
                <w:color w:val="000000"/>
                <w:sz w:val="21"/>
                <w:szCs w:val="21"/>
                <w:highlight w:val="none"/>
              </w:rPr>
            </w:pPr>
            <w:r>
              <w:rPr>
                <w:color w:val="000000"/>
                <w:sz w:val="21"/>
                <w:szCs w:val="21"/>
                <w:highlight w:val="none"/>
              </w:rPr>
              <w:t>  </w:t>
            </w:r>
          </w:p>
        </w:tc>
      </w:tr>
    </w:tbl>
    <w:p w14:paraId="626E6F75">
      <w:pPr>
        <w:pStyle w:val="343"/>
        <w:rPr>
          <w:rFonts w:hint="eastAsia"/>
          <w:color w:val="000000"/>
          <w:sz w:val="21"/>
          <w:szCs w:val="21"/>
          <w:highlight w:val="none"/>
        </w:rPr>
      </w:pPr>
      <w:r>
        <w:rPr>
          <w:color w:val="000000"/>
          <w:sz w:val="21"/>
          <w:szCs w:val="21"/>
          <w:highlight w:val="none"/>
        </w:rPr>
        <w:t>           </w:t>
      </w:r>
      <w:r>
        <w:rPr>
          <w:rFonts w:hint="eastAsia"/>
          <w:color w:val="000000"/>
          <w:sz w:val="21"/>
          <w:szCs w:val="21"/>
          <w:highlight w:val="none"/>
        </w:rPr>
        <w:t xml:space="preserve">                                       </w:t>
      </w:r>
      <w:r>
        <w:rPr>
          <w:color w:val="000000"/>
          <w:sz w:val="21"/>
          <w:szCs w:val="21"/>
          <w:highlight w:val="none"/>
        </w:rPr>
        <w:t>年 月 日</w:t>
      </w:r>
    </w:p>
    <w:p w14:paraId="41B6B472">
      <w:pPr>
        <w:rPr>
          <w:rFonts w:ascii="宋体" w:cs="宋体"/>
          <w:b/>
          <w:color w:val="000000"/>
          <w:szCs w:val="21"/>
          <w:highlight w:val="none"/>
          <w:lang w:val="zh-CN"/>
        </w:rPr>
      </w:pPr>
    </w:p>
    <w:p w14:paraId="19354432">
      <w:pPr>
        <w:widowControl/>
        <w:spacing w:line="360" w:lineRule="auto"/>
        <w:jc w:val="left"/>
        <w:rPr>
          <w:rFonts w:hint="eastAsia" w:ascii="宋体" w:hAnsi="宋体" w:cs="宋体"/>
          <w:b/>
          <w:color w:val="000000"/>
          <w:szCs w:val="21"/>
          <w:highlight w:val="none"/>
          <w:lang w:val="zh-CN"/>
        </w:rPr>
      </w:pPr>
    </w:p>
    <w:p w14:paraId="2B85F048">
      <w:pPr>
        <w:widowControl/>
        <w:shd w:val="clear" w:color="auto" w:fill="FFFFFF"/>
        <w:spacing w:line="360" w:lineRule="auto"/>
        <w:jc w:val="left"/>
        <w:rPr>
          <w:rFonts w:hint="eastAsia" w:ascii="宋体" w:hAnsi="宋体"/>
          <w:b/>
          <w:bCs/>
          <w:color w:val="000000"/>
          <w:szCs w:val="21"/>
          <w:highlight w:val="none"/>
          <w:lang w:val="zh-CN"/>
        </w:rPr>
      </w:pPr>
      <w:r>
        <w:rPr>
          <w:rFonts w:ascii="宋体" w:hAnsi="宋体"/>
          <w:b/>
          <w:bCs/>
          <w:color w:val="000000"/>
          <w:szCs w:val="21"/>
          <w:highlight w:val="none"/>
          <w:lang w:val="zh-CN"/>
        </w:rPr>
        <w:br w:type="page" w:clear="all"/>
      </w:r>
    </w:p>
    <w:p w14:paraId="4C5FC3E3">
      <w:pPr>
        <w:spacing w:line="360" w:lineRule="auto"/>
        <w:jc w:val="left"/>
        <w:rPr>
          <w:rFonts w:hint="eastAsia" w:ascii="宋体" w:hAnsi="宋体" w:cs="宋体"/>
          <w:b/>
          <w:color w:val="000000"/>
          <w:szCs w:val="21"/>
          <w:highlight w:val="none"/>
        </w:rPr>
      </w:pPr>
      <w:r>
        <w:rPr>
          <w:rFonts w:hint="eastAsia" w:ascii="宋体" w:hAnsi="宋体" w:cs="宋体"/>
          <w:b/>
          <w:color w:val="000000"/>
          <w:szCs w:val="21"/>
          <w:highlight w:val="none"/>
        </w:rPr>
        <w:t>四、分项报价</w:t>
      </w:r>
    </w:p>
    <w:tbl>
      <w:tblPr>
        <w:tblStyle w:val="30"/>
        <w:tblW w:w="378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9"/>
        <w:gridCol w:w="1304"/>
        <w:gridCol w:w="1393"/>
        <w:gridCol w:w="748"/>
        <w:gridCol w:w="1393"/>
        <w:gridCol w:w="1080"/>
      </w:tblGrid>
      <w:tr w14:paraId="7C8E08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1" w:type="pct"/>
            <w:vAlign w:val="center"/>
          </w:tcPr>
          <w:p w14:paraId="10EAAB1E">
            <w:pPr>
              <w:pStyle w:val="748"/>
              <w:spacing w:before="33" w:line="194" w:lineRule="auto"/>
              <w:jc w:val="center"/>
              <w:rPr>
                <w:rFonts w:hint="eastAsia"/>
                <w:color w:val="000000"/>
                <w:sz w:val="21"/>
                <w:szCs w:val="21"/>
                <w:highlight w:val="none"/>
              </w:rPr>
            </w:pPr>
            <w:r>
              <w:rPr>
                <w:rFonts w:hint="eastAsia"/>
                <w:color w:val="000000"/>
                <w:spacing w:val="-2"/>
                <w:sz w:val="21"/>
                <w:szCs w:val="21"/>
                <w:highlight w:val="none"/>
              </w:rPr>
              <w:t>序号</w:t>
            </w:r>
          </w:p>
        </w:tc>
        <w:tc>
          <w:tcPr>
            <w:tcW w:w="1035" w:type="pct"/>
            <w:vAlign w:val="center"/>
          </w:tcPr>
          <w:p w14:paraId="15B35499">
            <w:pPr>
              <w:pStyle w:val="748"/>
              <w:spacing w:before="35" w:line="192" w:lineRule="auto"/>
              <w:jc w:val="center"/>
              <w:rPr>
                <w:rFonts w:hint="eastAsia"/>
                <w:color w:val="000000"/>
                <w:sz w:val="21"/>
                <w:szCs w:val="21"/>
                <w:highlight w:val="none"/>
              </w:rPr>
            </w:pPr>
            <w:r>
              <w:rPr>
                <w:rFonts w:hint="eastAsia"/>
                <w:color w:val="000000"/>
                <w:spacing w:val="16"/>
                <w:sz w:val="21"/>
                <w:szCs w:val="21"/>
                <w:highlight w:val="none"/>
                <w:lang w:eastAsia="zh-CN"/>
              </w:rPr>
              <w:t>项目内容</w:t>
            </w:r>
          </w:p>
        </w:tc>
        <w:tc>
          <w:tcPr>
            <w:tcW w:w="1105" w:type="pct"/>
            <w:vAlign w:val="center"/>
          </w:tcPr>
          <w:p w14:paraId="1BC13BFD">
            <w:pPr>
              <w:pStyle w:val="748"/>
              <w:spacing w:before="31" w:line="196" w:lineRule="auto"/>
              <w:jc w:val="center"/>
              <w:rPr>
                <w:rFonts w:hint="eastAsia"/>
                <w:color w:val="000000"/>
                <w:sz w:val="21"/>
                <w:szCs w:val="21"/>
                <w:highlight w:val="none"/>
                <w:lang w:eastAsia="zh-CN"/>
              </w:rPr>
            </w:pPr>
            <w:r>
              <w:rPr>
                <w:rFonts w:hint="eastAsia"/>
                <w:color w:val="000000"/>
                <w:spacing w:val="-2"/>
                <w:sz w:val="21"/>
                <w:szCs w:val="21"/>
                <w:highlight w:val="none"/>
                <w:lang w:eastAsia="zh-CN"/>
              </w:rPr>
              <w:t>控制价（元）</w:t>
            </w:r>
          </w:p>
        </w:tc>
        <w:tc>
          <w:tcPr>
            <w:tcW w:w="593" w:type="pct"/>
            <w:vAlign w:val="center"/>
          </w:tcPr>
          <w:p w14:paraId="5F271A8C">
            <w:pPr>
              <w:pStyle w:val="748"/>
              <w:tabs>
                <w:tab w:val="left" w:pos="2940"/>
                <w:tab w:val="left" w:pos="3150"/>
              </w:tabs>
              <w:spacing w:before="29" w:line="196" w:lineRule="auto"/>
              <w:jc w:val="center"/>
              <w:rPr>
                <w:rFonts w:hint="eastAsia"/>
                <w:color w:val="000000"/>
                <w:spacing w:val="-2"/>
                <w:sz w:val="21"/>
                <w:szCs w:val="21"/>
                <w:highlight w:val="none"/>
                <w:lang w:eastAsia="zh-CN"/>
              </w:rPr>
            </w:pPr>
            <w:r>
              <w:rPr>
                <w:rFonts w:hint="eastAsia"/>
                <w:color w:val="000000"/>
                <w:spacing w:val="-2"/>
                <w:sz w:val="21"/>
                <w:szCs w:val="21"/>
                <w:highlight w:val="none"/>
                <w:lang w:eastAsia="zh-CN"/>
              </w:rPr>
              <w:t>下浮率</w:t>
            </w:r>
          </w:p>
        </w:tc>
        <w:tc>
          <w:tcPr>
            <w:tcW w:w="1105" w:type="pct"/>
            <w:vAlign w:val="center"/>
          </w:tcPr>
          <w:p w14:paraId="7A324B31">
            <w:pPr>
              <w:pStyle w:val="748"/>
              <w:tabs>
                <w:tab w:val="left" w:pos="2940"/>
                <w:tab w:val="left" w:pos="3150"/>
              </w:tabs>
              <w:spacing w:before="29" w:line="196" w:lineRule="auto"/>
              <w:jc w:val="center"/>
              <w:rPr>
                <w:rFonts w:hint="eastAsia"/>
                <w:color w:val="000000"/>
                <w:spacing w:val="-2"/>
                <w:sz w:val="21"/>
                <w:szCs w:val="21"/>
                <w:highlight w:val="none"/>
                <w:lang w:eastAsia="zh-CN"/>
              </w:rPr>
            </w:pPr>
            <w:r>
              <w:rPr>
                <w:rFonts w:hint="eastAsia"/>
                <w:color w:val="000000"/>
                <w:spacing w:val="-2"/>
                <w:sz w:val="21"/>
                <w:szCs w:val="21"/>
                <w:highlight w:val="none"/>
                <w:lang w:eastAsia="zh-CN"/>
              </w:rPr>
              <w:t>下浮后分项价格（元）</w:t>
            </w:r>
          </w:p>
        </w:tc>
        <w:tc>
          <w:tcPr>
            <w:tcW w:w="857" w:type="pct"/>
            <w:vAlign w:val="center"/>
          </w:tcPr>
          <w:p w14:paraId="767B8AF0">
            <w:pPr>
              <w:pStyle w:val="748"/>
              <w:tabs>
                <w:tab w:val="left" w:pos="2940"/>
                <w:tab w:val="left" w:pos="3150"/>
              </w:tabs>
              <w:spacing w:before="29" w:line="196" w:lineRule="auto"/>
              <w:jc w:val="center"/>
              <w:rPr>
                <w:rFonts w:hint="eastAsia"/>
                <w:color w:val="000000"/>
                <w:sz w:val="21"/>
                <w:szCs w:val="21"/>
                <w:highlight w:val="none"/>
              </w:rPr>
            </w:pPr>
            <w:r>
              <w:rPr>
                <w:rFonts w:hint="eastAsia"/>
                <w:color w:val="000000"/>
                <w:spacing w:val="-2"/>
                <w:sz w:val="21"/>
                <w:szCs w:val="21"/>
                <w:highlight w:val="none"/>
              </w:rPr>
              <w:t>备注</w:t>
            </w:r>
          </w:p>
        </w:tc>
      </w:tr>
      <w:tr w14:paraId="19946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1" w:type="pct"/>
            <w:vAlign w:val="center"/>
          </w:tcPr>
          <w:p w14:paraId="6FD60113">
            <w:pPr>
              <w:spacing w:line="229" w:lineRule="exact"/>
              <w:jc w:val="center"/>
              <w:rPr>
                <w:rFonts w:ascii="Arial"/>
                <w:color w:val="000000"/>
                <w:szCs w:val="21"/>
                <w:highlight w:val="none"/>
              </w:rPr>
            </w:pPr>
            <w:r>
              <w:rPr>
                <w:rFonts w:ascii="Arial"/>
                <w:color w:val="000000"/>
                <w:szCs w:val="21"/>
                <w:highlight w:val="none"/>
              </w:rPr>
              <w:t>1</w:t>
            </w:r>
          </w:p>
        </w:tc>
        <w:tc>
          <w:tcPr>
            <w:tcW w:w="1035" w:type="pct"/>
            <w:vAlign w:val="center"/>
          </w:tcPr>
          <w:p w14:paraId="57567559">
            <w:pPr>
              <w:spacing w:line="229" w:lineRule="exact"/>
              <w:jc w:val="center"/>
              <w:rPr>
                <w:rFonts w:ascii="Arial"/>
                <w:color w:val="000000"/>
                <w:szCs w:val="21"/>
                <w:highlight w:val="none"/>
              </w:rPr>
            </w:pPr>
            <w:r>
              <w:rPr>
                <w:rFonts w:hint="eastAsia" w:ascii="Arial"/>
                <w:color w:val="000000"/>
                <w:szCs w:val="21"/>
                <w:highlight w:val="none"/>
              </w:rPr>
              <w:t>墓穴基础建设</w:t>
            </w:r>
          </w:p>
        </w:tc>
        <w:tc>
          <w:tcPr>
            <w:tcW w:w="1105" w:type="pct"/>
            <w:vAlign w:val="center"/>
          </w:tcPr>
          <w:p w14:paraId="2AE0B1C6">
            <w:pPr>
              <w:spacing w:line="229" w:lineRule="exact"/>
              <w:jc w:val="center"/>
              <w:rPr>
                <w:rFonts w:hint="default" w:ascii="Arial" w:eastAsia="宋体"/>
                <w:color w:val="000000"/>
                <w:szCs w:val="21"/>
                <w:highlight w:val="none"/>
                <w:lang w:val="en-US" w:eastAsia="zh-CN"/>
              </w:rPr>
            </w:pPr>
            <w:r>
              <w:rPr>
                <w:rFonts w:hint="eastAsia" w:ascii="Arial"/>
                <w:color w:val="000000"/>
                <w:szCs w:val="21"/>
                <w:highlight w:val="none"/>
                <w:lang w:val="en-US" w:eastAsia="zh-CN"/>
              </w:rPr>
              <w:t>593658</w:t>
            </w:r>
          </w:p>
        </w:tc>
        <w:tc>
          <w:tcPr>
            <w:tcW w:w="593" w:type="pct"/>
            <w:vAlign w:val="center"/>
          </w:tcPr>
          <w:p w14:paraId="0910B5A0">
            <w:pPr>
              <w:spacing w:line="229" w:lineRule="exact"/>
              <w:jc w:val="center"/>
              <w:rPr>
                <w:rFonts w:ascii="Arial"/>
                <w:color w:val="000000"/>
                <w:szCs w:val="21"/>
                <w:highlight w:val="none"/>
              </w:rPr>
            </w:pPr>
          </w:p>
        </w:tc>
        <w:tc>
          <w:tcPr>
            <w:tcW w:w="1105" w:type="pct"/>
            <w:vAlign w:val="center"/>
          </w:tcPr>
          <w:p w14:paraId="6114738B">
            <w:pPr>
              <w:spacing w:line="229" w:lineRule="exact"/>
              <w:jc w:val="center"/>
              <w:rPr>
                <w:rFonts w:ascii="Arial"/>
                <w:color w:val="000000"/>
                <w:szCs w:val="21"/>
                <w:highlight w:val="none"/>
              </w:rPr>
            </w:pPr>
          </w:p>
        </w:tc>
        <w:tc>
          <w:tcPr>
            <w:tcW w:w="857" w:type="pct"/>
            <w:vAlign w:val="center"/>
          </w:tcPr>
          <w:p w14:paraId="68A19314">
            <w:pPr>
              <w:spacing w:line="229" w:lineRule="exact"/>
              <w:jc w:val="center"/>
              <w:rPr>
                <w:rFonts w:ascii="Arial"/>
                <w:color w:val="000000"/>
                <w:szCs w:val="21"/>
                <w:highlight w:val="none"/>
              </w:rPr>
            </w:pPr>
            <w:r>
              <w:rPr>
                <w:rFonts w:hint="eastAsia" w:ascii="Arial"/>
                <w:color w:val="000000"/>
                <w:szCs w:val="21"/>
                <w:highlight w:val="none"/>
              </w:rPr>
              <w:t>3年</w:t>
            </w:r>
          </w:p>
        </w:tc>
      </w:tr>
      <w:tr w14:paraId="7A2D54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1" w:type="pct"/>
            <w:vAlign w:val="center"/>
          </w:tcPr>
          <w:p w14:paraId="6C9661FD">
            <w:pPr>
              <w:jc w:val="center"/>
              <w:rPr>
                <w:rFonts w:ascii="Arial"/>
                <w:color w:val="000000"/>
                <w:szCs w:val="21"/>
                <w:highlight w:val="none"/>
              </w:rPr>
            </w:pPr>
            <w:r>
              <w:rPr>
                <w:rFonts w:ascii="Arial"/>
                <w:color w:val="000000"/>
                <w:szCs w:val="21"/>
                <w:highlight w:val="none"/>
              </w:rPr>
              <w:t>2</w:t>
            </w:r>
          </w:p>
        </w:tc>
        <w:tc>
          <w:tcPr>
            <w:tcW w:w="1035" w:type="pct"/>
            <w:vAlign w:val="center"/>
          </w:tcPr>
          <w:p w14:paraId="603A16C7">
            <w:pPr>
              <w:jc w:val="center"/>
              <w:rPr>
                <w:rFonts w:hint="eastAsia" w:ascii="Arial"/>
                <w:color w:val="000000"/>
                <w:szCs w:val="21"/>
                <w:highlight w:val="none"/>
              </w:rPr>
            </w:pPr>
            <w:r>
              <w:rPr>
                <w:rFonts w:hint="eastAsia" w:ascii="Arial"/>
                <w:color w:val="000000"/>
                <w:szCs w:val="21"/>
                <w:highlight w:val="none"/>
              </w:rPr>
              <w:t>落葬服务</w:t>
            </w:r>
            <w:r>
              <w:rPr>
                <w:rFonts w:hint="eastAsia" w:ascii="Arial"/>
                <w:color w:val="000000"/>
                <w:szCs w:val="21"/>
                <w:highlight w:val="none"/>
                <w:lang w:eastAsia="zh-CN"/>
              </w:rPr>
              <w:t>、</w:t>
            </w:r>
            <w:r>
              <w:rPr>
                <w:rFonts w:hint="eastAsia" w:ascii="Arial"/>
                <w:color w:val="000000"/>
                <w:szCs w:val="21"/>
                <w:highlight w:val="none"/>
              </w:rPr>
              <w:t>墓体安装</w:t>
            </w:r>
          </w:p>
        </w:tc>
        <w:tc>
          <w:tcPr>
            <w:tcW w:w="1105" w:type="pct"/>
            <w:vAlign w:val="center"/>
          </w:tcPr>
          <w:p w14:paraId="2F88B17A">
            <w:pPr>
              <w:jc w:val="center"/>
              <w:rPr>
                <w:rFonts w:hint="default" w:ascii="Arial" w:eastAsia="宋体"/>
                <w:color w:val="000000"/>
                <w:szCs w:val="21"/>
                <w:highlight w:val="none"/>
                <w:lang w:val="en-US" w:eastAsia="zh-CN"/>
              </w:rPr>
            </w:pPr>
            <w:r>
              <w:rPr>
                <w:rFonts w:hint="eastAsia" w:ascii="Arial"/>
                <w:color w:val="000000"/>
                <w:szCs w:val="21"/>
                <w:highlight w:val="none"/>
                <w:lang w:val="en-US" w:eastAsia="zh-CN"/>
              </w:rPr>
              <w:t>3569790</w:t>
            </w:r>
          </w:p>
        </w:tc>
        <w:tc>
          <w:tcPr>
            <w:tcW w:w="593" w:type="pct"/>
            <w:vAlign w:val="center"/>
          </w:tcPr>
          <w:p w14:paraId="2A0D5F5A">
            <w:pPr>
              <w:jc w:val="center"/>
              <w:rPr>
                <w:rFonts w:ascii="Arial"/>
                <w:color w:val="000000"/>
                <w:szCs w:val="21"/>
                <w:highlight w:val="none"/>
              </w:rPr>
            </w:pPr>
          </w:p>
        </w:tc>
        <w:tc>
          <w:tcPr>
            <w:tcW w:w="1105" w:type="pct"/>
            <w:vAlign w:val="center"/>
          </w:tcPr>
          <w:p w14:paraId="5E0FC4DA">
            <w:pPr>
              <w:jc w:val="center"/>
              <w:rPr>
                <w:rFonts w:ascii="Arial"/>
                <w:color w:val="000000"/>
                <w:szCs w:val="21"/>
                <w:highlight w:val="none"/>
              </w:rPr>
            </w:pPr>
          </w:p>
        </w:tc>
        <w:tc>
          <w:tcPr>
            <w:tcW w:w="857" w:type="pct"/>
            <w:vAlign w:val="center"/>
          </w:tcPr>
          <w:p w14:paraId="1DFFD223">
            <w:pPr>
              <w:jc w:val="center"/>
              <w:rPr>
                <w:rFonts w:ascii="Arial"/>
                <w:color w:val="000000"/>
                <w:szCs w:val="21"/>
                <w:highlight w:val="none"/>
                <w:lang w:eastAsia="en-US"/>
              </w:rPr>
            </w:pPr>
            <w:r>
              <w:rPr>
                <w:rFonts w:hint="eastAsia" w:ascii="Arial"/>
                <w:color w:val="000000"/>
                <w:szCs w:val="21"/>
                <w:highlight w:val="none"/>
              </w:rPr>
              <w:t>3年</w:t>
            </w:r>
          </w:p>
        </w:tc>
      </w:tr>
      <w:tr w14:paraId="63481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1" w:type="pct"/>
            <w:vAlign w:val="center"/>
          </w:tcPr>
          <w:p w14:paraId="38140B50">
            <w:pPr>
              <w:spacing w:line="240" w:lineRule="exact"/>
              <w:jc w:val="center"/>
              <w:rPr>
                <w:rFonts w:ascii="Arial"/>
                <w:color w:val="000000"/>
                <w:szCs w:val="21"/>
                <w:highlight w:val="none"/>
              </w:rPr>
            </w:pPr>
            <w:r>
              <w:rPr>
                <w:rFonts w:ascii="Arial"/>
                <w:color w:val="000000"/>
                <w:szCs w:val="21"/>
                <w:highlight w:val="none"/>
              </w:rPr>
              <w:t>3</w:t>
            </w:r>
          </w:p>
        </w:tc>
        <w:tc>
          <w:tcPr>
            <w:tcW w:w="1035" w:type="pct"/>
            <w:vAlign w:val="center"/>
          </w:tcPr>
          <w:p w14:paraId="7402D4B3">
            <w:pPr>
              <w:spacing w:line="240" w:lineRule="exact"/>
              <w:jc w:val="center"/>
              <w:rPr>
                <w:rFonts w:ascii="Arial"/>
                <w:color w:val="000000"/>
                <w:szCs w:val="21"/>
                <w:highlight w:val="none"/>
              </w:rPr>
            </w:pPr>
            <w:r>
              <w:rPr>
                <w:rFonts w:hint="eastAsia" w:ascii="Arial"/>
                <w:color w:val="000000"/>
                <w:szCs w:val="21"/>
                <w:highlight w:val="none"/>
              </w:rPr>
              <w:t>环境整治、绿化保洁、值守、材料保管</w:t>
            </w:r>
          </w:p>
        </w:tc>
        <w:tc>
          <w:tcPr>
            <w:tcW w:w="1105" w:type="pct"/>
            <w:vAlign w:val="center"/>
          </w:tcPr>
          <w:p w14:paraId="2BA6D2A9">
            <w:pPr>
              <w:spacing w:line="240" w:lineRule="exact"/>
              <w:jc w:val="center"/>
              <w:rPr>
                <w:rFonts w:hint="default" w:ascii="Arial" w:eastAsia="宋体"/>
                <w:color w:val="000000"/>
                <w:szCs w:val="21"/>
                <w:highlight w:val="none"/>
                <w:lang w:val="en-US" w:eastAsia="zh-CN"/>
              </w:rPr>
            </w:pPr>
            <w:r>
              <w:rPr>
                <w:rFonts w:hint="eastAsia" w:ascii="Arial"/>
                <w:color w:val="000000"/>
                <w:szCs w:val="21"/>
                <w:highlight w:val="none"/>
                <w:lang w:val="en-US" w:eastAsia="zh-CN"/>
              </w:rPr>
              <w:t>495000</w:t>
            </w:r>
          </w:p>
        </w:tc>
        <w:tc>
          <w:tcPr>
            <w:tcW w:w="593" w:type="pct"/>
            <w:vAlign w:val="center"/>
          </w:tcPr>
          <w:p w14:paraId="39EC6C25">
            <w:pPr>
              <w:spacing w:line="240" w:lineRule="exact"/>
              <w:jc w:val="center"/>
              <w:rPr>
                <w:rFonts w:ascii="Arial"/>
                <w:color w:val="000000"/>
                <w:szCs w:val="21"/>
                <w:highlight w:val="none"/>
              </w:rPr>
            </w:pPr>
          </w:p>
        </w:tc>
        <w:tc>
          <w:tcPr>
            <w:tcW w:w="1105" w:type="pct"/>
            <w:vAlign w:val="center"/>
          </w:tcPr>
          <w:p w14:paraId="3DFD9D9C">
            <w:pPr>
              <w:spacing w:line="240" w:lineRule="exact"/>
              <w:jc w:val="center"/>
              <w:rPr>
                <w:rFonts w:ascii="Arial"/>
                <w:color w:val="000000"/>
                <w:szCs w:val="21"/>
                <w:highlight w:val="none"/>
              </w:rPr>
            </w:pPr>
          </w:p>
        </w:tc>
        <w:tc>
          <w:tcPr>
            <w:tcW w:w="857" w:type="pct"/>
            <w:vAlign w:val="center"/>
          </w:tcPr>
          <w:p w14:paraId="45943F2A">
            <w:pPr>
              <w:spacing w:line="240" w:lineRule="exact"/>
              <w:jc w:val="center"/>
              <w:rPr>
                <w:rFonts w:ascii="Arial"/>
                <w:color w:val="000000"/>
                <w:szCs w:val="21"/>
                <w:highlight w:val="none"/>
                <w:lang w:eastAsia="en-US"/>
              </w:rPr>
            </w:pPr>
            <w:r>
              <w:rPr>
                <w:rFonts w:hint="eastAsia" w:ascii="Arial"/>
                <w:color w:val="000000"/>
                <w:szCs w:val="21"/>
                <w:highlight w:val="none"/>
              </w:rPr>
              <w:t>3年</w:t>
            </w:r>
          </w:p>
        </w:tc>
      </w:tr>
      <w:tr w14:paraId="19BEB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1" w:type="pct"/>
            <w:vAlign w:val="center"/>
          </w:tcPr>
          <w:p w14:paraId="5EDE4812">
            <w:pPr>
              <w:spacing w:line="240" w:lineRule="exact"/>
              <w:jc w:val="center"/>
              <w:rPr>
                <w:rFonts w:ascii="Arial"/>
                <w:color w:val="000000"/>
                <w:szCs w:val="21"/>
                <w:highlight w:val="none"/>
              </w:rPr>
            </w:pPr>
            <w:r>
              <w:rPr>
                <w:rFonts w:ascii="Arial"/>
                <w:color w:val="000000"/>
                <w:szCs w:val="21"/>
                <w:highlight w:val="none"/>
              </w:rPr>
              <w:t>4</w:t>
            </w:r>
          </w:p>
        </w:tc>
        <w:tc>
          <w:tcPr>
            <w:tcW w:w="1035" w:type="pct"/>
            <w:vAlign w:val="center"/>
          </w:tcPr>
          <w:p w14:paraId="107FB967">
            <w:pPr>
              <w:spacing w:line="240" w:lineRule="exact"/>
              <w:jc w:val="center"/>
              <w:rPr>
                <w:rFonts w:ascii="Arial"/>
                <w:color w:val="000000"/>
                <w:szCs w:val="21"/>
                <w:highlight w:val="none"/>
              </w:rPr>
            </w:pPr>
            <w:r>
              <w:rPr>
                <w:rFonts w:hint="eastAsia" w:ascii="Arial"/>
                <w:color w:val="000000"/>
                <w:szCs w:val="21"/>
                <w:highlight w:val="none"/>
              </w:rPr>
              <w:t>零星维修</w:t>
            </w:r>
          </w:p>
        </w:tc>
        <w:tc>
          <w:tcPr>
            <w:tcW w:w="1105" w:type="pct"/>
            <w:vAlign w:val="center"/>
          </w:tcPr>
          <w:p w14:paraId="0EF85640">
            <w:pPr>
              <w:spacing w:line="240" w:lineRule="exact"/>
              <w:jc w:val="center"/>
              <w:rPr>
                <w:rFonts w:hint="default" w:ascii="Arial" w:eastAsia="宋体"/>
                <w:color w:val="000000"/>
                <w:szCs w:val="21"/>
                <w:highlight w:val="none"/>
                <w:lang w:val="en-US" w:eastAsia="zh-CN"/>
              </w:rPr>
            </w:pPr>
            <w:r>
              <w:rPr>
                <w:rFonts w:hint="eastAsia" w:ascii="Arial"/>
                <w:color w:val="000000"/>
                <w:szCs w:val="21"/>
                <w:highlight w:val="none"/>
                <w:lang w:val="en-US" w:eastAsia="zh-CN"/>
              </w:rPr>
              <w:t>737187</w:t>
            </w:r>
          </w:p>
        </w:tc>
        <w:tc>
          <w:tcPr>
            <w:tcW w:w="593" w:type="pct"/>
            <w:vAlign w:val="center"/>
          </w:tcPr>
          <w:p w14:paraId="681180B5">
            <w:pPr>
              <w:spacing w:line="240" w:lineRule="exact"/>
              <w:jc w:val="center"/>
              <w:rPr>
                <w:rFonts w:ascii="Arial"/>
                <w:color w:val="000000"/>
                <w:szCs w:val="21"/>
                <w:highlight w:val="none"/>
              </w:rPr>
            </w:pPr>
          </w:p>
        </w:tc>
        <w:tc>
          <w:tcPr>
            <w:tcW w:w="1105" w:type="pct"/>
            <w:vAlign w:val="center"/>
          </w:tcPr>
          <w:p w14:paraId="02838716">
            <w:pPr>
              <w:spacing w:line="240" w:lineRule="exact"/>
              <w:jc w:val="center"/>
              <w:rPr>
                <w:rFonts w:ascii="Arial"/>
                <w:color w:val="000000"/>
                <w:szCs w:val="21"/>
                <w:highlight w:val="none"/>
              </w:rPr>
            </w:pPr>
          </w:p>
        </w:tc>
        <w:tc>
          <w:tcPr>
            <w:tcW w:w="857" w:type="pct"/>
            <w:vAlign w:val="center"/>
          </w:tcPr>
          <w:p w14:paraId="0AE1F69E">
            <w:pPr>
              <w:spacing w:line="240" w:lineRule="exact"/>
              <w:jc w:val="center"/>
              <w:rPr>
                <w:rFonts w:ascii="Arial"/>
                <w:color w:val="000000"/>
                <w:szCs w:val="21"/>
                <w:highlight w:val="none"/>
              </w:rPr>
            </w:pPr>
            <w:r>
              <w:rPr>
                <w:rFonts w:hint="eastAsia" w:ascii="Arial"/>
                <w:color w:val="000000"/>
                <w:szCs w:val="21"/>
                <w:highlight w:val="none"/>
              </w:rPr>
              <w:t>3年</w:t>
            </w:r>
          </w:p>
        </w:tc>
      </w:tr>
      <w:tr w14:paraId="45E965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3036" w:type="pct"/>
            <w:gridSpan w:val="4"/>
            <w:vAlign w:val="center"/>
          </w:tcPr>
          <w:p w14:paraId="43ADD710">
            <w:pPr>
              <w:spacing w:line="240" w:lineRule="exact"/>
              <w:jc w:val="center"/>
              <w:rPr>
                <w:rFonts w:ascii="Arial"/>
                <w:color w:val="000000"/>
                <w:szCs w:val="21"/>
                <w:highlight w:val="none"/>
              </w:rPr>
            </w:pPr>
            <w:r>
              <w:rPr>
                <w:rFonts w:hint="eastAsia" w:ascii="Arial"/>
                <w:color w:val="000000"/>
                <w:szCs w:val="21"/>
                <w:highlight w:val="none"/>
              </w:rPr>
              <w:t>合计</w:t>
            </w:r>
          </w:p>
        </w:tc>
        <w:tc>
          <w:tcPr>
            <w:tcW w:w="1105" w:type="pct"/>
            <w:vAlign w:val="center"/>
          </w:tcPr>
          <w:p w14:paraId="7F204688">
            <w:pPr>
              <w:spacing w:line="240" w:lineRule="exact"/>
              <w:jc w:val="center"/>
              <w:rPr>
                <w:rFonts w:ascii="Arial"/>
                <w:color w:val="000000"/>
                <w:szCs w:val="21"/>
                <w:highlight w:val="none"/>
              </w:rPr>
            </w:pPr>
          </w:p>
        </w:tc>
        <w:tc>
          <w:tcPr>
            <w:tcW w:w="857" w:type="pct"/>
            <w:vAlign w:val="center"/>
          </w:tcPr>
          <w:p w14:paraId="143EBD1B">
            <w:pPr>
              <w:spacing w:line="240" w:lineRule="exact"/>
              <w:jc w:val="center"/>
              <w:rPr>
                <w:rFonts w:ascii="Arial"/>
                <w:color w:val="000000"/>
                <w:szCs w:val="21"/>
                <w:highlight w:val="none"/>
              </w:rPr>
            </w:pPr>
            <w:r>
              <w:rPr>
                <w:rFonts w:hint="eastAsia" w:ascii="Arial"/>
                <w:color w:val="000000"/>
                <w:szCs w:val="21"/>
                <w:highlight w:val="none"/>
              </w:rPr>
              <w:t>3年</w:t>
            </w:r>
          </w:p>
        </w:tc>
      </w:tr>
    </w:tbl>
    <w:p w14:paraId="25DF8F5E">
      <w:pPr>
        <w:spacing w:line="360" w:lineRule="auto"/>
        <w:jc w:val="center"/>
        <w:rPr>
          <w:rFonts w:hint="eastAsia" w:ascii="宋体" w:hAnsi="宋体" w:cs="宋体"/>
          <w:b/>
          <w:color w:val="000000"/>
          <w:szCs w:val="21"/>
          <w:highlight w:val="none"/>
        </w:rPr>
      </w:pPr>
    </w:p>
    <w:p w14:paraId="0C8BC791">
      <w:pPr>
        <w:widowControl/>
        <w:spacing w:line="240" w:lineRule="atLeast"/>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投标人名称：</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（盖章）</w:t>
      </w:r>
    </w:p>
    <w:p w14:paraId="6973C4EA">
      <w:pPr>
        <w:widowControl/>
        <w:spacing w:line="240" w:lineRule="atLeast"/>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说明：1、如果行数不够，请自行增加。</w:t>
      </w:r>
    </w:p>
    <w:p w14:paraId="19562A8A">
      <w:pPr>
        <w:widowControl/>
        <w:numPr>
          <w:ilvl w:val="0"/>
          <w:numId w:val="7"/>
        </w:numPr>
        <w:spacing w:line="240" w:lineRule="atLeast"/>
        <w:jc w:val="left"/>
        <w:rPr>
          <w:highlight w:val="none"/>
        </w:rPr>
      </w:pPr>
      <w:r>
        <w:rPr>
          <w:rFonts w:hint="eastAsia" w:ascii="宋体" w:hAnsi="宋体" w:cs="宋体"/>
          <w:color w:val="000000"/>
          <w:szCs w:val="21"/>
          <w:highlight w:val="none"/>
        </w:rPr>
        <w:t>表格已有内容不得修改，否则其投标将被否决。</w:t>
      </w:r>
    </w:p>
    <w:p w14:paraId="19AAA855">
      <w:pPr>
        <w:widowControl/>
        <w:numPr>
          <w:ilvl w:val="0"/>
          <w:numId w:val="7"/>
        </w:numPr>
        <w:spacing w:line="240" w:lineRule="atLeast"/>
        <w:jc w:val="left"/>
        <w:rPr>
          <w:highlight w:val="none"/>
        </w:rPr>
      </w:pPr>
      <w:r>
        <w:rPr>
          <w:rFonts w:hint="eastAsia"/>
          <w:highlight w:val="none"/>
        </w:rPr>
        <w:t>下浮率不得超过100%，下浮率及报价精确到小数点后2位。</w:t>
      </w:r>
    </w:p>
    <w:p w14:paraId="43088132">
      <w:pPr>
        <w:widowControl/>
        <w:numPr>
          <w:ilvl w:val="0"/>
          <w:numId w:val="7"/>
        </w:numPr>
        <w:spacing w:line="240" w:lineRule="atLeast"/>
        <w:jc w:val="left"/>
        <w:rPr>
          <w:highlight w:val="none"/>
        </w:rPr>
      </w:pPr>
      <w:r>
        <w:rPr>
          <w:highlight w:val="none"/>
        </w:rPr>
        <w:t>环境整治、绿化保洁、值守、材料保管采取总价包干制，墓穴基础建设、</w:t>
      </w:r>
      <w:r>
        <w:rPr>
          <w:rFonts w:hint="eastAsia" w:ascii="Arial"/>
          <w:color w:val="000000"/>
          <w:szCs w:val="21"/>
          <w:highlight w:val="none"/>
        </w:rPr>
        <w:t>落葬服务</w:t>
      </w:r>
      <w:r>
        <w:rPr>
          <w:rFonts w:hint="eastAsia" w:ascii="Arial"/>
          <w:color w:val="000000"/>
          <w:szCs w:val="21"/>
          <w:highlight w:val="none"/>
          <w:lang w:eastAsia="zh-CN"/>
        </w:rPr>
        <w:t>、</w:t>
      </w:r>
      <w:r>
        <w:rPr>
          <w:highlight w:val="none"/>
        </w:rPr>
        <w:t>墓体安装、零星维修按实结算。</w:t>
      </w:r>
    </w:p>
    <w:p w14:paraId="38513D79">
      <w:pPr>
        <w:widowControl/>
        <w:numPr>
          <w:ilvl w:val="0"/>
          <w:numId w:val="7"/>
        </w:numPr>
        <w:spacing w:line="240" w:lineRule="atLeast"/>
        <w:jc w:val="left"/>
        <w:rPr>
          <w:highlight w:val="none"/>
        </w:rPr>
      </w:pPr>
      <w:r>
        <w:rPr>
          <w:highlight w:val="none"/>
        </w:rPr>
        <w:t>人员工资：人员工资不低于合同期内当地最低工资标准，如在合同期内如遇国家政策上调当地最低工资标准，则按新标准执行。</w:t>
      </w:r>
    </w:p>
    <w:p w14:paraId="1FB00A6C">
      <w:pPr>
        <w:widowControl/>
        <w:numPr>
          <w:ilvl w:val="0"/>
          <w:numId w:val="7"/>
        </w:numPr>
        <w:spacing w:line="240" w:lineRule="atLeast"/>
        <w:jc w:val="left"/>
        <w:rPr>
          <w:highlight w:val="none"/>
        </w:rPr>
      </w:pPr>
      <w:r>
        <w:rPr>
          <w:highlight w:val="none"/>
        </w:rPr>
        <w:t>社保费用：人员的社保缴费基数至少应达到当地最低缴费标准。社保缴费应包含养老保险、医疗保险、失业保险、工伤保险及生育保险。</w:t>
      </w:r>
    </w:p>
    <w:p w14:paraId="3F8CA54E">
      <w:pPr>
        <w:widowControl/>
        <w:spacing w:line="240" w:lineRule="atLeast"/>
        <w:jc w:val="left"/>
        <w:rPr>
          <w:highlight w:val="none"/>
        </w:rPr>
      </w:pPr>
    </w:p>
    <w:p w14:paraId="11AE7389">
      <w:pPr>
        <w:rPr>
          <w:rFonts w:hint="eastAsia" w:ascii="宋体" w:hAnsi="宋体" w:cs="宋体"/>
          <w:b/>
          <w:color w:val="000000"/>
          <w:szCs w:val="21"/>
          <w:highlight w:val="none"/>
        </w:rPr>
      </w:pPr>
    </w:p>
    <w:p w14:paraId="6C930C35">
      <w:pPr>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p>
    <w:p w14:paraId="60484B5B">
      <w:pPr>
        <w:spacing w:line="360" w:lineRule="auto"/>
        <w:jc w:val="left"/>
        <w:rPr>
          <w:rFonts w:hint="eastAsia" w:ascii="宋体" w:hAnsi="宋体" w:cs="宋体"/>
          <w:b/>
          <w:color w:val="000000"/>
          <w:szCs w:val="21"/>
          <w:highlight w:val="none"/>
        </w:rPr>
      </w:pPr>
      <w:r>
        <w:rPr>
          <w:rFonts w:hint="eastAsia" w:ascii="宋体" w:hAnsi="宋体" w:cs="宋体"/>
          <w:b/>
          <w:color w:val="000000"/>
          <w:szCs w:val="21"/>
          <w:highlight w:val="none"/>
        </w:rPr>
        <w:t>五、南京市政府采购供应商信用记录表暨信用承诺书（仅为示范格式，直接填写无效，需至“南京政府采购供应商诚信档案管理系统”在线打印并签字盖章提供）</w:t>
      </w:r>
    </w:p>
    <w:p w14:paraId="507FD6DF">
      <w:pPr>
        <w:widowControl/>
        <w:jc w:val="center"/>
        <w:rPr>
          <w:rFonts w:hint="eastAsia" w:ascii="宋体" w:hAnsi="宋体" w:cs="宋体"/>
          <w:b/>
          <w:bCs/>
          <w:color w:val="000000"/>
          <w:szCs w:val="21"/>
          <w:highlight w:val="none"/>
        </w:rPr>
      </w:pPr>
    </w:p>
    <w:p w14:paraId="536309AB">
      <w:pPr>
        <w:widowControl/>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南京市政府采购供应商信用记录表暨信用承诺书</w:t>
      </w:r>
    </w:p>
    <w:p w14:paraId="1976CB1A">
      <w:pPr>
        <w:widowControl/>
        <w:rPr>
          <w:rFonts w:hint="eastAsia" w:ascii="宋体" w:hAnsi="宋体" w:cs="宋体"/>
          <w:color w:val="000000"/>
          <w:szCs w:val="21"/>
          <w:highlight w:val="none"/>
        </w:rPr>
      </w:pPr>
    </w:p>
    <w:p w14:paraId="7D5A6016">
      <w:pPr>
        <w:widowControl/>
        <w:rPr>
          <w:rFonts w:hint="eastAsia" w:ascii="宋体" w:hAnsi="宋体" w:cs="宋体"/>
          <w:color w:val="000000"/>
          <w:szCs w:val="21"/>
          <w:highlight w:val="none"/>
        </w:rPr>
      </w:pPr>
    </w:p>
    <w:p w14:paraId="0F251C50">
      <w:pPr>
        <w:widowControl/>
        <w:jc w:val="right"/>
        <w:rPr>
          <w:rFonts w:hint="eastAsia" w:ascii="宋体" w:hAnsi="宋体" w:cs="宋体"/>
          <w:color w:val="000000"/>
          <w:szCs w:val="21"/>
          <w:highlight w:val="none"/>
        </w:rPr>
      </w:pPr>
      <w:r>
        <w:rPr>
          <w:rFonts w:hint="eastAsia" w:ascii="宋体" w:hAnsi="宋体" w:cs="宋体"/>
          <w:color w:val="000000"/>
          <w:szCs w:val="21"/>
          <w:highlight w:val="none"/>
        </w:rPr>
        <w:t>20   年  月   日</w:t>
      </w:r>
    </w:p>
    <w:p w14:paraId="1DBBE755">
      <w:pPr>
        <w:widowControl/>
        <w:rPr>
          <w:rFonts w:hint="eastAsia" w:ascii="宋体" w:hAnsi="宋体" w:cs="宋体"/>
          <w:color w:val="000000"/>
          <w:szCs w:val="21"/>
          <w:highlight w:val="none"/>
        </w:rPr>
      </w:pPr>
    </w:p>
    <w:tbl>
      <w:tblPr>
        <w:tblStyle w:val="30"/>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2137"/>
        <w:gridCol w:w="2205"/>
        <w:gridCol w:w="2048"/>
        <w:gridCol w:w="3472"/>
      </w:tblGrid>
      <w:tr w14:paraId="038E1B4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vAlign w:val="center"/>
          </w:tcPr>
          <w:p w14:paraId="4CA6592E">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单位名称</w:t>
            </w:r>
          </w:p>
        </w:tc>
        <w:tc>
          <w:tcPr>
            <w:tcW w:w="2205" w:type="dxa"/>
            <w:vAlign w:val="center"/>
          </w:tcPr>
          <w:p w14:paraId="24B8277C">
            <w:pPr>
              <w:widowControl/>
              <w:rPr>
                <w:rFonts w:hint="eastAsia" w:ascii="宋体" w:hAnsi="宋体" w:cs="宋体"/>
                <w:b/>
                <w:bCs/>
                <w:color w:val="000000"/>
                <w:szCs w:val="21"/>
                <w:highlight w:val="none"/>
              </w:rPr>
            </w:pPr>
          </w:p>
        </w:tc>
        <w:tc>
          <w:tcPr>
            <w:tcW w:w="2048" w:type="dxa"/>
            <w:vAlign w:val="center"/>
          </w:tcPr>
          <w:p w14:paraId="47CF777E">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统一社会信用代码</w:t>
            </w:r>
          </w:p>
        </w:tc>
        <w:tc>
          <w:tcPr>
            <w:tcW w:w="3472" w:type="dxa"/>
            <w:vAlign w:val="center"/>
          </w:tcPr>
          <w:p w14:paraId="7D28067E">
            <w:pPr>
              <w:widowControl/>
              <w:rPr>
                <w:rFonts w:hint="eastAsia" w:ascii="宋体" w:hAnsi="宋体" w:cs="宋体"/>
                <w:b/>
                <w:bCs/>
                <w:color w:val="000000"/>
                <w:szCs w:val="21"/>
                <w:highlight w:val="none"/>
              </w:rPr>
            </w:pPr>
          </w:p>
        </w:tc>
      </w:tr>
      <w:tr w14:paraId="6FA850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vAlign w:val="center"/>
          </w:tcPr>
          <w:p w14:paraId="7DB9C81C">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法定代表人</w:t>
            </w:r>
          </w:p>
        </w:tc>
        <w:tc>
          <w:tcPr>
            <w:tcW w:w="2205" w:type="dxa"/>
            <w:vAlign w:val="center"/>
          </w:tcPr>
          <w:p w14:paraId="5B3EDF65">
            <w:pPr>
              <w:widowControl/>
              <w:rPr>
                <w:rFonts w:hint="eastAsia" w:ascii="宋体" w:hAnsi="宋体" w:cs="宋体"/>
                <w:b/>
                <w:bCs/>
                <w:color w:val="000000"/>
                <w:szCs w:val="21"/>
                <w:highlight w:val="none"/>
              </w:rPr>
            </w:pPr>
          </w:p>
        </w:tc>
        <w:tc>
          <w:tcPr>
            <w:tcW w:w="2048" w:type="dxa"/>
            <w:vAlign w:val="center"/>
          </w:tcPr>
          <w:p w14:paraId="160CFE09">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联系人</w:t>
            </w:r>
          </w:p>
        </w:tc>
        <w:tc>
          <w:tcPr>
            <w:tcW w:w="3472" w:type="dxa"/>
            <w:vAlign w:val="center"/>
          </w:tcPr>
          <w:p w14:paraId="0B7A58AB">
            <w:pPr>
              <w:widowControl/>
              <w:rPr>
                <w:rFonts w:hint="eastAsia" w:ascii="宋体" w:hAnsi="宋体" w:cs="宋体"/>
                <w:b/>
                <w:bCs/>
                <w:color w:val="000000"/>
                <w:szCs w:val="21"/>
                <w:highlight w:val="none"/>
              </w:rPr>
            </w:pPr>
          </w:p>
        </w:tc>
      </w:tr>
      <w:tr w14:paraId="5AA299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jc w:val="center"/>
        </w:trPr>
        <w:tc>
          <w:tcPr>
            <w:tcW w:w="2137" w:type="dxa"/>
            <w:vAlign w:val="center"/>
          </w:tcPr>
          <w:p w14:paraId="27323534">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联系地址</w:t>
            </w:r>
          </w:p>
        </w:tc>
        <w:tc>
          <w:tcPr>
            <w:tcW w:w="2205" w:type="dxa"/>
            <w:vAlign w:val="center"/>
          </w:tcPr>
          <w:p w14:paraId="4C2FD159">
            <w:pPr>
              <w:widowControl/>
              <w:rPr>
                <w:rFonts w:hint="eastAsia" w:ascii="宋体" w:hAnsi="宋体" w:cs="宋体"/>
                <w:b/>
                <w:bCs/>
                <w:color w:val="000000"/>
                <w:szCs w:val="21"/>
                <w:highlight w:val="none"/>
              </w:rPr>
            </w:pPr>
          </w:p>
        </w:tc>
        <w:tc>
          <w:tcPr>
            <w:tcW w:w="2048" w:type="dxa"/>
            <w:vAlign w:val="center"/>
          </w:tcPr>
          <w:p w14:paraId="617F2BC8">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联系电话</w:t>
            </w:r>
          </w:p>
        </w:tc>
        <w:tc>
          <w:tcPr>
            <w:tcW w:w="3472" w:type="dxa"/>
            <w:vAlign w:val="center"/>
          </w:tcPr>
          <w:p w14:paraId="66BF7970">
            <w:pPr>
              <w:widowControl/>
              <w:rPr>
                <w:rFonts w:hint="eastAsia" w:ascii="宋体" w:hAnsi="宋体" w:cs="宋体"/>
                <w:b/>
                <w:bCs/>
                <w:color w:val="000000"/>
                <w:szCs w:val="21"/>
                <w:highlight w:val="none"/>
              </w:rPr>
            </w:pPr>
          </w:p>
        </w:tc>
      </w:tr>
      <w:tr w14:paraId="1F433D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710" w:hRule="atLeast"/>
          <w:jc w:val="center"/>
        </w:trPr>
        <w:tc>
          <w:tcPr>
            <w:tcW w:w="2137" w:type="dxa"/>
            <w:vAlign w:val="center"/>
          </w:tcPr>
          <w:p w14:paraId="2AD84500">
            <w:pPr>
              <w:widowControl/>
              <w:rPr>
                <w:rFonts w:hint="eastAsia" w:ascii="宋体" w:hAnsi="宋体" w:cs="宋体"/>
                <w:b/>
                <w:bCs/>
                <w:color w:val="000000"/>
                <w:szCs w:val="21"/>
                <w:highlight w:val="none"/>
              </w:rPr>
            </w:pPr>
            <w:r>
              <w:rPr>
                <w:rFonts w:hint="eastAsia" w:ascii="宋体" w:hAnsi="宋体" w:cs="宋体"/>
                <w:b/>
                <w:bCs/>
                <w:color w:val="000000"/>
                <w:szCs w:val="21"/>
                <w:highlight w:val="none"/>
              </w:rPr>
              <w:t>诚信档案记录情况</w:t>
            </w:r>
          </w:p>
        </w:tc>
        <w:tc>
          <w:tcPr>
            <w:tcW w:w="7725" w:type="dxa"/>
            <w:gridSpan w:val="3"/>
            <w:vAlign w:val="center"/>
          </w:tcPr>
          <w:p w14:paraId="45DBE093">
            <w:pPr>
              <w:widowControl/>
              <w:rPr>
                <w:rFonts w:hint="eastAsia" w:ascii="宋体" w:hAnsi="宋体" w:cs="宋体"/>
                <w:b/>
                <w:bCs/>
                <w:color w:val="000000"/>
                <w:szCs w:val="21"/>
                <w:highlight w:val="none"/>
              </w:rPr>
            </w:pPr>
          </w:p>
        </w:tc>
      </w:tr>
      <w:tr w14:paraId="06A847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575" w:hRule="atLeast"/>
          <w:jc w:val="center"/>
        </w:trPr>
        <w:tc>
          <w:tcPr>
            <w:tcW w:w="2137" w:type="dxa"/>
            <w:vMerge w:val="restart"/>
            <w:vAlign w:val="center"/>
          </w:tcPr>
          <w:p w14:paraId="719AFFA9">
            <w:pPr>
              <w:widowControl/>
              <w:jc w:val="center"/>
              <w:rPr>
                <w:rFonts w:hint="eastAsia" w:ascii="宋体" w:hAnsi="宋体" w:cs="宋体"/>
                <w:color w:val="000000"/>
                <w:szCs w:val="21"/>
                <w:highlight w:val="none"/>
              </w:rPr>
            </w:pPr>
            <w:r>
              <w:rPr>
                <w:rFonts w:hint="eastAsia" w:ascii="宋体" w:hAnsi="宋体" w:cs="宋体"/>
                <w:b/>
                <w:bCs/>
                <w:color w:val="000000"/>
                <w:szCs w:val="21"/>
                <w:highlight w:val="none"/>
              </w:rPr>
              <w:t>信用承诺</w:t>
            </w:r>
          </w:p>
        </w:tc>
        <w:tc>
          <w:tcPr>
            <w:tcW w:w="7725" w:type="dxa"/>
            <w:gridSpan w:val="3"/>
            <w:vAlign w:val="center"/>
          </w:tcPr>
          <w:p w14:paraId="624EDE05">
            <w:pPr>
              <w:widowControl/>
              <w:ind w:left="42" w:firstLine="560"/>
              <w:rPr>
                <w:rFonts w:hint="eastAsia" w:ascii="宋体" w:hAnsi="宋体" w:cs="宋体"/>
                <w:color w:val="000000"/>
                <w:szCs w:val="21"/>
                <w:highlight w:val="none"/>
              </w:rPr>
            </w:pPr>
            <w:r>
              <w:rPr>
                <w:rFonts w:hint="eastAsia" w:ascii="宋体" w:hAnsi="宋体" w:cs="宋体"/>
                <w:color w:val="000000"/>
                <w:szCs w:val="21"/>
                <w:highlight w:val="none"/>
              </w:rPr>
              <w:t>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自愿承担一切法律责任，并接受各级政府采购监管部门和有权机关的审查和处罚。</w:t>
            </w:r>
          </w:p>
        </w:tc>
      </w:tr>
      <w:tr w14:paraId="0EEBB9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1945" w:hRule="atLeast"/>
          <w:jc w:val="center"/>
        </w:trPr>
        <w:tc>
          <w:tcPr>
            <w:tcW w:w="2137" w:type="dxa"/>
            <w:vMerge w:val="continue"/>
            <w:vAlign w:val="center"/>
          </w:tcPr>
          <w:p w14:paraId="00D553BD">
            <w:pPr>
              <w:widowControl/>
              <w:rPr>
                <w:rFonts w:hint="eastAsia" w:ascii="宋体" w:hAnsi="宋体" w:cs="宋体"/>
                <w:color w:val="000000"/>
                <w:szCs w:val="21"/>
                <w:highlight w:val="none"/>
              </w:rPr>
            </w:pPr>
          </w:p>
        </w:tc>
        <w:tc>
          <w:tcPr>
            <w:tcW w:w="7725" w:type="dxa"/>
            <w:gridSpan w:val="3"/>
            <w:vAlign w:val="center"/>
          </w:tcPr>
          <w:p w14:paraId="12FA3BFA">
            <w:pPr>
              <w:widowControl/>
              <w:ind w:left="3780"/>
              <w:rPr>
                <w:rFonts w:hint="eastAsia" w:ascii="宋体" w:hAnsi="宋体" w:cs="宋体"/>
                <w:color w:val="000000"/>
                <w:szCs w:val="21"/>
                <w:highlight w:val="none"/>
              </w:rPr>
            </w:pPr>
            <w:r>
              <w:rPr>
                <w:rFonts w:hint="eastAsia" w:ascii="宋体" w:hAnsi="宋体" w:cs="宋体"/>
                <w:color w:val="000000"/>
                <w:szCs w:val="21"/>
                <w:highlight w:val="none"/>
              </w:rPr>
              <w:t>投标人名称（盖章）∶</w:t>
            </w:r>
          </w:p>
          <w:p w14:paraId="24DB8FC9">
            <w:pPr>
              <w:widowControl/>
              <w:ind w:left="3780"/>
              <w:rPr>
                <w:rFonts w:hint="eastAsia" w:ascii="宋体" w:hAnsi="宋体" w:cs="宋体"/>
                <w:color w:val="000000"/>
                <w:szCs w:val="21"/>
                <w:highlight w:val="none"/>
              </w:rPr>
            </w:pPr>
            <w:r>
              <w:rPr>
                <w:rFonts w:hint="eastAsia" w:ascii="宋体" w:hAnsi="宋体" w:cs="宋体"/>
                <w:color w:val="000000"/>
                <w:szCs w:val="21"/>
                <w:highlight w:val="none"/>
              </w:rPr>
              <w:t>法定代表人（签字）∶</w:t>
            </w:r>
          </w:p>
          <w:p w14:paraId="1627C636">
            <w:pPr>
              <w:widowControl/>
              <w:ind w:left="3780"/>
              <w:rPr>
                <w:rFonts w:hint="eastAsia" w:ascii="宋体" w:hAnsi="宋体" w:cs="宋体"/>
                <w:color w:val="000000"/>
                <w:szCs w:val="21"/>
                <w:highlight w:val="none"/>
              </w:rPr>
            </w:pPr>
            <w:r>
              <w:rPr>
                <w:rFonts w:hint="eastAsia" w:ascii="宋体" w:hAnsi="宋体" w:cs="宋体"/>
                <w:color w:val="000000"/>
                <w:szCs w:val="21"/>
                <w:highlight w:val="none"/>
              </w:rPr>
              <w:t>二〇  年  月  日</w:t>
            </w:r>
          </w:p>
        </w:tc>
      </w:tr>
    </w:tbl>
    <w:p w14:paraId="043B4E8E">
      <w:pPr>
        <w:widowControl/>
        <w:spacing w:line="360" w:lineRule="auto"/>
        <w:jc w:val="left"/>
        <w:rPr>
          <w:rFonts w:hint="eastAsia" w:ascii="宋体" w:hAnsi="宋体" w:cs="宋体"/>
          <w:b/>
          <w:color w:val="000000"/>
          <w:szCs w:val="21"/>
          <w:highlight w:val="none"/>
          <w:lang w:val="zh-CN"/>
        </w:rPr>
      </w:pPr>
      <w:r>
        <w:rPr>
          <w:rFonts w:hint="eastAsia" w:ascii="宋体" w:hAnsi="宋体" w:cs="宋体"/>
          <w:b/>
          <w:bCs/>
          <w:color w:val="000000"/>
          <w:szCs w:val="21"/>
          <w:highlight w:val="none"/>
        </w:rPr>
        <w:br w:type="page" w:clear="all"/>
      </w:r>
      <w:r>
        <w:rPr>
          <w:rFonts w:hint="eastAsia" w:ascii="宋体" w:hAnsi="宋体" w:cs="宋体"/>
          <w:b/>
          <w:color w:val="000000"/>
          <w:szCs w:val="21"/>
          <w:highlight w:val="none"/>
        </w:rPr>
        <w:t>六</w:t>
      </w:r>
      <w:r>
        <w:rPr>
          <w:rFonts w:hint="eastAsia" w:ascii="宋体" w:hAnsi="宋体" w:cs="宋体"/>
          <w:b/>
          <w:color w:val="000000"/>
          <w:szCs w:val="21"/>
          <w:highlight w:val="none"/>
          <w:lang w:val="zh-CN"/>
        </w:rPr>
        <w:t>、技术条款偏离表格式</w:t>
      </w:r>
    </w:p>
    <w:p w14:paraId="72414901">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技术条款偏离表</w:t>
      </w:r>
    </w:p>
    <w:tbl>
      <w:tblPr>
        <w:tblStyle w:val="30"/>
        <w:tblW w:w="9549" w:type="dxa"/>
        <w:jc w:val="center"/>
        <w:tblLayout w:type="fixed"/>
        <w:tblCellMar>
          <w:top w:w="0" w:type="dxa"/>
          <w:left w:w="0" w:type="dxa"/>
          <w:bottom w:w="0" w:type="dxa"/>
          <w:right w:w="0" w:type="dxa"/>
        </w:tblCellMar>
      </w:tblPr>
      <w:tblGrid>
        <w:gridCol w:w="879"/>
        <w:gridCol w:w="1620"/>
        <w:gridCol w:w="2700"/>
        <w:gridCol w:w="3240"/>
        <w:gridCol w:w="1110"/>
      </w:tblGrid>
      <w:tr w14:paraId="0670F2ED">
        <w:tblPrEx>
          <w:tblCellMar>
            <w:top w:w="0" w:type="dxa"/>
            <w:left w:w="0" w:type="dxa"/>
            <w:bottom w:w="0" w:type="dxa"/>
            <w:right w:w="0" w:type="dxa"/>
          </w:tblCellMar>
        </w:tblPrEx>
        <w:trPr>
          <w:trHeight w:val="454" w:hRule="atLeast"/>
          <w:jc w:val="center"/>
        </w:trPr>
        <w:tc>
          <w:tcPr>
            <w:tcW w:w="5199" w:type="dxa"/>
            <w:gridSpan w:val="3"/>
            <w:tcBorders>
              <w:top w:val="single" w:color="000000" w:sz="4" w:space="0"/>
              <w:left w:val="single" w:color="000000" w:sz="4" w:space="0"/>
              <w:bottom w:val="single" w:color="000000" w:sz="4" w:space="0"/>
              <w:right w:val="single" w:color="000000" w:sz="4" w:space="0"/>
            </w:tcBorders>
            <w:vAlign w:val="center"/>
          </w:tcPr>
          <w:p w14:paraId="4D9AA263">
            <w:pPr>
              <w:widowControl/>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项目名称：</w:t>
            </w:r>
          </w:p>
        </w:tc>
        <w:tc>
          <w:tcPr>
            <w:tcW w:w="4350" w:type="dxa"/>
            <w:gridSpan w:val="2"/>
            <w:tcBorders>
              <w:top w:val="single" w:color="000000" w:sz="4" w:space="0"/>
              <w:left w:val="single" w:color="000000" w:sz="4" w:space="0"/>
              <w:bottom w:val="single" w:color="000000" w:sz="4" w:space="0"/>
              <w:right w:val="single" w:color="000000" w:sz="4" w:space="0"/>
            </w:tcBorders>
            <w:vAlign w:val="center"/>
          </w:tcPr>
          <w:p w14:paraId="40548B4E">
            <w:pPr>
              <w:widowControl/>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项目编号：</w:t>
            </w:r>
          </w:p>
        </w:tc>
      </w:tr>
      <w:tr w14:paraId="799F8FC3">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14:paraId="36241B6E">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序号</w:t>
            </w:r>
          </w:p>
        </w:tc>
        <w:tc>
          <w:tcPr>
            <w:tcW w:w="1620" w:type="dxa"/>
            <w:tcBorders>
              <w:top w:val="single" w:color="000000" w:sz="4" w:space="0"/>
              <w:left w:val="single" w:color="000000" w:sz="4" w:space="0"/>
              <w:bottom w:val="single" w:color="000000" w:sz="4" w:space="0"/>
              <w:right w:val="single" w:color="000000" w:sz="4" w:space="0"/>
            </w:tcBorders>
            <w:vAlign w:val="center"/>
          </w:tcPr>
          <w:p w14:paraId="223D20AE">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招标文件条目号</w:t>
            </w:r>
          </w:p>
        </w:tc>
        <w:tc>
          <w:tcPr>
            <w:tcW w:w="2700" w:type="dxa"/>
            <w:tcBorders>
              <w:top w:val="single" w:color="000000" w:sz="4" w:space="0"/>
              <w:left w:val="single" w:color="000000" w:sz="4" w:space="0"/>
              <w:bottom w:val="single" w:color="000000" w:sz="4" w:space="0"/>
              <w:right w:val="single" w:color="000000" w:sz="4" w:space="0"/>
            </w:tcBorders>
            <w:vAlign w:val="center"/>
          </w:tcPr>
          <w:p w14:paraId="1E1B8543">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rPr>
              <w:t>技术（</w:t>
            </w:r>
            <w:r>
              <w:rPr>
                <w:rFonts w:hint="eastAsia" w:ascii="宋体" w:hAnsi="宋体" w:cs="宋体"/>
                <w:color w:val="000000"/>
                <w:szCs w:val="21"/>
                <w:highlight w:val="none"/>
                <w:lang w:val="zh-CN"/>
              </w:rPr>
              <w:t>服务）要求</w:t>
            </w:r>
          </w:p>
        </w:tc>
        <w:tc>
          <w:tcPr>
            <w:tcW w:w="3240" w:type="dxa"/>
            <w:tcBorders>
              <w:top w:val="single" w:color="000000" w:sz="4" w:space="0"/>
              <w:left w:val="single" w:color="000000" w:sz="4" w:space="0"/>
              <w:bottom w:val="single" w:color="000000" w:sz="4" w:space="0"/>
              <w:right w:val="single" w:color="000000" w:sz="4" w:space="0"/>
            </w:tcBorders>
            <w:vAlign w:val="center"/>
          </w:tcPr>
          <w:p w14:paraId="20D40AD9">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投标响应</w:t>
            </w:r>
          </w:p>
        </w:tc>
        <w:tc>
          <w:tcPr>
            <w:tcW w:w="1110" w:type="dxa"/>
            <w:tcBorders>
              <w:top w:val="single" w:color="000000" w:sz="4" w:space="0"/>
              <w:left w:val="single" w:color="000000" w:sz="4" w:space="0"/>
              <w:bottom w:val="single" w:color="000000" w:sz="4" w:space="0"/>
              <w:right w:val="single" w:color="000000" w:sz="4" w:space="0"/>
            </w:tcBorders>
            <w:vAlign w:val="center"/>
          </w:tcPr>
          <w:p w14:paraId="01B0E075">
            <w:pPr>
              <w:widowControl/>
              <w:jc w:val="center"/>
              <w:rPr>
                <w:rFonts w:hint="eastAsia" w:ascii="宋体" w:hAnsi="宋体" w:cs="宋体"/>
                <w:color w:val="000000"/>
                <w:szCs w:val="21"/>
                <w:highlight w:val="none"/>
                <w:lang w:val="zh-CN"/>
              </w:rPr>
            </w:pPr>
            <w:r>
              <w:rPr>
                <w:rFonts w:hint="eastAsia" w:ascii="宋体" w:hAnsi="宋体" w:cs="宋体"/>
                <w:color w:val="000000"/>
                <w:szCs w:val="21"/>
                <w:highlight w:val="none"/>
                <w:lang w:val="zh-CN"/>
              </w:rPr>
              <w:t>偏离</w:t>
            </w:r>
          </w:p>
        </w:tc>
      </w:tr>
      <w:tr w14:paraId="60847110">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14:paraId="795B32EF">
            <w:pPr>
              <w:widowControl/>
              <w:jc w:val="center"/>
              <w:rPr>
                <w:rFonts w:hint="eastAsia"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vAlign w:val="center"/>
          </w:tcPr>
          <w:p w14:paraId="3ABDFEC6">
            <w:pPr>
              <w:widowControl/>
              <w:jc w:val="center"/>
              <w:rPr>
                <w:rFonts w:hint="eastAsia"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25E3C6D3">
            <w:pPr>
              <w:widowControl/>
              <w:jc w:val="center"/>
              <w:rPr>
                <w:rFonts w:hint="eastAsia"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2E4F5EC6">
            <w:pPr>
              <w:widowControl/>
              <w:jc w:val="center"/>
              <w:rPr>
                <w:rFonts w:hint="eastAsia"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vAlign w:val="center"/>
          </w:tcPr>
          <w:p w14:paraId="35F3AEC4">
            <w:pPr>
              <w:widowControl/>
              <w:jc w:val="center"/>
              <w:rPr>
                <w:rFonts w:hint="eastAsia" w:ascii="宋体" w:hAnsi="宋体" w:cs="宋体"/>
                <w:color w:val="000000"/>
                <w:szCs w:val="21"/>
                <w:highlight w:val="none"/>
                <w:lang w:val="zh-CN"/>
              </w:rPr>
            </w:pPr>
          </w:p>
        </w:tc>
      </w:tr>
      <w:tr w14:paraId="22E2147E">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14:paraId="53F2672D">
            <w:pPr>
              <w:widowControl/>
              <w:jc w:val="center"/>
              <w:rPr>
                <w:rFonts w:hint="eastAsia"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vAlign w:val="center"/>
          </w:tcPr>
          <w:p w14:paraId="156D0690">
            <w:pPr>
              <w:widowControl/>
              <w:jc w:val="center"/>
              <w:rPr>
                <w:rFonts w:hint="eastAsia"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12A1744B">
            <w:pPr>
              <w:widowControl/>
              <w:jc w:val="center"/>
              <w:rPr>
                <w:rFonts w:hint="eastAsia"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56F71AA4">
            <w:pPr>
              <w:widowControl/>
              <w:jc w:val="center"/>
              <w:rPr>
                <w:rFonts w:hint="eastAsia"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vAlign w:val="center"/>
          </w:tcPr>
          <w:p w14:paraId="60C5E4A9">
            <w:pPr>
              <w:widowControl/>
              <w:jc w:val="center"/>
              <w:rPr>
                <w:rFonts w:hint="eastAsia" w:ascii="宋体" w:hAnsi="宋体" w:cs="宋体"/>
                <w:color w:val="000000"/>
                <w:szCs w:val="21"/>
                <w:highlight w:val="none"/>
                <w:lang w:val="zh-CN"/>
              </w:rPr>
            </w:pPr>
          </w:p>
        </w:tc>
      </w:tr>
      <w:tr w14:paraId="38E6CECD">
        <w:tblPrEx>
          <w:tblCellMar>
            <w:top w:w="0" w:type="dxa"/>
            <w:left w:w="0" w:type="dxa"/>
            <w:bottom w:w="0" w:type="dxa"/>
            <w:right w:w="0" w:type="dxa"/>
          </w:tblCellMar>
        </w:tblPrEx>
        <w:trPr>
          <w:trHeight w:val="454" w:hRule="atLeast"/>
          <w:jc w:val="center"/>
        </w:trPr>
        <w:tc>
          <w:tcPr>
            <w:tcW w:w="879" w:type="dxa"/>
            <w:tcBorders>
              <w:top w:val="single" w:color="000000" w:sz="4" w:space="0"/>
              <w:left w:val="single" w:color="000000" w:sz="4" w:space="0"/>
              <w:bottom w:val="single" w:color="000000" w:sz="4" w:space="0"/>
              <w:right w:val="single" w:color="000000" w:sz="4" w:space="0"/>
            </w:tcBorders>
            <w:vAlign w:val="center"/>
          </w:tcPr>
          <w:p w14:paraId="5638EB3B">
            <w:pPr>
              <w:widowControl/>
              <w:jc w:val="center"/>
              <w:rPr>
                <w:rFonts w:hint="eastAsia" w:ascii="宋体" w:hAnsi="宋体" w:cs="宋体"/>
                <w:color w:val="000000"/>
                <w:szCs w:val="21"/>
                <w:highlight w:val="none"/>
                <w:lang w:val="zh-CN"/>
              </w:rPr>
            </w:pPr>
          </w:p>
        </w:tc>
        <w:tc>
          <w:tcPr>
            <w:tcW w:w="1620" w:type="dxa"/>
            <w:tcBorders>
              <w:top w:val="single" w:color="000000" w:sz="4" w:space="0"/>
              <w:left w:val="single" w:color="000000" w:sz="4" w:space="0"/>
              <w:bottom w:val="single" w:color="000000" w:sz="4" w:space="0"/>
              <w:right w:val="single" w:color="000000" w:sz="4" w:space="0"/>
            </w:tcBorders>
            <w:vAlign w:val="center"/>
          </w:tcPr>
          <w:p w14:paraId="60A51EE2">
            <w:pPr>
              <w:widowControl/>
              <w:jc w:val="center"/>
              <w:rPr>
                <w:rFonts w:hint="eastAsia" w:ascii="宋体" w:hAnsi="宋体" w:cs="宋体"/>
                <w:color w:val="000000"/>
                <w:szCs w:val="21"/>
                <w:highlight w:val="none"/>
                <w:lang w:val="zh-CN"/>
              </w:rPr>
            </w:pPr>
          </w:p>
        </w:tc>
        <w:tc>
          <w:tcPr>
            <w:tcW w:w="2700" w:type="dxa"/>
            <w:tcBorders>
              <w:top w:val="single" w:color="000000" w:sz="4" w:space="0"/>
              <w:left w:val="single" w:color="000000" w:sz="4" w:space="0"/>
              <w:bottom w:val="single" w:color="000000" w:sz="4" w:space="0"/>
              <w:right w:val="single" w:color="000000" w:sz="4" w:space="0"/>
            </w:tcBorders>
            <w:vAlign w:val="center"/>
          </w:tcPr>
          <w:p w14:paraId="399EA5E2">
            <w:pPr>
              <w:widowControl/>
              <w:jc w:val="center"/>
              <w:rPr>
                <w:rFonts w:hint="eastAsia" w:ascii="宋体" w:hAnsi="宋体" w:cs="宋体"/>
                <w:color w:val="000000"/>
                <w:szCs w:val="21"/>
                <w:highlight w:val="none"/>
                <w:lang w:val="zh-CN"/>
              </w:rPr>
            </w:pPr>
          </w:p>
        </w:tc>
        <w:tc>
          <w:tcPr>
            <w:tcW w:w="3240" w:type="dxa"/>
            <w:tcBorders>
              <w:top w:val="single" w:color="000000" w:sz="4" w:space="0"/>
              <w:left w:val="single" w:color="000000" w:sz="4" w:space="0"/>
              <w:bottom w:val="single" w:color="000000" w:sz="4" w:space="0"/>
              <w:right w:val="single" w:color="000000" w:sz="4" w:space="0"/>
            </w:tcBorders>
            <w:vAlign w:val="center"/>
          </w:tcPr>
          <w:p w14:paraId="164EAA84">
            <w:pPr>
              <w:widowControl/>
              <w:jc w:val="center"/>
              <w:rPr>
                <w:rFonts w:hint="eastAsia" w:ascii="宋体" w:hAnsi="宋体" w:cs="宋体"/>
                <w:color w:val="000000"/>
                <w:szCs w:val="21"/>
                <w:highlight w:val="none"/>
                <w:lang w:val="zh-CN"/>
              </w:rPr>
            </w:pPr>
          </w:p>
        </w:tc>
        <w:tc>
          <w:tcPr>
            <w:tcW w:w="1110" w:type="dxa"/>
            <w:tcBorders>
              <w:top w:val="single" w:color="000000" w:sz="4" w:space="0"/>
              <w:left w:val="single" w:color="000000" w:sz="4" w:space="0"/>
              <w:bottom w:val="single" w:color="000000" w:sz="4" w:space="0"/>
              <w:right w:val="single" w:color="000000" w:sz="4" w:space="0"/>
            </w:tcBorders>
            <w:vAlign w:val="center"/>
          </w:tcPr>
          <w:p w14:paraId="62F05481">
            <w:pPr>
              <w:widowControl/>
              <w:jc w:val="center"/>
              <w:rPr>
                <w:rFonts w:hint="eastAsia" w:ascii="宋体" w:hAnsi="宋体" w:cs="宋体"/>
                <w:color w:val="000000"/>
                <w:szCs w:val="21"/>
                <w:highlight w:val="none"/>
                <w:lang w:val="zh-CN"/>
              </w:rPr>
            </w:pPr>
          </w:p>
        </w:tc>
      </w:tr>
    </w:tbl>
    <w:p w14:paraId="09986492">
      <w:pPr>
        <w:widowControl/>
        <w:spacing w:line="360" w:lineRule="auto"/>
        <w:jc w:val="left"/>
        <w:rPr>
          <w:rFonts w:hint="eastAsia" w:ascii="宋体" w:hAnsi="宋体" w:cs="宋体"/>
          <w:color w:val="000000"/>
          <w:szCs w:val="21"/>
          <w:highlight w:val="none"/>
          <w:lang w:val="zh-CN"/>
        </w:rPr>
      </w:pPr>
    </w:p>
    <w:p w14:paraId="3656DD34">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lang w:val="zh-CN"/>
        </w:rPr>
        <w:t>投标人名称：（盖章）</w:t>
      </w:r>
    </w:p>
    <w:p w14:paraId="3D70D527">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rPr>
        <w:t>日期：    年    月    日</w:t>
      </w:r>
    </w:p>
    <w:p w14:paraId="2CAE1B07">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说明：</w:t>
      </w:r>
      <w:r>
        <w:rPr>
          <w:rFonts w:hint="eastAsia" w:ascii="宋体" w:hAnsi="宋体" w:cs="宋体"/>
          <w:color w:val="000000"/>
          <w:szCs w:val="21"/>
          <w:highlight w:val="none"/>
        </w:rPr>
        <w:t>1、</w:t>
      </w:r>
      <w:r>
        <w:rPr>
          <w:rFonts w:hint="eastAsia" w:ascii="宋体" w:hAnsi="宋体" w:cs="宋体"/>
          <w:color w:val="000000"/>
          <w:szCs w:val="21"/>
          <w:highlight w:val="none"/>
          <w:lang w:val="zh-CN"/>
        </w:rPr>
        <w:t>如果行、列数不够，请自行增加。</w:t>
      </w:r>
    </w:p>
    <w:p w14:paraId="2E4F9790">
      <w:pPr>
        <w:widowControl/>
        <w:shd w:val="clear" w:color="auto" w:fill="FFFFFF"/>
        <w:spacing w:line="360" w:lineRule="auto"/>
        <w:jc w:val="left"/>
        <w:rPr>
          <w:rFonts w:hint="eastAsia" w:ascii="宋体" w:hAnsi="宋体" w:cs="宋体"/>
          <w:b/>
          <w:color w:val="000000"/>
          <w:szCs w:val="21"/>
          <w:highlight w:val="none"/>
        </w:rPr>
      </w:pPr>
    </w:p>
    <w:p w14:paraId="3E7635BF">
      <w:pPr>
        <w:widowControl/>
        <w:shd w:val="clear" w:color="auto" w:fill="FFFFFF"/>
        <w:spacing w:line="360" w:lineRule="auto"/>
        <w:jc w:val="left"/>
        <w:rPr>
          <w:rFonts w:hint="eastAsia" w:ascii="宋体" w:hAnsi="宋体" w:cs="宋体"/>
          <w:b/>
          <w:color w:val="000000"/>
          <w:szCs w:val="21"/>
          <w:highlight w:val="none"/>
        </w:rPr>
      </w:pPr>
    </w:p>
    <w:p w14:paraId="57F8B056">
      <w:pPr>
        <w:widowControl/>
        <w:shd w:val="clear" w:color="auto" w:fill="FFFFFF"/>
        <w:spacing w:line="360" w:lineRule="auto"/>
        <w:jc w:val="left"/>
        <w:rPr>
          <w:rFonts w:hint="eastAsia" w:ascii="宋体" w:hAnsi="宋体" w:cs="宋体"/>
          <w:b/>
          <w:color w:val="000000"/>
          <w:szCs w:val="21"/>
          <w:highlight w:val="none"/>
        </w:rPr>
      </w:pPr>
      <w:r>
        <w:rPr>
          <w:rFonts w:hint="eastAsia" w:ascii="宋体" w:hAnsi="宋体" w:cs="宋体"/>
          <w:b/>
          <w:color w:val="000000"/>
          <w:szCs w:val="21"/>
          <w:highlight w:val="none"/>
        </w:rPr>
        <w:t>七、商务条款偏离表</w:t>
      </w:r>
    </w:p>
    <w:p w14:paraId="7A91A5CF">
      <w:pPr>
        <w:widowControl/>
        <w:shd w:val="clear" w:color="auto" w:fill="FFFFFF"/>
        <w:ind w:left="420"/>
        <w:jc w:val="center"/>
        <w:rPr>
          <w:rFonts w:hint="eastAsia" w:ascii="宋体" w:hAnsi="宋体" w:cs="宋体"/>
          <w:color w:val="000000"/>
          <w:szCs w:val="21"/>
          <w:highlight w:val="none"/>
        </w:rPr>
      </w:pPr>
      <w:r>
        <w:rPr>
          <w:rFonts w:hint="eastAsia" w:ascii="宋体" w:hAnsi="宋体" w:cs="宋体"/>
          <w:color w:val="000000"/>
          <w:szCs w:val="21"/>
          <w:highlight w:val="none"/>
        </w:rPr>
        <w:t>商务条款偏离表</w:t>
      </w:r>
    </w:p>
    <w:tbl>
      <w:tblPr>
        <w:tblStyle w:val="30"/>
        <w:tblW w:w="9621" w:type="dxa"/>
        <w:jc w:val="center"/>
        <w:tblLayout w:type="fixed"/>
        <w:tblCellMar>
          <w:top w:w="0" w:type="dxa"/>
          <w:left w:w="10" w:type="dxa"/>
          <w:bottom w:w="0" w:type="dxa"/>
          <w:right w:w="10" w:type="dxa"/>
        </w:tblCellMar>
      </w:tblPr>
      <w:tblGrid>
        <w:gridCol w:w="864"/>
        <w:gridCol w:w="2069"/>
        <w:gridCol w:w="2879"/>
        <w:gridCol w:w="2608"/>
        <w:gridCol w:w="1201"/>
      </w:tblGrid>
      <w:tr w14:paraId="6EA58136">
        <w:tblPrEx>
          <w:tblCellMar>
            <w:top w:w="0" w:type="dxa"/>
            <w:left w:w="10" w:type="dxa"/>
            <w:bottom w:w="0" w:type="dxa"/>
            <w:right w:w="10" w:type="dxa"/>
          </w:tblCellMar>
        </w:tblPrEx>
        <w:trPr>
          <w:trHeight w:val="454" w:hRule="atLeast"/>
          <w:tblHeader/>
          <w:jc w:val="center"/>
        </w:trPr>
        <w:tc>
          <w:tcPr>
            <w:tcW w:w="5812" w:type="dxa"/>
            <w:gridSpan w:val="3"/>
            <w:tcBorders>
              <w:top w:val="single" w:color="000000" w:sz="4" w:space="0"/>
              <w:left w:val="single" w:color="000000" w:sz="4" w:space="0"/>
              <w:bottom w:val="single" w:color="000000" w:sz="4" w:space="0"/>
              <w:right w:val="single" w:color="000000" w:sz="4" w:space="0"/>
            </w:tcBorders>
            <w:tcMar>
              <w:top w:w="0" w:type="dxa"/>
              <w:left w:w="10" w:type="dxa"/>
              <w:bottom w:w="0" w:type="dxa"/>
              <w:right w:w="10" w:type="dxa"/>
            </w:tcMar>
            <w:vAlign w:val="center"/>
          </w:tcPr>
          <w:p w14:paraId="4092FCD8">
            <w:pPr>
              <w:widowControl/>
              <w:jc w:val="left"/>
              <w:rPr>
                <w:rFonts w:hint="eastAsia" w:ascii="宋体" w:hAnsi="宋体" w:cs="宋体"/>
                <w:color w:val="000000"/>
                <w:szCs w:val="21"/>
                <w:highlight w:val="none"/>
              </w:rPr>
            </w:pPr>
            <w:r>
              <w:rPr>
                <w:rFonts w:hint="eastAsia" w:ascii="宋体" w:hAnsi="宋体" w:cs="宋体"/>
                <w:color w:val="000000"/>
                <w:szCs w:val="21"/>
                <w:highlight w:val="none"/>
              </w:rPr>
              <w:t>项目名称：</w:t>
            </w:r>
          </w:p>
        </w:tc>
        <w:tc>
          <w:tcPr>
            <w:tcW w:w="3809" w:type="dxa"/>
            <w:gridSpan w:val="2"/>
            <w:tcBorders>
              <w:top w:val="single" w:color="000000" w:sz="4" w:space="0"/>
              <w:left w:val="single" w:color="000000" w:sz="4" w:space="0"/>
              <w:bottom w:val="single" w:color="000000" w:sz="4" w:space="0"/>
              <w:right w:val="single" w:color="000000" w:sz="4" w:space="0"/>
            </w:tcBorders>
            <w:tcMar>
              <w:top w:w="0" w:type="dxa"/>
              <w:left w:w="10" w:type="dxa"/>
              <w:bottom w:w="0" w:type="dxa"/>
              <w:right w:w="10" w:type="dxa"/>
            </w:tcMar>
            <w:vAlign w:val="center"/>
          </w:tcPr>
          <w:p w14:paraId="61FAD40A">
            <w:pPr>
              <w:widowControl/>
              <w:jc w:val="left"/>
              <w:rPr>
                <w:rFonts w:hint="eastAsia" w:ascii="宋体" w:hAnsi="宋体" w:cs="宋体"/>
                <w:color w:val="000000"/>
                <w:szCs w:val="21"/>
                <w:highlight w:val="none"/>
              </w:rPr>
            </w:pPr>
            <w:r>
              <w:rPr>
                <w:rFonts w:hint="eastAsia" w:ascii="宋体" w:hAnsi="宋体" w:cs="宋体"/>
                <w:color w:val="000000"/>
                <w:szCs w:val="21"/>
                <w:highlight w:val="none"/>
                <w:lang w:val="zh-CN"/>
              </w:rPr>
              <w:t>项目编号：</w:t>
            </w:r>
          </w:p>
        </w:tc>
      </w:tr>
      <w:tr w14:paraId="2E135A1C">
        <w:tblPrEx>
          <w:tblCellMar>
            <w:top w:w="0" w:type="dxa"/>
            <w:left w:w="10" w:type="dxa"/>
            <w:bottom w:w="0" w:type="dxa"/>
            <w:right w:w="10" w:type="dxa"/>
          </w:tblCellMar>
        </w:tblPrEx>
        <w:trPr>
          <w:trHeight w:val="454" w:hRule="atLeast"/>
          <w:jc w:val="center"/>
        </w:trPr>
        <w:tc>
          <w:tcPr>
            <w:tcW w:w="864" w:type="dxa"/>
            <w:tcBorders>
              <w:top w:val="single" w:color="000000" w:sz="4"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5E5ADEF0">
            <w:pPr>
              <w:widowControl/>
              <w:jc w:val="center"/>
              <w:rPr>
                <w:rFonts w:hint="eastAsia" w:ascii="宋体" w:hAnsi="宋体" w:cs="宋体"/>
                <w:color w:val="000000"/>
                <w:szCs w:val="21"/>
                <w:highlight w:val="none"/>
              </w:rPr>
            </w:pPr>
            <w:r>
              <w:rPr>
                <w:rFonts w:hint="eastAsia" w:ascii="宋体" w:hAnsi="宋体" w:cs="宋体"/>
                <w:color w:val="000000"/>
                <w:szCs w:val="21"/>
                <w:highlight w:val="none"/>
              </w:rPr>
              <w:t>序号</w:t>
            </w:r>
          </w:p>
        </w:tc>
        <w:tc>
          <w:tcPr>
            <w:tcW w:w="2069" w:type="dxa"/>
            <w:tcBorders>
              <w:top w:val="single" w:color="000000" w:sz="4"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5F2793CC">
            <w:pPr>
              <w:widowControl/>
              <w:jc w:val="center"/>
              <w:rPr>
                <w:rFonts w:hint="eastAsia" w:ascii="宋体" w:hAnsi="宋体" w:cs="宋体"/>
                <w:color w:val="000000"/>
                <w:szCs w:val="21"/>
                <w:highlight w:val="none"/>
              </w:rPr>
            </w:pPr>
            <w:r>
              <w:rPr>
                <w:rFonts w:hint="eastAsia" w:ascii="宋体" w:hAnsi="宋体" w:cs="宋体"/>
                <w:color w:val="000000"/>
                <w:szCs w:val="21"/>
                <w:highlight w:val="none"/>
              </w:rPr>
              <w:t>招标文件条目号</w:t>
            </w:r>
          </w:p>
        </w:tc>
        <w:tc>
          <w:tcPr>
            <w:tcW w:w="2879" w:type="dxa"/>
            <w:tcBorders>
              <w:top w:val="single" w:color="000000" w:sz="4"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0C5DE78F">
            <w:pPr>
              <w:widowControl/>
              <w:jc w:val="center"/>
              <w:rPr>
                <w:rFonts w:hint="eastAsia" w:ascii="宋体" w:hAnsi="宋体" w:cs="宋体"/>
                <w:color w:val="000000"/>
                <w:szCs w:val="21"/>
                <w:highlight w:val="none"/>
              </w:rPr>
            </w:pPr>
            <w:r>
              <w:rPr>
                <w:rFonts w:hint="eastAsia" w:ascii="宋体" w:hAnsi="宋体" w:cs="宋体"/>
                <w:color w:val="000000"/>
                <w:szCs w:val="21"/>
                <w:highlight w:val="none"/>
              </w:rPr>
              <w:t>招标文件要求的商务条款</w:t>
            </w:r>
          </w:p>
        </w:tc>
        <w:tc>
          <w:tcPr>
            <w:tcW w:w="2608" w:type="dxa"/>
            <w:tcBorders>
              <w:top w:val="single" w:color="000000" w:sz="4"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09890263">
            <w:pPr>
              <w:widowControl/>
              <w:jc w:val="center"/>
              <w:rPr>
                <w:rFonts w:hint="eastAsia" w:ascii="宋体" w:hAnsi="宋体" w:cs="宋体"/>
                <w:color w:val="000000"/>
                <w:szCs w:val="21"/>
                <w:highlight w:val="none"/>
              </w:rPr>
            </w:pPr>
            <w:r>
              <w:rPr>
                <w:rFonts w:hint="eastAsia" w:ascii="宋体" w:hAnsi="宋体" w:cs="宋体"/>
                <w:color w:val="000000"/>
                <w:szCs w:val="21"/>
                <w:highlight w:val="none"/>
              </w:rPr>
              <w:t>投标响应</w:t>
            </w:r>
          </w:p>
        </w:tc>
        <w:tc>
          <w:tcPr>
            <w:tcW w:w="1201" w:type="dxa"/>
            <w:tcBorders>
              <w:top w:val="single" w:color="000000" w:sz="4"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682D5499">
            <w:pPr>
              <w:widowControl/>
              <w:jc w:val="center"/>
              <w:rPr>
                <w:rFonts w:hint="eastAsia" w:ascii="宋体" w:hAnsi="宋体" w:cs="宋体"/>
                <w:color w:val="000000"/>
                <w:szCs w:val="21"/>
                <w:highlight w:val="none"/>
              </w:rPr>
            </w:pPr>
            <w:r>
              <w:rPr>
                <w:rFonts w:hint="eastAsia" w:ascii="宋体" w:hAnsi="宋体" w:cs="宋体"/>
                <w:color w:val="000000"/>
                <w:szCs w:val="21"/>
                <w:highlight w:val="none"/>
              </w:rPr>
              <w:t>偏离</w:t>
            </w:r>
          </w:p>
        </w:tc>
      </w:tr>
      <w:tr w14:paraId="53FC4411">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3774A68F">
            <w:pPr>
              <w:widowControl/>
              <w:spacing w:line="360" w:lineRule="auto"/>
              <w:jc w:val="left"/>
              <w:rPr>
                <w:rFonts w:hint="eastAsia"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1126933E">
            <w:pPr>
              <w:widowControl/>
              <w:spacing w:line="360" w:lineRule="auto"/>
              <w:jc w:val="left"/>
              <w:rPr>
                <w:rFonts w:hint="eastAsia"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0FEB7C74">
            <w:pPr>
              <w:widowControl/>
              <w:spacing w:line="360" w:lineRule="auto"/>
              <w:jc w:val="left"/>
              <w:rPr>
                <w:rFonts w:hint="eastAsia"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58123A31">
            <w:pPr>
              <w:widowControl/>
              <w:spacing w:line="360" w:lineRule="auto"/>
              <w:jc w:val="left"/>
              <w:rPr>
                <w:rFonts w:hint="eastAsia"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E4F51A7">
            <w:pPr>
              <w:widowControl/>
              <w:spacing w:line="360" w:lineRule="auto"/>
              <w:jc w:val="left"/>
              <w:rPr>
                <w:rFonts w:hint="eastAsia" w:ascii="宋体" w:hAnsi="宋体" w:cs="宋体"/>
                <w:color w:val="000000"/>
                <w:szCs w:val="21"/>
                <w:highlight w:val="none"/>
              </w:rPr>
            </w:pPr>
          </w:p>
        </w:tc>
      </w:tr>
      <w:tr w14:paraId="26C6865A">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0FCC1632">
            <w:pPr>
              <w:widowControl/>
              <w:spacing w:line="360" w:lineRule="auto"/>
              <w:jc w:val="left"/>
              <w:rPr>
                <w:rFonts w:hint="eastAsia"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237C43B9">
            <w:pPr>
              <w:widowControl/>
              <w:spacing w:line="360" w:lineRule="auto"/>
              <w:jc w:val="left"/>
              <w:rPr>
                <w:rFonts w:hint="eastAsia"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713ED597">
            <w:pPr>
              <w:widowControl/>
              <w:spacing w:line="360" w:lineRule="auto"/>
              <w:jc w:val="left"/>
              <w:rPr>
                <w:rFonts w:hint="eastAsia"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1294E357">
            <w:pPr>
              <w:widowControl/>
              <w:spacing w:line="360" w:lineRule="auto"/>
              <w:jc w:val="left"/>
              <w:rPr>
                <w:rFonts w:hint="eastAsia"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74E24037">
            <w:pPr>
              <w:widowControl/>
              <w:spacing w:line="360" w:lineRule="auto"/>
              <w:jc w:val="left"/>
              <w:rPr>
                <w:rFonts w:hint="eastAsia" w:ascii="宋体" w:hAnsi="宋体" w:cs="宋体"/>
                <w:color w:val="000000"/>
                <w:szCs w:val="21"/>
                <w:highlight w:val="none"/>
              </w:rPr>
            </w:pPr>
          </w:p>
        </w:tc>
      </w:tr>
      <w:tr w14:paraId="25FC5BAC">
        <w:tblPrEx>
          <w:tblCellMar>
            <w:top w:w="0" w:type="dxa"/>
            <w:left w:w="10" w:type="dxa"/>
            <w:bottom w:w="0" w:type="dxa"/>
            <w:right w:w="10" w:type="dxa"/>
          </w:tblCellMar>
        </w:tblPrEx>
        <w:trPr>
          <w:trHeight w:val="454" w:hRule="atLeast"/>
          <w:jc w:val="center"/>
        </w:trPr>
        <w:tc>
          <w:tcPr>
            <w:tcW w:w="864"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291CF4A7">
            <w:pPr>
              <w:widowControl/>
              <w:spacing w:line="360" w:lineRule="auto"/>
              <w:jc w:val="left"/>
              <w:rPr>
                <w:rFonts w:hint="eastAsia" w:ascii="宋体" w:hAnsi="宋体" w:cs="宋体"/>
                <w:color w:val="000000"/>
                <w:szCs w:val="21"/>
                <w:highlight w:val="none"/>
              </w:rPr>
            </w:pPr>
          </w:p>
        </w:tc>
        <w:tc>
          <w:tcPr>
            <w:tcW w:w="206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56E268DB">
            <w:pPr>
              <w:widowControl/>
              <w:spacing w:line="360" w:lineRule="auto"/>
              <w:jc w:val="left"/>
              <w:rPr>
                <w:rFonts w:hint="eastAsia" w:ascii="宋体" w:hAnsi="宋体" w:cs="宋体"/>
                <w:color w:val="000000"/>
                <w:szCs w:val="21"/>
                <w:highlight w:val="none"/>
              </w:rPr>
            </w:pPr>
          </w:p>
        </w:tc>
        <w:tc>
          <w:tcPr>
            <w:tcW w:w="2879"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46DD909F">
            <w:pPr>
              <w:widowControl/>
              <w:spacing w:line="360" w:lineRule="auto"/>
              <w:jc w:val="left"/>
              <w:rPr>
                <w:rFonts w:hint="eastAsia" w:ascii="宋体" w:hAnsi="宋体" w:cs="宋体"/>
                <w:color w:val="000000"/>
                <w:szCs w:val="21"/>
                <w:highlight w:val="none"/>
              </w:rPr>
            </w:pPr>
          </w:p>
        </w:tc>
        <w:tc>
          <w:tcPr>
            <w:tcW w:w="2608"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3D01EF4A">
            <w:pPr>
              <w:widowControl/>
              <w:spacing w:line="360" w:lineRule="auto"/>
              <w:jc w:val="left"/>
              <w:rPr>
                <w:rFonts w:hint="eastAsia" w:ascii="宋体" w:hAnsi="宋体" w:cs="宋体"/>
                <w:color w:val="000000"/>
                <w:szCs w:val="21"/>
                <w:highlight w:val="none"/>
              </w:rPr>
            </w:pPr>
          </w:p>
        </w:tc>
        <w:tc>
          <w:tcPr>
            <w:tcW w:w="1201" w:type="dxa"/>
            <w:tcBorders>
              <w:top w:val="single" w:color="000000" w:sz="8" w:space="0"/>
              <w:left w:val="single" w:color="000000" w:sz="8" w:space="0"/>
              <w:bottom w:val="single" w:color="000000" w:sz="8" w:space="0"/>
              <w:right w:val="single" w:color="000000" w:sz="8" w:space="0"/>
            </w:tcBorders>
            <w:tcMar>
              <w:top w:w="0" w:type="dxa"/>
              <w:left w:w="10" w:type="dxa"/>
              <w:bottom w:w="0" w:type="dxa"/>
              <w:right w:w="10" w:type="dxa"/>
            </w:tcMar>
            <w:vAlign w:val="center"/>
          </w:tcPr>
          <w:p w14:paraId="0E45C752">
            <w:pPr>
              <w:widowControl/>
              <w:spacing w:line="360" w:lineRule="auto"/>
              <w:jc w:val="left"/>
              <w:rPr>
                <w:rFonts w:hint="eastAsia" w:ascii="宋体" w:hAnsi="宋体" w:cs="宋体"/>
                <w:color w:val="000000"/>
                <w:szCs w:val="21"/>
                <w:highlight w:val="none"/>
              </w:rPr>
            </w:pPr>
          </w:p>
        </w:tc>
      </w:tr>
    </w:tbl>
    <w:p w14:paraId="5D55A8E1">
      <w:pPr>
        <w:widowControl/>
        <w:spacing w:line="360" w:lineRule="auto"/>
        <w:jc w:val="left"/>
        <w:rPr>
          <w:rFonts w:hint="eastAsia" w:ascii="宋体" w:hAnsi="宋体" w:cs="宋体"/>
          <w:color w:val="000000"/>
          <w:szCs w:val="21"/>
          <w:highlight w:val="none"/>
          <w:lang w:val="zh-CN"/>
        </w:rPr>
      </w:pPr>
    </w:p>
    <w:p w14:paraId="3A3C9FF2">
      <w:pPr>
        <w:widowControl/>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lang w:val="zh-CN"/>
        </w:rPr>
        <w:t>投标人名称：（盖章）</w:t>
      </w:r>
    </w:p>
    <w:p w14:paraId="42D0E972">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rPr>
        <w:t>日期：    年    月    日</w:t>
      </w:r>
    </w:p>
    <w:p w14:paraId="63988EC8">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说明：</w:t>
      </w:r>
      <w:r>
        <w:rPr>
          <w:rFonts w:hint="eastAsia" w:ascii="宋体" w:hAnsi="宋体" w:cs="宋体"/>
          <w:color w:val="000000"/>
          <w:szCs w:val="21"/>
          <w:highlight w:val="none"/>
        </w:rPr>
        <w:t>1、</w:t>
      </w:r>
      <w:r>
        <w:rPr>
          <w:rFonts w:hint="eastAsia" w:ascii="宋体" w:hAnsi="宋体" w:cs="宋体"/>
          <w:color w:val="000000"/>
          <w:szCs w:val="21"/>
          <w:highlight w:val="none"/>
          <w:lang w:val="zh-CN"/>
        </w:rPr>
        <w:t>如果行、列数不够，请自行增加。</w:t>
      </w:r>
    </w:p>
    <w:p w14:paraId="6EAA7CB9">
      <w:pPr>
        <w:widowControl/>
        <w:shd w:val="clear" w:color="auto" w:fill="FFFFFF"/>
        <w:spacing w:line="360" w:lineRule="auto"/>
        <w:jc w:val="left"/>
        <w:rPr>
          <w:rFonts w:hint="eastAsia" w:ascii="宋体" w:hAnsi="宋体" w:cs="宋体"/>
          <w:b/>
          <w:bCs/>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1D7FBEE5">
      <w:pPr>
        <w:widowControl/>
        <w:shd w:val="clear" w:color="auto" w:fill="FFFFFF"/>
        <w:spacing w:line="360" w:lineRule="auto"/>
        <w:jc w:val="left"/>
        <w:rPr>
          <w:rFonts w:hint="eastAsia" w:ascii="宋体" w:hAnsi="宋体" w:cs="宋体"/>
          <w:b/>
          <w:bCs/>
          <w:color w:val="000000"/>
          <w:szCs w:val="21"/>
          <w:highlight w:val="none"/>
        </w:rPr>
      </w:pPr>
      <w:r>
        <w:rPr>
          <w:rFonts w:hint="eastAsia" w:ascii="宋体" w:hAnsi="宋体" w:cs="宋体"/>
          <w:b/>
          <w:bCs/>
          <w:color w:val="000000"/>
          <w:szCs w:val="21"/>
          <w:highlight w:val="none"/>
        </w:rPr>
        <w:t>八、技术说明或服务方案</w:t>
      </w:r>
    </w:p>
    <w:p w14:paraId="48CB0A11">
      <w:pPr>
        <w:widowControl/>
        <w:shd w:val="clear" w:color="auto" w:fill="FFFFFF"/>
        <w:spacing w:line="360" w:lineRule="auto"/>
        <w:jc w:val="left"/>
        <w:rPr>
          <w:rFonts w:hint="eastAsia" w:ascii="宋体" w:hAnsi="宋体" w:cs="宋体"/>
          <w:color w:val="000000"/>
          <w:szCs w:val="21"/>
          <w:highlight w:val="none"/>
        </w:rPr>
      </w:pPr>
    </w:p>
    <w:p w14:paraId="304E14D4">
      <w:pPr>
        <w:widowControl/>
        <w:shd w:val="clear" w:color="auto" w:fill="FFFFFF"/>
        <w:spacing w:line="360" w:lineRule="auto"/>
        <w:jc w:val="left"/>
        <w:rPr>
          <w:rFonts w:hint="eastAsia" w:ascii="宋体" w:hAnsi="宋体" w:cs="宋体"/>
          <w:b/>
          <w:bCs/>
          <w:color w:val="000000"/>
          <w:szCs w:val="21"/>
          <w:highlight w:val="none"/>
        </w:rPr>
      </w:pPr>
    </w:p>
    <w:p w14:paraId="3E81DD03">
      <w:pPr>
        <w:widowControl/>
        <w:spacing w:line="460" w:lineRule="atLeast"/>
        <w:rPr>
          <w:rFonts w:ascii="Arial" w:hAnsi="Arial" w:cs="Arial"/>
          <w:b/>
          <w:bCs/>
          <w:color w:val="000000"/>
          <w:szCs w:val="21"/>
          <w:highlight w:val="none"/>
        </w:rPr>
      </w:pPr>
      <w:r>
        <w:rPr>
          <w:rFonts w:hint="eastAsia" w:ascii="宋体" w:hAnsi="宋体" w:cs="宋体"/>
          <w:b/>
          <w:bCs/>
          <w:color w:val="000000"/>
          <w:szCs w:val="21"/>
          <w:highlight w:val="none"/>
        </w:rPr>
        <w:t>九、</w:t>
      </w:r>
      <w:r>
        <w:rPr>
          <w:rFonts w:hint="eastAsia" w:ascii="Arial" w:hAnsi="Arial" w:cs="Arial"/>
          <w:b/>
          <w:bCs/>
          <w:color w:val="000000"/>
          <w:szCs w:val="21"/>
          <w:highlight w:val="none"/>
        </w:rPr>
        <w:t>拟参与本项目服务人员一览表</w:t>
      </w:r>
    </w:p>
    <w:p w14:paraId="17088752">
      <w:pPr>
        <w:widowControl/>
        <w:spacing w:line="460" w:lineRule="atLeast"/>
        <w:rPr>
          <w:rFonts w:ascii="Arial" w:hAnsi="Arial" w:cs="Arial"/>
          <w:b/>
          <w:bCs/>
          <w:color w:val="000000"/>
          <w:szCs w:val="21"/>
          <w:highlight w:val="none"/>
        </w:rPr>
      </w:pPr>
    </w:p>
    <w:p w14:paraId="3D3C165A">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拟参与本项目服务人员一览表</w:t>
      </w:r>
    </w:p>
    <w:p w14:paraId="45325210">
      <w:pPr>
        <w:widowControl/>
        <w:jc w:val="center"/>
        <w:rPr>
          <w:rFonts w:ascii="Arial" w:hAnsi="Arial" w:cs="Arial"/>
          <w:b/>
          <w:bCs/>
          <w:color w:val="000000"/>
          <w:szCs w:val="21"/>
          <w:highlight w:val="none"/>
        </w:rPr>
      </w:pPr>
    </w:p>
    <w:p w14:paraId="368301B6">
      <w:pPr>
        <w:widowControl/>
        <w:rPr>
          <w:rFonts w:ascii="Arial" w:hAnsi="Arial" w:cs="Arial"/>
          <w:color w:val="000000"/>
          <w:szCs w:val="21"/>
          <w:highlight w:val="none"/>
        </w:rPr>
      </w:pPr>
      <w:r>
        <w:rPr>
          <w:rFonts w:hint="eastAsia" w:ascii="Arial" w:hAnsi="Arial" w:cs="Arial"/>
          <w:color w:val="000000"/>
          <w:szCs w:val="21"/>
          <w:highlight w:val="none"/>
        </w:rPr>
        <w:t>项目名称：项目编号：</w:t>
      </w:r>
    </w:p>
    <w:tbl>
      <w:tblPr>
        <w:tblStyle w:val="30"/>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1F2E696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5AE56B0C">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2E489396">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3152AE5F">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4BF833EC">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0BECD488">
            <w:pPr>
              <w:widowControl/>
              <w:jc w:val="center"/>
              <w:rPr>
                <w:rFonts w:ascii="Arial" w:hAnsi="Arial" w:cs="Arial"/>
                <w:b/>
                <w:bCs/>
                <w:color w:val="000000"/>
                <w:szCs w:val="21"/>
                <w:highlight w:val="none"/>
              </w:rPr>
            </w:pPr>
            <w:r>
              <w:rPr>
                <w:rFonts w:hint="eastAsia" w:ascii="Arial" w:hAnsi="Arial" w:cs="Arial"/>
                <w:b/>
                <w:bCs/>
                <w:color w:val="00000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17A2192F">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40ACE742">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执业</w:t>
            </w:r>
          </w:p>
          <w:p w14:paraId="443097E2">
            <w:pPr>
              <w:widowControl/>
              <w:jc w:val="center"/>
              <w:rPr>
                <w:rFonts w:ascii="Arial" w:hAnsi="Arial" w:cs="Arial"/>
                <w:b/>
                <w:bCs/>
                <w:color w:val="000000"/>
                <w:szCs w:val="21"/>
                <w:highlight w:val="none"/>
              </w:rPr>
            </w:pPr>
            <w:r>
              <w:rPr>
                <w:rFonts w:hint="eastAsia" w:ascii="Arial" w:hAnsi="Arial" w:cs="Arial"/>
                <w:b/>
                <w:bCs/>
                <w:color w:val="00000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173F88D4">
            <w:pPr>
              <w:widowControl/>
              <w:jc w:val="center"/>
              <w:rPr>
                <w:rFonts w:ascii="Arial" w:hAnsi="Arial" w:cs="Arial"/>
                <w:b/>
                <w:bCs/>
                <w:color w:val="000000"/>
                <w:szCs w:val="21"/>
                <w:highlight w:val="none"/>
              </w:rPr>
            </w:pPr>
            <w:r>
              <w:rPr>
                <w:rFonts w:hint="eastAsia" w:ascii="Arial" w:hAnsi="Arial" w:cs="Arial"/>
                <w:b/>
                <w:bCs/>
                <w:color w:val="00000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7B70EAAE">
            <w:pPr>
              <w:widowControl/>
              <w:jc w:val="center"/>
              <w:rPr>
                <w:rFonts w:ascii="Arial" w:hAnsi="Arial" w:cs="Arial"/>
                <w:b/>
                <w:bCs/>
                <w:color w:val="000000"/>
                <w:szCs w:val="21"/>
                <w:highlight w:val="none"/>
              </w:rPr>
            </w:pPr>
            <w:r>
              <w:rPr>
                <w:rFonts w:hint="eastAsia" w:ascii="Arial" w:hAnsi="Arial" w:cs="Arial"/>
                <w:b/>
                <w:bCs/>
                <w:color w:val="00000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35E801DC">
            <w:pPr>
              <w:widowControl/>
              <w:jc w:val="center"/>
              <w:rPr>
                <w:rFonts w:ascii="Arial" w:hAnsi="Arial" w:cs="Arial"/>
                <w:b/>
                <w:bCs/>
                <w:color w:val="000000"/>
                <w:szCs w:val="21"/>
                <w:highlight w:val="none"/>
              </w:rPr>
            </w:pPr>
            <w:r>
              <w:rPr>
                <w:rFonts w:hint="eastAsia" w:ascii="Arial" w:hAnsi="Arial" w:cs="Arial"/>
                <w:b/>
                <w:bCs/>
                <w:color w:val="00000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209C1716">
            <w:pPr>
              <w:widowControl/>
              <w:jc w:val="center"/>
              <w:rPr>
                <w:rFonts w:ascii="Arial" w:hAnsi="Arial" w:cs="Arial"/>
                <w:b/>
                <w:bCs/>
                <w:color w:val="000000"/>
                <w:szCs w:val="21"/>
                <w:highlight w:val="none"/>
              </w:rPr>
            </w:pPr>
            <w:r>
              <w:rPr>
                <w:rFonts w:hint="eastAsia" w:ascii="Arial" w:hAnsi="Arial" w:cs="Arial"/>
                <w:b/>
                <w:bCs/>
                <w:color w:val="000000"/>
                <w:szCs w:val="21"/>
                <w:highlight w:val="none"/>
              </w:rPr>
              <w:t>备注</w:t>
            </w:r>
          </w:p>
        </w:tc>
      </w:tr>
      <w:tr w14:paraId="49E4B3B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28D8587">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1A487D56">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69FD184B">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D99DD19">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02C3D87C">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2E54BCB4">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03D80CF4">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1275A2AB">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45EE2C2C">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5D217AB6">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686D7314">
            <w:pPr>
              <w:widowControl/>
              <w:rPr>
                <w:rFonts w:ascii="Arial" w:hAnsi="Arial" w:cs="Arial"/>
                <w:color w:val="000000"/>
                <w:szCs w:val="21"/>
                <w:highlight w:val="none"/>
              </w:rPr>
            </w:pPr>
          </w:p>
        </w:tc>
      </w:tr>
      <w:tr w14:paraId="4AAAAF0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5D01B98">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7BBF906C">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7F148940">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51E24C91">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71A03B4D">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2B0FF701">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1E83A8EC">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3BF42B1E">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2126FF62">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70201223">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1964CA1E">
            <w:pPr>
              <w:widowControl/>
              <w:rPr>
                <w:rFonts w:ascii="Arial" w:hAnsi="Arial" w:cs="Arial"/>
                <w:color w:val="000000"/>
                <w:szCs w:val="21"/>
                <w:highlight w:val="none"/>
              </w:rPr>
            </w:pPr>
          </w:p>
        </w:tc>
      </w:tr>
      <w:tr w14:paraId="43147E0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10A4A83">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52D92D53">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70ACA9A8">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AF59070">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29B2DCA6">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4DC79C7A">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7DCADBCB">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6A5EF507">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57EAF82A">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6C3F4F4D">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53D23A54">
            <w:pPr>
              <w:widowControl/>
              <w:rPr>
                <w:rFonts w:ascii="Arial" w:hAnsi="Arial" w:cs="Arial"/>
                <w:color w:val="000000"/>
                <w:szCs w:val="21"/>
                <w:highlight w:val="none"/>
              </w:rPr>
            </w:pPr>
          </w:p>
        </w:tc>
      </w:tr>
      <w:tr w14:paraId="4561417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32F63C">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321D17AA">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2121B39F">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4F48C97">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54C24EAD">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3D512A2D">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6DCBC654">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3D847762">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1DE4AF9D">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6931D8AC">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385238FE">
            <w:pPr>
              <w:widowControl/>
              <w:rPr>
                <w:rFonts w:ascii="Arial" w:hAnsi="Arial" w:cs="Arial"/>
                <w:color w:val="000000"/>
                <w:szCs w:val="21"/>
                <w:highlight w:val="none"/>
              </w:rPr>
            </w:pPr>
          </w:p>
        </w:tc>
      </w:tr>
      <w:tr w14:paraId="281ADD9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F18455F">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212A25A1">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68F25C57">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34CD610E">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46111BB2">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19604BB1">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1E44787B">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43CEBC7B">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6D21A48E">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3EB2CEAD">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6CAF9CAF">
            <w:pPr>
              <w:widowControl/>
              <w:rPr>
                <w:rFonts w:ascii="Arial" w:hAnsi="Arial" w:cs="Arial"/>
                <w:color w:val="000000"/>
                <w:szCs w:val="21"/>
                <w:highlight w:val="none"/>
              </w:rPr>
            </w:pPr>
          </w:p>
        </w:tc>
      </w:tr>
      <w:tr w14:paraId="53BC190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9B48336">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0D1A8AC8">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4E4ADE2B">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2939E459">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2CFA042C">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0E7EDDA9">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340A4F6C">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0A95B077">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2B9F6A9F">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1DCA21BE">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6E7D308A">
            <w:pPr>
              <w:widowControl/>
              <w:rPr>
                <w:rFonts w:ascii="Arial" w:hAnsi="Arial" w:cs="Arial"/>
                <w:color w:val="000000"/>
                <w:szCs w:val="21"/>
                <w:highlight w:val="none"/>
              </w:rPr>
            </w:pPr>
          </w:p>
        </w:tc>
      </w:tr>
      <w:tr w14:paraId="6AA3969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2188418">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31907E29">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0F44C509">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5C47B173">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456F780C">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605D3415">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72A3EDA8">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15E132AE">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7B61FF5F">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798EC842">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75A589C7">
            <w:pPr>
              <w:widowControl/>
              <w:rPr>
                <w:rFonts w:ascii="Arial" w:hAnsi="Arial" w:cs="Arial"/>
                <w:color w:val="000000"/>
                <w:szCs w:val="21"/>
                <w:highlight w:val="none"/>
              </w:rPr>
            </w:pPr>
          </w:p>
        </w:tc>
      </w:tr>
      <w:tr w14:paraId="04BD6FE1">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0D53670">
            <w:pPr>
              <w:widowControl/>
              <w:rPr>
                <w:rFonts w:ascii="Arial" w:hAnsi="Arial" w:cs="Arial"/>
                <w:color w:val="000000"/>
                <w:szCs w:val="21"/>
                <w:highlight w:val="none"/>
              </w:rPr>
            </w:pPr>
          </w:p>
        </w:tc>
        <w:tc>
          <w:tcPr>
            <w:tcW w:w="896" w:type="dxa"/>
            <w:tcBorders>
              <w:top w:val="single" w:color="000000" w:sz="4" w:space="0"/>
              <w:left w:val="nil"/>
              <w:bottom w:val="single" w:color="000000" w:sz="4" w:space="0"/>
              <w:right w:val="single" w:color="000000" w:sz="4" w:space="0"/>
            </w:tcBorders>
          </w:tcPr>
          <w:p w14:paraId="2E962BC6">
            <w:pPr>
              <w:widowControl/>
              <w:rPr>
                <w:rFonts w:ascii="Arial" w:hAnsi="Arial" w:cs="Arial"/>
                <w:color w:val="000000"/>
                <w:szCs w:val="21"/>
                <w:highlight w:val="none"/>
              </w:rPr>
            </w:pPr>
          </w:p>
        </w:tc>
        <w:tc>
          <w:tcPr>
            <w:tcW w:w="663" w:type="dxa"/>
            <w:tcBorders>
              <w:top w:val="single" w:color="000000" w:sz="4" w:space="0"/>
              <w:left w:val="nil"/>
              <w:bottom w:val="single" w:color="000000" w:sz="4" w:space="0"/>
              <w:right w:val="single" w:color="000000" w:sz="4" w:space="0"/>
            </w:tcBorders>
          </w:tcPr>
          <w:p w14:paraId="521A108A">
            <w:pPr>
              <w:widowControl/>
              <w:rPr>
                <w:rFonts w:ascii="Arial" w:hAnsi="Arial" w:cs="Arial"/>
                <w:color w:val="000000"/>
                <w:szCs w:val="21"/>
                <w:highlight w:val="none"/>
              </w:rPr>
            </w:pPr>
          </w:p>
        </w:tc>
        <w:tc>
          <w:tcPr>
            <w:tcW w:w="709" w:type="dxa"/>
            <w:tcBorders>
              <w:top w:val="single" w:color="000000" w:sz="4" w:space="0"/>
              <w:left w:val="nil"/>
              <w:bottom w:val="single" w:color="000000" w:sz="4" w:space="0"/>
              <w:right w:val="single" w:color="000000" w:sz="4" w:space="0"/>
            </w:tcBorders>
          </w:tcPr>
          <w:p w14:paraId="4CF94E28">
            <w:pPr>
              <w:widowControl/>
              <w:rPr>
                <w:rFonts w:ascii="Arial" w:hAnsi="Arial" w:cs="Arial"/>
                <w:color w:val="000000"/>
                <w:szCs w:val="21"/>
                <w:highlight w:val="none"/>
              </w:rPr>
            </w:pPr>
          </w:p>
        </w:tc>
        <w:tc>
          <w:tcPr>
            <w:tcW w:w="1134" w:type="dxa"/>
            <w:tcBorders>
              <w:top w:val="single" w:color="000000" w:sz="4" w:space="0"/>
              <w:left w:val="nil"/>
              <w:bottom w:val="single" w:color="000000" w:sz="4" w:space="0"/>
              <w:right w:val="single" w:color="000000" w:sz="4" w:space="0"/>
            </w:tcBorders>
          </w:tcPr>
          <w:p w14:paraId="13382E13">
            <w:pPr>
              <w:widowControl/>
              <w:rPr>
                <w:rFonts w:ascii="Arial" w:hAnsi="Arial" w:cs="Arial"/>
                <w:color w:val="000000"/>
                <w:szCs w:val="21"/>
                <w:highlight w:val="none"/>
              </w:rPr>
            </w:pPr>
          </w:p>
        </w:tc>
        <w:tc>
          <w:tcPr>
            <w:tcW w:w="931" w:type="dxa"/>
            <w:tcBorders>
              <w:top w:val="single" w:color="000000" w:sz="4" w:space="0"/>
              <w:left w:val="nil"/>
              <w:bottom w:val="single" w:color="000000" w:sz="4" w:space="0"/>
              <w:right w:val="single" w:color="000000" w:sz="4" w:space="0"/>
            </w:tcBorders>
          </w:tcPr>
          <w:p w14:paraId="6D4C44B3">
            <w:pPr>
              <w:widowControl/>
              <w:rPr>
                <w:rFonts w:ascii="Arial" w:hAnsi="Arial" w:cs="Arial"/>
                <w:color w:val="000000"/>
                <w:szCs w:val="21"/>
                <w:highlight w:val="none"/>
              </w:rPr>
            </w:pPr>
          </w:p>
        </w:tc>
        <w:tc>
          <w:tcPr>
            <w:tcW w:w="1020" w:type="dxa"/>
            <w:tcBorders>
              <w:top w:val="single" w:color="000000" w:sz="4" w:space="0"/>
              <w:left w:val="nil"/>
              <w:bottom w:val="single" w:color="000000" w:sz="4" w:space="0"/>
              <w:right w:val="single" w:color="000000" w:sz="4" w:space="0"/>
            </w:tcBorders>
          </w:tcPr>
          <w:p w14:paraId="21F470E7">
            <w:pPr>
              <w:widowControl/>
              <w:rPr>
                <w:rFonts w:ascii="Arial" w:hAnsi="Arial" w:cs="Arial"/>
                <w:color w:val="000000"/>
                <w:szCs w:val="21"/>
                <w:highlight w:val="none"/>
              </w:rPr>
            </w:pPr>
          </w:p>
        </w:tc>
        <w:tc>
          <w:tcPr>
            <w:tcW w:w="994" w:type="dxa"/>
            <w:tcBorders>
              <w:top w:val="single" w:color="000000" w:sz="4" w:space="0"/>
              <w:left w:val="nil"/>
              <w:bottom w:val="single" w:color="000000" w:sz="4" w:space="0"/>
              <w:right w:val="single" w:color="000000" w:sz="4" w:space="0"/>
            </w:tcBorders>
          </w:tcPr>
          <w:p w14:paraId="399C1AB8">
            <w:pPr>
              <w:widowControl/>
              <w:rPr>
                <w:rFonts w:ascii="Arial" w:hAnsi="Arial" w:cs="Arial"/>
                <w:color w:val="000000"/>
                <w:szCs w:val="21"/>
                <w:highlight w:val="none"/>
              </w:rPr>
            </w:pPr>
          </w:p>
        </w:tc>
        <w:tc>
          <w:tcPr>
            <w:tcW w:w="882" w:type="dxa"/>
            <w:tcBorders>
              <w:top w:val="single" w:color="000000" w:sz="4" w:space="0"/>
              <w:left w:val="nil"/>
              <w:bottom w:val="single" w:color="000000" w:sz="4" w:space="0"/>
              <w:right w:val="single" w:color="000000" w:sz="4" w:space="0"/>
            </w:tcBorders>
          </w:tcPr>
          <w:p w14:paraId="34B9E5A7">
            <w:pPr>
              <w:widowControl/>
              <w:rPr>
                <w:rFonts w:ascii="Arial" w:hAnsi="Arial" w:cs="Arial"/>
                <w:color w:val="000000"/>
                <w:szCs w:val="21"/>
                <w:highlight w:val="none"/>
              </w:rPr>
            </w:pPr>
          </w:p>
        </w:tc>
        <w:tc>
          <w:tcPr>
            <w:tcW w:w="850" w:type="dxa"/>
            <w:tcBorders>
              <w:top w:val="single" w:color="000000" w:sz="4" w:space="0"/>
              <w:left w:val="nil"/>
              <w:bottom w:val="single" w:color="000000" w:sz="4" w:space="0"/>
              <w:right w:val="single" w:color="000000" w:sz="4" w:space="0"/>
            </w:tcBorders>
          </w:tcPr>
          <w:p w14:paraId="5AAC0538">
            <w:pPr>
              <w:widowControl/>
              <w:rPr>
                <w:rFonts w:ascii="Arial" w:hAnsi="Arial" w:cs="Arial"/>
                <w:color w:val="000000"/>
                <w:szCs w:val="21"/>
                <w:highlight w:val="none"/>
              </w:rPr>
            </w:pPr>
          </w:p>
        </w:tc>
        <w:tc>
          <w:tcPr>
            <w:tcW w:w="851" w:type="dxa"/>
            <w:tcBorders>
              <w:top w:val="single" w:color="000000" w:sz="4" w:space="0"/>
              <w:left w:val="nil"/>
              <w:bottom w:val="single" w:color="000000" w:sz="4" w:space="0"/>
              <w:right w:val="single" w:color="000000" w:sz="4" w:space="0"/>
            </w:tcBorders>
          </w:tcPr>
          <w:p w14:paraId="14510F1C">
            <w:pPr>
              <w:widowControl/>
              <w:rPr>
                <w:rFonts w:ascii="Arial" w:hAnsi="Arial" w:cs="Arial"/>
                <w:color w:val="000000"/>
                <w:szCs w:val="21"/>
                <w:highlight w:val="none"/>
              </w:rPr>
            </w:pPr>
          </w:p>
        </w:tc>
      </w:tr>
    </w:tbl>
    <w:p w14:paraId="7279C1E2">
      <w:pPr>
        <w:widowControl/>
        <w:shd w:val="clear" w:color="auto" w:fill="FFFFFF"/>
        <w:spacing w:line="360" w:lineRule="auto"/>
        <w:jc w:val="left"/>
        <w:rPr>
          <w:rFonts w:ascii="Arial" w:hAnsi="Arial" w:cs="Arial"/>
          <w:color w:val="000000"/>
          <w:szCs w:val="21"/>
          <w:highlight w:val="none"/>
        </w:rPr>
      </w:pPr>
      <w:r>
        <w:rPr>
          <w:rFonts w:hint="eastAsia" w:ascii="Arial" w:hAnsi="Arial" w:cs="Arial"/>
          <w:color w:val="000000"/>
          <w:szCs w:val="21"/>
          <w:highlight w:val="none"/>
        </w:rPr>
        <w:t>投标单位（盖章）：</w:t>
      </w:r>
      <w:r>
        <w:rPr>
          <w:rFonts w:ascii="Arial" w:hAnsi="Arial" w:cs="Arial"/>
          <w:color w:val="000000"/>
          <w:szCs w:val="21"/>
          <w:highlight w:val="none"/>
          <w:u w:val="single"/>
        </w:rPr>
        <w:t>                             </w:t>
      </w:r>
    </w:p>
    <w:p w14:paraId="440FEF51">
      <w:pPr>
        <w:widowControl/>
        <w:shd w:val="clear" w:color="auto" w:fill="FFFFFF"/>
        <w:spacing w:line="360" w:lineRule="auto"/>
        <w:jc w:val="left"/>
        <w:rPr>
          <w:rFonts w:ascii="Arial" w:hAnsi="Arial" w:cs="Arial"/>
          <w:color w:val="000000"/>
          <w:szCs w:val="21"/>
          <w:highlight w:val="none"/>
          <w:u w:val="single"/>
        </w:rPr>
      </w:pPr>
      <w:r>
        <w:rPr>
          <w:rFonts w:hint="eastAsia" w:ascii="Arial" w:hAnsi="Arial" w:cs="Arial"/>
          <w:color w:val="000000"/>
          <w:szCs w:val="21"/>
          <w:highlight w:val="none"/>
        </w:rPr>
        <w:t>法定代表人或授权代表（签字）：</w:t>
      </w:r>
      <w:r>
        <w:rPr>
          <w:rFonts w:ascii="Arial" w:hAnsi="Arial" w:cs="Arial"/>
          <w:color w:val="000000"/>
          <w:szCs w:val="21"/>
          <w:highlight w:val="none"/>
          <w:u w:val="single"/>
        </w:rPr>
        <w:t>                              </w:t>
      </w:r>
    </w:p>
    <w:p w14:paraId="325CC5C7">
      <w:pPr>
        <w:rPr>
          <w:rFonts w:ascii="Arial" w:hAnsi="Arial" w:cs="Arial"/>
          <w:color w:val="000000"/>
          <w:szCs w:val="21"/>
          <w:highlight w:val="none"/>
          <w:u w:val="single"/>
        </w:rPr>
      </w:pPr>
      <w:r>
        <w:rPr>
          <w:rFonts w:ascii="Arial" w:hAnsi="Arial" w:cs="Arial"/>
          <w:color w:val="000000"/>
          <w:szCs w:val="21"/>
          <w:highlight w:val="none"/>
          <w:u w:val="single"/>
        </w:rPr>
        <w:br w:type="page" w:clear="all"/>
      </w:r>
    </w:p>
    <w:p w14:paraId="2C1C247B">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十、投标人类似业绩情况表</w:t>
      </w:r>
    </w:p>
    <w:p w14:paraId="4EB05D92">
      <w:pPr>
        <w:spacing w:line="360" w:lineRule="auto"/>
        <w:jc w:val="center"/>
        <w:rPr>
          <w:rFonts w:hint="eastAsia" w:ascii="宋体" w:hAnsi="宋体" w:cs="宋体"/>
          <w:bCs/>
          <w:color w:val="000000"/>
          <w:szCs w:val="21"/>
          <w:highlight w:val="none"/>
        </w:rPr>
      </w:pPr>
      <w:r>
        <w:rPr>
          <w:rFonts w:hint="eastAsia" w:ascii="宋体" w:hAnsi="宋体" w:cs="宋体"/>
          <w:bCs/>
          <w:color w:val="000000"/>
          <w:szCs w:val="21"/>
          <w:highlight w:val="none"/>
        </w:rPr>
        <w:t>投标人类似业绩情况表</w:t>
      </w:r>
    </w:p>
    <w:tbl>
      <w:tblPr>
        <w:tblStyle w:val="30"/>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7"/>
        <w:gridCol w:w="3415"/>
        <w:gridCol w:w="1418"/>
        <w:gridCol w:w="1517"/>
        <w:gridCol w:w="1134"/>
        <w:gridCol w:w="1134"/>
      </w:tblGrid>
      <w:tr w14:paraId="76E5D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vAlign w:val="center"/>
          </w:tcPr>
          <w:p w14:paraId="5F02908A">
            <w:pPr>
              <w:jc w:val="center"/>
              <w:rPr>
                <w:rFonts w:hint="eastAsia" w:ascii="宋体" w:hAnsi="宋体" w:cs="宋体"/>
                <w:color w:val="000000"/>
                <w:szCs w:val="21"/>
                <w:highlight w:val="none"/>
              </w:rPr>
            </w:pPr>
            <w:r>
              <w:rPr>
                <w:rFonts w:hint="eastAsia" w:ascii="宋体" w:hAnsi="宋体" w:cs="宋体"/>
                <w:color w:val="000000"/>
                <w:szCs w:val="21"/>
                <w:highlight w:val="none"/>
              </w:rPr>
              <w:t>序号</w:t>
            </w:r>
          </w:p>
        </w:tc>
        <w:tc>
          <w:tcPr>
            <w:tcW w:w="3415" w:type="dxa"/>
            <w:vAlign w:val="center"/>
          </w:tcPr>
          <w:p w14:paraId="006FEA8F">
            <w:pPr>
              <w:jc w:val="center"/>
              <w:rPr>
                <w:rFonts w:hint="eastAsia" w:ascii="宋体" w:hAnsi="宋体" w:cs="宋体"/>
                <w:color w:val="000000"/>
                <w:szCs w:val="21"/>
                <w:highlight w:val="none"/>
              </w:rPr>
            </w:pPr>
            <w:r>
              <w:rPr>
                <w:rFonts w:hint="eastAsia" w:ascii="宋体" w:hAnsi="宋体" w:cs="宋体"/>
                <w:color w:val="000000"/>
                <w:szCs w:val="21"/>
                <w:highlight w:val="none"/>
              </w:rPr>
              <w:t>项目名称</w:t>
            </w:r>
          </w:p>
        </w:tc>
        <w:tc>
          <w:tcPr>
            <w:tcW w:w="1418" w:type="dxa"/>
            <w:vAlign w:val="center"/>
          </w:tcPr>
          <w:p w14:paraId="60861D0E">
            <w:pPr>
              <w:jc w:val="center"/>
              <w:rPr>
                <w:rFonts w:hint="eastAsia" w:ascii="宋体" w:hAnsi="宋体" w:cs="宋体"/>
                <w:color w:val="000000"/>
                <w:szCs w:val="21"/>
                <w:highlight w:val="none"/>
              </w:rPr>
            </w:pPr>
            <w:r>
              <w:rPr>
                <w:rFonts w:hint="eastAsia" w:ascii="宋体" w:hAnsi="宋体" w:cs="宋体"/>
                <w:color w:val="000000"/>
                <w:szCs w:val="21"/>
                <w:highlight w:val="none"/>
              </w:rPr>
              <w:t>业主方</w:t>
            </w:r>
          </w:p>
        </w:tc>
        <w:tc>
          <w:tcPr>
            <w:tcW w:w="1517" w:type="dxa"/>
            <w:vAlign w:val="center"/>
          </w:tcPr>
          <w:p w14:paraId="14158944">
            <w:pPr>
              <w:jc w:val="center"/>
              <w:rPr>
                <w:rFonts w:hint="eastAsia" w:ascii="宋体" w:hAnsi="宋体" w:cs="宋体"/>
                <w:color w:val="000000"/>
                <w:szCs w:val="21"/>
                <w:highlight w:val="none"/>
              </w:rPr>
            </w:pPr>
            <w:r>
              <w:rPr>
                <w:rFonts w:hint="eastAsia" w:ascii="宋体" w:hAnsi="宋体" w:cs="宋体"/>
                <w:color w:val="000000"/>
                <w:szCs w:val="21"/>
                <w:highlight w:val="none"/>
              </w:rPr>
              <w:t>签约及服务时间</w:t>
            </w:r>
          </w:p>
        </w:tc>
        <w:tc>
          <w:tcPr>
            <w:tcW w:w="1134" w:type="dxa"/>
            <w:vAlign w:val="center"/>
          </w:tcPr>
          <w:p w14:paraId="193FB937">
            <w:pPr>
              <w:jc w:val="center"/>
              <w:rPr>
                <w:rFonts w:hint="eastAsia" w:ascii="宋体" w:hAnsi="宋体" w:cs="宋体"/>
                <w:color w:val="000000"/>
                <w:szCs w:val="21"/>
                <w:highlight w:val="none"/>
              </w:rPr>
            </w:pPr>
            <w:r>
              <w:rPr>
                <w:rFonts w:hint="eastAsia" w:ascii="宋体" w:hAnsi="宋体" w:cs="宋体"/>
                <w:color w:val="000000"/>
                <w:szCs w:val="21"/>
                <w:highlight w:val="none"/>
              </w:rPr>
              <w:t>联系人及电话</w:t>
            </w:r>
          </w:p>
        </w:tc>
        <w:tc>
          <w:tcPr>
            <w:tcW w:w="1134" w:type="dxa"/>
            <w:vAlign w:val="center"/>
          </w:tcPr>
          <w:p w14:paraId="3CB13FB5">
            <w:pPr>
              <w:jc w:val="center"/>
              <w:rPr>
                <w:rFonts w:hint="eastAsia" w:ascii="宋体" w:hAnsi="宋体" w:cs="宋体"/>
                <w:color w:val="000000"/>
                <w:szCs w:val="21"/>
                <w:highlight w:val="none"/>
              </w:rPr>
            </w:pPr>
            <w:r>
              <w:rPr>
                <w:rFonts w:hint="eastAsia" w:ascii="宋体" w:hAnsi="宋体" w:cs="宋体"/>
                <w:color w:val="000000"/>
                <w:szCs w:val="21"/>
                <w:highlight w:val="none"/>
              </w:rPr>
              <w:t>备注</w:t>
            </w:r>
          </w:p>
        </w:tc>
      </w:tr>
      <w:tr w14:paraId="4897D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vAlign w:val="center"/>
          </w:tcPr>
          <w:p w14:paraId="6B4C84E3">
            <w:pPr>
              <w:jc w:val="left"/>
              <w:rPr>
                <w:rFonts w:hint="eastAsia" w:ascii="宋体" w:hAnsi="宋体" w:cs="宋体"/>
                <w:color w:val="000000"/>
                <w:szCs w:val="21"/>
                <w:highlight w:val="none"/>
              </w:rPr>
            </w:pPr>
          </w:p>
        </w:tc>
        <w:tc>
          <w:tcPr>
            <w:tcW w:w="3415" w:type="dxa"/>
            <w:vAlign w:val="center"/>
          </w:tcPr>
          <w:p w14:paraId="7192F85D">
            <w:pPr>
              <w:jc w:val="left"/>
              <w:rPr>
                <w:rFonts w:hint="eastAsia" w:ascii="宋体" w:hAnsi="宋体" w:cs="宋体"/>
                <w:color w:val="000000"/>
                <w:szCs w:val="21"/>
                <w:highlight w:val="none"/>
              </w:rPr>
            </w:pPr>
          </w:p>
        </w:tc>
        <w:tc>
          <w:tcPr>
            <w:tcW w:w="1418" w:type="dxa"/>
            <w:vAlign w:val="center"/>
          </w:tcPr>
          <w:p w14:paraId="2E4F0A63">
            <w:pPr>
              <w:ind w:firstLine="140"/>
              <w:jc w:val="left"/>
              <w:rPr>
                <w:rFonts w:hint="eastAsia" w:ascii="宋体" w:hAnsi="宋体" w:cs="宋体"/>
                <w:color w:val="000000"/>
                <w:szCs w:val="21"/>
                <w:highlight w:val="none"/>
              </w:rPr>
            </w:pPr>
          </w:p>
        </w:tc>
        <w:tc>
          <w:tcPr>
            <w:tcW w:w="1517" w:type="dxa"/>
            <w:vAlign w:val="center"/>
          </w:tcPr>
          <w:p w14:paraId="294E4285">
            <w:pPr>
              <w:jc w:val="left"/>
              <w:rPr>
                <w:rFonts w:hint="eastAsia" w:ascii="宋体" w:hAnsi="宋体" w:cs="宋体"/>
                <w:color w:val="000000"/>
                <w:szCs w:val="21"/>
                <w:highlight w:val="none"/>
              </w:rPr>
            </w:pPr>
          </w:p>
        </w:tc>
        <w:tc>
          <w:tcPr>
            <w:tcW w:w="1134" w:type="dxa"/>
            <w:vAlign w:val="center"/>
          </w:tcPr>
          <w:p w14:paraId="3A5AB7E4">
            <w:pPr>
              <w:jc w:val="left"/>
              <w:rPr>
                <w:rFonts w:hint="eastAsia" w:ascii="宋体" w:hAnsi="宋体" w:cs="宋体"/>
                <w:color w:val="000000"/>
                <w:szCs w:val="21"/>
                <w:highlight w:val="none"/>
              </w:rPr>
            </w:pPr>
          </w:p>
        </w:tc>
        <w:tc>
          <w:tcPr>
            <w:tcW w:w="1134" w:type="dxa"/>
            <w:vAlign w:val="center"/>
          </w:tcPr>
          <w:p w14:paraId="454D7BEC">
            <w:pPr>
              <w:jc w:val="left"/>
              <w:rPr>
                <w:rFonts w:hint="eastAsia" w:ascii="宋体" w:hAnsi="宋体" w:cs="宋体"/>
                <w:color w:val="000000"/>
                <w:szCs w:val="21"/>
                <w:highlight w:val="none"/>
              </w:rPr>
            </w:pPr>
          </w:p>
        </w:tc>
      </w:tr>
      <w:tr w14:paraId="3CD15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vAlign w:val="center"/>
          </w:tcPr>
          <w:p w14:paraId="04C35A9B">
            <w:pPr>
              <w:jc w:val="left"/>
              <w:rPr>
                <w:rFonts w:hint="eastAsia" w:ascii="宋体" w:hAnsi="宋体" w:cs="宋体"/>
                <w:color w:val="000000"/>
                <w:szCs w:val="21"/>
                <w:highlight w:val="none"/>
              </w:rPr>
            </w:pPr>
          </w:p>
        </w:tc>
        <w:tc>
          <w:tcPr>
            <w:tcW w:w="3415" w:type="dxa"/>
            <w:vAlign w:val="center"/>
          </w:tcPr>
          <w:p w14:paraId="5577A7CD">
            <w:pPr>
              <w:jc w:val="left"/>
              <w:rPr>
                <w:rFonts w:hint="eastAsia" w:ascii="宋体" w:hAnsi="宋体" w:cs="宋体"/>
                <w:color w:val="000000"/>
                <w:szCs w:val="21"/>
                <w:highlight w:val="none"/>
              </w:rPr>
            </w:pPr>
          </w:p>
        </w:tc>
        <w:tc>
          <w:tcPr>
            <w:tcW w:w="1418" w:type="dxa"/>
            <w:vAlign w:val="center"/>
          </w:tcPr>
          <w:p w14:paraId="6A6D45DA">
            <w:pPr>
              <w:jc w:val="left"/>
              <w:rPr>
                <w:rFonts w:hint="eastAsia" w:ascii="宋体" w:hAnsi="宋体" w:cs="宋体"/>
                <w:color w:val="000000"/>
                <w:szCs w:val="21"/>
                <w:highlight w:val="none"/>
              </w:rPr>
            </w:pPr>
          </w:p>
        </w:tc>
        <w:tc>
          <w:tcPr>
            <w:tcW w:w="1517" w:type="dxa"/>
            <w:vAlign w:val="center"/>
          </w:tcPr>
          <w:p w14:paraId="7D1DA8FD">
            <w:pPr>
              <w:jc w:val="left"/>
              <w:rPr>
                <w:rFonts w:hint="eastAsia" w:ascii="宋体" w:hAnsi="宋体" w:cs="宋体"/>
                <w:color w:val="000000"/>
                <w:szCs w:val="21"/>
                <w:highlight w:val="none"/>
              </w:rPr>
            </w:pPr>
          </w:p>
        </w:tc>
        <w:tc>
          <w:tcPr>
            <w:tcW w:w="1134" w:type="dxa"/>
            <w:vAlign w:val="center"/>
          </w:tcPr>
          <w:p w14:paraId="75E8E838">
            <w:pPr>
              <w:jc w:val="left"/>
              <w:rPr>
                <w:rFonts w:hint="eastAsia" w:ascii="宋体" w:hAnsi="宋体" w:cs="宋体"/>
                <w:color w:val="000000"/>
                <w:szCs w:val="21"/>
                <w:highlight w:val="none"/>
              </w:rPr>
            </w:pPr>
          </w:p>
        </w:tc>
        <w:tc>
          <w:tcPr>
            <w:tcW w:w="1134" w:type="dxa"/>
            <w:vAlign w:val="center"/>
          </w:tcPr>
          <w:p w14:paraId="0321A55B">
            <w:pPr>
              <w:jc w:val="left"/>
              <w:rPr>
                <w:rFonts w:hint="eastAsia" w:ascii="宋体" w:hAnsi="宋体" w:cs="宋体"/>
                <w:color w:val="000000"/>
                <w:szCs w:val="21"/>
                <w:highlight w:val="none"/>
              </w:rPr>
            </w:pPr>
          </w:p>
        </w:tc>
      </w:tr>
      <w:tr w14:paraId="3B590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947" w:type="dxa"/>
            <w:vAlign w:val="center"/>
          </w:tcPr>
          <w:p w14:paraId="45B78D2A">
            <w:pPr>
              <w:jc w:val="left"/>
              <w:rPr>
                <w:rFonts w:hint="eastAsia" w:ascii="宋体" w:hAnsi="宋体" w:cs="宋体"/>
                <w:color w:val="000000"/>
                <w:szCs w:val="21"/>
                <w:highlight w:val="none"/>
              </w:rPr>
            </w:pPr>
          </w:p>
        </w:tc>
        <w:tc>
          <w:tcPr>
            <w:tcW w:w="3415" w:type="dxa"/>
            <w:vAlign w:val="center"/>
          </w:tcPr>
          <w:p w14:paraId="2DAF67C4">
            <w:pPr>
              <w:jc w:val="left"/>
              <w:rPr>
                <w:rFonts w:hint="eastAsia" w:ascii="宋体" w:hAnsi="宋体" w:cs="宋体"/>
                <w:color w:val="000000"/>
                <w:szCs w:val="21"/>
                <w:highlight w:val="none"/>
              </w:rPr>
            </w:pPr>
          </w:p>
        </w:tc>
        <w:tc>
          <w:tcPr>
            <w:tcW w:w="1418" w:type="dxa"/>
            <w:vAlign w:val="center"/>
          </w:tcPr>
          <w:p w14:paraId="3D2C8612">
            <w:pPr>
              <w:jc w:val="left"/>
              <w:rPr>
                <w:rFonts w:hint="eastAsia" w:ascii="宋体" w:hAnsi="宋体" w:cs="宋体"/>
                <w:color w:val="000000"/>
                <w:szCs w:val="21"/>
                <w:highlight w:val="none"/>
              </w:rPr>
            </w:pPr>
          </w:p>
        </w:tc>
        <w:tc>
          <w:tcPr>
            <w:tcW w:w="1517" w:type="dxa"/>
            <w:vAlign w:val="center"/>
          </w:tcPr>
          <w:p w14:paraId="70203F65">
            <w:pPr>
              <w:jc w:val="left"/>
              <w:rPr>
                <w:rFonts w:hint="eastAsia" w:ascii="宋体" w:hAnsi="宋体" w:cs="宋体"/>
                <w:color w:val="000000"/>
                <w:szCs w:val="21"/>
                <w:highlight w:val="none"/>
              </w:rPr>
            </w:pPr>
          </w:p>
        </w:tc>
        <w:tc>
          <w:tcPr>
            <w:tcW w:w="1134" w:type="dxa"/>
            <w:vAlign w:val="center"/>
          </w:tcPr>
          <w:p w14:paraId="202D043F">
            <w:pPr>
              <w:jc w:val="left"/>
              <w:rPr>
                <w:rFonts w:hint="eastAsia" w:ascii="宋体" w:hAnsi="宋体" w:cs="宋体"/>
                <w:color w:val="000000"/>
                <w:szCs w:val="21"/>
                <w:highlight w:val="none"/>
              </w:rPr>
            </w:pPr>
          </w:p>
        </w:tc>
        <w:tc>
          <w:tcPr>
            <w:tcW w:w="1134" w:type="dxa"/>
            <w:vAlign w:val="center"/>
          </w:tcPr>
          <w:p w14:paraId="7A08B6C8">
            <w:pPr>
              <w:jc w:val="left"/>
              <w:rPr>
                <w:rFonts w:hint="eastAsia" w:ascii="宋体" w:hAnsi="宋体" w:cs="宋体"/>
                <w:color w:val="000000"/>
                <w:szCs w:val="21"/>
                <w:highlight w:val="none"/>
              </w:rPr>
            </w:pPr>
          </w:p>
        </w:tc>
      </w:tr>
    </w:tbl>
    <w:p w14:paraId="611FC680">
      <w:pPr>
        <w:widowControl/>
        <w:spacing w:line="360" w:lineRule="auto"/>
        <w:jc w:val="left"/>
        <w:rPr>
          <w:rFonts w:hint="eastAsia" w:ascii="宋体" w:hAnsi="宋体" w:cs="宋体"/>
          <w:color w:val="000000"/>
          <w:szCs w:val="21"/>
          <w:highlight w:val="none"/>
          <w:lang w:val="zh-CN"/>
        </w:rPr>
      </w:pPr>
    </w:p>
    <w:p w14:paraId="1B0F0FBE">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投标人名称：（盖章）</w:t>
      </w:r>
    </w:p>
    <w:p w14:paraId="2BDBAD70">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rPr>
        <w:t>日    期：   年   月   日</w:t>
      </w:r>
    </w:p>
    <w:p w14:paraId="25996B1F">
      <w:pPr>
        <w:widowControl/>
        <w:spacing w:line="360" w:lineRule="auto"/>
        <w:jc w:val="lef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说明：</w:t>
      </w:r>
    </w:p>
    <w:p w14:paraId="09AF380A">
      <w:pPr>
        <w:spacing w:line="360" w:lineRule="auto"/>
        <w:rPr>
          <w:rFonts w:hint="eastAsia" w:ascii="宋体" w:hAnsi="宋体" w:cs="宋体"/>
          <w:b/>
          <w:color w:val="000000"/>
          <w:szCs w:val="21"/>
          <w:highlight w:val="none"/>
        </w:rPr>
      </w:pPr>
      <w:r>
        <w:rPr>
          <w:rFonts w:hint="eastAsia" w:ascii="宋体" w:hAnsi="宋体" w:cs="宋体"/>
          <w:color w:val="000000"/>
          <w:szCs w:val="21"/>
          <w:highlight w:val="none"/>
          <w:lang w:val="zh-CN"/>
        </w:rPr>
        <w:t>1、如果行、列数不够，请自行增加。</w:t>
      </w:r>
    </w:p>
    <w:p w14:paraId="22059ED1">
      <w:pP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2、请投标人根据本格式要求如实填写业绩情况表，并附业绩合同复印件。</w:t>
      </w:r>
    </w:p>
    <w:p w14:paraId="4CAA80D5">
      <w:pPr>
        <w:spacing w:line="360" w:lineRule="auto"/>
        <w:rPr>
          <w:rFonts w:hint="eastAsia" w:ascii="宋体" w:hAnsi="宋体" w:cs="宋体"/>
          <w:b/>
          <w:color w:val="000000"/>
          <w:szCs w:val="21"/>
          <w:highlight w:val="none"/>
        </w:rPr>
      </w:pPr>
    </w:p>
    <w:p w14:paraId="441D3B1A">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十一、投标需要的其他证明文件及材料（若有）</w:t>
      </w:r>
    </w:p>
    <w:p w14:paraId="3071387A">
      <w:pPr>
        <w:spacing w:before="50" w:after="50" w:line="360" w:lineRule="auto"/>
        <w:jc w:val="left"/>
        <w:rPr>
          <w:rFonts w:hint="eastAsia" w:ascii="宋体" w:hAnsi="宋体" w:cs="宋体"/>
          <w:b/>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0290669B">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附件一、中小企业声明函格式</w:t>
      </w:r>
    </w:p>
    <w:p w14:paraId="78BD0A51">
      <w:pPr>
        <w:spacing w:line="360" w:lineRule="auto"/>
        <w:jc w:val="center"/>
        <w:rPr>
          <w:rFonts w:hint="eastAsia" w:ascii="黑体" w:hAnsi="黑体" w:eastAsia="黑体"/>
          <w:color w:val="000000"/>
          <w:szCs w:val="21"/>
          <w:highlight w:val="none"/>
        </w:rPr>
      </w:pPr>
      <w:bookmarkStart w:id="60" w:name="OLE_LINK25"/>
      <w:bookmarkStart w:id="61" w:name="OLE_LINK26"/>
      <w:r>
        <w:rPr>
          <w:rFonts w:ascii="黑体" w:hAnsi="黑体" w:eastAsia="黑体"/>
          <w:color w:val="000000"/>
          <w:szCs w:val="21"/>
          <w:highlight w:val="none"/>
        </w:rPr>
        <w:t>中小企业声明函</w:t>
      </w:r>
    </w:p>
    <w:p w14:paraId="0741C69C">
      <w:pPr>
        <w:pStyle w:val="749"/>
        <w:ind w:firstLine="420"/>
        <w:rPr>
          <w:rFonts w:hint="eastAsia"/>
          <w:color w:val="000000"/>
          <w:sz w:val="21"/>
          <w:szCs w:val="21"/>
          <w:highlight w:val="none"/>
        </w:rPr>
      </w:pPr>
      <w:r>
        <w:rPr>
          <w:color w:val="000000"/>
          <w:highlight w:val="none"/>
        </w:rPr>
        <w:t>本公司（联合体）郑重声明，根据《政府采购促进中小企业发展管理办法》（财库【2020】 46 号）的</w:t>
      </w:r>
      <w:r>
        <w:rPr>
          <w:color w:val="000000"/>
          <w:spacing w:val="-3"/>
          <w:highlight w:val="none"/>
        </w:rPr>
        <w:t>规定，本公司</w:t>
      </w:r>
      <w:r>
        <w:rPr>
          <w:color w:val="000000"/>
          <w:highlight w:val="none"/>
        </w:rPr>
        <w:t>（联合体</w:t>
      </w:r>
      <w:r>
        <w:rPr>
          <w:color w:val="000000"/>
          <w:spacing w:val="-5"/>
          <w:highlight w:val="none"/>
        </w:rPr>
        <w:t>）</w:t>
      </w:r>
      <w:r>
        <w:rPr>
          <w:rFonts w:hint="eastAsia"/>
          <w:color w:val="000000"/>
          <w:spacing w:val="-3"/>
          <w:highlight w:val="none"/>
          <w:u w:val="single"/>
        </w:rPr>
        <w:t xml:space="preserve">                </w:t>
      </w:r>
      <w:r>
        <w:rPr>
          <w:color w:val="000000"/>
          <w:spacing w:val="-2"/>
          <w:highlight w:val="none"/>
        </w:rPr>
        <w:t>参加</w:t>
      </w:r>
      <w:r>
        <w:rPr>
          <w:rFonts w:hint="eastAsia"/>
          <w:color w:val="000000"/>
          <w:spacing w:val="-2"/>
          <w:highlight w:val="none"/>
          <w:u w:val="single"/>
        </w:rPr>
        <w:t xml:space="preserve">          </w:t>
      </w:r>
      <w:r>
        <w:rPr>
          <w:color w:val="000000"/>
          <w:highlight w:val="none"/>
        </w:rPr>
        <w:t>（</w:t>
      </w:r>
      <w:r>
        <w:rPr>
          <w:rFonts w:hint="eastAsia"/>
          <w:color w:val="000000"/>
          <w:highlight w:val="none"/>
        </w:rPr>
        <w:t>招标人</w:t>
      </w:r>
      <w:r>
        <w:rPr>
          <w:color w:val="000000"/>
          <w:sz w:val="21"/>
          <w:szCs w:val="21"/>
          <w:highlight w:val="none"/>
        </w:rPr>
        <w:t>单位名称</w:t>
      </w:r>
      <w:r>
        <w:rPr>
          <w:color w:val="000000"/>
          <w:spacing w:val="-5"/>
          <w:sz w:val="21"/>
          <w:szCs w:val="21"/>
          <w:highlight w:val="none"/>
        </w:rPr>
        <w:t>）</w:t>
      </w:r>
      <w:r>
        <w:rPr>
          <w:color w:val="000000"/>
          <w:spacing w:val="-6"/>
          <w:sz w:val="21"/>
          <w:szCs w:val="21"/>
          <w:highlight w:val="none"/>
        </w:rPr>
        <w:t>的</w:t>
      </w:r>
      <w:r>
        <w:rPr>
          <w:rFonts w:hint="eastAsia"/>
          <w:color w:val="000000"/>
          <w:spacing w:val="-6"/>
          <w:sz w:val="21"/>
          <w:szCs w:val="21"/>
          <w:highlight w:val="none"/>
          <w:u w:val="single"/>
        </w:rPr>
        <w:t xml:space="preserve">       </w:t>
      </w:r>
      <w:r>
        <w:rPr>
          <w:color w:val="000000"/>
          <w:spacing w:val="-6"/>
          <w:sz w:val="21"/>
          <w:szCs w:val="21"/>
          <w:highlight w:val="none"/>
        </w:rPr>
        <w:t xml:space="preserve"> </w:t>
      </w:r>
      <w:r>
        <w:rPr>
          <w:color w:val="000000"/>
          <w:sz w:val="21"/>
          <w:szCs w:val="21"/>
          <w:highlight w:val="none"/>
        </w:rPr>
        <w:t>（项目名称、分包号</w:t>
      </w:r>
      <w:r>
        <w:rPr>
          <w:color w:val="000000"/>
          <w:spacing w:val="-5"/>
          <w:sz w:val="21"/>
          <w:szCs w:val="21"/>
          <w:highlight w:val="none"/>
        </w:rPr>
        <w:t>）</w:t>
      </w:r>
      <w:r>
        <w:rPr>
          <w:color w:val="000000"/>
          <w:spacing w:val="-1"/>
          <w:sz w:val="21"/>
          <w:szCs w:val="21"/>
          <w:highlight w:val="none"/>
        </w:rPr>
        <w:t>采购活动，</w:t>
      </w:r>
      <w:r>
        <w:rPr>
          <w:rFonts w:hint="eastAsia"/>
          <w:color w:val="000000"/>
          <w:sz w:val="21"/>
          <w:szCs w:val="21"/>
          <w:highlight w:val="none"/>
        </w:rPr>
        <w:t>服务全部由符合政策的中小微企业承接</w:t>
      </w:r>
      <w:r>
        <w:rPr>
          <w:color w:val="000000"/>
          <w:spacing w:val="-5"/>
          <w:sz w:val="21"/>
          <w:szCs w:val="21"/>
          <w:highlight w:val="none"/>
        </w:rPr>
        <w:t>。相关企业</w:t>
      </w:r>
      <w:r>
        <w:rPr>
          <w:color w:val="000000"/>
          <w:sz w:val="21"/>
          <w:szCs w:val="21"/>
          <w:highlight w:val="none"/>
        </w:rPr>
        <w:t>（</w:t>
      </w:r>
      <w:r>
        <w:rPr>
          <w:color w:val="000000"/>
          <w:spacing w:val="-3"/>
          <w:sz w:val="21"/>
          <w:szCs w:val="21"/>
          <w:highlight w:val="none"/>
        </w:rPr>
        <w:t>含联合体中的中小企业、签订分包意向协议的中小企业）的具体情况如下：</w:t>
      </w:r>
    </w:p>
    <w:p w14:paraId="016CF890">
      <w:pPr>
        <w:pStyle w:val="749"/>
        <w:ind w:firstLine="420"/>
        <w:rPr>
          <w:rFonts w:hint="eastAsia" w:cs="宋体"/>
          <w:color w:val="000000"/>
          <w:sz w:val="21"/>
          <w:szCs w:val="21"/>
          <w:highlight w:val="none"/>
        </w:rPr>
      </w:pPr>
      <w:r>
        <w:rPr>
          <w:rFonts w:hint="eastAsia" w:cs="宋体"/>
          <w:color w:val="000000"/>
          <w:sz w:val="21"/>
          <w:szCs w:val="21"/>
          <w:highlight w:val="none"/>
        </w:rPr>
        <w:t>1、</w:t>
      </w:r>
      <w:r>
        <w:rPr>
          <w:rFonts w:hint="eastAsia" w:cs="宋体"/>
          <w:color w:val="000000"/>
          <w:sz w:val="21"/>
          <w:szCs w:val="21"/>
          <w:highlight w:val="none"/>
          <w:u w:val="single"/>
        </w:rPr>
        <w:t xml:space="preserve">     </w:t>
      </w:r>
      <w:r>
        <w:rPr>
          <w:rFonts w:hint="eastAsia" w:cs="宋体"/>
          <w:color w:val="000000"/>
          <w:sz w:val="21"/>
          <w:szCs w:val="21"/>
          <w:highlight w:val="none"/>
        </w:rPr>
        <w:t>（标的名称），属于</w:t>
      </w:r>
      <w:r>
        <w:rPr>
          <w:rFonts w:hint="eastAsia" w:cs="宋体"/>
          <w:color w:val="000000"/>
          <w:sz w:val="21"/>
          <w:szCs w:val="21"/>
          <w:highlight w:val="none"/>
          <w:u w:val="single"/>
        </w:rPr>
        <w:t xml:space="preserve">       </w:t>
      </w:r>
      <w:r>
        <w:rPr>
          <w:rFonts w:hint="eastAsia" w:cs="宋体"/>
          <w:color w:val="000000"/>
          <w:sz w:val="21"/>
          <w:szCs w:val="21"/>
          <w:highlight w:val="none"/>
        </w:rPr>
        <w:t>（采购文件中明确的所属行业）；</w:t>
      </w:r>
      <w:r>
        <w:rPr>
          <w:rFonts w:hint="eastAsia" w:ascii="宋体" w:hAnsi="宋体"/>
          <w:sz w:val="21"/>
          <w:szCs w:val="21"/>
          <w:highlight w:val="none"/>
        </w:rPr>
        <w:t>承接企业为</w:t>
      </w:r>
      <w:r>
        <w:rPr>
          <w:rFonts w:hint="eastAsia" w:ascii="宋体" w:hAnsi="宋体"/>
          <w:sz w:val="21"/>
          <w:szCs w:val="21"/>
          <w:highlight w:val="none"/>
          <w:u w:val="single"/>
        </w:rPr>
        <w:t>（企业名称）</w:t>
      </w:r>
      <w:r>
        <w:rPr>
          <w:rFonts w:hint="eastAsia" w:cs="宋体"/>
          <w:color w:val="000000"/>
          <w:sz w:val="21"/>
          <w:szCs w:val="21"/>
          <w:highlight w:val="none"/>
        </w:rPr>
        <w:t>，从业人员</w:t>
      </w:r>
      <w:r>
        <w:rPr>
          <w:rFonts w:hint="eastAsia" w:cs="宋体"/>
          <w:color w:val="000000"/>
          <w:spacing w:val="96"/>
          <w:sz w:val="21"/>
          <w:szCs w:val="21"/>
          <w:highlight w:val="none"/>
          <w:u w:val="single"/>
        </w:rPr>
        <w:t xml:space="preserve"> </w:t>
      </w:r>
      <w:r>
        <w:rPr>
          <w:rFonts w:hint="eastAsia" w:cs="宋体"/>
          <w:color w:val="000000"/>
          <w:spacing w:val="-4"/>
          <w:sz w:val="21"/>
          <w:szCs w:val="21"/>
          <w:highlight w:val="none"/>
        </w:rPr>
        <w:t>人，营业收入为</w:t>
      </w:r>
      <w:r>
        <w:rPr>
          <w:rFonts w:hint="eastAsia" w:cs="宋体"/>
          <w:color w:val="000000"/>
          <w:spacing w:val="97"/>
          <w:sz w:val="21"/>
          <w:szCs w:val="21"/>
          <w:highlight w:val="none"/>
          <w:u w:val="single"/>
        </w:rPr>
        <w:t xml:space="preserve"> </w:t>
      </w:r>
      <w:r>
        <w:rPr>
          <w:rFonts w:hint="eastAsia" w:cs="宋体"/>
          <w:color w:val="000000"/>
          <w:spacing w:val="-4"/>
          <w:sz w:val="21"/>
          <w:szCs w:val="21"/>
          <w:highlight w:val="none"/>
        </w:rPr>
        <w:t>万元，资产总额为</w:t>
      </w:r>
      <w:r>
        <w:rPr>
          <w:rFonts w:hint="eastAsia" w:cs="宋体"/>
          <w:color w:val="000000"/>
          <w:spacing w:val="97"/>
          <w:sz w:val="21"/>
          <w:szCs w:val="21"/>
          <w:highlight w:val="none"/>
          <w:u w:val="single"/>
        </w:rPr>
        <w:t xml:space="preserve"> </w:t>
      </w:r>
      <w:r>
        <w:rPr>
          <w:rFonts w:hint="eastAsia" w:cs="宋体"/>
          <w:color w:val="000000"/>
          <w:spacing w:val="-7"/>
          <w:sz w:val="21"/>
          <w:szCs w:val="21"/>
          <w:highlight w:val="none"/>
        </w:rPr>
        <w:t>万元，属于</w:t>
      </w:r>
      <w:r>
        <w:rPr>
          <w:rFonts w:hint="eastAsia" w:cs="宋体"/>
          <w:color w:val="000000"/>
          <w:sz w:val="21"/>
          <w:szCs w:val="21"/>
          <w:highlight w:val="none"/>
        </w:rPr>
        <w:t>（</w:t>
      </w:r>
      <w:r>
        <w:rPr>
          <w:rFonts w:hint="eastAsia" w:cs="宋体"/>
          <w:color w:val="000000"/>
          <w:spacing w:val="-5"/>
          <w:sz w:val="21"/>
          <w:szCs w:val="21"/>
          <w:highlight w:val="none"/>
          <w:u w:val="single"/>
        </w:rPr>
        <w:t>中型企业、小型企业、微型企业</w:t>
      </w:r>
      <w:r>
        <w:rPr>
          <w:rFonts w:hint="eastAsia" w:cs="宋体"/>
          <w:color w:val="000000"/>
          <w:spacing w:val="-5"/>
          <w:sz w:val="21"/>
          <w:szCs w:val="21"/>
          <w:highlight w:val="none"/>
        </w:rPr>
        <w:t>）；</w:t>
      </w:r>
    </w:p>
    <w:p w14:paraId="4C884E08">
      <w:pPr>
        <w:pStyle w:val="749"/>
        <w:ind w:firstLine="420"/>
        <w:rPr>
          <w:rFonts w:hint="eastAsia"/>
          <w:color w:val="000000"/>
          <w:sz w:val="21"/>
          <w:szCs w:val="21"/>
          <w:highlight w:val="none"/>
        </w:rPr>
      </w:pPr>
      <w:r>
        <w:rPr>
          <w:rFonts w:hint="eastAsia" w:cs="宋体"/>
          <w:color w:val="000000"/>
          <w:sz w:val="21"/>
          <w:szCs w:val="21"/>
          <w:highlight w:val="none"/>
        </w:rPr>
        <w:t>2、</w:t>
      </w:r>
      <w:r>
        <w:rPr>
          <w:rFonts w:hint="eastAsia" w:cs="宋体"/>
          <w:color w:val="000000"/>
          <w:sz w:val="21"/>
          <w:szCs w:val="21"/>
          <w:highlight w:val="none"/>
          <w:u w:val="single"/>
        </w:rPr>
        <w:t xml:space="preserve">     </w:t>
      </w:r>
      <w:r>
        <w:rPr>
          <w:rFonts w:hint="eastAsia" w:cs="宋体"/>
          <w:color w:val="000000"/>
          <w:sz w:val="21"/>
          <w:szCs w:val="21"/>
          <w:highlight w:val="none"/>
        </w:rPr>
        <w:t>（标的名称），属于</w:t>
      </w:r>
      <w:r>
        <w:rPr>
          <w:rFonts w:hint="eastAsia" w:cs="宋体"/>
          <w:color w:val="000000"/>
          <w:sz w:val="21"/>
          <w:szCs w:val="21"/>
          <w:highlight w:val="none"/>
          <w:u w:val="single"/>
        </w:rPr>
        <w:t xml:space="preserve">       </w:t>
      </w:r>
      <w:r>
        <w:rPr>
          <w:rFonts w:hint="eastAsia" w:cs="宋体"/>
          <w:color w:val="000000"/>
          <w:sz w:val="21"/>
          <w:szCs w:val="21"/>
          <w:highlight w:val="none"/>
        </w:rPr>
        <w:t>（采购文件中明确的所属行业）；</w:t>
      </w:r>
      <w:r>
        <w:rPr>
          <w:rFonts w:hint="eastAsia" w:ascii="宋体" w:hAnsi="宋体"/>
          <w:sz w:val="21"/>
          <w:szCs w:val="21"/>
          <w:highlight w:val="none"/>
        </w:rPr>
        <w:t>承接企业为</w:t>
      </w:r>
      <w:r>
        <w:rPr>
          <w:rFonts w:hint="eastAsia" w:ascii="宋体" w:hAnsi="宋体"/>
          <w:sz w:val="21"/>
          <w:szCs w:val="21"/>
          <w:highlight w:val="none"/>
          <w:u w:val="single"/>
        </w:rPr>
        <w:t>（企业名称）</w:t>
      </w:r>
      <w:r>
        <w:rPr>
          <w:rFonts w:hint="eastAsia" w:cs="宋体"/>
          <w:color w:val="000000"/>
          <w:sz w:val="21"/>
          <w:szCs w:val="21"/>
          <w:highlight w:val="none"/>
        </w:rPr>
        <w:t>，从业人员</w:t>
      </w:r>
      <w:r>
        <w:rPr>
          <w:rFonts w:hint="eastAsia" w:cs="宋体"/>
          <w:color w:val="000000"/>
          <w:spacing w:val="96"/>
          <w:sz w:val="21"/>
          <w:szCs w:val="21"/>
          <w:highlight w:val="none"/>
          <w:u w:val="single"/>
        </w:rPr>
        <w:t xml:space="preserve"> </w:t>
      </w:r>
      <w:r>
        <w:rPr>
          <w:rFonts w:hint="eastAsia" w:cs="宋体"/>
          <w:color w:val="000000"/>
          <w:spacing w:val="-4"/>
          <w:sz w:val="21"/>
          <w:szCs w:val="21"/>
          <w:highlight w:val="none"/>
        </w:rPr>
        <w:t>人，营业收入为</w:t>
      </w:r>
      <w:r>
        <w:rPr>
          <w:rFonts w:hint="eastAsia" w:cs="宋体"/>
          <w:color w:val="000000"/>
          <w:spacing w:val="97"/>
          <w:sz w:val="21"/>
          <w:szCs w:val="21"/>
          <w:highlight w:val="none"/>
          <w:u w:val="single"/>
        </w:rPr>
        <w:t xml:space="preserve"> </w:t>
      </w:r>
      <w:r>
        <w:rPr>
          <w:rFonts w:hint="eastAsia" w:cs="宋体"/>
          <w:color w:val="000000"/>
          <w:spacing w:val="-4"/>
          <w:sz w:val="21"/>
          <w:szCs w:val="21"/>
          <w:highlight w:val="none"/>
        </w:rPr>
        <w:t>万元，资产总额为</w:t>
      </w:r>
      <w:r>
        <w:rPr>
          <w:rFonts w:hint="eastAsia" w:cs="宋体"/>
          <w:color w:val="000000"/>
          <w:spacing w:val="97"/>
          <w:sz w:val="21"/>
          <w:szCs w:val="21"/>
          <w:highlight w:val="none"/>
          <w:u w:val="single"/>
        </w:rPr>
        <w:t xml:space="preserve"> </w:t>
      </w:r>
      <w:r>
        <w:rPr>
          <w:rFonts w:hint="eastAsia" w:cs="宋体"/>
          <w:color w:val="000000"/>
          <w:spacing w:val="-7"/>
          <w:sz w:val="21"/>
          <w:szCs w:val="21"/>
          <w:highlight w:val="none"/>
        </w:rPr>
        <w:t>万元，属于</w:t>
      </w:r>
      <w:r>
        <w:rPr>
          <w:rFonts w:hint="eastAsia" w:cs="宋体"/>
          <w:color w:val="000000"/>
          <w:sz w:val="21"/>
          <w:szCs w:val="21"/>
          <w:highlight w:val="none"/>
        </w:rPr>
        <w:t>（</w:t>
      </w:r>
      <w:r>
        <w:rPr>
          <w:rFonts w:hint="eastAsia" w:cs="宋体"/>
          <w:color w:val="000000"/>
          <w:spacing w:val="-5"/>
          <w:sz w:val="21"/>
          <w:szCs w:val="21"/>
          <w:highlight w:val="none"/>
          <w:u w:val="single"/>
        </w:rPr>
        <w:t>中型企业、小型企业、微型企业</w:t>
      </w:r>
      <w:r>
        <w:rPr>
          <w:rFonts w:hint="eastAsia" w:cs="宋体"/>
          <w:color w:val="000000"/>
          <w:spacing w:val="-5"/>
          <w:sz w:val="21"/>
          <w:szCs w:val="21"/>
          <w:highlight w:val="none"/>
        </w:rPr>
        <w:t>）；</w:t>
      </w:r>
    </w:p>
    <w:p w14:paraId="242658B5">
      <w:pPr>
        <w:pStyle w:val="749"/>
        <w:ind w:firstLine="420"/>
        <w:rPr>
          <w:rFonts w:hint="eastAsia"/>
          <w:color w:val="000000"/>
          <w:highlight w:val="none"/>
        </w:rPr>
      </w:pPr>
      <w:r>
        <w:rPr>
          <w:rFonts w:hint="eastAsia"/>
          <w:color w:val="000000"/>
          <w:highlight w:val="none"/>
        </w:rPr>
        <w:t>......</w:t>
      </w:r>
    </w:p>
    <w:p w14:paraId="6E25E7DA">
      <w:pPr>
        <w:pStyle w:val="749"/>
        <w:ind w:firstLine="420"/>
        <w:rPr>
          <w:rFonts w:hint="eastAsia"/>
          <w:color w:val="000000"/>
          <w:highlight w:val="none"/>
        </w:rPr>
      </w:pPr>
      <w:r>
        <w:rPr>
          <w:color w:val="000000"/>
          <w:highlight w:val="none"/>
        </w:rPr>
        <w:t>以上企业，不属于大企业的分支机构，不存在控股股东为大企业的情形，也不存在与大企业的负责</w:t>
      </w:r>
      <w:r>
        <w:rPr>
          <w:color w:val="000000"/>
          <w:spacing w:val="-9"/>
          <w:highlight w:val="none"/>
        </w:rPr>
        <w:t>人为同一人的情形。</w:t>
      </w:r>
    </w:p>
    <w:p w14:paraId="3F3C76B4">
      <w:pPr>
        <w:pStyle w:val="749"/>
        <w:ind w:firstLine="420"/>
        <w:rPr>
          <w:rFonts w:hint="eastAsia"/>
          <w:color w:val="000000"/>
          <w:highlight w:val="none"/>
          <w:lang w:val="en-US"/>
        </w:rPr>
      </w:pPr>
      <w:r>
        <w:rPr>
          <w:color w:val="000000"/>
          <w:highlight w:val="none"/>
        </w:rPr>
        <w:t>本企业对上述声明内容的真实性负责。如有虚假，将依法承担相应责任。</w:t>
      </w:r>
    </w:p>
    <w:p w14:paraId="0DA2AF6F">
      <w:pPr>
        <w:tabs>
          <w:tab w:val="left" w:pos="7410"/>
        </w:tabs>
        <w:spacing w:before="43" w:line="360" w:lineRule="auto"/>
        <w:ind w:left="5895" w:right="1232" w:hanging="630"/>
        <w:rPr>
          <w:color w:val="000000"/>
          <w:szCs w:val="21"/>
          <w:highlight w:val="none"/>
          <w:u w:val="single"/>
        </w:rPr>
      </w:pPr>
      <w:r>
        <w:rPr>
          <w:color w:val="000000"/>
          <w:szCs w:val="21"/>
          <w:highlight w:val="none"/>
        </w:rPr>
        <w:t>企业名称：</w:t>
      </w:r>
      <w:r>
        <w:rPr>
          <w:rFonts w:hint="eastAsia"/>
          <w:color w:val="000000"/>
          <w:szCs w:val="21"/>
          <w:highlight w:val="none"/>
          <w:u w:val="single"/>
        </w:rPr>
        <w:t xml:space="preserve">           </w:t>
      </w:r>
    </w:p>
    <w:p w14:paraId="3530F936">
      <w:pPr>
        <w:tabs>
          <w:tab w:val="left" w:pos="7410"/>
        </w:tabs>
        <w:spacing w:before="43" w:line="360" w:lineRule="auto"/>
        <w:ind w:left="5895" w:right="1232" w:hanging="630"/>
        <w:rPr>
          <w:rFonts w:eastAsia="Times New Roman"/>
          <w:color w:val="000000"/>
          <w:szCs w:val="21"/>
          <w:highlight w:val="none"/>
        </w:rPr>
      </w:pPr>
      <w:r>
        <w:rPr>
          <w:color w:val="000000"/>
          <w:szCs w:val="21"/>
          <w:highlight w:val="none"/>
        </w:rPr>
        <w:t>日期：</w:t>
      </w:r>
      <w:bookmarkEnd w:id="60"/>
      <w:bookmarkEnd w:id="61"/>
      <w:bookmarkStart w:id="62" w:name="_GoBack"/>
      <w:bookmarkEnd w:id="62"/>
    </w:p>
    <w:p w14:paraId="32D555D3">
      <w:pPr>
        <w:widowControl/>
        <w:spacing w:line="240" w:lineRule="atLeast"/>
        <w:rPr>
          <w:rFonts w:hint="eastAsia" w:ascii="宋体" w:hAnsi="宋体" w:cs="宋体"/>
          <w:b/>
          <w:color w:val="000000"/>
          <w:szCs w:val="21"/>
          <w:highlight w:val="none"/>
        </w:rPr>
      </w:pPr>
    </w:p>
    <w:p w14:paraId="3D4A44E3">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65418C02">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注2：从业人员、营业收入、资产总额填报上一年度数据，无上一年度数据的新成立企业可不填报。</w:t>
      </w:r>
    </w:p>
    <w:p w14:paraId="1EA516E0">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注3：投标人如不提供此声明函，价格将不做相应扣除。</w:t>
      </w:r>
    </w:p>
    <w:p w14:paraId="3E6B434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注4：此声明函将随中标结果同时公告，接受社会监督。</w:t>
      </w:r>
    </w:p>
    <w:p w14:paraId="3401B618">
      <w:pPr>
        <w:rPr>
          <w:rFonts w:hint="eastAsia" w:ascii="宋体" w:hAnsi="宋体" w:cs="宋体"/>
          <w:b/>
          <w:color w:val="000000"/>
          <w:szCs w:val="21"/>
          <w:highlight w:val="none"/>
        </w:rPr>
      </w:pPr>
      <w:r>
        <w:rPr>
          <w:rFonts w:hint="eastAsia" w:ascii="宋体" w:hAnsi="宋体" w:cs="宋体"/>
          <w:b/>
          <w:color w:val="000000"/>
          <w:szCs w:val="21"/>
          <w:highlight w:val="none"/>
        </w:rPr>
        <w:br w:type="page"/>
      </w:r>
    </w:p>
    <w:p w14:paraId="40B37762">
      <w:pPr>
        <w:widowControl/>
        <w:spacing w:line="240" w:lineRule="atLeast"/>
        <w:rPr>
          <w:rFonts w:hint="eastAsia" w:ascii="宋体" w:hAnsi="宋体" w:cs="宋体"/>
          <w:b/>
          <w:color w:val="000000"/>
          <w:szCs w:val="21"/>
          <w:highlight w:val="none"/>
        </w:rPr>
      </w:pPr>
      <w:r>
        <w:rPr>
          <w:rFonts w:hint="eastAsia" w:ascii="宋体" w:hAnsi="宋体" w:cs="宋体"/>
          <w:b/>
          <w:color w:val="000000"/>
          <w:szCs w:val="21"/>
          <w:highlight w:val="none"/>
        </w:rPr>
        <w:t>附件二、无重大违法记录声明格式</w:t>
      </w:r>
    </w:p>
    <w:p w14:paraId="3FF7BB13">
      <w:pPr>
        <w:widowControl/>
        <w:spacing w:line="240" w:lineRule="atLeast"/>
        <w:rPr>
          <w:rFonts w:hint="eastAsia" w:ascii="宋体" w:hAnsi="宋体" w:cs="宋体"/>
          <w:b/>
          <w:color w:val="000000"/>
          <w:szCs w:val="21"/>
          <w:highlight w:val="none"/>
        </w:rPr>
      </w:pPr>
    </w:p>
    <w:p w14:paraId="1DD0A4E4">
      <w:pPr>
        <w:jc w:val="center"/>
        <w:rPr>
          <w:rFonts w:hint="eastAsia" w:ascii="宋体" w:hAnsi="宋体" w:cs="宋体"/>
          <w:color w:val="000000"/>
          <w:szCs w:val="21"/>
          <w:highlight w:val="none"/>
        </w:rPr>
      </w:pPr>
      <w:r>
        <w:rPr>
          <w:rFonts w:hint="eastAsia" w:ascii="宋体" w:hAnsi="宋体" w:cs="宋体"/>
          <w:color w:val="000000"/>
          <w:szCs w:val="21"/>
          <w:highlight w:val="none"/>
        </w:rPr>
        <w:t>无重大违法记录声明</w:t>
      </w:r>
    </w:p>
    <w:p w14:paraId="68528243">
      <w:pPr>
        <w:spacing w:line="360" w:lineRule="auto"/>
        <w:rPr>
          <w:rFonts w:hint="eastAsia" w:ascii="宋体" w:hAnsi="宋体" w:cs="宋体"/>
          <w:color w:val="000000"/>
          <w:szCs w:val="21"/>
          <w:highlight w:val="none"/>
        </w:rPr>
      </w:pPr>
    </w:p>
    <w:p w14:paraId="405C3076">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南京市回民殡葬服务所：</w:t>
      </w:r>
    </w:p>
    <w:p w14:paraId="2BBBFCD4">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我单位（投标人名称）郑重声明：</w:t>
      </w:r>
    </w:p>
    <w:p w14:paraId="65DF2250">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参加政府采购活动前3年内在经营活动中（在下划线上如实填写：有或没有）重大违法记录。</w:t>
      </w:r>
    </w:p>
    <w:p w14:paraId="3C3433F9">
      <w:pPr>
        <w:spacing w:line="360" w:lineRule="auto"/>
        <w:ind w:firstLine="560"/>
        <w:rPr>
          <w:rFonts w:hint="eastAsia" w:ascii="宋体" w:hAnsi="宋体" w:cs="宋体"/>
          <w:color w:val="000000"/>
          <w:szCs w:val="21"/>
          <w:highlight w:val="none"/>
        </w:rPr>
      </w:pPr>
      <w:r>
        <w:rPr>
          <w:rFonts w:hint="eastAsia" w:ascii="宋体" w:hAnsi="宋体" w:cs="宋体"/>
          <w:color w:val="000000"/>
          <w:szCs w:val="21"/>
          <w:highlight w:val="none"/>
        </w:rPr>
        <w:t>（说明：政府采购法第二十二条第一款第五项所称重大违法记录，是指投标人因违法经营受到刑事处罚或者责令停产停业、吊销许可证或者执照、较大数额罚款等行政处罚。）</w:t>
      </w:r>
    </w:p>
    <w:p w14:paraId="39BABA4A">
      <w:pPr>
        <w:spacing w:line="360" w:lineRule="auto"/>
        <w:ind w:firstLine="6160"/>
        <w:rPr>
          <w:rFonts w:hint="eastAsia" w:ascii="宋体" w:hAnsi="宋体" w:cs="宋体"/>
          <w:color w:val="000000"/>
          <w:szCs w:val="21"/>
          <w:highlight w:val="none"/>
        </w:rPr>
      </w:pPr>
      <w:r>
        <w:rPr>
          <w:rFonts w:hint="eastAsia" w:ascii="宋体" w:hAnsi="宋体" w:cs="宋体"/>
          <w:color w:val="000000"/>
          <w:szCs w:val="21"/>
          <w:highlight w:val="none"/>
        </w:rPr>
        <w:t>声明人（公章）：</w:t>
      </w:r>
    </w:p>
    <w:p w14:paraId="4B8972C3">
      <w:pPr>
        <w:spacing w:line="360" w:lineRule="auto"/>
        <w:jc w:val="right"/>
        <w:rPr>
          <w:rFonts w:hint="eastAsia" w:ascii="宋体" w:hAnsi="宋体" w:cs="宋体"/>
          <w:b/>
          <w:color w:val="000000"/>
          <w:szCs w:val="21"/>
          <w:highlight w:val="none"/>
        </w:rPr>
      </w:pPr>
      <w:r>
        <w:rPr>
          <w:rFonts w:hint="eastAsia" w:ascii="宋体" w:hAnsi="宋体" w:cs="宋体"/>
          <w:color w:val="000000"/>
          <w:szCs w:val="21"/>
          <w:highlight w:val="none"/>
        </w:rPr>
        <w:t>日期：   年   月   日</w:t>
      </w:r>
    </w:p>
    <w:p w14:paraId="7304806C">
      <w:pPr>
        <w:spacing w:line="360" w:lineRule="auto"/>
        <w:rPr>
          <w:rFonts w:hint="eastAsia" w:ascii="宋体" w:hAnsi="宋体" w:cs="宋体"/>
          <w:b/>
          <w:color w:val="000000"/>
          <w:szCs w:val="21"/>
          <w:highlight w:val="none"/>
        </w:rPr>
        <w:sectPr>
          <w:endnotePr>
            <w:numFmt w:val="decimal"/>
          </w:endnotePr>
          <w:pgSz w:w="11906" w:h="16838"/>
          <w:pgMar w:top="1440" w:right="1800" w:bottom="1440" w:left="1800" w:header="567" w:footer="720" w:gutter="0"/>
          <w:pgNumType w:fmt="decimal"/>
          <w:cols w:space="1701" w:num="1"/>
          <w:docGrid w:linePitch="360" w:charSpace="0"/>
        </w:sectPr>
      </w:pPr>
    </w:p>
    <w:p w14:paraId="0EBFAA6B">
      <w:pPr>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附件三、具备履行合同所必需的设备和专业技术能力的声明格式及证明材料</w:t>
      </w:r>
    </w:p>
    <w:p w14:paraId="69F99606">
      <w:pPr>
        <w:spacing w:line="360" w:lineRule="auto"/>
        <w:jc w:val="center"/>
        <w:rPr>
          <w:rFonts w:hint="eastAsia" w:ascii="宋体" w:hAnsi="宋体" w:cs="宋体"/>
          <w:color w:val="000000"/>
          <w:szCs w:val="21"/>
          <w:highlight w:val="none"/>
        </w:rPr>
      </w:pPr>
      <w:r>
        <w:rPr>
          <w:rFonts w:hint="eastAsia" w:ascii="宋体" w:hAnsi="宋体" w:cs="宋体"/>
          <w:color w:val="000000"/>
          <w:szCs w:val="21"/>
          <w:highlight w:val="none"/>
        </w:rPr>
        <w:t>具备履行合同所必需的设备和专业技术能力的声明格式</w:t>
      </w:r>
    </w:p>
    <w:p w14:paraId="26FD4524">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南京市回民殡葬服务所：</w:t>
      </w:r>
    </w:p>
    <w:p w14:paraId="5D522B33">
      <w:pPr>
        <w:spacing w:line="460" w:lineRule="exact"/>
        <w:ind w:firstLine="492"/>
        <w:rPr>
          <w:rFonts w:hint="eastAsia" w:ascii="宋体" w:hAnsi="宋体" w:cs="宋体"/>
          <w:color w:val="000000"/>
          <w:szCs w:val="21"/>
          <w:highlight w:val="none"/>
        </w:rPr>
      </w:pPr>
      <w:r>
        <w:rPr>
          <w:rFonts w:hint="eastAsia" w:ascii="宋体" w:hAnsi="宋体" w:cs="宋体"/>
          <w:color w:val="000000"/>
          <w:szCs w:val="21"/>
          <w:highlight w:val="none"/>
        </w:rPr>
        <w:t>我单位（投标人名称）郑重声明：我公司具备履行本项采购合同所必需的设备和专业技术能力，为履行本项采购合同我单位具备如下主要设备和主要专业技术能力：</w:t>
      </w:r>
    </w:p>
    <w:p w14:paraId="34503B6A">
      <w:pPr>
        <w:spacing w:line="460" w:lineRule="exact"/>
        <w:ind w:firstLine="492"/>
        <w:rPr>
          <w:rFonts w:hint="eastAsia" w:ascii="宋体" w:hAnsi="宋体" w:cs="宋体"/>
          <w:color w:val="000000"/>
          <w:szCs w:val="21"/>
          <w:highlight w:val="none"/>
        </w:rPr>
      </w:pPr>
      <w:r>
        <w:rPr>
          <w:rFonts w:hint="eastAsia" w:ascii="宋体" w:hAnsi="宋体" w:cs="宋体"/>
          <w:color w:val="000000"/>
          <w:szCs w:val="21"/>
          <w:highlight w:val="none"/>
        </w:rPr>
        <w:t>主要设备有：。（ 若有 ）</w:t>
      </w:r>
    </w:p>
    <w:p w14:paraId="05041CF7">
      <w:pPr>
        <w:spacing w:line="460" w:lineRule="exact"/>
        <w:ind w:firstLine="492"/>
        <w:rPr>
          <w:rFonts w:hint="eastAsia" w:ascii="宋体" w:hAnsi="宋体" w:cs="宋体"/>
          <w:color w:val="000000"/>
          <w:szCs w:val="21"/>
          <w:highlight w:val="none"/>
        </w:rPr>
      </w:pPr>
      <w:r>
        <w:rPr>
          <w:rFonts w:hint="eastAsia" w:ascii="宋体" w:hAnsi="宋体" w:cs="宋体"/>
          <w:color w:val="000000"/>
          <w:szCs w:val="21"/>
          <w:highlight w:val="none"/>
        </w:rPr>
        <w:t>主要专业技术能力有：。（ 若有 ）</w:t>
      </w:r>
    </w:p>
    <w:p w14:paraId="09D7DFD7">
      <w:pPr>
        <w:spacing w:line="360" w:lineRule="auto"/>
        <w:rPr>
          <w:rFonts w:hint="eastAsia" w:ascii="宋体" w:hAnsi="宋体" w:cs="宋体"/>
          <w:color w:val="000000"/>
          <w:szCs w:val="21"/>
          <w:highlight w:val="none"/>
        </w:rPr>
      </w:pPr>
    </w:p>
    <w:p w14:paraId="39B2DFBF">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声明人：（公章）</w:t>
      </w:r>
    </w:p>
    <w:p w14:paraId="1E3E7569">
      <w:pPr>
        <w:spacing w:line="460" w:lineRule="exact"/>
        <w:ind w:firstLine="5880"/>
        <w:rPr>
          <w:rFonts w:hint="eastAsia" w:ascii="宋体" w:hAnsi="宋体" w:cs="宋体"/>
          <w:color w:val="000000"/>
          <w:szCs w:val="21"/>
          <w:highlight w:val="none"/>
        </w:rPr>
      </w:pPr>
      <w:r>
        <w:rPr>
          <w:rFonts w:hint="eastAsia" w:ascii="宋体" w:hAnsi="宋体" w:cs="宋体"/>
          <w:color w:val="000000"/>
          <w:szCs w:val="21"/>
          <w:highlight w:val="none"/>
        </w:rPr>
        <w:t>日期：年月日</w:t>
      </w:r>
    </w:p>
    <w:p w14:paraId="5D2AFA82">
      <w:pPr>
        <w:spacing w:line="460" w:lineRule="exact"/>
        <w:jc w:val="left"/>
        <w:rPr>
          <w:rFonts w:hint="eastAsia" w:ascii="宋体" w:hAnsi="宋体" w:cs="宋体"/>
          <w:color w:val="000000"/>
          <w:szCs w:val="21"/>
          <w:highlight w:val="none"/>
        </w:rPr>
      </w:pPr>
    </w:p>
    <w:p w14:paraId="54D9445D">
      <w:pPr>
        <w:spacing w:line="460" w:lineRule="exact"/>
        <w:jc w:val="left"/>
        <w:rPr>
          <w:rFonts w:hint="eastAsia" w:ascii="宋体" w:hAnsi="宋体" w:cs="宋体"/>
          <w:color w:val="000000"/>
          <w:szCs w:val="21"/>
          <w:highlight w:val="none"/>
          <w:lang w:val="zh-CN"/>
        </w:rPr>
      </w:pPr>
      <w:r>
        <w:rPr>
          <w:rFonts w:hint="eastAsia" w:ascii="宋体" w:hAnsi="宋体" w:cs="宋体"/>
          <w:color w:val="000000"/>
          <w:szCs w:val="21"/>
          <w:highlight w:val="none"/>
        </w:rPr>
        <w:t>其他证明材料及文件：（如果投标人认为需要提供的话）</w:t>
      </w:r>
    </w:p>
    <w:p w14:paraId="2E207648">
      <w:pPr>
        <w:pStyle w:val="725"/>
        <w:spacing w:before="20"/>
        <w:ind w:left="0"/>
        <w:outlineLvl w:val="9"/>
        <w:rPr>
          <w:rFonts w:hint="eastAsia"/>
          <w:color w:val="000000"/>
          <w:sz w:val="21"/>
          <w:szCs w:val="21"/>
          <w:highlight w:val="none"/>
        </w:rPr>
      </w:pPr>
    </w:p>
    <w:p w14:paraId="2E668179">
      <w:pPr>
        <w:pStyle w:val="725"/>
        <w:spacing w:before="20"/>
        <w:ind w:left="0"/>
        <w:outlineLvl w:val="9"/>
        <w:rPr>
          <w:rFonts w:hint="eastAsia"/>
          <w:color w:val="000000"/>
          <w:sz w:val="21"/>
          <w:szCs w:val="21"/>
          <w:highlight w:val="none"/>
        </w:rPr>
      </w:pPr>
    </w:p>
    <w:p w14:paraId="2D81C637">
      <w:pPr>
        <w:pStyle w:val="725"/>
        <w:spacing w:line="360" w:lineRule="auto"/>
        <w:ind w:left="0"/>
        <w:outlineLvl w:val="9"/>
        <w:rPr>
          <w:rFonts w:hint="eastAsia"/>
          <w:b w:val="0"/>
          <w:color w:val="000000"/>
          <w:sz w:val="21"/>
          <w:szCs w:val="21"/>
          <w:highlight w:val="none"/>
        </w:rPr>
      </w:pPr>
      <w:r>
        <w:rPr>
          <w:rFonts w:hint="eastAsia"/>
          <w:color w:val="000000"/>
          <w:sz w:val="21"/>
          <w:szCs w:val="21"/>
          <w:highlight w:val="none"/>
        </w:rPr>
        <w:t>附件四、残疾人福利性单位声明函格式</w:t>
      </w:r>
    </w:p>
    <w:p w14:paraId="669DFBDA">
      <w:pPr>
        <w:pStyle w:val="725"/>
        <w:spacing w:line="360" w:lineRule="auto"/>
        <w:ind w:left="0"/>
        <w:jc w:val="center"/>
        <w:outlineLvl w:val="9"/>
        <w:rPr>
          <w:rFonts w:hint="eastAsia"/>
          <w:b w:val="0"/>
          <w:bCs w:val="0"/>
          <w:color w:val="000000"/>
          <w:sz w:val="21"/>
          <w:szCs w:val="21"/>
          <w:highlight w:val="none"/>
          <w:lang w:val="en-US"/>
        </w:rPr>
      </w:pPr>
      <w:r>
        <w:rPr>
          <w:rFonts w:hint="eastAsia"/>
          <w:b w:val="0"/>
          <w:bCs w:val="0"/>
          <w:color w:val="000000"/>
          <w:sz w:val="21"/>
          <w:szCs w:val="21"/>
          <w:highlight w:val="none"/>
          <w:lang w:val="en-US"/>
        </w:rPr>
        <w:t>残疾人福利性单位声明函</w:t>
      </w:r>
    </w:p>
    <w:p w14:paraId="55D3CC29">
      <w:pPr>
        <w:pStyle w:val="297"/>
        <w:tabs>
          <w:tab w:val="left" w:pos="3711"/>
          <w:tab w:val="left" w:pos="5151"/>
        </w:tabs>
        <w:spacing w:after="0" w:line="360" w:lineRule="auto"/>
        <w:ind w:firstLine="56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394C254D">
      <w:pPr>
        <w:pStyle w:val="297"/>
        <w:spacing w:after="0" w:line="360" w:lineRule="auto"/>
        <w:ind w:firstLine="56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本单位对上述声明的真实性负责。如有虚假，将依法承担相应责任。</w:t>
      </w:r>
    </w:p>
    <w:p w14:paraId="393FBDBC">
      <w:pPr>
        <w:pStyle w:val="297"/>
        <w:tabs>
          <w:tab w:val="left" w:pos="7098"/>
        </w:tabs>
        <w:spacing w:after="0" w:line="360" w:lineRule="auto"/>
        <w:ind w:left="630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单位名称（盖章）：</w:t>
      </w:r>
    </w:p>
    <w:p w14:paraId="5D5EA911">
      <w:pPr>
        <w:pStyle w:val="297"/>
        <w:tabs>
          <w:tab w:val="left" w:pos="7098"/>
        </w:tabs>
        <w:spacing w:after="0" w:line="360" w:lineRule="auto"/>
        <w:ind w:left="6300"/>
        <w:jc w:val="left"/>
        <w:rPr>
          <w:rFonts w:hint="eastAsia" w:ascii="宋体" w:hAnsi="宋体" w:cs="宋体"/>
          <w:color w:val="000000"/>
          <w:sz w:val="21"/>
          <w:szCs w:val="21"/>
          <w:highlight w:val="none"/>
        </w:rPr>
      </w:pPr>
      <w:r>
        <w:rPr>
          <w:rFonts w:hint="eastAsia" w:ascii="宋体" w:hAnsi="宋体" w:cs="宋体"/>
          <w:color w:val="000000"/>
          <w:sz w:val="21"/>
          <w:szCs w:val="21"/>
          <w:highlight w:val="none"/>
        </w:rPr>
        <w:t>日期：</w:t>
      </w:r>
    </w:p>
    <w:p w14:paraId="1388CDDD">
      <w:pPr>
        <w:rPr>
          <w:color w:val="000000"/>
          <w:szCs w:val="21"/>
          <w:highlight w:val="none"/>
        </w:rPr>
      </w:pPr>
    </w:p>
    <w:p w14:paraId="024E6537">
      <w:pPr>
        <w:pStyle w:val="725"/>
        <w:spacing w:line="360" w:lineRule="auto"/>
        <w:ind w:left="0"/>
        <w:outlineLvl w:val="9"/>
        <w:rPr>
          <w:rFonts w:hint="eastAsia"/>
          <w:color w:val="000000"/>
          <w:sz w:val="21"/>
          <w:szCs w:val="21"/>
          <w:highlight w:val="none"/>
        </w:rPr>
      </w:pPr>
      <w:r>
        <w:rPr>
          <w:rFonts w:hint="eastAsia"/>
          <w:color w:val="000000"/>
          <w:sz w:val="21"/>
          <w:szCs w:val="21"/>
          <w:highlight w:val="none"/>
        </w:rPr>
        <w:t>附件五、属于监狱企业的证明文件</w:t>
      </w:r>
    </w:p>
    <w:p w14:paraId="148D9EDD">
      <w:pPr>
        <w:spacing w:line="360" w:lineRule="auto"/>
        <w:jc w:val="left"/>
        <w:rPr>
          <w:rFonts w:hint="eastAsia" w:ascii="宋体" w:hAnsi="宋体" w:cs="宋体"/>
          <w:color w:val="000000"/>
          <w:szCs w:val="21"/>
          <w:highlight w:val="none"/>
        </w:rPr>
      </w:pPr>
      <w:r>
        <w:rPr>
          <w:rFonts w:hint="eastAsia" w:ascii="宋体" w:hAnsi="宋体" w:cs="宋体"/>
          <w:color w:val="000000"/>
          <w:szCs w:val="21"/>
          <w:highlight w:val="none"/>
        </w:rPr>
        <w:t>提供由省级以上监狱管理局、戒毒管理局（含新疆生产建设兵团）出具的属于监狱企业的证明文件。</w:t>
      </w:r>
    </w:p>
    <w:p w14:paraId="18143A63">
      <w:pPr>
        <w:rPr>
          <w:rFonts w:hint="eastAsia" w:ascii="宋体" w:hAnsi="宋体" w:cs="宋体"/>
          <w:color w:val="000000"/>
          <w:szCs w:val="21"/>
          <w:highlight w:val="none"/>
        </w:rPr>
      </w:pPr>
      <w:r>
        <w:rPr>
          <w:rFonts w:hint="eastAsia" w:ascii="宋体" w:hAnsi="宋体" w:cs="宋体"/>
          <w:color w:val="000000"/>
          <w:szCs w:val="21"/>
          <w:highlight w:val="none"/>
        </w:rPr>
        <w:br w:type="page" w:clear="all"/>
      </w:r>
    </w:p>
    <w:p w14:paraId="5B10B7FD">
      <w:pPr>
        <w:spacing w:line="360" w:lineRule="auto"/>
        <w:jc w:val="left"/>
        <w:rPr>
          <w:rFonts w:hint="eastAsia"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附件六、关于符合本国产品标准的声明函</w:t>
      </w:r>
    </w:p>
    <w:p w14:paraId="2B6F3E73">
      <w:pPr>
        <w:spacing w:line="360" w:lineRule="auto"/>
        <w:jc w:val="center"/>
        <w:rPr>
          <w:rFonts w:hint="eastAsia" w:ascii="宋体" w:hAnsi="宋体" w:cs="宋体"/>
          <w:b/>
          <w:bCs/>
          <w:color w:val="000000"/>
          <w:szCs w:val="21"/>
          <w:highlight w:val="none"/>
          <w:lang w:val="zh-CN" w:bidi="zh-CN"/>
        </w:rPr>
      </w:pPr>
      <w:r>
        <w:rPr>
          <w:rFonts w:hint="eastAsia" w:ascii="宋体" w:hAnsi="宋体" w:cs="宋体"/>
          <w:b/>
          <w:bCs/>
          <w:color w:val="000000"/>
          <w:szCs w:val="21"/>
          <w:highlight w:val="none"/>
          <w:lang w:val="zh-CN" w:bidi="zh-CN"/>
        </w:rPr>
        <w:t>关于符合本国产品标准的声明函（采购包号：</w:t>
      </w:r>
      <w:r>
        <w:rPr>
          <w:rFonts w:ascii="宋体" w:hAnsi="宋体" w:cs="宋体"/>
          <w:b/>
          <w:bCs/>
          <w:color w:val="000000"/>
          <w:szCs w:val="21"/>
          <w:highlight w:val="none"/>
          <w:lang w:val="zh-CN" w:bidi="zh-CN"/>
        </w:rPr>
        <w:t>**）</w:t>
      </w:r>
    </w:p>
    <w:p w14:paraId="65BB9DF0">
      <w:pPr>
        <w:pStyle w:val="139"/>
        <w:shd w:val="clear" w:color="auto" w:fill="FFFFFF"/>
        <w:spacing w:before="24" w:beforeAutospacing="0" w:after="24" w:afterAutospacing="0" w:line="360" w:lineRule="auto"/>
        <w:ind w:firstLine="420"/>
        <w:rPr>
          <w:rFonts w:hint="eastAsia" w:ascii="宋体" w:hAnsi="宋体" w:eastAsia="宋体" w:cs="宋体"/>
          <w:sz w:val="21"/>
          <w:szCs w:val="21"/>
          <w:highlight w:val="none"/>
        </w:rPr>
      </w:pP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本公司（单位）郑重声明，根据《国务院办公厅关于在政府采购中实施本国产品标准及相关政策的通知》（国办发〔</w:t>
      </w:r>
      <w:r>
        <w:rPr>
          <w:rFonts w:hint="eastAsia" w:ascii="宋体" w:hAnsi="宋体" w:eastAsia="宋体"/>
          <w:sz w:val="21"/>
          <w:szCs w:val="21"/>
          <w:highlight w:val="none"/>
          <w:shd w:val="clear" w:color="auto" w:fill="FFFFFF"/>
        </w:rPr>
        <w:t>2025</w:t>
      </w:r>
      <w:r>
        <w:rPr>
          <w:rFonts w:hint="eastAsia" w:ascii="宋体" w:hAnsi="宋体" w:eastAsia="宋体" w:cs="微软雅黑"/>
          <w:sz w:val="21"/>
          <w:szCs w:val="21"/>
          <w:highlight w:val="none"/>
          <w:shd w:val="clear" w:color="auto" w:fill="FFFFFF"/>
        </w:rPr>
        <w:t>〕</w:t>
      </w:r>
      <w:r>
        <w:rPr>
          <w:rFonts w:hint="eastAsia" w:ascii="宋体" w:hAnsi="宋体" w:eastAsia="宋体"/>
          <w:sz w:val="21"/>
          <w:szCs w:val="21"/>
          <w:highlight w:val="none"/>
          <w:shd w:val="clear" w:color="auto" w:fill="FFFFFF"/>
        </w:rPr>
        <w:t>34</w:t>
      </w:r>
      <w:r>
        <w:rPr>
          <w:rFonts w:hint="eastAsia" w:ascii="宋体" w:hAnsi="宋体" w:eastAsia="宋体" w:cs="微软雅黑"/>
          <w:sz w:val="21"/>
          <w:szCs w:val="21"/>
          <w:highlight w:val="none"/>
          <w:shd w:val="clear" w:color="auto" w:fill="FFFFFF"/>
        </w:rPr>
        <w:t>号）的规定，本公司（单位）提供的以下产品属于本国产品。具体情况如下：</w:t>
      </w:r>
    </w:p>
    <w:p w14:paraId="69A6EA0F">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shd w:val="clear" w:color="auto" w:fill="FFFFFF"/>
        </w:rPr>
        <w:t>1.</w:t>
      </w:r>
      <w:r>
        <w:rPr>
          <w:rStyle w:val="146"/>
          <w:rFonts w:hint="eastAsia" w:ascii="宋体" w:hAnsi="宋体" w:eastAsia="宋体" w:cs="微软雅黑"/>
          <w:sz w:val="21"/>
          <w:szCs w:val="21"/>
          <w:highlight w:val="none"/>
          <w:u w:val="single"/>
          <w:shd w:val="clear" w:color="auto" w:fill="FFFFFF"/>
        </w:rPr>
        <w:t>（产品名称</w:t>
      </w:r>
      <w:r>
        <w:rPr>
          <w:rStyle w:val="146"/>
          <w:rFonts w:hint="eastAsia" w:ascii="宋体" w:hAnsi="宋体" w:eastAsia="宋体"/>
          <w:sz w:val="21"/>
          <w:szCs w:val="21"/>
          <w:highlight w:val="none"/>
          <w:u w:val="single"/>
          <w:shd w:val="clear" w:color="auto" w:fill="FFFFFF"/>
        </w:rPr>
        <w:t>1</w:t>
      </w:r>
      <w:r>
        <w:rPr>
          <w:rStyle w:val="146"/>
          <w:rFonts w:hint="eastAsia" w:ascii="宋体" w:hAnsi="宋体" w:eastAsia="宋体" w:cs="微软雅黑"/>
          <w:sz w:val="21"/>
          <w:szCs w:val="21"/>
          <w:highlight w:val="none"/>
          <w:u w:val="single"/>
          <w:shd w:val="clear" w:color="auto" w:fill="FFFFFF"/>
        </w:rPr>
        <w:t>）</w:t>
      </w:r>
      <w:r>
        <w:rPr>
          <w:rStyle w:val="146"/>
          <w:rFonts w:hint="eastAsia" w:ascii="宋体" w:hAnsi="宋体" w:eastAsia="宋体"/>
          <w:sz w:val="21"/>
          <w:szCs w:val="21"/>
          <w:highlight w:val="none"/>
          <w:shd w:val="clear" w:color="auto" w:fill="FFFFFF"/>
          <w:vertAlign w:val="superscript"/>
        </w:rPr>
        <w:t>1</w:t>
      </w:r>
      <w:r>
        <w:rPr>
          <w:rFonts w:hint="eastAsia" w:ascii="宋体" w:hAnsi="宋体" w:eastAsia="宋体" w:cs="微软雅黑"/>
          <w:sz w:val="21"/>
          <w:szCs w:val="21"/>
          <w:highlight w:val="none"/>
          <w:shd w:val="clear" w:color="auto" w:fill="FFFFFF"/>
        </w:rPr>
        <w:t>，</w:t>
      </w:r>
      <w:r>
        <w:rPr>
          <w:rFonts w:hint="eastAsia" w:ascii="宋体" w:hAnsi="宋体" w:eastAsia="宋体" w:cs="微软雅黑"/>
          <w:sz w:val="21"/>
          <w:szCs w:val="21"/>
          <w:highlight w:val="none"/>
          <w:u w:val="single"/>
          <w:shd w:val="clear" w:color="auto" w:fill="FFFFFF"/>
        </w:rPr>
        <w:t>生产厂为</w:t>
      </w:r>
      <w:r>
        <w:rPr>
          <w:rStyle w:val="146"/>
          <w:rFonts w:hint="eastAsia" w:ascii="宋体" w:hAnsi="宋体" w:eastAsia="宋体" w:cs="微软雅黑"/>
          <w:sz w:val="21"/>
          <w:szCs w:val="21"/>
          <w:highlight w:val="none"/>
          <w:u w:val="single"/>
          <w:shd w:val="clear" w:color="auto" w:fill="FFFFFF"/>
        </w:rPr>
        <w:t>（厂名）</w:t>
      </w:r>
      <w:r>
        <w:rPr>
          <w:rStyle w:val="146"/>
          <w:rFonts w:hint="eastAsia" w:ascii="宋体" w:hAnsi="宋体" w:eastAsia="宋体"/>
          <w:sz w:val="21"/>
          <w:szCs w:val="21"/>
          <w:highlight w:val="none"/>
          <w:shd w:val="clear" w:color="auto" w:fill="FFFFFF"/>
          <w:vertAlign w:val="superscript"/>
        </w:rPr>
        <w:t>2</w:t>
      </w:r>
      <w:r>
        <w:rPr>
          <w:rFonts w:hint="eastAsia" w:ascii="宋体" w:hAnsi="宋体" w:eastAsia="宋体" w:cs="微软雅黑"/>
          <w:sz w:val="21"/>
          <w:szCs w:val="21"/>
          <w:highlight w:val="none"/>
          <w:shd w:val="clear" w:color="auto" w:fill="FFFFFF"/>
        </w:rPr>
        <w:t>，厂址为</w:t>
      </w:r>
      <w:r>
        <w:rPr>
          <w:rStyle w:val="146"/>
          <w:rFonts w:hint="eastAsia" w:ascii="宋体" w:hAnsi="宋体" w:eastAsia="宋体" w:cs="微软雅黑"/>
          <w:sz w:val="21"/>
          <w:szCs w:val="21"/>
          <w:highlight w:val="none"/>
          <w:u w:val="single"/>
          <w:shd w:val="clear" w:color="auto" w:fill="FFFFFF"/>
        </w:rPr>
        <w:t>（生产厂址）</w:t>
      </w:r>
      <w:r>
        <w:rPr>
          <w:rFonts w:hint="eastAsia" w:ascii="宋体" w:hAnsi="宋体" w:eastAsia="宋体" w:cs="微软雅黑"/>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1</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的中国境内生产的组件成本占比</w:t>
      </w:r>
      <w:r>
        <w:rPr>
          <w:rFonts w:ascii="宋体" w:hAnsi="宋体" w:eastAsia="宋体"/>
          <w:strike/>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（规定比例）</w:t>
      </w:r>
      <w:r>
        <w:rPr>
          <w:rStyle w:val="146"/>
          <w:rFonts w:hint="eastAsia" w:ascii="宋体" w:hAnsi="宋体" w:eastAsia="宋体"/>
          <w:sz w:val="21"/>
          <w:szCs w:val="21"/>
          <w:highlight w:val="none"/>
          <w:shd w:val="clear" w:color="auto" w:fill="FFFFFF"/>
          <w:vertAlign w:val="superscript"/>
        </w:rPr>
        <w:t>3</w:t>
      </w:r>
      <w:r>
        <w:rPr>
          <w:rFonts w:hint="eastAsia" w:ascii="宋体" w:hAnsi="宋体" w:eastAsia="宋体" w:cs="微软雅黑"/>
          <w:strike/>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1</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w:t>
      </w:r>
      <w:r>
        <w:rPr>
          <w:rStyle w:val="146"/>
          <w:rFonts w:hint="eastAsia" w:ascii="宋体" w:hAnsi="宋体" w:eastAsia="宋体" w:cs="微软雅黑"/>
          <w:strike/>
          <w:sz w:val="21"/>
          <w:szCs w:val="21"/>
          <w:highlight w:val="none"/>
          <w:u w:val="single"/>
          <w:shd w:val="clear" w:color="auto" w:fill="FFFFFF"/>
        </w:rPr>
        <w:t>（关键组件）</w:t>
      </w:r>
      <w:r>
        <w:rPr>
          <w:rStyle w:val="146"/>
          <w:rFonts w:hint="eastAsia" w:ascii="宋体" w:hAnsi="宋体" w:eastAsia="宋体"/>
          <w:sz w:val="21"/>
          <w:szCs w:val="21"/>
          <w:highlight w:val="none"/>
          <w:shd w:val="clear" w:color="auto" w:fill="FFFFFF"/>
          <w:vertAlign w:val="superscript"/>
        </w:rPr>
        <w:t>4</w:t>
      </w:r>
      <w:r>
        <w:rPr>
          <w:rFonts w:hint="eastAsia" w:ascii="宋体" w:hAnsi="宋体" w:eastAsia="宋体" w:cs="微软雅黑"/>
          <w:strike/>
          <w:sz w:val="21"/>
          <w:szCs w:val="21"/>
          <w:highlight w:val="none"/>
          <w:shd w:val="clear" w:color="auto" w:fill="FFFFFF"/>
        </w:rPr>
        <w:t>在中国境内生产。</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1</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w:t>
      </w:r>
      <w:r>
        <w:rPr>
          <w:rStyle w:val="146"/>
          <w:rFonts w:hint="eastAsia" w:ascii="宋体" w:hAnsi="宋体" w:eastAsia="宋体" w:cs="微软雅黑"/>
          <w:strike/>
          <w:sz w:val="21"/>
          <w:szCs w:val="21"/>
          <w:highlight w:val="none"/>
          <w:u w:val="single"/>
          <w:shd w:val="clear" w:color="auto" w:fill="FFFFFF"/>
        </w:rPr>
        <w:t>（关键工序）</w:t>
      </w:r>
      <w:r>
        <w:rPr>
          <w:rStyle w:val="146"/>
          <w:rFonts w:hint="eastAsia" w:ascii="宋体" w:hAnsi="宋体" w:eastAsia="宋体"/>
          <w:sz w:val="21"/>
          <w:szCs w:val="21"/>
          <w:highlight w:val="none"/>
          <w:shd w:val="clear" w:color="auto" w:fill="FFFFFF"/>
          <w:vertAlign w:val="superscript"/>
        </w:rPr>
        <w:t>5</w:t>
      </w:r>
      <w:r>
        <w:rPr>
          <w:rFonts w:hint="eastAsia" w:ascii="宋体" w:hAnsi="宋体" w:eastAsia="宋体" w:cs="微软雅黑"/>
          <w:strike/>
          <w:sz w:val="21"/>
          <w:szCs w:val="21"/>
          <w:highlight w:val="none"/>
          <w:shd w:val="clear" w:color="auto" w:fill="FFFFFF"/>
        </w:rPr>
        <w:t>在中国境内完成。</w:t>
      </w:r>
    </w:p>
    <w:p w14:paraId="436E348A">
      <w:pPr>
        <w:pStyle w:val="139"/>
        <w:shd w:val="clear" w:color="auto" w:fill="FFFFFF"/>
        <w:spacing w:before="24" w:beforeAutospacing="0" w:after="24" w:afterAutospacing="0" w:line="360" w:lineRule="auto"/>
        <w:ind w:firstLine="420"/>
        <w:rPr>
          <w:rFonts w:hint="eastAsia" w:ascii="宋体" w:hAnsi="宋体" w:eastAsia="宋体"/>
          <w:strike/>
          <w:sz w:val="21"/>
          <w:szCs w:val="21"/>
          <w:highlight w:val="none"/>
        </w:rPr>
      </w:pPr>
      <w:r>
        <w:rPr>
          <w:rFonts w:hint="eastAsia" w:ascii="宋体" w:hAnsi="宋体" w:eastAsia="宋体"/>
          <w:sz w:val="21"/>
          <w:szCs w:val="21"/>
          <w:highlight w:val="none"/>
          <w:shd w:val="clear" w:color="auto" w:fill="FFFFFF"/>
        </w:rPr>
        <w:t>2.</w:t>
      </w:r>
      <w:r>
        <w:rPr>
          <w:rStyle w:val="146"/>
          <w:rFonts w:hint="eastAsia" w:ascii="宋体" w:hAnsi="宋体" w:eastAsia="宋体" w:cs="微软雅黑"/>
          <w:sz w:val="21"/>
          <w:szCs w:val="21"/>
          <w:highlight w:val="none"/>
          <w:u w:val="single"/>
          <w:shd w:val="clear" w:color="auto" w:fill="FFFFFF"/>
        </w:rPr>
        <w:t>（产品名称</w:t>
      </w:r>
      <w:r>
        <w:rPr>
          <w:rStyle w:val="146"/>
          <w:rFonts w:hint="eastAsia" w:ascii="宋体" w:hAnsi="宋体" w:eastAsia="宋体"/>
          <w:sz w:val="21"/>
          <w:szCs w:val="21"/>
          <w:highlight w:val="none"/>
          <w:u w:val="single"/>
          <w:shd w:val="clear" w:color="auto" w:fill="FFFFFF"/>
        </w:rPr>
        <w:t>2</w:t>
      </w:r>
      <w:r>
        <w:rPr>
          <w:rStyle w:val="146"/>
          <w:rFonts w:hint="eastAsia" w:ascii="宋体" w:hAnsi="宋体" w:eastAsia="宋体" w:cs="微软雅黑"/>
          <w:sz w:val="21"/>
          <w:szCs w:val="21"/>
          <w:highlight w:val="none"/>
          <w:u w:val="single"/>
          <w:shd w:val="clear" w:color="auto" w:fill="FFFFFF"/>
        </w:rPr>
        <w:t>）</w:t>
      </w:r>
      <w:r>
        <w:rPr>
          <w:rFonts w:hint="eastAsia" w:ascii="宋体" w:hAnsi="宋体" w:eastAsia="宋体" w:cs="微软雅黑"/>
          <w:sz w:val="21"/>
          <w:szCs w:val="21"/>
          <w:highlight w:val="none"/>
          <w:shd w:val="clear" w:color="auto" w:fill="FFFFFF"/>
        </w:rPr>
        <w:t>，生产厂为</w:t>
      </w:r>
      <w:r>
        <w:rPr>
          <w:rStyle w:val="146"/>
          <w:rFonts w:hint="eastAsia" w:ascii="宋体" w:hAnsi="宋体" w:eastAsia="宋体" w:cs="微软雅黑"/>
          <w:sz w:val="21"/>
          <w:szCs w:val="21"/>
          <w:highlight w:val="none"/>
          <w:u w:val="single"/>
          <w:shd w:val="clear" w:color="auto" w:fill="FFFFFF"/>
        </w:rPr>
        <w:t>（厂名）</w:t>
      </w:r>
      <w:r>
        <w:rPr>
          <w:rFonts w:hint="eastAsia" w:ascii="宋体" w:hAnsi="宋体" w:eastAsia="宋体" w:cs="微软雅黑"/>
          <w:sz w:val="21"/>
          <w:szCs w:val="21"/>
          <w:highlight w:val="none"/>
          <w:shd w:val="clear" w:color="auto" w:fill="FFFFFF"/>
        </w:rPr>
        <w:t>，厂址为</w:t>
      </w:r>
      <w:r>
        <w:rPr>
          <w:rStyle w:val="146"/>
          <w:rFonts w:hint="eastAsia" w:ascii="宋体" w:hAnsi="宋体" w:eastAsia="宋体" w:cs="微软雅黑"/>
          <w:sz w:val="21"/>
          <w:szCs w:val="21"/>
          <w:highlight w:val="none"/>
          <w:u w:val="single"/>
          <w:shd w:val="clear" w:color="auto" w:fill="FFFFFF"/>
        </w:rPr>
        <w:t>（生产厂址）</w:t>
      </w:r>
      <w:r>
        <w:rPr>
          <w:rFonts w:hint="eastAsia" w:ascii="宋体" w:hAnsi="宋体" w:eastAsia="宋体" w:cs="微软雅黑"/>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2</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的中国境内生产的组件成本占比</w:t>
      </w:r>
      <w:r>
        <w:rPr>
          <w:rFonts w:ascii="宋体" w:hAnsi="宋体" w:eastAsia="宋体"/>
          <w:strike/>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（规定比例）</w:t>
      </w:r>
      <w:r>
        <w:rPr>
          <w:rFonts w:hint="eastAsia" w:ascii="宋体" w:hAnsi="宋体" w:eastAsia="宋体" w:cs="微软雅黑"/>
          <w:strike/>
          <w:sz w:val="21"/>
          <w:szCs w:val="21"/>
          <w:highlight w:val="none"/>
          <w:shd w:val="clear" w:color="auto" w:fill="FFFFFF"/>
        </w:rPr>
        <w:t>。</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2</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w:t>
      </w:r>
      <w:r>
        <w:rPr>
          <w:rStyle w:val="146"/>
          <w:rFonts w:hint="eastAsia" w:ascii="宋体" w:hAnsi="宋体" w:eastAsia="宋体" w:cs="微软雅黑"/>
          <w:strike/>
          <w:sz w:val="21"/>
          <w:szCs w:val="21"/>
          <w:highlight w:val="none"/>
          <w:u w:val="single"/>
          <w:shd w:val="clear" w:color="auto" w:fill="FFFFFF"/>
        </w:rPr>
        <w:t>（关键组件）</w:t>
      </w:r>
      <w:r>
        <w:rPr>
          <w:rFonts w:hint="eastAsia" w:ascii="宋体" w:hAnsi="宋体" w:eastAsia="宋体" w:cs="微软雅黑"/>
          <w:strike/>
          <w:sz w:val="21"/>
          <w:szCs w:val="21"/>
          <w:highlight w:val="none"/>
          <w:shd w:val="clear" w:color="auto" w:fill="FFFFFF"/>
        </w:rPr>
        <w:t>在中国境内生产。</w:t>
      </w:r>
      <w:r>
        <w:rPr>
          <w:rStyle w:val="146"/>
          <w:rFonts w:hint="eastAsia" w:ascii="宋体" w:hAnsi="宋体" w:eastAsia="宋体" w:cs="微软雅黑"/>
          <w:strike/>
          <w:sz w:val="21"/>
          <w:szCs w:val="21"/>
          <w:highlight w:val="none"/>
          <w:u w:val="single"/>
          <w:shd w:val="clear" w:color="auto" w:fill="FFFFFF"/>
        </w:rPr>
        <w:t>（产品名称</w:t>
      </w:r>
      <w:r>
        <w:rPr>
          <w:rStyle w:val="146"/>
          <w:rFonts w:hint="eastAsia" w:ascii="宋体" w:hAnsi="宋体" w:eastAsia="宋体"/>
          <w:strike/>
          <w:sz w:val="21"/>
          <w:szCs w:val="21"/>
          <w:highlight w:val="none"/>
          <w:u w:val="single"/>
          <w:shd w:val="clear" w:color="auto" w:fill="FFFFFF"/>
        </w:rPr>
        <w:t>2</w:t>
      </w:r>
      <w:r>
        <w:rPr>
          <w:rStyle w:val="146"/>
          <w:rFonts w:hint="eastAsia" w:ascii="宋体" w:hAnsi="宋体" w:eastAsia="宋体" w:cs="微软雅黑"/>
          <w:strike/>
          <w:sz w:val="21"/>
          <w:szCs w:val="21"/>
          <w:highlight w:val="none"/>
          <w:u w:val="single"/>
          <w:shd w:val="clear" w:color="auto" w:fill="FFFFFF"/>
        </w:rPr>
        <w:t>）</w:t>
      </w:r>
      <w:r>
        <w:rPr>
          <w:rFonts w:hint="eastAsia" w:ascii="宋体" w:hAnsi="宋体" w:eastAsia="宋体" w:cs="微软雅黑"/>
          <w:strike/>
          <w:sz w:val="21"/>
          <w:szCs w:val="21"/>
          <w:highlight w:val="none"/>
          <w:shd w:val="clear" w:color="auto" w:fill="FFFFFF"/>
        </w:rPr>
        <w:t>的</w:t>
      </w:r>
      <w:r>
        <w:rPr>
          <w:rStyle w:val="146"/>
          <w:rFonts w:hint="eastAsia" w:ascii="宋体" w:hAnsi="宋体" w:eastAsia="宋体" w:cs="微软雅黑"/>
          <w:strike/>
          <w:sz w:val="21"/>
          <w:szCs w:val="21"/>
          <w:highlight w:val="none"/>
          <w:u w:val="single"/>
          <w:shd w:val="clear" w:color="auto" w:fill="FFFFFF"/>
        </w:rPr>
        <w:t>（关键工序）</w:t>
      </w:r>
      <w:r>
        <w:rPr>
          <w:rFonts w:hint="eastAsia" w:ascii="宋体" w:hAnsi="宋体" w:eastAsia="宋体" w:cs="微软雅黑"/>
          <w:strike/>
          <w:sz w:val="21"/>
          <w:szCs w:val="21"/>
          <w:highlight w:val="none"/>
          <w:shd w:val="clear" w:color="auto" w:fill="FFFFFF"/>
        </w:rPr>
        <w:t>在中国境内完成。</w:t>
      </w:r>
    </w:p>
    <w:p w14:paraId="75E26BF8">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shd w:val="clear" w:color="auto" w:fill="FFFFFF"/>
        </w:rPr>
      </w:pPr>
      <w:r>
        <w:rPr>
          <w:rFonts w:hint="eastAsia" w:ascii="宋体" w:hAnsi="宋体" w:eastAsia="宋体"/>
          <w:sz w:val="21"/>
          <w:szCs w:val="21"/>
          <w:highlight w:val="none"/>
          <w:shd w:val="clear" w:color="auto" w:fill="FFFFFF"/>
        </w:rPr>
        <w:t>……</w:t>
      </w:r>
    </w:p>
    <w:p w14:paraId="0A550122">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shd w:val="clear" w:color="auto" w:fill="FFFFFF"/>
        </w:rPr>
      </w:pPr>
      <w:r>
        <w:rPr>
          <w:rFonts w:hint="eastAsia" w:ascii="宋体" w:hAnsi="宋体" w:eastAsia="宋体" w:cs="微软雅黑"/>
          <w:sz w:val="21"/>
          <w:szCs w:val="21"/>
          <w:highlight w:val="none"/>
          <w:shd w:val="clear" w:color="auto" w:fill="FFFFFF"/>
        </w:rPr>
        <w:t>本采购包中提供的符合本国产品标准的产品成本之和占该采购包提供的全部产品成本之和的比例为</w:t>
      </w:r>
      <w:r>
        <w:rPr>
          <w:rFonts w:hint="eastAsia" w:ascii="宋体" w:hAnsi="宋体" w:eastAsia="宋体"/>
          <w:sz w:val="21"/>
          <w:szCs w:val="21"/>
          <w:highlight w:val="none"/>
          <w:u w:val="single"/>
          <w:shd w:val="clear" w:color="auto" w:fill="FFFFFF"/>
        </w:rPr>
        <w:t xml:space="preserve">   </w:t>
      </w:r>
      <w:r>
        <w:rPr>
          <w:rFonts w:hint="eastAsia"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w:t>
      </w:r>
    </w:p>
    <w:p w14:paraId="7A192886">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rPr>
      </w:pPr>
      <w:r>
        <w:rPr>
          <w:rFonts w:hint="eastAsia" w:ascii="宋体" w:hAnsi="宋体" w:eastAsia="宋体" w:cs="微软雅黑"/>
          <w:sz w:val="21"/>
          <w:szCs w:val="21"/>
          <w:highlight w:val="none"/>
          <w:shd w:val="clear" w:color="auto" w:fill="FFFFFF"/>
        </w:rPr>
        <w:t>本公司（单位）对上述声明内容的真实性负责。如有虚假，愿承担相应法律责任。</w:t>
      </w:r>
    </w:p>
    <w:p w14:paraId="32349F35">
      <w:pPr>
        <w:pStyle w:val="139"/>
        <w:shd w:val="clear" w:color="auto" w:fill="FFFFFF"/>
        <w:spacing w:before="24" w:beforeAutospacing="0" w:after="24" w:afterAutospacing="0" w:line="360" w:lineRule="auto"/>
        <w:jc w:val="right"/>
        <w:rPr>
          <w:rFonts w:hint="eastAsia" w:ascii="宋体" w:hAnsi="宋体" w:eastAsia="宋体"/>
          <w:sz w:val="21"/>
          <w:szCs w:val="21"/>
          <w:highlight w:val="none"/>
        </w:rPr>
      </w:pPr>
      <w:r>
        <w:rPr>
          <w:rFonts w:hint="eastAsia" w:ascii="宋体" w:hAnsi="宋体" w:eastAsia="宋体" w:cs="微软雅黑"/>
          <w:sz w:val="21"/>
          <w:szCs w:val="21"/>
          <w:highlight w:val="none"/>
          <w:shd w:val="clear" w:color="auto" w:fill="FFFFFF"/>
        </w:rPr>
        <w:t>公司（单位）名称（盖章）：　</w:t>
      </w:r>
      <w:r>
        <w:rPr>
          <w:rFonts w:hint="eastAsia" w:ascii="宋体" w:hAnsi="宋体" w:eastAsia="宋体"/>
          <w:sz w:val="21"/>
          <w:szCs w:val="21"/>
          <w:highlight w:val="none"/>
          <w:shd w:val="clear" w:color="auto" w:fill="FFFFFF"/>
        </w:rPr>
        <w:t>        </w:t>
      </w:r>
    </w:p>
    <w:p w14:paraId="27CC77EA">
      <w:pPr>
        <w:pStyle w:val="139"/>
        <w:shd w:val="clear" w:color="auto" w:fill="FFFFFF"/>
        <w:spacing w:before="24" w:beforeAutospacing="0" w:after="24" w:afterAutospacing="0" w:line="360" w:lineRule="auto"/>
        <w:jc w:val="right"/>
        <w:rPr>
          <w:rFonts w:hint="eastAsia" w:ascii="宋体" w:hAnsi="宋体" w:eastAsia="宋体"/>
          <w:sz w:val="21"/>
          <w:szCs w:val="21"/>
          <w:highlight w:val="none"/>
        </w:rPr>
      </w:pPr>
      <w:r>
        <w:rPr>
          <w:rFonts w:hint="eastAsia" w:ascii="宋体" w:hAnsi="宋体" w:eastAsia="宋体" w:cs="微软雅黑"/>
          <w:sz w:val="21"/>
          <w:szCs w:val="21"/>
          <w:highlight w:val="none"/>
          <w:shd w:val="clear" w:color="auto" w:fill="FFFFFF"/>
        </w:rPr>
        <w:t>日期：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年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月　</w:t>
      </w:r>
      <w:r>
        <w:rPr>
          <w:rFonts w:hint="eastAsia" w:ascii="宋体" w:hAnsi="宋体" w:eastAsia="宋体"/>
          <w:sz w:val="21"/>
          <w:szCs w:val="21"/>
          <w:highlight w:val="none"/>
          <w:shd w:val="clear" w:color="auto" w:fill="FFFFFF"/>
        </w:rPr>
        <w:t>  </w:t>
      </w:r>
      <w:r>
        <w:rPr>
          <w:rFonts w:hint="eastAsia" w:ascii="宋体" w:hAnsi="宋体" w:eastAsia="宋体" w:cs="微软雅黑"/>
          <w:sz w:val="21"/>
          <w:szCs w:val="21"/>
          <w:highlight w:val="none"/>
          <w:shd w:val="clear" w:color="auto" w:fill="FFFFFF"/>
        </w:rPr>
        <w:t>日</w:t>
      </w:r>
      <w:r>
        <w:rPr>
          <w:rFonts w:hint="eastAsia" w:ascii="宋体" w:hAnsi="宋体" w:eastAsia="宋体"/>
          <w:sz w:val="21"/>
          <w:szCs w:val="21"/>
          <w:highlight w:val="none"/>
          <w:shd w:val="clear" w:color="auto" w:fill="FFFFFF"/>
        </w:rPr>
        <w:t>         </w:t>
      </w:r>
    </w:p>
    <w:p w14:paraId="6A2126AB">
      <w:pPr>
        <w:pStyle w:val="139"/>
        <w:shd w:val="clear" w:color="auto" w:fill="FFFFFF"/>
        <w:spacing w:before="24" w:beforeAutospacing="0" w:after="24" w:afterAutospacing="0" w:line="360" w:lineRule="auto"/>
        <w:rPr>
          <w:rFonts w:hint="eastAsia" w:ascii="宋体" w:hAnsi="宋体" w:eastAsia="宋体"/>
          <w:sz w:val="21"/>
          <w:szCs w:val="21"/>
          <w:highlight w:val="none"/>
        </w:rPr>
      </w:pPr>
      <w:r>
        <w:rPr>
          <w:rFonts w:hint="eastAsia" w:ascii="宋体" w:hAnsi="宋体" w:eastAsia="宋体"/>
          <w:sz w:val="21"/>
          <w:szCs w:val="21"/>
          <w:highlight w:val="none"/>
          <w:shd w:val="clear" w:color="auto" w:fill="FFFFFF"/>
        </w:rPr>
        <w:t>__________________</w:t>
      </w:r>
    </w:p>
    <w:p w14:paraId="14D56616">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shd w:val="clear" w:color="auto" w:fill="FFFFFF"/>
        </w:rPr>
        <w:t>1.</w:t>
      </w:r>
      <w:r>
        <w:rPr>
          <w:rFonts w:hint="eastAsia" w:ascii="宋体" w:hAnsi="宋体" w:eastAsia="宋体" w:cs="微软雅黑"/>
          <w:sz w:val="21"/>
          <w:szCs w:val="21"/>
          <w:highlight w:val="none"/>
          <w:shd w:val="clear" w:color="auto" w:fill="FFFFFF"/>
        </w:rPr>
        <w:t>产品如有型号，请在</w:t>
      </w:r>
      <w:r>
        <w:rPr>
          <w:rFonts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产品名称</w:t>
      </w:r>
      <w:r>
        <w:rPr>
          <w:rFonts w:ascii="宋体" w:hAnsi="宋体" w:eastAsia="宋体"/>
          <w:sz w:val="21"/>
          <w:szCs w:val="21"/>
          <w:highlight w:val="none"/>
          <w:shd w:val="clear" w:color="auto" w:fill="FFFFFF"/>
        </w:rPr>
        <w:t>”</w:t>
      </w:r>
      <w:r>
        <w:rPr>
          <w:rFonts w:hint="eastAsia" w:ascii="宋体" w:hAnsi="宋体" w:eastAsia="宋体" w:cs="微软雅黑"/>
          <w:sz w:val="21"/>
          <w:szCs w:val="21"/>
          <w:highlight w:val="none"/>
          <w:shd w:val="clear" w:color="auto" w:fill="FFFFFF"/>
        </w:rPr>
        <w:t>栏一并填写。</w:t>
      </w:r>
    </w:p>
    <w:p w14:paraId="59BA060C">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shd w:val="clear" w:color="auto" w:fill="FFFFFF"/>
        </w:rPr>
        <w:t>2.</w:t>
      </w:r>
      <w:r>
        <w:rPr>
          <w:rFonts w:hint="eastAsia" w:ascii="宋体" w:hAnsi="宋体" w:eastAsia="宋体" w:cs="微软雅黑"/>
          <w:sz w:val="21"/>
          <w:szCs w:val="21"/>
          <w:highlight w:val="none"/>
          <w:shd w:val="clear" w:color="auto" w:fill="FFFFFF"/>
        </w:rPr>
        <w:t>生产厂名与厂址应与生产厂营业执照载明的相关信息保持一致。</w:t>
      </w:r>
    </w:p>
    <w:p w14:paraId="5086F311">
      <w:pPr>
        <w:pStyle w:val="139"/>
        <w:shd w:val="clear" w:color="auto" w:fill="FFFFFF"/>
        <w:spacing w:before="24" w:beforeAutospacing="0" w:after="24" w:afterAutospacing="0" w:line="360" w:lineRule="auto"/>
        <w:ind w:firstLine="420"/>
        <w:rPr>
          <w:rFonts w:hint="eastAsia" w:ascii="宋体" w:hAnsi="宋体" w:eastAsia="宋体"/>
          <w:b/>
          <w:bCs/>
          <w:sz w:val="21"/>
          <w:szCs w:val="21"/>
          <w:highlight w:val="none"/>
        </w:rPr>
      </w:pPr>
      <w:r>
        <w:rPr>
          <w:rFonts w:hint="eastAsia" w:ascii="宋体" w:hAnsi="宋体" w:eastAsia="宋体"/>
          <w:b/>
          <w:bCs/>
          <w:sz w:val="21"/>
          <w:szCs w:val="21"/>
          <w:highlight w:val="none"/>
          <w:shd w:val="clear" w:color="auto" w:fill="FFFFFF"/>
        </w:rPr>
        <w:t>3.</w:t>
      </w:r>
      <w:r>
        <w:rPr>
          <w:rFonts w:hint="eastAsia" w:ascii="宋体" w:hAnsi="宋体" w:eastAsia="宋体" w:cs="微软雅黑"/>
          <w:b/>
          <w:bCs/>
          <w:sz w:val="21"/>
          <w:szCs w:val="21"/>
          <w:highlight w:val="none"/>
          <w:shd w:val="clear" w:color="auto" w:fill="FFFFFF"/>
        </w:rPr>
        <w:t>该产品的中国境内生产的组件成本占比相关要求实施前，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规定比例</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6427C4EA">
      <w:pPr>
        <w:pStyle w:val="139"/>
        <w:shd w:val="clear" w:color="auto" w:fill="FFFFFF"/>
        <w:spacing w:before="24" w:beforeAutospacing="0" w:after="24" w:afterAutospacing="0" w:line="360" w:lineRule="auto"/>
        <w:ind w:firstLine="420"/>
        <w:rPr>
          <w:rFonts w:hint="eastAsia"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4.</w:t>
      </w:r>
      <w:r>
        <w:rPr>
          <w:rFonts w:hint="eastAsia" w:ascii="宋体" w:hAnsi="宋体" w:eastAsia="宋体" w:cs="微软雅黑"/>
          <w:b/>
          <w:bCs/>
          <w:sz w:val="21"/>
          <w:szCs w:val="21"/>
          <w:highlight w:val="none"/>
          <w:shd w:val="clear" w:color="auto" w:fill="FFFFFF"/>
        </w:rPr>
        <w:t>该产品的关键组件要求实施前，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关键组件</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64BA3ADE">
      <w:pPr>
        <w:pStyle w:val="139"/>
        <w:shd w:val="clear" w:color="auto" w:fill="FFFFFF"/>
        <w:spacing w:before="24" w:beforeAutospacing="0" w:after="24" w:afterAutospacing="0" w:line="360" w:lineRule="auto"/>
        <w:ind w:firstLine="420"/>
        <w:rPr>
          <w:rFonts w:hint="eastAsia" w:ascii="宋体" w:hAnsi="宋体" w:eastAsia="宋体"/>
          <w:b/>
          <w:bCs/>
          <w:sz w:val="21"/>
          <w:szCs w:val="21"/>
          <w:highlight w:val="none"/>
          <w:shd w:val="clear" w:color="auto" w:fill="FFFFFF"/>
        </w:rPr>
      </w:pPr>
      <w:r>
        <w:rPr>
          <w:rFonts w:hint="eastAsia" w:ascii="宋体" w:hAnsi="宋体" w:eastAsia="宋体"/>
          <w:b/>
          <w:bCs/>
          <w:sz w:val="21"/>
          <w:szCs w:val="21"/>
          <w:highlight w:val="none"/>
          <w:shd w:val="clear" w:color="auto" w:fill="FFFFFF"/>
        </w:rPr>
        <w:t>5.</w:t>
      </w:r>
      <w:r>
        <w:rPr>
          <w:rFonts w:hint="eastAsia" w:ascii="宋体" w:hAnsi="宋体" w:eastAsia="宋体" w:cs="微软雅黑"/>
          <w:b/>
          <w:bCs/>
          <w:sz w:val="21"/>
          <w:szCs w:val="21"/>
          <w:highlight w:val="none"/>
          <w:shd w:val="clear" w:color="auto" w:fill="FFFFFF"/>
        </w:rPr>
        <w:t>该产品的关键工序要求实施前，</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关键工序</w:t>
      </w:r>
      <w:r>
        <w:rPr>
          <w:rFonts w:ascii="宋体" w:hAnsi="宋体" w:eastAsia="宋体"/>
          <w:b/>
          <w:bCs/>
          <w:sz w:val="21"/>
          <w:szCs w:val="21"/>
          <w:highlight w:val="none"/>
          <w:shd w:val="clear" w:color="auto" w:fill="FFFFFF"/>
        </w:rPr>
        <w:t>”</w:t>
      </w:r>
      <w:r>
        <w:rPr>
          <w:rFonts w:hint="eastAsia" w:ascii="宋体" w:hAnsi="宋体" w:eastAsia="宋体" w:cs="微软雅黑"/>
          <w:b/>
          <w:bCs/>
          <w:sz w:val="21"/>
          <w:szCs w:val="21"/>
          <w:highlight w:val="none"/>
          <w:shd w:val="clear" w:color="auto" w:fill="FFFFFF"/>
        </w:rPr>
        <w:t>栏可不填。</w:t>
      </w:r>
    </w:p>
    <w:p w14:paraId="57714C23">
      <w:pPr>
        <w:pStyle w:val="139"/>
        <w:shd w:val="clear" w:color="auto" w:fill="FFFFFF"/>
        <w:spacing w:before="24" w:beforeAutospacing="0" w:after="24" w:afterAutospacing="0" w:line="360" w:lineRule="auto"/>
        <w:ind w:firstLine="420"/>
        <w:rPr>
          <w:rFonts w:hint="eastAsia" w:ascii="宋体" w:hAnsi="宋体" w:eastAsia="宋体"/>
          <w:sz w:val="21"/>
          <w:szCs w:val="21"/>
          <w:highlight w:val="none"/>
        </w:rPr>
      </w:pPr>
      <w:r>
        <w:rPr>
          <w:rFonts w:hint="eastAsia" w:ascii="宋体" w:hAnsi="宋体" w:eastAsia="宋体"/>
          <w:sz w:val="21"/>
          <w:szCs w:val="21"/>
          <w:highlight w:val="none"/>
          <w:shd w:val="clear" w:color="auto" w:fill="FFFFFF"/>
        </w:rPr>
        <w:t>6.</w:t>
      </w:r>
      <w:r>
        <w:rPr>
          <w:rFonts w:hint="eastAsia" w:ascii="宋体" w:hAnsi="宋体" w:eastAsia="宋体" w:cs="微软雅黑"/>
          <w:sz w:val="21"/>
          <w:szCs w:val="21"/>
          <w:highlight w:val="none"/>
          <w:shd w:val="clear" w:color="auto" w:fill="FFFFFF"/>
        </w:rPr>
        <w:t>当采购项目或者采购包中含有多种产品，投标人为该采购项目或者采购包提供的符合本国产品标准的产品成本之和占该投标人提供的全部产品成本之和的比例达到</w:t>
      </w:r>
      <w:r>
        <w:rPr>
          <w:rFonts w:hint="eastAsia" w:ascii="宋体" w:hAnsi="宋体" w:eastAsia="宋体"/>
          <w:sz w:val="21"/>
          <w:szCs w:val="21"/>
          <w:highlight w:val="none"/>
          <w:shd w:val="clear" w:color="auto" w:fill="FFFFFF"/>
        </w:rPr>
        <w:t>80%</w:t>
      </w:r>
      <w:r>
        <w:rPr>
          <w:rFonts w:hint="eastAsia" w:ascii="宋体" w:hAnsi="宋体" w:eastAsia="宋体" w:cs="微软雅黑"/>
          <w:sz w:val="21"/>
          <w:szCs w:val="21"/>
          <w:highlight w:val="none"/>
          <w:shd w:val="clear" w:color="auto" w:fill="FFFFFF"/>
        </w:rPr>
        <w:t>以上时（投标人需在《声明函》中填写比例数值），依法对该投标人提供的全部产品给予价格评审优惠，即对该投标人提供的全部产品的总报价给予</w:t>
      </w:r>
      <w:r>
        <w:rPr>
          <w:rFonts w:hint="eastAsia" w:ascii="宋体" w:hAnsi="宋体" w:eastAsia="宋体"/>
          <w:sz w:val="21"/>
          <w:szCs w:val="21"/>
          <w:highlight w:val="none"/>
          <w:shd w:val="clear" w:color="auto" w:fill="FFFFFF"/>
        </w:rPr>
        <w:t>20%</w:t>
      </w:r>
      <w:r>
        <w:rPr>
          <w:rFonts w:hint="eastAsia" w:ascii="宋体" w:hAnsi="宋体" w:eastAsia="宋体" w:cs="微软雅黑"/>
          <w:sz w:val="21"/>
          <w:szCs w:val="21"/>
          <w:highlight w:val="none"/>
          <w:shd w:val="clear" w:color="auto" w:fill="FFFFFF"/>
        </w:rPr>
        <w:t>的价格扣除，用扣除后的价格参与评审。投标人未填写比例数值，或比例数值未达到</w:t>
      </w:r>
      <w:r>
        <w:rPr>
          <w:rFonts w:hint="eastAsia" w:ascii="宋体" w:hAnsi="宋体" w:eastAsia="宋体"/>
          <w:sz w:val="21"/>
          <w:szCs w:val="21"/>
          <w:highlight w:val="none"/>
          <w:shd w:val="clear" w:color="auto" w:fill="FFFFFF"/>
        </w:rPr>
        <w:t>80%</w:t>
      </w:r>
      <w:r>
        <w:rPr>
          <w:rFonts w:hint="eastAsia" w:ascii="宋体" w:hAnsi="宋体" w:eastAsia="宋体" w:cs="微软雅黑"/>
          <w:sz w:val="21"/>
          <w:szCs w:val="21"/>
          <w:highlight w:val="none"/>
          <w:shd w:val="clear" w:color="auto" w:fill="FFFFFF"/>
        </w:rPr>
        <w:t>的，将不享受本国产品价格评审优惠。</w:t>
      </w:r>
    </w:p>
    <w:p w14:paraId="3082AD5D">
      <w:pPr>
        <w:pStyle w:val="150"/>
        <w:rPr>
          <w:sz w:val="21"/>
          <w:szCs w:val="21"/>
          <w:highlight w:val="none"/>
          <w:lang w:eastAsia="zh-CN"/>
        </w:rPr>
      </w:pPr>
    </w:p>
    <w:sectPr>
      <w:endnotePr>
        <w:numFmt w:val="decimal"/>
      </w:endnotePr>
      <w:pgSz w:w="11906" w:h="16838"/>
      <w:pgMar w:top="1440" w:right="1800" w:bottom="1440" w:left="1800" w:header="567" w:footer="720" w:gutter="0"/>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HYDaHeiJ">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3000509000000000000"/>
    <w:charset w:val="86"/>
    <w:family w:val="script"/>
    <w:pitch w:val="default"/>
    <w:sig w:usb0="00000000" w:usb1="00000000" w:usb2="00000000" w:usb3="00000000" w:csb0="00040000" w:csb1="00000000"/>
  </w:font>
  <w:font w:name="Georgia">
    <w:panose1 w:val="02040502050405020303"/>
    <w:charset w:val="00"/>
    <w:family w:val="auto"/>
    <w:pitch w:val="default"/>
    <w:sig w:usb0="00000287" w:usb1="00000000" w:usb2="00000000" w:usb3="00000000" w:csb0="2000009F" w:csb1="00000000"/>
  </w:font>
  <w:font w:name="??">
    <w:altName w:val="DejaVu Math TeX Gyre"/>
    <w:panose1 w:val="00000000000000000000"/>
    <w:charset w:val="00"/>
    <w:family w:val="auto"/>
    <w:pitch w:val="default"/>
    <w:sig w:usb0="00000000" w:usb1="00000000" w:usb2="00000000" w:usb3="00000000" w:csb0="00000000" w:csb1="00000000"/>
  </w:font>
  <w:font w:name="方正大黑简体">
    <w:altName w:val="黑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Helvetica">
    <w:altName w:val="Arial"/>
    <w:panose1 w:val="020B0604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EFDE27">
    <w:pPr>
      <w:pStyle w:val="31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80D9F">
    <w:pPr>
      <w:pStyle w:val="31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6F2BAD">
                          <w:pPr>
                            <w:pStyle w:val="1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6F2BAD">
                    <w:pPr>
                      <w:pStyle w:val="1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661FB">
    <w:pPr>
      <w:pStyle w:val="318"/>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1BF143">
                          <w:pPr>
                            <w:pStyle w:val="1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51BF143">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983A00"/>
    <w:multiLevelType w:val="singleLevel"/>
    <w:tmpl w:val="86983A00"/>
    <w:lvl w:ilvl="0" w:tentative="0">
      <w:start w:val="7"/>
      <w:numFmt w:val="chineseCounting"/>
      <w:suff w:val="nothing"/>
      <w:lvlText w:val="（%1）"/>
      <w:lvlJc w:val="left"/>
      <w:rPr>
        <w:rFonts w:hint="eastAsia"/>
      </w:rPr>
    </w:lvl>
  </w:abstractNum>
  <w:abstractNum w:abstractNumId="1">
    <w:nsid w:val="946CC5F8"/>
    <w:multiLevelType w:val="singleLevel"/>
    <w:tmpl w:val="946CC5F8"/>
    <w:lvl w:ilvl="0" w:tentative="0">
      <w:start w:val="2"/>
      <w:numFmt w:val="decimal"/>
      <w:suff w:val="nothing"/>
      <w:lvlText w:val="%1、"/>
      <w:lvlJc w:val="left"/>
      <w:pPr>
        <w:ind w:left="630" w:firstLine="0"/>
      </w:pPr>
    </w:lvl>
  </w:abstractNum>
  <w:abstractNum w:abstractNumId="2">
    <w:nsid w:val="C5AE5EDC"/>
    <w:multiLevelType w:val="singleLevel"/>
    <w:tmpl w:val="C5AE5EDC"/>
    <w:lvl w:ilvl="0" w:tentative="0">
      <w:start w:val="2"/>
      <w:numFmt w:val="decimal"/>
      <w:suff w:val="space"/>
      <w:lvlText w:val="%1."/>
      <w:lvlJc w:val="left"/>
    </w:lvl>
  </w:abstractNum>
  <w:abstractNum w:abstractNumId="3">
    <w:nsid w:val="CF092B84"/>
    <w:multiLevelType w:val="multilevel"/>
    <w:tmpl w:val="CF092B84"/>
    <w:lvl w:ilvl="0" w:tentative="0">
      <w:start w:val="1"/>
      <w:numFmt w:val="japaneseCounting"/>
      <w:lvlText w:val="%1、"/>
      <w:lvlJc w:val="left"/>
      <w:pPr>
        <w:tabs>
          <w:tab w:val="left" w:pos="1145"/>
        </w:tabs>
        <w:ind w:left="0" w:firstLine="425"/>
      </w:pPr>
      <w:rPr>
        <w:rFonts w:hint="eastAsia"/>
      </w:rPr>
    </w:lvl>
    <w:lvl w:ilvl="1" w:tentative="0">
      <w:start w:val="1"/>
      <w:numFmt w:val="lowerLetter"/>
      <w:lvlText w:val="%2)"/>
      <w:lvlJc w:val="left"/>
      <w:pPr>
        <w:tabs>
          <w:tab w:val="left" w:pos="1265"/>
        </w:tabs>
        <w:ind w:left="1265" w:hanging="420"/>
      </w:pPr>
      <w:rPr>
        <w:rFonts w:hint="eastAsia"/>
      </w:rPr>
    </w:lvl>
    <w:lvl w:ilvl="2" w:tentative="0">
      <w:start w:val="1"/>
      <w:numFmt w:val="lowerRoman"/>
      <w:lvlText w:val="%3."/>
      <w:lvlJc w:val="right"/>
      <w:pPr>
        <w:tabs>
          <w:tab w:val="left" w:pos="1685"/>
        </w:tabs>
        <w:ind w:left="1685" w:hanging="420"/>
      </w:pPr>
      <w:rPr>
        <w:rFonts w:hint="eastAsia"/>
      </w:rPr>
    </w:lvl>
    <w:lvl w:ilvl="3" w:tentative="0">
      <w:start w:val="1"/>
      <w:numFmt w:val="decimal"/>
      <w:lvlText w:val="%4."/>
      <w:lvlJc w:val="left"/>
      <w:pPr>
        <w:tabs>
          <w:tab w:val="left" w:pos="2105"/>
        </w:tabs>
        <w:ind w:left="2105" w:hanging="420"/>
      </w:pPr>
      <w:rPr>
        <w:rFonts w:hint="eastAsia"/>
      </w:rPr>
    </w:lvl>
    <w:lvl w:ilvl="4" w:tentative="0">
      <w:start w:val="1"/>
      <w:numFmt w:val="lowerLetter"/>
      <w:lvlText w:val="%5)"/>
      <w:lvlJc w:val="left"/>
      <w:pPr>
        <w:tabs>
          <w:tab w:val="left" w:pos="2525"/>
        </w:tabs>
        <w:ind w:left="2525" w:hanging="420"/>
      </w:pPr>
      <w:rPr>
        <w:rFonts w:hint="eastAsia"/>
      </w:rPr>
    </w:lvl>
    <w:lvl w:ilvl="5" w:tentative="0">
      <w:start w:val="1"/>
      <w:numFmt w:val="lowerRoman"/>
      <w:lvlText w:val="%6."/>
      <w:lvlJc w:val="right"/>
      <w:pPr>
        <w:tabs>
          <w:tab w:val="left" w:pos="2945"/>
        </w:tabs>
        <w:ind w:left="2945" w:hanging="420"/>
      </w:pPr>
      <w:rPr>
        <w:rFonts w:hint="eastAsia"/>
      </w:rPr>
    </w:lvl>
    <w:lvl w:ilvl="6" w:tentative="0">
      <w:start w:val="1"/>
      <w:numFmt w:val="decimal"/>
      <w:lvlText w:val="%7."/>
      <w:lvlJc w:val="left"/>
      <w:pPr>
        <w:tabs>
          <w:tab w:val="left" w:pos="3365"/>
        </w:tabs>
        <w:ind w:left="3365" w:hanging="420"/>
      </w:pPr>
      <w:rPr>
        <w:rFonts w:hint="eastAsia"/>
      </w:rPr>
    </w:lvl>
    <w:lvl w:ilvl="7" w:tentative="0">
      <w:start w:val="1"/>
      <w:numFmt w:val="lowerLetter"/>
      <w:lvlText w:val="%8)"/>
      <w:lvlJc w:val="left"/>
      <w:pPr>
        <w:tabs>
          <w:tab w:val="left" w:pos="3785"/>
        </w:tabs>
        <w:ind w:left="3785" w:hanging="420"/>
      </w:pPr>
      <w:rPr>
        <w:rFonts w:hint="eastAsia"/>
      </w:rPr>
    </w:lvl>
    <w:lvl w:ilvl="8" w:tentative="0">
      <w:start w:val="1"/>
      <w:numFmt w:val="lowerRoman"/>
      <w:lvlText w:val="%9."/>
      <w:lvlJc w:val="right"/>
      <w:pPr>
        <w:tabs>
          <w:tab w:val="left" w:pos="4205"/>
        </w:tabs>
        <w:ind w:left="4205" w:hanging="420"/>
      </w:pPr>
      <w:rPr>
        <w:rFonts w:hint="eastAsia"/>
      </w:rPr>
    </w:lvl>
  </w:abstractNum>
  <w:abstractNum w:abstractNumId="4">
    <w:nsid w:val="D7822261"/>
    <w:multiLevelType w:val="singleLevel"/>
    <w:tmpl w:val="D7822261"/>
    <w:lvl w:ilvl="0" w:tentative="0">
      <w:start w:val="8"/>
      <w:numFmt w:val="chineseCounting"/>
      <w:suff w:val="nothing"/>
      <w:lvlText w:val="%1、"/>
      <w:lvlJc w:val="left"/>
      <w:rPr>
        <w:rFonts w:hint="eastAsia"/>
      </w:rPr>
    </w:lvl>
  </w:abstractNum>
  <w:abstractNum w:abstractNumId="5">
    <w:nsid w:val="421B0283"/>
    <w:multiLevelType w:val="singleLevel"/>
    <w:tmpl w:val="421B0283"/>
    <w:lvl w:ilvl="0" w:tentative="0">
      <w:start w:val="1"/>
      <w:numFmt w:val="decimal"/>
      <w:suff w:val="space"/>
      <w:lvlText w:val="%1."/>
      <w:lvlJc w:val="left"/>
    </w:lvl>
  </w:abstractNum>
  <w:abstractNum w:abstractNumId="6">
    <w:nsid w:val="707330B8"/>
    <w:multiLevelType w:val="singleLevel"/>
    <w:tmpl w:val="707330B8"/>
    <w:lvl w:ilvl="0" w:tentative="0">
      <w:start w:val="2"/>
      <w:numFmt w:val="decimal"/>
      <w:suff w:val="space"/>
      <w:lvlText w:val="%1."/>
      <w:lvlJc w:val="left"/>
    </w:lvl>
  </w:abstractNum>
  <w:num w:numId="1">
    <w:abstractNumId w:val="0"/>
  </w:num>
  <w:num w:numId="2">
    <w:abstractNumId w:val="5"/>
  </w:num>
  <w:num w:numId="3">
    <w:abstractNumId w:val="2"/>
  </w:num>
  <w:num w:numId="4">
    <w:abstractNumId w:val="6"/>
  </w:num>
  <w:num w:numId="5">
    <w:abstractNumId w:val="4"/>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E40"/>
    <w:rsid w:val="000B7E40"/>
    <w:rsid w:val="00970306"/>
    <w:rsid w:val="00BF173E"/>
    <w:rsid w:val="00C97CAA"/>
    <w:rsid w:val="00D30232"/>
    <w:rsid w:val="00E02B9E"/>
    <w:rsid w:val="00E442EE"/>
    <w:rsid w:val="00FE48D8"/>
    <w:rsid w:val="0634772A"/>
    <w:rsid w:val="09502F56"/>
    <w:rsid w:val="0AEA2F37"/>
    <w:rsid w:val="0BB53545"/>
    <w:rsid w:val="0BEC2A58"/>
    <w:rsid w:val="0C721436"/>
    <w:rsid w:val="0CE05968"/>
    <w:rsid w:val="0DD423A8"/>
    <w:rsid w:val="0DEF71E2"/>
    <w:rsid w:val="101F233F"/>
    <w:rsid w:val="11624912"/>
    <w:rsid w:val="12547067"/>
    <w:rsid w:val="127E686F"/>
    <w:rsid w:val="16E91354"/>
    <w:rsid w:val="17CE60BA"/>
    <w:rsid w:val="18CC78B4"/>
    <w:rsid w:val="1AF97EC5"/>
    <w:rsid w:val="1B6F54BE"/>
    <w:rsid w:val="1D3A3784"/>
    <w:rsid w:val="1E1660C5"/>
    <w:rsid w:val="1F5350F7"/>
    <w:rsid w:val="200603BB"/>
    <w:rsid w:val="20A85B4F"/>
    <w:rsid w:val="23B02A00"/>
    <w:rsid w:val="252C2672"/>
    <w:rsid w:val="26325A66"/>
    <w:rsid w:val="2661459D"/>
    <w:rsid w:val="26B472C0"/>
    <w:rsid w:val="287E7EE5"/>
    <w:rsid w:val="28A11597"/>
    <w:rsid w:val="28D948BF"/>
    <w:rsid w:val="29FE0213"/>
    <w:rsid w:val="2A641031"/>
    <w:rsid w:val="2B911481"/>
    <w:rsid w:val="2D0068BE"/>
    <w:rsid w:val="2E682B77"/>
    <w:rsid w:val="2E817A04"/>
    <w:rsid w:val="31CF685F"/>
    <w:rsid w:val="33663335"/>
    <w:rsid w:val="33A1668A"/>
    <w:rsid w:val="33C5616B"/>
    <w:rsid w:val="361B0154"/>
    <w:rsid w:val="364C4922"/>
    <w:rsid w:val="367A461F"/>
    <w:rsid w:val="38B16CBE"/>
    <w:rsid w:val="39ED76E3"/>
    <w:rsid w:val="3A685AA2"/>
    <w:rsid w:val="3B2E0A9A"/>
    <w:rsid w:val="3B3D2A8B"/>
    <w:rsid w:val="3B5F0028"/>
    <w:rsid w:val="3BC06454"/>
    <w:rsid w:val="3BC55494"/>
    <w:rsid w:val="3C1E32AD"/>
    <w:rsid w:val="3CE53DCB"/>
    <w:rsid w:val="3DD113FF"/>
    <w:rsid w:val="3DDA26ED"/>
    <w:rsid w:val="3ECD4126"/>
    <w:rsid w:val="3F5C4B8A"/>
    <w:rsid w:val="403E497E"/>
    <w:rsid w:val="40CA3013"/>
    <w:rsid w:val="43E5451B"/>
    <w:rsid w:val="45725278"/>
    <w:rsid w:val="457A48DC"/>
    <w:rsid w:val="480768FB"/>
    <w:rsid w:val="495042D1"/>
    <w:rsid w:val="4A1C2A01"/>
    <w:rsid w:val="4AEA6060"/>
    <w:rsid w:val="4BFD33BC"/>
    <w:rsid w:val="4CB909D2"/>
    <w:rsid w:val="4D7A2A9D"/>
    <w:rsid w:val="4DBC3CE3"/>
    <w:rsid w:val="50011E81"/>
    <w:rsid w:val="51D96B05"/>
    <w:rsid w:val="53603363"/>
    <w:rsid w:val="54B971CF"/>
    <w:rsid w:val="56580F22"/>
    <w:rsid w:val="57374FC8"/>
    <w:rsid w:val="5822265C"/>
    <w:rsid w:val="5895585D"/>
    <w:rsid w:val="58A00679"/>
    <w:rsid w:val="59002719"/>
    <w:rsid w:val="59ED3488"/>
    <w:rsid w:val="5D494E68"/>
    <w:rsid w:val="606B7A98"/>
    <w:rsid w:val="6228689E"/>
    <w:rsid w:val="63B35731"/>
    <w:rsid w:val="65025AF4"/>
    <w:rsid w:val="664D7777"/>
    <w:rsid w:val="67A83792"/>
    <w:rsid w:val="67CE52BF"/>
    <w:rsid w:val="68376264"/>
    <w:rsid w:val="68FB763D"/>
    <w:rsid w:val="69D46EA2"/>
    <w:rsid w:val="6AA5190C"/>
    <w:rsid w:val="6B7A60D6"/>
    <w:rsid w:val="6C2D2AF3"/>
    <w:rsid w:val="6C865805"/>
    <w:rsid w:val="6DA8604A"/>
    <w:rsid w:val="6F3E2352"/>
    <w:rsid w:val="7122761F"/>
    <w:rsid w:val="71AF37D3"/>
    <w:rsid w:val="77223808"/>
    <w:rsid w:val="78B2790D"/>
    <w:rsid w:val="7973709D"/>
    <w:rsid w:val="7BE723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7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7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7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7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7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7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7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7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79"/>
    <w:unhideWhenUsed/>
    <w:qFormat/>
    <w:uiPriority w:val="9"/>
    <w:pPr>
      <w:keepNext/>
      <w:keepLines/>
      <w:spacing w:before="320" w:after="200"/>
      <w:outlineLvl w:val="8"/>
    </w:pPr>
    <w:rPr>
      <w:rFonts w:ascii="Arial" w:hAnsi="Arial" w:eastAsia="Arial" w:cs="Arial"/>
      <w:i/>
      <w:iCs/>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annotation text"/>
    <w:basedOn w:val="1"/>
    <w:semiHidden/>
    <w:unhideWhenUsed/>
    <w:qFormat/>
    <w:uiPriority w:val="99"/>
    <w:pPr>
      <w:jc w:val="left"/>
    </w:pPr>
  </w:style>
  <w:style w:type="paragraph" w:styleId="14">
    <w:name w:val="toc 5"/>
    <w:basedOn w:val="1"/>
    <w:next w:val="1"/>
    <w:unhideWhenUsed/>
    <w:qFormat/>
    <w:uiPriority w:val="39"/>
    <w:pPr>
      <w:spacing w:after="57"/>
      <w:ind w:left="1134"/>
    </w:pPr>
  </w:style>
  <w:style w:type="paragraph" w:styleId="15">
    <w:name w:val="toc 3"/>
    <w:basedOn w:val="1"/>
    <w:next w:val="1"/>
    <w:unhideWhenUsed/>
    <w:qFormat/>
    <w:uiPriority w:val="39"/>
    <w:pPr>
      <w:spacing w:after="57"/>
      <w:ind w:left="567"/>
    </w:pPr>
  </w:style>
  <w:style w:type="paragraph" w:styleId="16">
    <w:name w:val="toc 8"/>
    <w:basedOn w:val="1"/>
    <w:next w:val="1"/>
    <w:unhideWhenUsed/>
    <w:qFormat/>
    <w:uiPriority w:val="39"/>
    <w:pPr>
      <w:spacing w:after="57"/>
      <w:ind w:left="1984"/>
    </w:pPr>
  </w:style>
  <w:style w:type="paragraph" w:styleId="17">
    <w:name w:val="endnote text"/>
    <w:basedOn w:val="1"/>
    <w:link w:val="89"/>
    <w:semiHidden/>
    <w:unhideWhenUsed/>
    <w:qFormat/>
    <w:uiPriority w:val="99"/>
    <w:rPr>
      <w:sz w:val="20"/>
    </w:rPr>
  </w:style>
  <w:style w:type="paragraph" w:styleId="18">
    <w:name w:val="footer"/>
    <w:basedOn w:val="1"/>
    <w:link w:val="87"/>
    <w:unhideWhenUsed/>
    <w:qFormat/>
    <w:uiPriority w:val="99"/>
    <w:pPr>
      <w:tabs>
        <w:tab w:val="center" w:pos="7143"/>
        <w:tab w:val="right" w:pos="14287"/>
      </w:tabs>
    </w:pPr>
  </w:style>
  <w:style w:type="paragraph" w:styleId="19">
    <w:name w:val="header"/>
    <w:basedOn w:val="1"/>
    <w:link w:val="86"/>
    <w:unhideWhenUsed/>
    <w:qFormat/>
    <w:uiPriority w:val="99"/>
    <w:pPr>
      <w:tabs>
        <w:tab w:val="center" w:pos="7143"/>
        <w:tab w:val="right" w:pos="14287"/>
      </w:tabs>
    </w:pPr>
  </w:style>
  <w:style w:type="paragraph" w:styleId="20">
    <w:name w:val="toc 1"/>
    <w:basedOn w:val="1"/>
    <w:next w:val="1"/>
    <w:unhideWhenUsed/>
    <w:qFormat/>
    <w:uiPriority w:val="39"/>
    <w:pPr>
      <w:spacing w:after="57"/>
    </w:pPr>
  </w:style>
  <w:style w:type="paragraph" w:styleId="21">
    <w:name w:val="toc 4"/>
    <w:basedOn w:val="1"/>
    <w:next w:val="1"/>
    <w:unhideWhenUsed/>
    <w:qFormat/>
    <w:uiPriority w:val="39"/>
    <w:pPr>
      <w:spacing w:after="57"/>
      <w:ind w:left="850"/>
    </w:pPr>
  </w:style>
  <w:style w:type="paragraph" w:styleId="22">
    <w:name w:val="Subtitle"/>
    <w:basedOn w:val="1"/>
    <w:next w:val="1"/>
    <w:link w:val="83"/>
    <w:qFormat/>
    <w:uiPriority w:val="11"/>
    <w:pPr>
      <w:spacing w:before="200" w:after="200"/>
    </w:pPr>
    <w:rPr>
      <w:sz w:val="24"/>
    </w:rPr>
  </w:style>
  <w:style w:type="paragraph" w:styleId="23">
    <w:name w:val="footnote text"/>
    <w:basedOn w:val="1"/>
    <w:link w:val="88"/>
    <w:semiHidden/>
    <w:unhideWhenUsed/>
    <w:qFormat/>
    <w:uiPriority w:val="99"/>
    <w:pPr>
      <w:spacing w:after="40"/>
    </w:pPr>
    <w:rPr>
      <w:sz w:val="18"/>
    </w:rPr>
  </w:style>
  <w:style w:type="paragraph" w:styleId="24">
    <w:name w:val="toc 6"/>
    <w:basedOn w:val="1"/>
    <w:next w:val="1"/>
    <w:unhideWhenUsed/>
    <w:qFormat/>
    <w:uiPriority w:val="39"/>
    <w:pPr>
      <w:spacing w:after="57"/>
      <w:ind w:left="1417"/>
    </w:pPr>
  </w:style>
  <w:style w:type="paragraph" w:styleId="25">
    <w:name w:val="table of figures"/>
    <w:basedOn w:val="1"/>
    <w:next w:val="1"/>
    <w:unhideWhenUsed/>
    <w:qFormat/>
    <w:uiPriority w:val="99"/>
  </w:style>
  <w:style w:type="paragraph" w:styleId="26">
    <w:name w:val="toc 2"/>
    <w:basedOn w:val="1"/>
    <w:next w:val="1"/>
    <w:unhideWhenUsed/>
    <w:qFormat/>
    <w:uiPriority w:val="39"/>
    <w:pPr>
      <w:spacing w:after="57"/>
      <w:ind w:left="283"/>
    </w:pPr>
  </w:style>
  <w:style w:type="paragraph" w:styleId="27">
    <w:name w:val="toc 9"/>
    <w:basedOn w:val="1"/>
    <w:next w:val="1"/>
    <w:unhideWhenUsed/>
    <w:qFormat/>
    <w:uiPriority w:val="39"/>
    <w:pPr>
      <w:spacing w:after="57"/>
      <w:ind w:left="2268"/>
    </w:pPr>
  </w:style>
  <w:style w:type="paragraph" w:styleId="28">
    <w:name w:val="Normal (Web)"/>
    <w:basedOn w:val="1"/>
    <w:semiHidden/>
    <w:unhideWhenUsed/>
    <w:qFormat/>
    <w:uiPriority w:val="99"/>
    <w:pPr>
      <w:spacing w:beforeAutospacing="1" w:afterAutospacing="1"/>
      <w:jc w:val="left"/>
    </w:pPr>
    <w:rPr>
      <w:sz w:val="24"/>
    </w:rPr>
  </w:style>
  <w:style w:type="paragraph" w:styleId="29">
    <w:name w:val="Title"/>
    <w:basedOn w:val="1"/>
    <w:next w:val="1"/>
    <w:link w:val="82"/>
    <w:qFormat/>
    <w:uiPriority w:val="10"/>
    <w:pPr>
      <w:spacing w:before="300" w:after="200"/>
      <w:contextualSpacing/>
    </w:pPr>
    <w:rPr>
      <w:sz w:val="48"/>
      <w:szCs w:val="48"/>
    </w:rPr>
  </w:style>
  <w:style w:type="table" w:styleId="3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1 Char"/>
    <w:basedOn w:val="32"/>
    <w:qFormat/>
    <w:uiPriority w:val="9"/>
    <w:rPr>
      <w:rFonts w:ascii="Arial" w:hAnsi="Arial" w:eastAsia="Arial" w:cs="Arial"/>
      <w:sz w:val="40"/>
      <w:szCs w:val="40"/>
    </w:rPr>
  </w:style>
  <w:style w:type="character" w:customStyle="1" w:styleId="37">
    <w:name w:val="Heading 2 Char"/>
    <w:basedOn w:val="32"/>
    <w:qFormat/>
    <w:uiPriority w:val="9"/>
    <w:rPr>
      <w:rFonts w:ascii="Arial" w:hAnsi="Arial" w:eastAsia="Arial" w:cs="Arial"/>
      <w:sz w:val="34"/>
    </w:rPr>
  </w:style>
  <w:style w:type="character" w:customStyle="1" w:styleId="38">
    <w:name w:val="Heading 3 Char"/>
    <w:basedOn w:val="32"/>
    <w:qFormat/>
    <w:uiPriority w:val="9"/>
    <w:rPr>
      <w:rFonts w:ascii="Arial" w:hAnsi="Arial" w:eastAsia="Arial" w:cs="Arial"/>
      <w:sz w:val="30"/>
      <w:szCs w:val="30"/>
    </w:rPr>
  </w:style>
  <w:style w:type="character" w:customStyle="1" w:styleId="39">
    <w:name w:val="Heading 4 Char"/>
    <w:basedOn w:val="32"/>
    <w:qFormat/>
    <w:uiPriority w:val="9"/>
    <w:rPr>
      <w:rFonts w:ascii="Arial" w:hAnsi="Arial" w:eastAsia="Arial" w:cs="Arial"/>
      <w:b/>
      <w:bCs/>
      <w:sz w:val="26"/>
      <w:szCs w:val="26"/>
    </w:rPr>
  </w:style>
  <w:style w:type="character" w:customStyle="1" w:styleId="40">
    <w:name w:val="Heading 5 Char"/>
    <w:basedOn w:val="32"/>
    <w:qFormat/>
    <w:uiPriority w:val="9"/>
    <w:rPr>
      <w:rFonts w:ascii="Arial" w:hAnsi="Arial" w:eastAsia="Arial" w:cs="Arial"/>
      <w:b/>
      <w:bCs/>
      <w:sz w:val="24"/>
      <w:szCs w:val="24"/>
    </w:rPr>
  </w:style>
  <w:style w:type="character" w:customStyle="1" w:styleId="41">
    <w:name w:val="Heading 6 Char"/>
    <w:basedOn w:val="32"/>
    <w:qFormat/>
    <w:uiPriority w:val="9"/>
    <w:rPr>
      <w:rFonts w:ascii="Arial" w:hAnsi="Arial" w:eastAsia="Arial" w:cs="Arial"/>
      <w:b/>
      <w:bCs/>
      <w:sz w:val="22"/>
      <w:szCs w:val="22"/>
    </w:rPr>
  </w:style>
  <w:style w:type="character" w:customStyle="1" w:styleId="42">
    <w:name w:val="Heading 7 Char"/>
    <w:basedOn w:val="32"/>
    <w:qFormat/>
    <w:uiPriority w:val="9"/>
    <w:rPr>
      <w:rFonts w:ascii="Arial" w:hAnsi="Arial" w:eastAsia="Arial" w:cs="Arial"/>
      <w:b/>
      <w:bCs/>
      <w:i/>
      <w:iCs/>
      <w:sz w:val="22"/>
      <w:szCs w:val="22"/>
    </w:rPr>
  </w:style>
  <w:style w:type="character" w:customStyle="1" w:styleId="43">
    <w:name w:val="Heading 8 Char"/>
    <w:basedOn w:val="32"/>
    <w:qFormat/>
    <w:uiPriority w:val="9"/>
    <w:rPr>
      <w:rFonts w:ascii="Arial" w:hAnsi="Arial" w:eastAsia="Arial" w:cs="Arial"/>
      <w:i/>
      <w:iCs/>
      <w:sz w:val="22"/>
      <w:szCs w:val="22"/>
    </w:rPr>
  </w:style>
  <w:style w:type="character" w:customStyle="1" w:styleId="44">
    <w:name w:val="Heading 9 Char"/>
    <w:basedOn w:val="32"/>
    <w:qFormat/>
    <w:uiPriority w:val="9"/>
    <w:rPr>
      <w:rFonts w:ascii="Arial" w:hAnsi="Arial" w:eastAsia="Arial" w:cs="Arial"/>
      <w:i/>
      <w:iCs/>
      <w:sz w:val="21"/>
      <w:szCs w:val="21"/>
    </w:rPr>
  </w:style>
  <w:style w:type="character" w:customStyle="1" w:styleId="45">
    <w:name w:val="Title Char"/>
    <w:basedOn w:val="32"/>
    <w:qFormat/>
    <w:uiPriority w:val="10"/>
    <w:rPr>
      <w:sz w:val="48"/>
      <w:szCs w:val="48"/>
    </w:rPr>
  </w:style>
  <w:style w:type="character" w:customStyle="1" w:styleId="46">
    <w:name w:val="Subtitle Char"/>
    <w:basedOn w:val="32"/>
    <w:qFormat/>
    <w:uiPriority w:val="11"/>
    <w:rPr>
      <w:sz w:val="24"/>
      <w:szCs w:val="24"/>
    </w:rPr>
  </w:style>
  <w:style w:type="character" w:customStyle="1" w:styleId="47">
    <w:name w:val="Header Char"/>
    <w:basedOn w:val="32"/>
    <w:qFormat/>
    <w:uiPriority w:val="99"/>
  </w:style>
  <w:style w:type="character" w:customStyle="1" w:styleId="48">
    <w:name w:val="Caption Char"/>
    <w:qFormat/>
    <w:uiPriority w:val="99"/>
  </w:style>
  <w:style w:type="table" w:customStyle="1" w:styleId="49">
    <w:name w:val="无格式表格 11"/>
    <w:basedOn w:val="30"/>
    <w:qFormat/>
    <w:uiPriority w:val="59"/>
    <w:tblPr>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无格式表格 21"/>
    <w:basedOn w:val="30"/>
    <w:qFormat/>
    <w:uiPriority w:val="59"/>
    <w:tblPr>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无格式表格 31"/>
    <w:basedOn w:val="30"/>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无格式表格 41"/>
    <w:basedOn w:val="30"/>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无格式表格 51"/>
    <w:basedOn w:val="30"/>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网格表 1 浅色1"/>
    <w:basedOn w:val="30"/>
    <w:qFormat/>
    <w:uiPriority w:val="99"/>
    <w:tblPr>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网格表 21"/>
    <w:basedOn w:val="30"/>
    <w:qFormat/>
    <w:uiPriority w:val="99"/>
    <w:tblPr>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网格表 31"/>
    <w:basedOn w:val="30"/>
    <w:qFormat/>
    <w:uiPriority w:val="99"/>
    <w:tblPr>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网格表 41"/>
    <w:basedOn w:val="30"/>
    <w:qFormat/>
    <w:uiPriority w:val="59"/>
    <w:tblPr>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网格表 5 深色1"/>
    <w:basedOn w:val="30"/>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网格表 6 彩色1"/>
    <w:basedOn w:val="30"/>
    <w:qFormat/>
    <w:uiPriority w:val="99"/>
    <w:tblPr>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网格表 7 彩色1"/>
    <w:basedOn w:val="30"/>
    <w:qFormat/>
    <w:uiPriority w:val="99"/>
    <w:tblPr>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清单表 1 浅色1"/>
    <w:basedOn w:val="30"/>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清单表 21"/>
    <w:basedOn w:val="30"/>
    <w:qFormat/>
    <w:uiPriority w:val="99"/>
    <w:tblPr>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清单表 31"/>
    <w:basedOn w:val="30"/>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清单表 41"/>
    <w:basedOn w:val="30"/>
    <w:qFormat/>
    <w:uiPriority w:val="99"/>
    <w:tblPr>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清单表 5 深色1"/>
    <w:basedOn w:val="30"/>
    <w:qFormat/>
    <w:uiPriority w:val="99"/>
    <w:tblPr>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清单表 6 彩色1"/>
    <w:basedOn w:val="30"/>
    <w:qFormat/>
    <w:uiPriority w:val="99"/>
    <w:tblPr>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清单表 7 彩色1"/>
    <w:basedOn w:val="30"/>
    <w:qFormat/>
    <w:uiPriority w:val="99"/>
    <w:tblPr>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68">
    <w:name w:val="Footnote Text Char"/>
    <w:qFormat/>
    <w:uiPriority w:val="99"/>
    <w:rPr>
      <w:sz w:val="18"/>
    </w:rPr>
  </w:style>
  <w:style w:type="character" w:customStyle="1" w:styleId="69">
    <w:name w:val="Endnote Text Char"/>
    <w:qFormat/>
    <w:uiPriority w:val="99"/>
    <w:rPr>
      <w:sz w:val="20"/>
    </w:rPr>
  </w:style>
  <w:style w:type="paragraph" w:customStyle="1" w:styleId="70">
    <w:name w:val="TOC 标题1"/>
    <w:unhideWhenUsed/>
    <w:qFormat/>
    <w:uiPriority w:val="39"/>
    <w:rPr>
      <w:rFonts w:ascii="Times New Roman" w:hAnsi="Times New Roman" w:eastAsia="宋体" w:cs="Times New Roman"/>
      <w:lang w:val="en-US" w:eastAsia="zh-CN" w:bidi="ar-SA"/>
    </w:rPr>
  </w:style>
  <w:style w:type="character" w:customStyle="1" w:styleId="71">
    <w:name w:val="标题 1 字符1"/>
    <w:link w:val="2"/>
    <w:qFormat/>
    <w:uiPriority w:val="9"/>
    <w:rPr>
      <w:rFonts w:ascii="Arial" w:hAnsi="Arial" w:eastAsia="Arial" w:cs="Arial"/>
      <w:sz w:val="40"/>
      <w:szCs w:val="40"/>
    </w:rPr>
  </w:style>
  <w:style w:type="character" w:customStyle="1" w:styleId="72">
    <w:name w:val="标题 2 字符1"/>
    <w:link w:val="3"/>
    <w:qFormat/>
    <w:uiPriority w:val="9"/>
    <w:rPr>
      <w:rFonts w:ascii="Arial" w:hAnsi="Arial" w:eastAsia="Arial" w:cs="Arial"/>
      <w:sz w:val="34"/>
    </w:rPr>
  </w:style>
  <w:style w:type="character" w:customStyle="1" w:styleId="73">
    <w:name w:val="标题 3 字符1"/>
    <w:link w:val="4"/>
    <w:qFormat/>
    <w:uiPriority w:val="9"/>
    <w:rPr>
      <w:rFonts w:ascii="Arial" w:hAnsi="Arial" w:eastAsia="Arial" w:cs="Arial"/>
      <w:sz w:val="30"/>
      <w:szCs w:val="30"/>
    </w:rPr>
  </w:style>
  <w:style w:type="character" w:customStyle="1" w:styleId="74">
    <w:name w:val="标题 4 字符1"/>
    <w:link w:val="5"/>
    <w:qFormat/>
    <w:uiPriority w:val="9"/>
    <w:rPr>
      <w:rFonts w:ascii="Arial" w:hAnsi="Arial" w:eastAsia="Arial" w:cs="Arial"/>
      <w:b/>
      <w:bCs/>
      <w:sz w:val="26"/>
      <w:szCs w:val="26"/>
    </w:rPr>
  </w:style>
  <w:style w:type="character" w:customStyle="1" w:styleId="75">
    <w:name w:val="标题 5 字符1"/>
    <w:link w:val="6"/>
    <w:qFormat/>
    <w:uiPriority w:val="9"/>
    <w:rPr>
      <w:rFonts w:ascii="Arial" w:hAnsi="Arial" w:eastAsia="Arial" w:cs="Arial"/>
      <w:b/>
      <w:bCs/>
      <w:sz w:val="24"/>
      <w:szCs w:val="24"/>
    </w:rPr>
  </w:style>
  <w:style w:type="character" w:customStyle="1" w:styleId="76">
    <w:name w:val="标题 6 字符1"/>
    <w:link w:val="7"/>
    <w:qFormat/>
    <w:uiPriority w:val="9"/>
    <w:rPr>
      <w:rFonts w:ascii="Arial" w:hAnsi="Arial" w:eastAsia="Arial" w:cs="Arial"/>
      <w:b/>
      <w:bCs/>
      <w:sz w:val="22"/>
      <w:szCs w:val="22"/>
    </w:rPr>
  </w:style>
  <w:style w:type="character" w:customStyle="1" w:styleId="77">
    <w:name w:val="标题 7 字符1"/>
    <w:link w:val="8"/>
    <w:qFormat/>
    <w:uiPriority w:val="9"/>
    <w:rPr>
      <w:rFonts w:ascii="Arial" w:hAnsi="Arial" w:eastAsia="Arial" w:cs="Arial"/>
      <w:b/>
      <w:bCs/>
      <w:i/>
      <w:iCs/>
      <w:sz w:val="22"/>
      <w:szCs w:val="22"/>
    </w:rPr>
  </w:style>
  <w:style w:type="character" w:customStyle="1" w:styleId="78">
    <w:name w:val="标题 8 字符1"/>
    <w:link w:val="9"/>
    <w:qFormat/>
    <w:uiPriority w:val="9"/>
    <w:rPr>
      <w:rFonts w:ascii="Arial" w:hAnsi="Arial" w:eastAsia="Arial" w:cs="Arial"/>
      <w:i/>
      <w:iCs/>
      <w:sz w:val="22"/>
      <w:szCs w:val="22"/>
    </w:rPr>
  </w:style>
  <w:style w:type="character" w:customStyle="1" w:styleId="79">
    <w:name w:val="标题 9 字符1"/>
    <w:link w:val="10"/>
    <w:qFormat/>
    <w:uiPriority w:val="9"/>
    <w:rPr>
      <w:rFonts w:ascii="Arial" w:hAnsi="Arial" w:eastAsia="Arial" w:cs="Arial"/>
      <w:i/>
      <w:iCs/>
      <w:sz w:val="21"/>
      <w:szCs w:val="21"/>
    </w:rPr>
  </w:style>
  <w:style w:type="paragraph" w:styleId="80">
    <w:name w:val="List Paragraph"/>
    <w:basedOn w:val="1"/>
    <w:qFormat/>
    <w:uiPriority w:val="34"/>
    <w:pPr>
      <w:ind w:left="720"/>
      <w:contextualSpacing/>
    </w:pPr>
  </w:style>
  <w:style w:type="paragraph" w:styleId="81">
    <w:name w:val="No Spacing"/>
    <w:qFormat/>
    <w:uiPriority w:val="1"/>
    <w:rPr>
      <w:rFonts w:ascii="Times New Roman" w:hAnsi="Times New Roman" w:eastAsia="宋体" w:cs="Times New Roman"/>
      <w:lang w:val="en-US" w:eastAsia="zh-CN" w:bidi="ar-SA"/>
    </w:rPr>
  </w:style>
  <w:style w:type="character" w:customStyle="1" w:styleId="82">
    <w:name w:val="标题 字符1"/>
    <w:link w:val="29"/>
    <w:qFormat/>
    <w:uiPriority w:val="10"/>
    <w:rPr>
      <w:sz w:val="48"/>
      <w:szCs w:val="48"/>
    </w:rPr>
  </w:style>
  <w:style w:type="character" w:customStyle="1" w:styleId="83">
    <w:name w:val="副标题 字符1"/>
    <w:link w:val="22"/>
    <w:qFormat/>
    <w:uiPriority w:val="11"/>
    <w:rPr>
      <w:sz w:val="24"/>
      <w:szCs w:val="24"/>
    </w:rPr>
  </w:style>
  <w:style w:type="paragraph" w:styleId="84">
    <w:name w:val="Quote"/>
    <w:basedOn w:val="1"/>
    <w:next w:val="1"/>
    <w:qFormat/>
    <w:uiPriority w:val="29"/>
    <w:pPr>
      <w:ind w:left="720" w:right="720"/>
    </w:pPr>
    <w:rPr>
      <w:i/>
    </w:rPr>
  </w:style>
  <w:style w:type="paragraph" w:styleId="8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86">
    <w:name w:val="页眉 字符1"/>
    <w:link w:val="19"/>
    <w:qFormat/>
    <w:uiPriority w:val="99"/>
  </w:style>
  <w:style w:type="character" w:customStyle="1" w:styleId="87">
    <w:name w:val="页脚 字符1"/>
    <w:link w:val="18"/>
    <w:qFormat/>
    <w:uiPriority w:val="99"/>
  </w:style>
  <w:style w:type="character" w:customStyle="1" w:styleId="88">
    <w:name w:val="脚注文本 字符1"/>
    <w:link w:val="23"/>
    <w:qFormat/>
    <w:uiPriority w:val="99"/>
    <w:rPr>
      <w:sz w:val="18"/>
    </w:rPr>
  </w:style>
  <w:style w:type="character" w:customStyle="1" w:styleId="89">
    <w:name w:val="尾注文本 字符1"/>
    <w:link w:val="17"/>
    <w:qFormat/>
    <w:uiPriority w:val="99"/>
    <w:rPr>
      <w:sz w:val="20"/>
    </w:rPr>
  </w:style>
  <w:style w:type="paragraph" w:customStyle="1" w:styleId="90">
    <w:name w:val="TOC 标题111"/>
    <w:unhideWhenUsed/>
    <w:qFormat/>
    <w:uiPriority w:val="39"/>
    <w:rPr>
      <w:rFonts w:ascii="Times New Roman" w:hAnsi="Times New Roman" w:eastAsia="宋体" w:cs="Times New Roman"/>
      <w:lang w:val="en-US" w:eastAsia="zh-CN" w:bidi="ar-SA"/>
    </w:rPr>
  </w:style>
  <w:style w:type="paragraph" w:customStyle="1" w:styleId="91">
    <w:name w:val="标题 111"/>
    <w:basedOn w:val="1"/>
    <w:next w:val="1"/>
    <w:link w:val="102"/>
    <w:qFormat/>
    <w:uiPriority w:val="9"/>
    <w:pPr>
      <w:keepNext/>
      <w:keepLines/>
      <w:spacing w:before="480" w:after="200"/>
      <w:outlineLvl w:val="0"/>
    </w:pPr>
    <w:rPr>
      <w:rFonts w:ascii="Arial" w:hAnsi="Arial" w:eastAsia="Arial" w:cs="Arial"/>
      <w:sz w:val="40"/>
      <w:szCs w:val="40"/>
    </w:rPr>
  </w:style>
  <w:style w:type="paragraph" w:customStyle="1" w:styleId="92">
    <w:name w:val="标题 211"/>
    <w:basedOn w:val="1"/>
    <w:next w:val="1"/>
    <w:link w:val="103"/>
    <w:unhideWhenUsed/>
    <w:qFormat/>
    <w:uiPriority w:val="9"/>
    <w:pPr>
      <w:keepNext/>
      <w:keepLines/>
      <w:spacing w:before="360" w:after="200"/>
      <w:outlineLvl w:val="1"/>
    </w:pPr>
    <w:rPr>
      <w:rFonts w:ascii="Arial" w:hAnsi="Arial" w:eastAsia="Arial" w:cs="Arial"/>
      <w:sz w:val="34"/>
    </w:rPr>
  </w:style>
  <w:style w:type="paragraph" w:customStyle="1" w:styleId="93">
    <w:name w:val="标题 311"/>
    <w:basedOn w:val="1"/>
    <w:next w:val="1"/>
    <w:link w:val="104"/>
    <w:unhideWhenUsed/>
    <w:qFormat/>
    <w:uiPriority w:val="9"/>
    <w:pPr>
      <w:keepNext/>
      <w:keepLines/>
      <w:spacing w:before="320" w:after="200"/>
      <w:outlineLvl w:val="2"/>
    </w:pPr>
    <w:rPr>
      <w:rFonts w:ascii="Arial" w:hAnsi="Arial" w:eastAsia="Arial" w:cs="Arial"/>
      <w:sz w:val="30"/>
      <w:szCs w:val="30"/>
    </w:rPr>
  </w:style>
  <w:style w:type="paragraph" w:customStyle="1" w:styleId="94">
    <w:name w:val="标题 412"/>
    <w:basedOn w:val="1"/>
    <w:next w:val="1"/>
    <w:link w:val="105"/>
    <w:unhideWhenUsed/>
    <w:qFormat/>
    <w:uiPriority w:val="9"/>
    <w:pPr>
      <w:keepNext/>
      <w:keepLines/>
      <w:spacing w:before="320" w:after="200"/>
      <w:outlineLvl w:val="3"/>
    </w:pPr>
    <w:rPr>
      <w:rFonts w:ascii="Arial" w:hAnsi="Arial" w:eastAsia="Arial" w:cs="Arial"/>
      <w:b/>
      <w:bCs/>
      <w:sz w:val="26"/>
      <w:szCs w:val="26"/>
    </w:rPr>
  </w:style>
  <w:style w:type="paragraph" w:customStyle="1" w:styleId="95">
    <w:name w:val="标题 511"/>
    <w:basedOn w:val="1"/>
    <w:next w:val="1"/>
    <w:link w:val="106"/>
    <w:unhideWhenUsed/>
    <w:qFormat/>
    <w:uiPriority w:val="9"/>
    <w:pPr>
      <w:keepNext/>
      <w:keepLines/>
      <w:spacing w:before="320" w:after="200"/>
      <w:outlineLvl w:val="4"/>
    </w:pPr>
    <w:rPr>
      <w:rFonts w:ascii="Arial" w:hAnsi="Arial" w:eastAsia="Arial" w:cs="Arial"/>
      <w:b/>
      <w:bCs/>
      <w:sz w:val="24"/>
    </w:rPr>
  </w:style>
  <w:style w:type="paragraph" w:customStyle="1" w:styleId="96">
    <w:name w:val="标题 611"/>
    <w:basedOn w:val="1"/>
    <w:next w:val="1"/>
    <w:link w:val="107"/>
    <w:unhideWhenUsed/>
    <w:qFormat/>
    <w:uiPriority w:val="9"/>
    <w:pPr>
      <w:keepNext/>
      <w:keepLines/>
      <w:spacing w:before="320" w:after="200"/>
      <w:outlineLvl w:val="5"/>
    </w:pPr>
    <w:rPr>
      <w:rFonts w:ascii="Arial" w:hAnsi="Arial" w:eastAsia="Arial" w:cs="Arial"/>
      <w:b/>
      <w:bCs/>
      <w:sz w:val="22"/>
      <w:szCs w:val="22"/>
    </w:rPr>
  </w:style>
  <w:style w:type="paragraph" w:customStyle="1" w:styleId="97">
    <w:name w:val="标题 711"/>
    <w:basedOn w:val="1"/>
    <w:next w:val="1"/>
    <w:link w:val="108"/>
    <w:unhideWhenUsed/>
    <w:qFormat/>
    <w:uiPriority w:val="9"/>
    <w:pPr>
      <w:keepNext/>
      <w:keepLines/>
      <w:spacing w:before="320" w:after="200"/>
      <w:outlineLvl w:val="6"/>
    </w:pPr>
    <w:rPr>
      <w:rFonts w:ascii="Arial" w:hAnsi="Arial" w:eastAsia="Arial" w:cs="Arial"/>
      <w:b/>
      <w:bCs/>
      <w:i/>
      <w:iCs/>
      <w:sz w:val="22"/>
      <w:szCs w:val="22"/>
    </w:rPr>
  </w:style>
  <w:style w:type="paragraph" w:customStyle="1" w:styleId="98">
    <w:name w:val="标题 811"/>
    <w:basedOn w:val="1"/>
    <w:next w:val="1"/>
    <w:link w:val="109"/>
    <w:unhideWhenUsed/>
    <w:qFormat/>
    <w:uiPriority w:val="9"/>
    <w:pPr>
      <w:keepNext/>
      <w:keepLines/>
      <w:spacing w:before="320" w:after="200"/>
      <w:outlineLvl w:val="7"/>
    </w:pPr>
    <w:rPr>
      <w:rFonts w:ascii="Arial" w:hAnsi="Arial" w:eastAsia="Arial" w:cs="Arial"/>
      <w:i/>
      <w:iCs/>
      <w:sz w:val="22"/>
      <w:szCs w:val="22"/>
    </w:rPr>
  </w:style>
  <w:style w:type="paragraph" w:customStyle="1" w:styleId="99">
    <w:name w:val="标题 911"/>
    <w:basedOn w:val="1"/>
    <w:next w:val="1"/>
    <w:link w:val="110"/>
    <w:unhideWhenUsed/>
    <w:qFormat/>
    <w:uiPriority w:val="9"/>
    <w:pPr>
      <w:keepNext/>
      <w:keepLines/>
      <w:spacing w:before="320" w:after="200"/>
      <w:outlineLvl w:val="8"/>
    </w:pPr>
    <w:rPr>
      <w:rFonts w:ascii="Arial" w:hAnsi="Arial" w:eastAsia="Arial" w:cs="Arial"/>
      <w:i/>
      <w:iCs/>
      <w:szCs w:val="21"/>
    </w:rPr>
  </w:style>
  <w:style w:type="character" w:customStyle="1" w:styleId="100">
    <w:name w:val="默认段落字体11"/>
    <w:unhideWhenUsed/>
    <w:qFormat/>
    <w:uiPriority w:val="1"/>
  </w:style>
  <w:style w:type="table" w:customStyle="1" w:styleId="101">
    <w:name w:val="普通表格11"/>
    <w:unhideWhenUsed/>
    <w:qFormat/>
    <w:uiPriority w:val="99"/>
    <w:tblPr>
      <w:tblCellMar>
        <w:top w:w="0" w:type="dxa"/>
        <w:left w:w="0" w:type="dxa"/>
        <w:bottom w:w="0" w:type="dxa"/>
        <w:right w:w="0" w:type="dxa"/>
      </w:tblCellMar>
    </w:tblPr>
  </w:style>
  <w:style w:type="character" w:customStyle="1" w:styleId="102">
    <w:name w:val="标题 1 字符"/>
    <w:link w:val="91"/>
    <w:qFormat/>
    <w:uiPriority w:val="9"/>
    <w:rPr>
      <w:rFonts w:ascii="Arial" w:hAnsi="Arial" w:eastAsia="Arial" w:cs="Arial"/>
      <w:sz w:val="40"/>
      <w:szCs w:val="40"/>
    </w:rPr>
  </w:style>
  <w:style w:type="character" w:customStyle="1" w:styleId="103">
    <w:name w:val="标题 2 字符"/>
    <w:link w:val="92"/>
    <w:qFormat/>
    <w:uiPriority w:val="9"/>
    <w:rPr>
      <w:rFonts w:ascii="Arial" w:hAnsi="Arial" w:eastAsia="Arial" w:cs="Arial"/>
      <w:sz w:val="34"/>
    </w:rPr>
  </w:style>
  <w:style w:type="character" w:customStyle="1" w:styleId="104">
    <w:name w:val="标题 3 字符"/>
    <w:link w:val="93"/>
    <w:qFormat/>
    <w:uiPriority w:val="9"/>
    <w:rPr>
      <w:rFonts w:ascii="Arial" w:hAnsi="Arial" w:eastAsia="Arial" w:cs="Arial"/>
      <w:sz w:val="30"/>
      <w:szCs w:val="30"/>
    </w:rPr>
  </w:style>
  <w:style w:type="character" w:customStyle="1" w:styleId="105">
    <w:name w:val="标题 4 字符"/>
    <w:link w:val="94"/>
    <w:qFormat/>
    <w:uiPriority w:val="9"/>
    <w:rPr>
      <w:rFonts w:ascii="Arial" w:hAnsi="Arial" w:eastAsia="Arial" w:cs="Arial"/>
      <w:b/>
      <w:bCs/>
      <w:sz w:val="26"/>
      <w:szCs w:val="26"/>
    </w:rPr>
  </w:style>
  <w:style w:type="character" w:customStyle="1" w:styleId="106">
    <w:name w:val="标题 5 字符"/>
    <w:link w:val="95"/>
    <w:qFormat/>
    <w:uiPriority w:val="9"/>
    <w:rPr>
      <w:rFonts w:ascii="Arial" w:hAnsi="Arial" w:eastAsia="Arial" w:cs="Arial"/>
      <w:b/>
      <w:bCs/>
      <w:sz w:val="24"/>
      <w:szCs w:val="24"/>
    </w:rPr>
  </w:style>
  <w:style w:type="character" w:customStyle="1" w:styleId="107">
    <w:name w:val="标题 6 字符"/>
    <w:link w:val="96"/>
    <w:qFormat/>
    <w:uiPriority w:val="9"/>
    <w:rPr>
      <w:rFonts w:ascii="Arial" w:hAnsi="Arial" w:eastAsia="Arial" w:cs="Arial"/>
      <w:b/>
      <w:bCs/>
      <w:sz w:val="22"/>
      <w:szCs w:val="22"/>
    </w:rPr>
  </w:style>
  <w:style w:type="character" w:customStyle="1" w:styleId="108">
    <w:name w:val="标题 7 字符"/>
    <w:link w:val="97"/>
    <w:qFormat/>
    <w:uiPriority w:val="9"/>
    <w:rPr>
      <w:rFonts w:ascii="Arial" w:hAnsi="Arial" w:eastAsia="Arial" w:cs="Arial"/>
      <w:b/>
      <w:bCs/>
      <w:i/>
      <w:iCs/>
      <w:sz w:val="22"/>
      <w:szCs w:val="22"/>
    </w:rPr>
  </w:style>
  <w:style w:type="character" w:customStyle="1" w:styleId="109">
    <w:name w:val="标题 8 字符"/>
    <w:link w:val="98"/>
    <w:qFormat/>
    <w:uiPriority w:val="9"/>
    <w:rPr>
      <w:rFonts w:ascii="Arial" w:hAnsi="Arial" w:eastAsia="Arial" w:cs="Arial"/>
      <w:i/>
      <w:iCs/>
      <w:sz w:val="22"/>
      <w:szCs w:val="22"/>
    </w:rPr>
  </w:style>
  <w:style w:type="character" w:customStyle="1" w:styleId="110">
    <w:name w:val="标题 9 字符"/>
    <w:link w:val="99"/>
    <w:qFormat/>
    <w:uiPriority w:val="9"/>
    <w:rPr>
      <w:rFonts w:ascii="Arial" w:hAnsi="Arial" w:eastAsia="Arial" w:cs="Arial"/>
      <w:i/>
      <w:iCs/>
      <w:sz w:val="21"/>
      <w:szCs w:val="21"/>
    </w:rPr>
  </w:style>
  <w:style w:type="paragraph" w:customStyle="1" w:styleId="111">
    <w:name w:val="目录 711"/>
    <w:basedOn w:val="1"/>
    <w:next w:val="1"/>
    <w:unhideWhenUsed/>
    <w:qFormat/>
    <w:uiPriority w:val="39"/>
    <w:pPr>
      <w:spacing w:after="57"/>
      <w:ind w:left="1701"/>
    </w:pPr>
  </w:style>
  <w:style w:type="paragraph" w:customStyle="1" w:styleId="112">
    <w:name w:val="题注1"/>
    <w:basedOn w:val="1"/>
    <w:next w:val="1"/>
    <w:unhideWhenUsed/>
    <w:qFormat/>
    <w:uiPriority w:val="35"/>
    <w:pPr>
      <w:spacing w:line="276" w:lineRule="auto"/>
    </w:pPr>
    <w:rPr>
      <w:b/>
      <w:bCs/>
      <w:color w:val="4F81BD"/>
      <w:sz w:val="18"/>
      <w:szCs w:val="18"/>
    </w:rPr>
  </w:style>
  <w:style w:type="paragraph" w:customStyle="1" w:styleId="113">
    <w:name w:val="批注文字11"/>
    <w:basedOn w:val="1"/>
    <w:link w:val="114"/>
    <w:unhideWhenUsed/>
    <w:qFormat/>
    <w:uiPriority w:val="99"/>
    <w:pPr>
      <w:jc w:val="left"/>
    </w:pPr>
  </w:style>
  <w:style w:type="character" w:customStyle="1" w:styleId="114">
    <w:name w:val="批注文字 字符"/>
    <w:link w:val="113"/>
    <w:semiHidden/>
    <w:qFormat/>
    <w:uiPriority w:val="99"/>
    <w:rPr>
      <w:sz w:val="21"/>
      <w:szCs w:val="24"/>
    </w:rPr>
  </w:style>
  <w:style w:type="paragraph" w:customStyle="1" w:styleId="115">
    <w:name w:val="正文文本111"/>
    <w:basedOn w:val="1"/>
    <w:qFormat/>
    <w:uiPriority w:val="0"/>
    <w:pPr>
      <w:spacing w:after="120"/>
    </w:pPr>
  </w:style>
  <w:style w:type="paragraph" w:customStyle="1" w:styleId="116">
    <w:name w:val="正文文本缩进12"/>
    <w:basedOn w:val="1"/>
    <w:unhideWhenUsed/>
    <w:qFormat/>
    <w:uiPriority w:val="99"/>
    <w:pPr>
      <w:spacing w:after="120"/>
      <w:ind w:left="420"/>
    </w:pPr>
  </w:style>
  <w:style w:type="paragraph" w:customStyle="1" w:styleId="117">
    <w:name w:val="索引 411"/>
    <w:basedOn w:val="1"/>
    <w:next w:val="1"/>
    <w:qFormat/>
    <w:uiPriority w:val="0"/>
    <w:pPr>
      <w:ind w:left="1260"/>
    </w:pPr>
  </w:style>
  <w:style w:type="paragraph" w:customStyle="1" w:styleId="118">
    <w:name w:val="目录 511"/>
    <w:basedOn w:val="1"/>
    <w:next w:val="1"/>
    <w:unhideWhenUsed/>
    <w:qFormat/>
    <w:uiPriority w:val="39"/>
    <w:pPr>
      <w:spacing w:after="57"/>
      <w:ind w:left="1134"/>
    </w:pPr>
  </w:style>
  <w:style w:type="paragraph" w:customStyle="1" w:styleId="119">
    <w:name w:val="目录 311"/>
    <w:basedOn w:val="1"/>
    <w:next w:val="1"/>
    <w:unhideWhenUsed/>
    <w:qFormat/>
    <w:uiPriority w:val="39"/>
    <w:pPr>
      <w:spacing w:after="57"/>
      <w:ind w:left="567"/>
    </w:pPr>
  </w:style>
  <w:style w:type="paragraph" w:customStyle="1" w:styleId="120">
    <w:name w:val="目录 811"/>
    <w:basedOn w:val="1"/>
    <w:next w:val="1"/>
    <w:unhideWhenUsed/>
    <w:qFormat/>
    <w:uiPriority w:val="39"/>
    <w:pPr>
      <w:spacing w:after="57"/>
      <w:ind w:left="1984"/>
    </w:pPr>
  </w:style>
  <w:style w:type="paragraph" w:customStyle="1" w:styleId="121">
    <w:name w:val="尾注文本11"/>
    <w:basedOn w:val="1"/>
    <w:link w:val="122"/>
    <w:unhideWhenUsed/>
    <w:qFormat/>
    <w:uiPriority w:val="99"/>
    <w:rPr>
      <w:sz w:val="20"/>
    </w:rPr>
  </w:style>
  <w:style w:type="character" w:customStyle="1" w:styleId="122">
    <w:name w:val="尾注文本 字符"/>
    <w:link w:val="121"/>
    <w:qFormat/>
    <w:uiPriority w:val="99"/>
    <w:rPr>
      <w:sz w:val="20"/>
    </w:rPr>
  </w:style>
  <w:style w:type="paragraph" w:customStyle="1" w:styleId="123">
    <w:name w:val="批注框文本12"/>
    <w:basedOn w:val="1"/>
    <w:link w:val="124"/>
    <w:unhideWhenUsed/>
    <w:qFormat/>
    <w:uiPriority w:val="99"/>
    <w:rPr>
      <w:sz w:val="18"/>
      <w:szCs w:val="18"/>
    </w:rPr>
  </w:style>
  <w:style w:type="character" w:customStyle="1" w:styleId="124">
    <w:name w:val="批注框文本 字符"/>
    <w:link w:val="123"/>
    <w:semiHidden/>
    <w:qFormat/>
    <w:uiPriority w:val="99"/>
    <w:rPr>
      <w:sz w:val="18"/>
      <w:szCs w:val="18"/>
    </w:rPr>
  </w:style>
  <w:style w:type="paragraph" w:customStyle="1" w:styleId="125">
    <w:name w:val="页脚11"/>
    <w:basedOn w:val="1"/>
    <w:link w:val="126"/>
    <w:unhideWhenUsed/>
    <w:qFormat/>
    <w:uiPriority w:val="99"/>
    <w:pPr>
      <w:tabs>
        <w:tab w:val="center" w:pos="7143"/>
        <w:tab w:val="right" w:pos="14287"/>
      </w:tabs>
    </w:pPr>
  </w:style>
  <w:style w:type="character" w:customStyle="1" w:styleId="126">
    <w:name w:val="页脚 字符"/>
    <w:link w:val="125"/>
    <w:qFormat/>
    <w:uiPriority w:val="99"/>
  </w:style>
  <w:style w:type="paragraph" w:customStyle="1" w:styleId="127">
    <w:name w:val="页眉11"/>
    <w:basedOn w:val="1"/>
    <w:link w:val="128"/>
    <w:unhideWhenUsed/>
    <w:qFormat/>
    <w:uiPriority w:val="99"/>
    <w:pPr>
      <w:tabs>
        <w:tab w:val="center" w:pos="7143"/>
        <w:tab w:val="right" w:pos="14287"/>
      </w:tabs>
    </w:pPr>
  </w:style>
  <w:style w:type="character" w:customStyle="1" w:styleId="128">
    <w:name w:val="页眉 字符"/>
    <w:link w:val="127"/>
    <w:qFormat/>
    <w:uiPriority w:val="99"/>
  </w:style>
  <w:style w:type="paragraph" w:customStyle="1" w:styleId="129">
    <w:name w:val="目录 111"/>
    <w:basedOn w:val="1"/>
    <w:next w:val="1"/>
    <w:unhideWhenUsed/>
    <w:qFormat/>
    <w:uiPriority w:val="39"/>
    <w:pPr>
      <w:spacing w:after="57"/>
    </w:pPr>
  </w:style>
  <w:style w:type="paragraph" w:customStyle="1" w:styleId="130">
    <w:name w:val="目录 411"/>
    <w:basedOn w:val="1"/>
    <w:next w:val="1"/>
    <w:unhideWhenUsed/>
    <w:qFormat/>
    <w:uiPriority w:val="39"/>
    <w:pPr>
      <w:spacing w:after="57"/>
      <w:ind w:left="850"/>
    </w:pPr>
  </w:style>
  <w:style w:type="paragraph" w:customStyle="1" w:styleId="131">
    <w:name w:val="副标题11"/>
    <w:basedOn w:val="1"/>
    <w:next w:val="1"/>
    <w:link w:val="132"/>
    <w:qFormat/>
    <w:uiPriority w:val="11"/>
    <w:pPr>
      <w:spacing w:before="200" w:after="200"/>
    </w:pPr>
    <w:rPr>
      <w:sz w:val="24"/>
    </w:rPr>
  </w:style>
  <w:style w:type="character" w:customStyle="1" w:styleId="132">
    <w:name w:val="副标题 字符"/>
    <w:link w:val="131"/>
    <w:qFormat/>
    <w:uiPriority w:val="11"/>
    <w:rPr>
      <w:sz w:val="24"/>
      <w:szCs w:val="24"/>
    </w:rPr>
  </w:style>
  <w:style w:type="paragraph" w:customStyle="1" w:styleId="133">
    <w:name w:val="脚注文本11"/>
    <w:basedOn w:val="1"/>
    <w:link w:val="134"/>
    <w:unhideWhenUsed/>
    <w:qFormat/>
    <w:uiPriority w:val="99"/>
    <w:pPr>
      <w:spacing w:after="40"/>
    </w:pPr>
    <w:rPr>
      <w:sz w:val="18"/>
    </w:rPr>
  </w:style>
  <w:style w:type="character" w:customStyle="1" w:styleId="134">
    <w:name w:val="脚注文本 字符"/>
    <w:link w:val="133"/>
    <w:qFormat/>
    <w:uiPriority w:val="99"/>
    <w:rPr>
      <w:sz w:val="18"/>
    </w:rPr>
  </w:style>
  <w:style w:type="paragraph" w:customStyle="1" w:styleId="135">
    <w:name w:val="目录 611"/>
    <w:basedOn w:val="1"/>
    <w:next w:val="1"/>
    <w:unhideWhenUsed/>
    <w:qFormat/>
    <w:uiPriority w:val="39"/>
    <w:pPr>
      <w:spacing w:after="57"/>
      <w:ind w:left="1417"/>
    </w:pPr>
  </w:style>
  <w:style w:type="paragraph" w:customStyle="1" w:styleId="136">
    <w:name w:val="图表目录11"/>
    <w:basedOn w:val="1"/>
    <w:next w:val="1"/>
    <w:unhideWhenUsed/>
    <w:qFormat/>
    <w:uiPriority w:val="99"/>
  </w:style>
  <w:style w:type="paragraph" w:customStyle="1" w:styleId="137">
    <w:name w:val="目录 211"/>
    <w:basedOn w:val="1"/>
    <w:next w:val="1"/>
    <w:unhideWhenUsed/>
    <w:qFormat/>
    <w:uiPriority w:val="39"/>
    <w:pPr>
      <w:spacing w:after="57"/>
      <w:ind w:left="283"/>
    </w:pPr>
  </w:style>
  <w:style w:type="paragraph" w:customStyle="1" w:styleId="138">
    <w:name w:val="目录 911"/>
    <w:basedOn w:val="1"/>
    <w:next w:val="1"/>
    <w:unhideWhenUsed/>
    <w:qFormat/>
    <w:uiPriority w:val="39"/>
    <w:pPr>
      <w:spacing w:after="57"/>
      <w:ind w:left="2268"/>
    </w:pPr>
  </w:style>
  <w:style w:type="paragraph" w:customStyle="1" w:styleId="139">
    <w:name w:val="普通(网站)11"/>
    <w:basedOn w:val="1"/>
    <w:qFormat/>
    <w:uiPriority w:val="99"/>
    <w:pPr>
      <w:widowControl/>
      <w:spacing w:before="100" w:beforeAutospacing="1" w:after="100" w:afterAutospacing="1"/>
      <w:jc w:val="left"/>
    </w:pPr>
    <w:rPr>
      <w:rFonts w:ascii="Arial" w:hAnsi="Arial" w:eastAsia="Arial Unicode MS" w:cs="Arial"/>
      <w:sz w:val="24"/>
    </w:rPr>
  </w:style>
  <w:style w:type="paragraph" w:customStyle="1" w:styleId="140">
    <w:name w:val="标题12"/>
    <w:basedOn w:val="1"/>
    <w:next w:val="1"/>
    <w:link w:val="141"/>
    <w:qFormat/>
    <w:uiPriority w:val="10"/>
    <w:pPr>
      <w:spacing w:before="300" w:after="200"/>
      <w:contextualSpacing/>
    </w:pPr>
    <w:rPr>
      <w:sz w:val="48"/>
      <w:szCs w:val="48"/>
    </w:rPr>
  </w:style>
  <w:style w:type="character" w:customStyle="1" w:styleId="141">
    <w:name w:val="标题 字符"/>
    <w:link w:val="140"/>
    <w:qFormat/>
    <w:uiPriority w:val="10"/>
    <w:rPr>
      <w:sz w:val="48"/>
      <w:szCs w:val="48"/>
    </w:rPr>
  </w:style>
  <w:style w:type="paragraph" w:customStyle="1" w:styleId="142">
    <w:name w:val="批注主题12"/>
    <w:basedOn w:val="113"/>
    <w:next w:val="113"/>
    <w:link w:val="143"/>
    <w:unhideWhenUsed/>
    <w:qFormat/>
    <w:uiPriority w:val="99"/>
    <w:rPr>
      <w:b/>
      <w:bCs/>
    </w:rPr>
  </w:style>
  <w:style w:type="character" w:customStyle="1" w:styleId="143">
    <w:name w:val="批注主题 字符"/>
    <w:link w:val="142"/>
    <w:semiHidden/>
    <w:qFormat/>
    <w:uiPriority w:val="99"/>
    <w:rPr>
      <w:b/>
      <w:bCs/>
      <w:sz w:val="21"/>
      <w:szCs w:val="24"/>
    </w:rPr>
  </w:style>
  <w:style w:type="table" w:customStyle="1" w:styleId="144">
    <w:name w:val="网格型11"/>
    <w:qFormat/>
    <w:uiPriority w:val="59"/>
    <w:tblPr>
      <w:tblCellMar>
        <w:top w:w="0" w:type="dxa"/>
        <w:left w:w="0" w:type="dxa"/>
        <w:bottom w:w="0" w:type="dxa"/>
        <w:right w:w="0" w:type="dxa"/>
      </w:tblCellMar>
    </w:tblPr>
  </w:style>
  <w:style w:type="character" w:customStyle="1" w:styleId="145">
    <w:name w:val="尾注引用11"/>
    <w:unhideWhenUsed/>
    <w:qFormat/>
    <w:uiPriority w:val="99"/>
    <w:rPr>
      <w:vertAlign w:val="superscript"/>
    </w:rPr>
  </w:style>
  <w:style w:type="character" w:customStyle="1" w:styleId="146">
    <w:name w:val="强调11"/>
    <w:qFormat/>
    <w:uiPriority w:val="0"/>
    <w:rPr>
      <w:b/>
      <w:bCs/>
      <w:i/>
      <w:iCs/>
      <w:spacing w:val="10"/>
      <w:shd w:val="clear" w:color="auto" w:fill="auto"/>
    </w:rPr>
  </w:style>
  <w:style w:type="character" w:customStyle="1" w:styleId="147">
    <w:name w:val="超链接11"/>
    <w:unhideWhenUsed/>
    <w:qFormat/>
    <w:uiPriority w:val="99"/>
    <w:rPr>
      <w:color w:val="0000FF"/>
      <w:u w:val="single"/>
    </w:rPr>
  </w:style>
  <w:style w:type="character" w:customStyle="1" w:styleId="148">
    <w:name w:val="批注引用11"/>
    <w:unhideWhenUsed/>
    <w:qFormat/>
    <w:uiPriority w:val="99"/>
    <w:rPr>
      <w:sz w:val="21"/>
      <w:szCs w:val="21"/>
    </w:rPr>
  </w:style>
  <w:style w:type="character" w:customStyle="1" w:styleId="149">
    <w:name w:val="脚注引用11"/>
    <w:unhideWhenUsed/>
    <w:qFormat/>
    <w:uiPriority w:val="99"/>
    <w:rPr>
      <w:vertAlign w:val="superscript"/>
    </w:rPr>
  </w:style>
  <w:style w:type="paragraph" w:customStyle="1" w:styleId="150">
    <w:name w:val="列表段落1"/>
    <w:basedOn w:val="1"/>
    <w:qFormat/>
    <w:uiPriority w:val="99"/>
    <w:pPr>
      <w:widowControl/>
      <w:ind w:left="720"/>
      <w:contextualSpacing/>
      <w:jc w:val="left"/>
    </w:pPr>
    <w:rPr>
      <w:rFonts w:ascii="Arial" w:hAnsi="Arial" w:eastAsia="黑体"/>
      <w:sz w:val="24"/>
      <w:lang w:eastAsia="en-US"/>
    </w:rPr>
  </w:style>
  <w:style w:type="paragraph" w:customStyle="1" w:styleId="151">
    <w:name w:val="无间隔1"/>
    <w:qFormat/>
    <w:uiPriority w:val="1"/>
    <w:rPr>
      <w:rFonts w:ascii="Times New Roman" w:hAnsi="Times New Roman" w:eastAsia="宋体" w:cs="Times New Roman"/>
      <w:lang w:val="en-US" w:eastAsia="zh-CN" w:bidi="ar-SA"/>
    </w:rPr>
  </w:style>
  <w:style w:type="paragraph" w:customStyle="1" w:styleId="152">
    <w:name w:val="引用1"/>
    <w:basedOn w:val="1"/>
    <w:next w:val="1"/>
    <w:qFormat/>
    <w:uiPriority w:val="29"/>
    <w:pPr>
      <w:ind w:left="720" w:right="720"/>
    </w:pPr>
    <w:rPr>
      <w:i/>
    </w:rPr>
  </w:style>
  <w:style w:type="paragraph" w:customStyle="1" w:styleId="153">
    <w:name w:val="明显引用1"/>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54">
    <w:name w:val="Footer Char"/>
    <w:qFormat/>
    <w:uiPriority w:val="99"/>
  </w:style>
  <w:style w:type="table" w:customStyle="1" w:styleId="155">
    <w:name w:val="Table Grid Light"/>
    <w:qFormat/>
    <w:uiPriority w:val="59"/>
    <w:tblPr>
      <w:tblCellMar>
        <w:top w:w="0" w:type="dxa"/>
        <w:left w:w="0" w:type="dxa"/>
        <w:bottom w:w="0" w:type="dxa"/>
        <w:right w:w="0" w:type="dxa"/>
      </w:tblCellMar>
    </w:tblPr>
  </w:style>
  <w:style w:type="table" w:customStyle="1" w:styleId="156">
    <w:name w:val="Grid Table 1 Light - Accent 1"/>
    <w:qFormat/>
    <w:uiPriority w:val="99"/>
    <w:tblPr>
      <w:tblCellMar>
        <w:top w:w="0" w:type="dxa"/>
        <w:left w:w="0" w:type="dxa"/>
        <w:bottom w:w="0" w:type="dxa"/>
        <w:right w:w="0" w:type="dxa"/>
      </w:tblCellMar>
    </w:tblPr>
  </w:style>
  <w:style w:type="table" w:customStyle="1" w:styleId="157">
    <w:name w:val="Grid Table 1 Light - Accent 2"/>
    <w:qFormat/>
    <w:uiPriority w:val="99"/>
    <w:tblPr>
      <w:tblCellMar>
        <w:top w:w="0" w:type="dxa"/>
        <w:left w:w="0" w:type="dxa"/>
        <w:bottom w:w="0" w:type="dxa"/>
        <w:right w:w="0" w:type="dxa"/>
      </w:tblCellMar>
    </w:tblPr>
  </w:style>
  <w:style w:type="table" w:customStyle="1" w:styleId="158">
    <w:name w:val="Grid Table 1 Light - Accent 3"/>
    <w:qFormat/>
    <w:uiPriority w:val="99"/>
    <w:tblPr>
      <w:tblCellMar>
        <w:top w:w="0" w:type="dxa"/>
        <w:left w:w="0" w:type="dxa"/>
        <w:bottom w:w="0" w:type="dxa"/>
        <w:right w:w="0" w:type="dxa"/>
      </w:tblCellMar>
    </w:tblPr>
  </w:style>
  <w:style w:type="table" w:customStyle="1" w:styleId="159">
    <w:name w:val="Grid Table 1 Light - Accent 4"/>
    <w:qFormat/>
    <w:uiPriority w:val="99"/>
    <w:tblPr>
      <w:tblCellMar>
        <w:top w:w="0" w:type="dxa"/>
        <w:left w:w="0" w:type="dxa"/>
        <w:bottom w:w="0" w:type="dxa"/>
        <w:right w:w="0" w:type="dxa"/>
      </w:tblCellMar>
    </w:tblPr>
  </w:style>
  <w:style w:type="table" w:customStyle="1" w:styleId="160">
    <w:name w:val="Grid Table 1 Light - Accent 5"/>
    <w:qFormat/>
    <w:uiPriority w:val="99"/>
    <w:tblPr>
      <w:tblCellMar>
        <w:top w:w="0" w:type="dxa"/>
        <w:left w:w="0" w:type="dxa"/>
        <w:bottom w:w="0" w:type="dxa"/>
        <w:right w:w="0" w:type="dxa"/>
      </w:tblCellMar>
    </w:tblPr>
  </w:style>
  <w:style w:type="table" w:customStyle="1" w:styleId="161">
    <w:name w:val="Grid Table 1 Light - Accent 6"/>
    <w:qFormat/>
    <w:uiPriority w:val="99"/>
    <w:tblPr>
      <w:tblCellMar>
        <w:top w:w="0" w:type="dxa"/>
        <w:left w:w="0" w:type="dxa"/>
        <w:bottom w:w="0" w:type="dxa"/>
        <w:right w:w="0" w:type="dxa"/>
      </w:tblCellMar>
    </w:tblPr>
  </w:style>
  <w:style w:type="table" w:customStyle="1" w:styleId="162">
    <w:name w:val="Grid Table 2 - Accent 1"/>
    <w:qFormat/>
    <w:uiPriority w:val="99"/>
    <w:tblPr>
      <w:tblCellMar>
        <w:top w:w="0" w:type="dxa"/>
        <w:left w:w="0" w:type="dxa"/>
        <w:bottom w:w="0" w:type="dxa"/>
        <w:right w:w="0" w:type="dxa"/>
      </w:tblCellMar>
    </w:tblPr>
  </w:style>
  <w:style w:type="table" w:customStyle="1" w:styleId="163">
    <w:name w:val="Grid Table 2 - Accent 2"/>
    <w:qFormat/>
    <w:uiPriority w:val="99"/>
    <w:tblPr>
      <w:tblCellMar>
        <w:top w:w="0" w:type="dxa"/>
        <w:left w:w="0" w:type="dxa"/>
        <w:bottom w:w="0" w:type="dxa"/>
        <w:right w:w="0" w:type="dxa"/>
      </w:tblCellMar>
    </w:tblPr>
  </w:style>
  <w:style w:type="table" w:customStyle="1" w:styleId="164">
    <w:name w:val="Grid Table 2 - Accent 3"/>
    <w:qFormat/>
    <w:uiPriority w:val="99"/>
    <w:tblPr>
      <w:tblCellMar>
        <w:top w:w="0" w:type="dxa"/>
        <w:left w:w="0" w:type="dxa"/>
        <w:bottom w:w="0" w:type="dxa"/>
        <w:right w:w="0" w:type="dxa"/>
      </w:tblCellMar>
    </w:tblPr>
  </w:style>
  <w:style w:type="table" w:customStyle="1" w:styleId="165">
    <w:name w:val="Grid Table 2 - Accent 4"/>
    <w:qFormat/>
    <w:uiPriority w:val="99"/>
    <w:tblPr>
      <w:tblCellMar>
        <w:top w:w="0" w:type="dxa"/>
        <w:left w:w="0" w:type="dxa"/>
        <w:bottom w:w="0" w:type="dxa"/>
        <w:right w:w="0" w:type="dxa"/>
      </w:tblCellMar>
    </w:tblPr>
  </w:style>
  <w:style w:type="table" w:customStyle="1" w:styleId="166">
    <w:name w:val="Grid Table 2 - Accent 5"/>
    <w:qFormat/>
    <w:uiPriority w:val="99"/>
    <w:tblPr>
      <w:tblCellMar>
        <w:top w:w="0" w:type="dxa"/>
        <w:left w:w="0" w:type="dxa"/>
        <w:bottom w:w="0" w:type="dxa"/>
        <w:right w:w="0" w:type="dxa"/>
      </w:tblCellMar>
    </w:tblPr>
  </w:style>
  <w:style w:type="table" w:customStyle="1" w:styleId="167">
    <w:name w:val="Grid Table 2 - Accent 6"/>
    <w:qFormat/>
    <w:uiPriority w:val="99"/>
    <w:tblPr>
      <w:tblCellMar>
        <w:top w:w="0" w:type="dxa"/>
        <w:left w:w="0" w:type="dxa"/>
        <w:bottom w:w="0" w:type="dxa"/>
        <w:right w:w="0" w:type="dxa"/>
      </w:tblCellMar>
    </w:tblPr>
  </w:style>
  <w:style w:type="table" w:customStyle="1" w:styleId="168">
    <w:name w:val="Grid Table 3 - Accent 1"/>
    <w:qFormat/>
    <w:uiPriority w:val="99"/>
    <w:tblPr>
      <w:tblCellMar>
        <w:top w:w="0" w:type="dxa"/>
        <w:left w:w="0" w:type="dxa"/>
        <w:bottom w:w="0" w:type="dxa"/>
        <w:right w:w="0" w:type="dxa"/>
      </w:tblCellMar>
    </w:tblPr>
  </w:style>
  <w:style w:type="table" w:customStyle="1" w:styleId="169">
    <w:name w:val="Grid Table 3 - Accent 2"/>
    <w:qFormat/>
    <w:uiPriority w:val="99"/>
    <w:tblPr>
      <w:tblCellMar>
        <w:top w:w="0" w:type="dxa"/>
        <w:left w:w="0" w:type="dxa"/>
        <w:bottom w:w="0" w:type="dxa"/>
        <w:right w:w="0" w:type="dxa"/>
      </w:tblCellMar>
    </w:tblPr>
  </w:style>
  <w:style w:type="table" w:customStyle="1" w:styleId="170">
    <w:name w:val="Grid Table 3 - Accent 3"/>
    <w:qFormat/>
    <w:uiPriority w:val="99"/>
    <w:tblPr>
      <w:tblCellMar>
        <w:top w:w="0" w:type="dxa"/>
        <w:left w:w="0" w:type="dxa"/>
        <w:bottom w:w="0" w:type="dxa"/>
        <w:right w:w="0" w:type="dxa"/>
      </w:tblCellMar>
    </w:tblPr>
  </w:style>
  <w:style w:type="table" w:customStyle="1" w:styleId="171">
    <w:name w:val="Grid Table 3 - Accent 4"/>
    <w:qFormat/>
    <w:uiPriority w:val="99"/>
    <w:tblPr>
      <w:tblCellMar>
        <w:top w:w="0" w:type="dxa"/>
        <w:left w:w="0" w:type="dxa"/>
        <w:bottom w:w="0" w:type="dxa"/>
        <w:right w:w="0" w:type="dxa"/>
      </w:tblCellMar>
    </w:tblPr>
  </w:style>
  <w:style w:type="table" w:customStyle="1" w:styleId="172">
    <w:name w:val="Grid Table 3 - Accent 5"/>
    <w:qFormat/>
    <w:uiPriority w:val="99"/>
    <w:tblPr>
      <w:tblCellMar>
        <w:top w:w="0" w:type="dxa"/>
        <w:left w:w="0" w:type="dxa"/>
        <w:bottom w:w="0" w:type="dxa"/>
        <w:right w:w="0" w:type="dxa"/>
      </w:tblCellMar>
    </w:tblPr>
  </w:style>
  <w:style w:type="table" w:customStyle="1" w:styleId="173">
    <w:name w:val="Grid Table 3 - Accent 6"/>
    <w:qFormat/>
    <w:uiPriority w:val="99"/>
    <w:tblPr>
      <w:tblCellMar>
        <w:top w:w="0" w:type="dxa"/>
        <w:left w:w="0" w:type="dxa"/>
        <w:bottom w:w="0" w:type="dxa"/>
        <w:right w:w="0" w:type="dxa"/>
      </w:tblCellMar>
    </w:tblPr>
  </w:style>
  <w:style w:type="table" w:customStyle="1" w:styleId="174">
    <w:name w:val="Grid Table 4 - Accent 1"/>
    <w:qFormat/>
    <w:uiPriority w:val="59"/>
    <w:tblPr>
      <w:tblCellMar>
        <w:top w:w="0" w:type="dxa"/>
        <w:left w:w="0" w:type="dxa"/>
        <w:bottom w:w="0" w:type="dxa"/>
        <w:right w:w="0" w:type="dxa"/>
      </w:tblCellMar>
    </w:tblPr>
  </w:style>
  <w:style w:type="table" w:customStyle="1" w:styleId="175">
    <w:name w:val="Grid Table 4 - Accent 2"/>
    <w:qFormat/>
    <w:uiPriority w:val="59"/>
    <w:tblPr>
      <w:tblCellMar>
        <w:top w:w="0" w:type="dxa"/>
        <w:left w:w="0" w:type="dxa"/>
        <w:bottom w:w="0" w:type="dxa"/>
        <w:right w:w="0" w:type="dxa"/>
      </w:tblCellMar>
    </w:tblPr>
  </w:style>
  <w:style w:type="table" w:customStyle="1" w:styleId="176">
    <w:name w:val="Grid Table 4 - Accent 3"/>
    <w:qFormat/>
    <w:uiPriority w:val="59"/>
    <w:tblPr>
      <w:tblCellMar>
        <w:top w:w="0" w:type="dxa"/>
        <w:left w:w="0" w:type="dxa"/>
        <w:bottom w:w="0" w:type="dxa"/>
        <w:right w:w="0" w:type="dxa"/>
      </w:tblCellMar>
    </w:tblPr>
  </w:style>
  <w:style w:type="table" w:customStyle="1" w:styleId="177">
    <w:name w:val="Grid Table 4 - Accent 4"/>
    <w:qFormat/>
    <w:uiPriority w:val="59"/>
    <w:tblPr>
      <w:tblCellMar>
        <w:top w:w="0" w:type="dxa"/>
        <w:left w:w="0" w:type="dxa"/>
        <w:bottom w:w="0" w:type="dxa"/>
        <w:right w:w="0" w:type="dxa"/>
      </w:tblCellMar>
    </w:tblPr>
  </w:style>
  <w:style w:type="table" w:customStyle="1" w:styleId="178">
    <w:name w:val="Grid Table 4 - Accent 5"/>
    <w:qFormat/>
    <w:uiPriority w:val="59"/>
    <w:tblPr>
      <w:tblCellMar>
        <w:top w:w="0" w:type="dxa"/>
        <w:left w:w="0" w:type="dxa"/>
        <w:bottom w:w="0" w:type="dxa"/>
        <w:right w:w="0" w:type="dxa"/>
      </w:tblCellMar>
    </w:tblPr>
  </w:style>
  <w:style w:type="table" w:customStyle="1" w:styleId="179">
    <w:name w:val="Grid Table 4 - Accent 6"/>
    <w:qFormat/>
    <w:uiPriority w:val="59"/>
    <w:tblPr>
      <w:tblCellMar>
        <w:top w:w="0" w:type="dxa"/>
        <w:left w:w="0" w:type="dxa"/>
        <w:bottom w:w="0" w:type="dxa"/>
        <w:right w:w="0" w:type="dxa"/>
      </w:tblCellMar>
    </w:tblPr>
  </w:style>
  <w:style w:type="table" w:customStyle="1" w:styleId="180">
    <w:name w:val="Grid Table 5 Dark- Accent 1"/>
    <w:qFormat/>
    <w:uiPriority w:val="99"/>
    <w:tblPr>
      <w:tblCellMar>
        <w:top w:w="0" w:type="dxa"/>
        <w:left w:w="0" w:type="dxa"/>
        <w:bottom w:w="0" w:type="dxa"/>
        <w:right w:w="0" w:type="dxa"/>
      </w:tblCellMar>
    </w:tblPr>
  </w:style>
  <w:style w:type="table" w:customStyle="1" w:styleId="181">
    <w:name w:val="Grid Table 5 Dark - Accent 2"/>
    <w:qFormat/>
    <w:uiPriority w:val="99"/>
    <w:tblPr>
      <w:tblCellMar>
        <w:top w:w="0" w:type="dxa"/>
        <w:left w:w="0" w:type="dxa"/>
        <w:bottom w:w="0" w:type="dxa"/>
        <w:right w:w="0" w:type="dxa"/>
      </w:tblCellMar>
    </w:tblPr>
  </w:style>
  <w:style w:type="table" w:customStyle="1" w:styleId="182">
    <w:name w:val="Grid Table 5 Dark - Accent 3"/>
    <w:qFormat/>
    <w:uiPriority w:val="99"/>
    <w:tblPr>
      <w:tblCellMar>
        <w:top w:w="0" w:type="dxa"/>
        <w:left w:w="0" w:type="dxa"/>
        <w:bottom w:w="0" w:type="dxa"/>
        <w:right w:w="0" w:type="dxa"/>
      </w:tblCellMar>
    </w:tblPr>
  </w:style>
  <w:style w:type="table" w:customStyle="1" w:styleId="183">
    <w:name w:val="Grid Table 5 Dark- Accent 4"/>
    <w:qFormat/>
    <w:uiPriority w:val="99"/>
    <w:tblPr>
      <w:tblCellMar>
        <w:top w:w="0" w:type="dxa"/>
        <w:left w:w="0" w:type="dxa"/>
        <w:bottom w:w="0" w:type="dxa"/>
        <w:right w:w="0" w:type="dxa"/>
      </w:tblCellMar>
    </w:tblPr>
  </w:style>
  <w:style w:type="table" w:customStyle="1" w:styleId="184">
    <w:name w:val="Grid Table 5 Dark - Accent 5"/>
    <w:qFormat/>
    <w:uiPriority w:val="99"/>
    <w:tblPr>
      <w:tblCellMar>
        <w:top w:w="0" w:type="dxa"/>
        <w:left w:w="0" w:type="dxa"/>
        <w:bottom w:w="0" w:type="dxa"/>
        <w:right w:w="0" w:type="dxa"/>
      </w:tblCellMar>
    </w:tblPr>
  </w:style>
  <w:style w:type="table" w:customStyle="1" w:styleId="185">
    <w:name w:val="Grid Table 5 Dark - Accent 6"/>
    <w:qFormat/>
    <w:uiPriority w:val="99"/>
    <w:tblPr>
      <w:tblCellMar>
        <w:top w:w="0" w:type="dxa"/>
        <w:left w:w="0" w:type="dxa"/>
        <w:bottom w:w="0" w:type="dxa"/>
        <w:right w:w="0" w:type="dxa"/>
      </w:tblCellMar>
    </w:tblPr>
  </w:style>
  <w:style w:type="table" w:customStyle="1" w:styleId="186">
    <w:name w:val="Grid Table 6 Colorful - Accent 1"/>
    <w:qFormat/>
    <w:uiPriority w:val="99"/>
    <w:tblPr>
      <w:tblCellMar>
        <w:top w:w="0" w:type="dxa"/>
        <w:left w:w="0" w:type="dxa"/>
        <w:bottom w:w="0" w:type="dxa"/>
        <w:right w:w="0" w:type="dxa"/>
      </w:tblCellMar>
    </w:tblPr>
  </w:style>
  <w:style w:type="table" w:customStyle="1" w:styleId="187">
    <w:name w:val="Grid Table 6 Colorful - Accent 2"/>
    <w:qFormat/>
    <w:uiPriority w:val="99"/>
    <w:tblPr>
      <w:tblCellMar>
        <w:top w:w="0" w:type="dxa"/>
        <w:left w:w="0" w:type="dxa"/>
        <w:bottom w:w="0" w:type="dxa"/>
        <w:right w:w="0" w:type="dxa"/>
      </w:tblCellMar>
    </w:tblPr>
  </w:style>
  <w:style w:type="table" w:customStyle="1" w:styleId="188">
    <w:name w:val="Grid Table 6 Colorful - Accent 3"/>
    <w:qFormat/>
    <w:uiPriority w:val="99"/>
    <w:tblPr>
      <w:tblCellMar>
        <w:top w:w="0" w:type="dxa"/>
        <w:left w:w="0" w:type="dxa"/>
        <w:bottom w:w="0" w:type="dxa"/>
        <w:right w:w="0" w:type="dxa"/>
      </w:tblCellMar>
    </w:tblPr>
  </w:style>
  <w:style w:type="table" w:customStyle="1" w:styleId="189">
    <w:name w:val="Grid Table 6 Colorful - Accent 4"/>
    <w:qFormat/>
    <w:uiPriority w:val="99"/>
    <w:tblPr>
      <w:tblCellMar>
        <w:top w:w="0" w:type="dxa"/>
        <w:left w:w="0" w:type="dxa"/>
        <w:bottom w:w="0" w:type="dxa"/>
        <w:right w:w="0" w:type="dxa"/>
      </w:tblCellMar>
    </w:tblPr>
  </w:style>
  <w:style w:type="table" w:customStyle="1" w:styleId="190">
    <w:name w:val="Grid Table 6 Colorful - Accent 5"/>
    <w:qFormat/>
    <w:uiPriority w:val="99"/>
    <w:tblPr>
      <w:tblCellMar>
        <w:top w:w="0" w:type="dxa"/>
        <w:left w:w="0" w:type="dxa"/>
        <w:bottom w:w="0" w:type="dxa"/>
        <w:right w:w="0" w:type="dxa"/>
      </w:tblCellMar>
    </w:tblPr>
  </w:style>
  <w:style w:type="table" w:customStyle="1" w:styleId="191">
    <w:name w:val="Grid Table 6 Colorful - Accent 6"/>
    <w:qFormat/>
    <w:uiPriority w:val="99"/>
    <w:tblPr>
      <w:tblCellMar>
        <w:top w:w="0" w:type="dxa"/>
        <w:left w:w="0" w:type="dxa"/>
        <w:bottom w:w="0" w:type="dxa"/>
        <w:right w:w="0" w:type="dxa"/>
      </w:tblCellMar>
    </w:tblPr>
  </w:style>
  <w:style w:type="table" w:customStyle="1" w:styleId="192">
    <w:name w:val="Grid Table 7 Colorful - Accent 1"/>
    <w:qFormat/>
    <w:uiPriority w:val="99"/>
    <w:tblPr>
      <w:tblCellMar>
        <w:top w:w="0" w:type="dxa"/>
        <w:left w:w="0" w:type="dxa"/>
        <w:bottom w:w="0" w:type="dxa"/>
        <w:right w:w="0" w:type="dxa"/>
      </w:tblCellMar>
    </w:tblPr>
  </w:style>
  <w:style w:type="table" w:customStyle="1" w:styleId="193">
    <w:name w:val="Grid Table 7 Colorful - Accent 2"/>
    <w:qFormat/>
    <w:uiPriority w:val="99"/>
    <w:tblPr>
      <w:tblCellMar>
        <w:top w:w="0" w:type="dxa"/>
        <w:left w:w="0" w:type="dxa"/>
        <w:bottom w:w="0" w:type="dxa"/>
        <w:right w:w="0" w:type="dxa"/>
      </w:tblCellMar>
    </w:tblPr>
  </w:style>
  <w:style w:type="table" w:customStyle="1" w:styleId="194">
    <w:name w:val="Grid Table 7 Colorful - Accent 3"/>
    <w:qFormat/>
    <w:uiPriority w:val="99"/>
    <w:tblPr>
      <w:tblCellMar>
        <w:top w:w="0" w:type="dxa"/>
        <w:left w:w="0" w:type="dxa"/>
        <w:bottom w:w="0" w:type="dxa"/>
        <w:right w:w="0" w:type="dxa"/>
      </w:tblCellMar>
    </w:tblPr>
  </w:style>
  <w:style w:type="table" w:customStyle="1" w:styleId="195">
    <w:name w:val="Grid Table 7 Colorful - Accent 4"/>
    <w:qFormat/>
    <w:uiPriority w:val="99"/>
    <w:tblPr>
      <w:tblCellMar>
        <w:top w:w="0" w:type="dxa"/>
        <w:left w:w="0" w:type="dxa"/>
        <w:bottom w:w="0" w:type="dxa"/>
        <w:right w:w="0" w:type="dxa"/>
      </w:tblCellMar>
    </w:tblPr>
  </w:style>
  <w:style w:type="table" w:customStyle="1" w:styleId="196">
    <w:name w:val="Grid Table 7 Colorful - Accent 5"/>
    <w:qFormat/>
    <w:uiPriority w:val="99"/>
    <w:tblPr>
      <w:tblCellMar>
        <w:top w:w="0" w:type="dxa"/>
        <w:left w:w="0" w:type="dxa"/>
        <w:bottom w:w="0" w:type="dxa"/>
        <w:right w:w="0" w:type="dxa"/>
      </w:tblCellMar>
    </w:tblPr>
  </w:style>
  <w:style w:type="table" w:customStyle="1" w:styleId="197">
    <w:name w:val="Grid Table 7 Colorful - Accent 6"/>
    <w:qFormat/>
    <w:uiPriority w:val="99"/>
    <w:tblPr>
      <w:tblCellMar>
        <w:top w:w="0" w:type="dxa"/>
        <w:left w:w="0" w:type="dxa"/>
        <w:bottom w:w="0" w:type="dxa"/>
        <w:right w:w="0" w:type="dxa"/>
      </w:tblCellMar>
    </w:tblPr>
  </w:style>
  <w:style w:type="table" w:customStyle="1" w:styleId="198">
    <w:name w:val="List Table 1 Light - Accent 1"/>
    <w:qFormat/>
    <w:uiPriority w:val="99"/>
    <w:tblPr>
      <w:tblCellMar>
        <w:top w:w="0" w:type="dxa"/>
        <w:left w:w="0" w:type="dxa"/>
        <w:bottom w:w="0" w:type="dxa"/>
        <w:right w:w="0" w:type="dxa"/>
      </w:tblCellMar>
    </w:tblPr>
  </w:style>
  <w:style w:type="table" w:customStyle="1" w:styleId="199">
    <w:name w:val="List Table 1 Light - Accent 2"/>
    <w:qFormat/>
    <w:uiPriority w:val="99"/>
    <w:tblPr>
      <w:tblCellMar>
        <w:top w:w="0" w:type="dxa"/>
        <w:left w:w="0" w:type="dxa"/>
        <w:bottom w:w="0" w:type="dxa"/>
        <w:right w:w="0" w:type="dxa"/>
      </w:tblCellMar>
    </w:tblPr>
  </w:style>
  <w:style w:type="table" w:customStyle="1" w:styleId="200">
    <w:name w:val="List Table 1 Light - Accent 3"/>
    <w:qFormat/>
    <w:uiPriority w:val="99"/>
    <w:tblPr>
      <w:tblCellMar>
        <w:top w:w="0" w:type="dxa"/>
        <w:left w:w="0" w:type="dxa"/>
        <w:bottom w:w="0" w:type="dxa"/>
        <w:right w:w="0" w:type="dxa"/>
      </w:tblCellMar>
    </w:tblPr>
  </w:style>
  <w:style w:type="table" w:customStyle="1" w:styleId="201">
    <w:name w:val="List Table 1 Light - Accent 4"/>
    <w:qFormat/>
    <w:uiPriority w:val="99"/>
    <w:tblPr>
      <w:tblCellMar>
        <w:top w:w="0" w:type="dxa"/>
        <w:left w:w="0" w:type="dxa"/>
        <w:bottom w:w="0" w:type="dxa"/>
        <w:right w:w="0" w:type="dxa"/>
      </w:tblCellMar>
    </w:tblPr>
  </w:style>
  <w:style w:type="table" w:customStyle="1" w:styleId="202">
    <w:name w:val="List Table 1 Light - Accent 5"/>
    <w:qFormat/>
    <w:uiPriority w:val="99"/>
    <w:tblPr>
      <w:tblCellMar>
        <w:top w:w="0" w:type="dxa"/>
        <w:left w:w="0" w:type="dxa"/>
        <w:bottom w:w="0" w:type="dxa"/>
        <w:right w:w="0" w:type="dxa"/>
      </w:tblCellMar>
    </w:tblPr>
  </w:style>
  <w:style w:type="table" w:customStyle="1" w:styleId="203">
    <w:name w:val="List Table 1 Light - Accent 6"/>
    <w:qFormat/>
    <w:uiPriority w:val="99"/>
    <w:tblPr>
      <w:tblCellMar>
        <w:top w:w="0" w:type="dxa"/>
        <w:left w:w="0" w:type="dxa"/>
        <w:bottom w:w="0" w:type="dxa"/>
        <w:right w:w="0" w:type="dxa"/>
      </w:tblCellMar>
    </w:tblPr>
  </w:style>
  <w:style w:type="table" w:customStyle="1" w:styleId="204">
    <w:name w:val="List Table 2 - Accent 1"/>
    <w:qFormat/>
    <w:uiPriority w:val="99"/>
    <w:tblPr>
      <w:tblCellMar>
        <w:top w:w="0" w:type="dxa"/>
        <w:left w:w="0" w:type="dxa"/>
        <w:bottom w:w="0" w:type="dxa"/>
        <w:right w:w="0" w:type="dxa"/>
      </w:tblCellMar>
    </w:tblPr>
  </w:style>
  <w:style w:type="table" w:customStyle="1" w:styleId="205">
    <w:name w:val="List Table 2 - Accent 2"/>
    <w:qFormat/>
    <w:uiPriority w:val="99"/>
    <w:tblPr>
      <w:tblCellMar>
        <w:top w:w="0" w:type="dxa"/>
        <w:left w:w="0" w:type="dxa"/>
        <w:bottom w:w="0" w:type="dxa"/>
        <w:right w:w="0" w:type="dxa"/>
      </w:tblCellMar>
    </w:tblPr>
  </w:style>
  <w:style w:type="table" w:customStyle="1" w:styleId="206">
    <w:name w:val="List Table 2 - Accent 3"/>
    <w:qFormat/>
    <w:uiPriority w:val="99"/>
    <w:tblPr>
      <w:tblCellMar>
        <w:top w:w="0" w:type="dxa"/>
        <w:left w:w="0" w:type="dxa"/>
        <w:bottom w:w="0" w:type="dxa"/>
        <w:right w:w="0" w:type="dxa"/>
      </w:tblCellMar>
    </w:tblPr>
  </w:style>
  <w:style w:type="table" w:customStyle="1" w:styleId="207">
    <w:name w:val="List Table 2 - Accent 4"/>
    <w:qFormat/>
    <w:uiPriority w:val="99"/>
    <w:tblPr>
      <w:tblCellMar>
        <w:top w:w="0" w:type="dxa"/>
        <w:left w:w="0" w:type="dxa"/>
        <w:bottom w:w="0" w:type="dxa"/>
        <w:right w:w="0" w:type="dxa"/>
      </w:tblCellMar>
    </w:tblPr>
  </w:style>
  <w:style w:type="table" w:customStyle="1" w:styleId="208">
    <w:name w:val="List Table 2 - Accent 5"/>
    <w:qFormat/>
    <w:uiPriority w:val="99"/>
    <w:tblPr>
      <w:tblCellMar>
        <w:top w:w="0" w:type="dxa"/>
        <w:left w:w="0" w:type="dxa"/>
        <w:bottom w:w="0" w:type="dxa"/>
        <w:right w:w="0" w:type="dxa"/>
      </w:tblCellMar>
    </w:tblPr>
  </w:style>
  <w:style w:type="table" w:customStyle="1" w:styleId="209">
    <w:name w:val="List Table 2 - Accent 6"/>
    <w:qFormat/>
    <w:uiPriority w:val="99"/>
    <w:tblPr>
      <w:tblCellMar>
        <w:top w:w="0" w:type="dxa"/>
        <w:left w:w="0" w:type="dxa"/>
        <w:bottom w:w="0" w:type="dxa"/>
        <w:right w:w="0" w:type="dxa"/>
      </w:tblCellMar>
    </w:tblPr>
  </w:style>
  <w:style w:type="table" w:customStyle="1" w:styleId="210">
    <w:name w:val="List Table 3 - Accent 1"/>
    <w:qFormat/>
    <w:uiPriority w:val="99"/>
    <w:tblPr>
      <w:tblCellMar>
        <w:top w:w="0" w:type="dxa"/>
        <w:left w:w="0" w:type="dxa"/>
        <w:bottom w:w="0" w:type="dxa"/>
        <w:right w:w="0" w:type="dxa"/>
      </w:tblCellMar>
    </w:tblPr>
  </w:style>
  <w:style w:type="table" w:customStyle="1" w:styleId="211">
    <w:name w:val="List Table 3 - Accent 2"/>
    <w:qFormat/>
    <w:uiPriority w:val="99"/>
    <w:tblPr>
      <w:tblCellMar>
        <w:top w:w="0" w:type="dxa"/>
        <w:left w:w="0" w:type="dxa"/>
        <w:bottom w:w="0" w:type="dxa"/>
        <w:right w:w="0" w:type="dxa"/>
      </w:tblCellMar>
    </w:tblPr>
  </w:style>
  <w:style w:type="table" w:customStyle="1" w:styleId="212">
    <w:name w:val="List Table 3 - Accent 3"/>
    <w:qFormat/>
    <w:uiPriority w:val="99"/>
    <w:tblPr>
      <w:tblCellMar>
        <w:top w:w="0" w:type="dxa"/>
        <w:left w:w="0" w:type="dxa"/>
        <w:bottom w:w="0" w:type="dxa"/>
        <w:right w:w="0" w:type="dxa"/>
      </w:tblCellMar>
    </w:tblPr>
  </w:style>
  <w:style w:type="table" w:customStyle="1" w:styleId="213">
    <w:name w:val="List Table 3 - Accent 4"/>
    <w:qFormat/>
    <w:uiPriority w:val="99"/>
    <w:tblPr>
      <w:tblCellMar>
        <w:top w:w="0" w:type="dxa"/>
        <w:left w:w="0" w:type="dxa"/>
        <w:bottom w:w="0" w:type="dxa"/>
        <w:right w:w="0" w:type="dxa"/>
      </w:tblCellMar>
    </w:tblPr>
  </w:style>
  <w:style w:type="table" w:customStyle="1" w:styleId="214">
    <w:name w:val="List Table 3 - Accent 5"/>
    <w:qFormat/>
    <w:uiPriority w:val="99"/>
    <w:tblPr>
      <w:tblCellMar>
        <w:top w:w="0" w:type="dxa"/>
        <w:left w:w="0" w:type="dxa"/>
        <w:bottom w:w="0" w:type="dxa"/>
        <w:right w:w="0" w:type="dxa"/>
      </w:tblCellMar>
    </w:tblPr>
  </w:style>
  <w:style w:type="table" w:customStyle="1" w:styleId="215">
    <w:name w:val="List Table 3 - Accent 6"/>
    <w:qFormat/>
    <w:uiPriority w:val="99"/>
    <w:tblPr>
      <w:tblCellMar>
        <w:top w:w="0" w:type="dxa"/>
        <w:left w:w="0" w:type="dxa"/>
        <w:bottom w:w="0" w:type="dxa"/>
        <w:right w:w="0" w:type="dxa"/>
      </w:tblCellMar>
    </w:tblPr>
  </w:style>
  <w:style w:type="table" w:customStyle="1" w:styleId="216">
    <w:name w:val="List Table 4 - Accent 1"/>
    <w:qFormat/>
    <w:uiPriority w:val="99"/>
    <w:tblPr>
      <w:tblCellMar>
        <w:top w:w="0" w:type="dxa"/>
        <w:left w:w="0" w:type="dxa"/>
        <w:bottom w:w="0" w:type="dxa"/>
        <w:right w:w="0" w:type="dxa"/>
      </w:tblCellMar>
    </w:tblPr>
  </w:style>
  <w:style w:type="table" w:customStyle="1" w:styleId="217">
    <w:name w:val="List Table 4 - Accent 2"/>
    <w:qFormat/>
    <w:uiPriority w:val="99"/>
    <w:tblPr>
      <w:tblCellMar>
        <w:top w:w="0" w:type="dxa"/>
        <w:left w:w="0" w:type="dxa"/>
        <w:bottom w:w="0" w:type="dxa"/>
        <w:right w:w="0" w:type="dxa"/>
      </w:tblCellMar>
    </w:tblPr>
  </w:style>
  <w:style w:type="table" w:customStyle="1" w:styleId="218">
    <w:name w:val="List Table 4 - Accent 3"/>
    <w:qFormat/>
    <w:uiPriority w:val="99"/>
    <w:tblPr>
      <w:tblCellMar>
        <w:top w:w="0" w:type="dxa"/>
        <w:left w:w="0" w:type="dxa"/>
        <w:bottom w:w="0" w:type="dxa"/>
        <w:right w:w="0" w:type="dxa"/>
      </w:tblCellMar>
    </w:tblPr>
  </w:style>
  <w:style w:type="table" w:customStyle="1" w:styleId="219">
    <w:name w:val="List Table 4 - Accent 4"/>
    <w:qFormat/>
    <w:uiPriority w:val="99"/>
    <w:tblPr>
      <w:tblCellMar>
        <w:top w:w="0" w:type="dxa"/>
        <w:left w:w="0" w:type="dxa"/>
        <w:bottom w:w="0" w:type="dxa"/>
        <w:right w:w="0" w:type="dxa"/>
      </w:tblCellMar>
    </w:tblPr>
  </w:style>
  <w:style w:type="table" w:customStyle="1" w:styleId="220">
    <w:name w:val="List Table 4 - Accent 5"/>
    <w:qFormat/>
    <w:uiPriority w:val="99"/>
    <w:tblPr>
      <w:tblCellMar>
        <w:top w:w="0" w:type="dxa"/>
        <w:left w:w="0" w:type="dxa"/>
        <w:bottom w:w="0" w:type="dxa"/>
        <w:right w:w="0" w:type="dxa"/>
      </w:tblCellMar>
    </w:tblPr>
  </w:style>
  <w:style w:type="table" w:customStyle="1" w:styleId="221">
    <w:name w:val="List Table 4 - Accent 6"/>
    <w:qFormat/>
    <w:uiPriority w:val="99"/>
    <w:tblPr>
      <w:tblCellMar>
        <w:top w:w="0" w:type="dxa"/>
        <w:left w:w="0" w:type="dxa"/>
        <w:bottom w:w="0" w:type="dxa"/>
        <w:right w:w="0" w:type="dxa"/>
      </w:tblCellMar>
    </w:tblPr>
  </w:style>
  <w:style w:type="table" w:customStyle="1" w:styleId="222">
    <w:name w:val="List Table 5 Dark - Accent 1"/>
    <w:qFormat/>
    <w:uiPriority w:val="99"/>
    <w:tblPr>
      <w:tblCellMar>
        <w:top w:w="0" w:type="dxa"/>
        <w:left w:w="0" w:type="dxa"/>
        <w:bottom w:w="0" w:type="dxa"/>
        <w:right w:w="0" w:type="dxa"/>
      </w:tblCellMar>
    </w:tblPr>
  </w:style>
  <w:style w:type="table" w:customStyle="1" w:styleId="223">
    <w:name w:val="List Table 5 Dark - Accent 2"/>
    <w:qFormat/>
    <w:uiPriority w:val="99"/>
    <w:tblPr>
      <w:tblCellMar>
        <w:top w:w="0" w:type="dxa"/>
        <w:left w:w="0" w:type="dxa"/>
        <w:bottom w:w="0" w:type="dxa"/>
        <w:right w:w="0" w:type="dxa"/>
      </w:tblCellMar>
    </w:tblPr>
  </w:style>
  <w:style w:type="table" w:customStyle="1" w:styleId="224">
    <w:name w:val="List Table 5 Dark - Accent 3"/>
    <w:qFormat/>
    <w:uiPriority w:val="99"/>
    <w:tblPr>
      <w:tblCellMar>
        <w:top w:w="0" w:type="dxa"/>
        <w:left w:w="0" w:type="dxa"/>
        <w:bottom w:w="0" w:type="dxa"/>
        <w:right w:w="0" w:type="dxa"/>
      </w:tblCellMar>
    </w:tblPr>
  </w:style>
  <w:style w:type="table" w:customStyle="1" w:styleId="225">
    <w:name w:val="List Table 5 Dark - Accent 4"/>
    <w:qFormat/>
    <w:uiPriority w:val="99"/>
    <w:tblPr>
      <w:tblCellMar>
        <w:top w:w="0" w:type="dxa"/>
        <w:left w:w="0" w:type="dxa"/>
        <w:bottom w:w="0" w:type="dxa"/>
        <w:right w:w="0" w:type="dxa"/>
      </w:tblCellMar>
    </w:tblPr>
  </w:style>
  <w:style w:type="table" w:customStyle="1" w:styleId="226">
    <w:name w:val="List Table 5 Dark - Accent 5"/>
    <w:qFormat/>
    <w:uiPriority w:val="99"/>
    <w:tblPr>
      <w:tblCellMar>
        <w:top w:w="0" w:type="dxa"/>
        <w:left w:w="0" w:type="dxa"/>
        <w:bottom w:w="0" w:type="dxa"/>
        <w:right w:w="0" w:type="dxa"/>
      </w:tblCellMar>
    </w:tblPr>
  </w:style>
  <w:style w:type="table" w:customStyle="1" w:styleId="227">
    <w:name w:val="List Table 5 Dark - Accent 6"/>
    <w:qFormat/>
    <w:uiPriority w:val="99"/>
    <w:tblPr>
      <w:tblCellMar>
        <w:top w:w="0" w:type="dxa"/>
        <w:left w:w="0" w:type="dxa"/>
        <w:bottom w:w="0" w:type="dxa"/>
        <w:right w:w="0" w:type="dxa"/>
      </w:tblCellMar>
    </w:tblPr>
  </w:style>
  <w:style w:type="table" w:customStyle="1" w:styleId="228">
    <w:name w:val="List Table 6 Colorful - Accent 1"/>
    <w:qFormat/>
    <w:uiPriority w:val="99"/>
    <w:tblPr>
      <w:tblCellMar>
        <w:top w:w="0" w:type="dxa"/>
        <w:left w:w="0" w:type="dxa"/>
        <w:bottom w:w="0" w:type="dxa"/>
        <w:right w:w="0" w:type="dxa"/>
      </w:tblCellMar>
    </w:tblPr>
  </w:style>
  <w:style w:type="table" w:customStyle="1" w:styleId="229">
    <w:name w:val="List Table 6 Colorful - Accent 2"/>
    <w:qFormat/>
    <w:uiPriority w:val="99"/>
    <w:tblPr>
      <w:tblCellMar>
        <w:top w:w="0" w:type="dxa"/>
        <w:left w:w="0" w:type="dxa"/>
        <w:bottom w:w="0" w:type="dxa"/>
        <w:right w:w="0" w:type="dxa"/>
      </w:tblCellMar>
    </w:tblPr>
  </w:style>
  <w:style w:type="table" w:customStyle="1" w:styleId="230">
    <w:name w:val="List Table 6 Colorful - Accent 3"/>
    <w:qFormat/>
    <w:uiPriority w:val="99"/>
    <w:tblPr>
      <w:tblCellMar>
        <w:top w:w="0" w:type="dxa"/>
        <w:left w:w="0" w:type="dxa"/>
        <w:bottom w:w="0" w:type="dxa"/>
        <w:right w:w="0" w:type="dxa"/>
      </w:tblCellMar>
    </w:tblPr>
  </w:style>
  <w:style w:type="table" w:customStyle="1" w:styleId="231">
    <w:name w:val="List Table 6 Colorful - Accent 4"/>
    <w:qFormat/>
    <w:uiPriority w:val="99"/>
    <w:tblPr>
      <w:tblCellMar>
        <w:top w:w="0" w:type="dxa"/>
        <w:left w:w="0" w:type="dxa"/>
        <w:bottom w:w="0" w:type="dxa"/>
        <w:right w:w="0" w:type="dxa"/>
      </w:tblCellMar>
    </w:tblPr>
  </w:style>
  <w:style w:type="table" w:customStyle="1" w:styleId="232">
    <w:name w:val="List Table 6 Colorful - Accent 5"/>
    <w:qFormat/>
    <w:uiPriority w:val="99"/>
    <w:tblPr>
      <w:tblCellMar>
        <w:top w:w="0" w:type="dxa"/>
        <w:left w:w="0" w:type="dxa"/>
        <w:bottom w:w="0" w:type="dxa"/>
        <w:right w:w="0" w:type="dxa"/>
      </w:tblCellMar>
    </w:tblPr>
  </w:style>
  <w:style w:type="table" w:customStyle="1" w:styleId="233">
    <w:name w:val="List Table 6 Colorful - Accent 6"/>
    <w:qFormat/>
    <w:uiPriority w:val="99"/>
    <w:tblPr>
      <w:tblCellMar>
        <w:top w:w="0" w:type="dxa"/>
        <w:left w:w="0" w:type="dxa"/>
        <w:bottom w:w="0" w:type="dxa"/>
        <w:right w:w="0" w:type="dxa"/>
      </w:tblCellMar>
    </w:tblPr>
  </w:style>
  <w:style w:type="table" w:customStyle="1" w:styleId="234">
    <w:name w:val="List Table 7 Colorful - Accent 1"/>
    <w:qFormat/>
    <w:uiPriority w:val="99"/>
    <w:tblPr>
      <w:tblCellMar>
        <w:top w:w="0" w:type="dxa"/>
        <w:left w:w="0" w:type="dxa"/>
        <w:bottom w:w="0" w:type="dxa"/>
        <w:right w:w="0" w:type="dxa"/>
      </w:tblCellMar>
    </w:tblPr>
  </w:style>
  <w:style w:type="table" w:customStyle="1" w:styleId="235">
    <w:name w:val="List Table 7 Colorful - Accent 2"/>
    <w:qFormat/>
    <w:uiPriority w:val="99"/>
    <w:tblPr>
      <w:tblCellMar>
        <w:top w:w="0" w:type="dxa"/>
        <w:left w:w="0" w:type="dxa"/>
        <w:bottom w:w="0" w:type="dxa"/>
        <w:right w:w="0" w:type="dxa"/>
      </w:tblCellMar>
    </w:tblPr>
  </w:style>
  <w:style w:type="table" w:customStyle="1" w:styleId="236">
    <w:name w:val="List Table 7 Colorful - Accent 3"/>
    <w:qFormat/>
    <w:uiPriority w:val="99"/>
    <w:tblPr>
      <w:tblCellMar>
        <w:top w:w="0" w:type="dxa"/>
        <w:left w:w="0" w:type="dxa"/>
        <w:bottom w:w="0" w:type="dxa"/>
        <w:right w:w="0" w:type="dxa"/>
      </w:tblCellMar>
    </w:tblPr>
  </w:style>
  <w:style w:type="table" w:customStyle="1" w:styleId="237">
    <w:name w:val="List Table 7 Colorful - Accent 4"/>
    <w:qFormat/>
    <w:uiPriority w:val="99"/>
    <w:tblPr>
      <w:tblCellMar>
        <w:top w:w="0" w:type="dxa"/>
        <w:left w:w="0" w:type="dxa"/>
        <w:bottom w:w="0" w:type="dxa"/>
        <w:right w:w="0" w:type="dxa"/>
      </w:tblCellMar>
    </w:tblPr>
  </w:style>
  <w:style w:type="table" w:customStyle="1" w:styleId="238">
    <w:name w:val="List Table 7 Colorful - Accent 5"/>
    <w:qFormat/>
    <w:uiPriority w:val="99"/>
    <w:tblPr>
      <w:tblCellMar>
        <w:top w:w="0" w:type="dxa"/>
        <w:left w:w="0" w:type="dxa"/>
        <w:bottom w:w="0" w:type="dxa"/>
        <w:right w:w="0" w:type="dxa"/>
      </w:tblCellMar>
    </w:tblPr>
  </w:style>
  <w:style w:type="table" w:customStyle="1" w:styleId="239">
    <w:name w:val="List Table 7 Colorful - Accent 6"/>
    <w:qFormat/>
    <w:uiPriority w:val="99"/>
    <w:tblPr>
      <w:tblCellMar>
        <w:top w:w="0" w:type="dxa"/>
        <w:left w:w="0" w:type="dxa"/>
        <w:bottom w:w="0" w:type="dxa"/>
        <w:right w:w="0" w:type="dxa"/>
      </w:tblCellMar>
    </w:tblPr>
  </w:style>
  <w:style w:type="table" w:customStyle="1" w:styleId="240">
    <w:name w:val="Lined - Accent"/>
    <w:qFormat/>
    <w:uiPriority w:val="99"/>
    <w:rPr>
      <w:color w:val="404040"/>
    </w:rPr>
    <w:tblPr>
      <w:tblCellMar>
        <w:top w:w="0" w:type="dxa"/>
        <w:left w:w="0" w:type="dxa"/>
        <w:bottom w:w="0" w:type="dxa"/>
        <w:right w:w="0" w:type="dxa"/>
      </w:tblCellMar>
    </w:tblPr>
  </w:style>
  <w:style w:type="table" w:customStyle="1" w:styleId="241">
    <w:name w:val="Lined - Accent 1"/>
    <w:qFormat/>
    <w:uiPriority w:val="99"/>
    <w:rPr>
      <w:color w:val="404040"/>
    </w:rPr>
    <w:tblPr>
      <w:tblCellMar>
        <w:top w:w="0" w:type="dxa"/>
        <w:left w:w="0" w:type="dxa"/>
        <w:bottom w:w="0" w:type="dxa"/>
        <w:right w:w="0" w:type="dxa"/>
      </w:tblCellMar>
    </w:tblPr>
  </w:style>
  <w:style w:type="table" w:customStyle="1" w:styleId="242">
    <w:name w:val="Lined - Accent 2"/>
    <w:qFormat/>
    <w:uiPriority w:val="99"/>
    <w:rPr>
      <w:color w:val="404040"/>
    </w:rPr>
    <w:tblPr>
      <w:tblCellMar>
        <w:top w:w="0" w:type="dxa"/>
        <w:left w:w="0" w:type="dxa"/>
        <w:bottom w:w="0" w:type="dxa"/>
        <w:right w:w="0" w:type="dxa"/>
      </w:tblCellMar>
    </w:tblPr>
  </w:style>
  <w:style w:type="table" w:customStyle="1" w:styleId="243">
    <w:name w:val="Lined - Accent 3"/>
    <w:qFormat/>
    <w:uiPriority w:val="99"/>
    <w:rPr>
      <w:color w:val="404040"/>
    </w:rPr>
    <w:tblPr>
      <w:tblCellMar>
        <w:top w:w="0" w:type="dxa"/>
        <w:left w:w="0" w:type="dxa"/>
        <w:bottom w:w="0" w:type="dxa"/>
        <w:right w:w="0" w:type="dxa"/>
      </w:tblCellMar>
    </w:tblPr>
  </w:style>
  <w:style w:type="table" w:customStyle="1" w:styleId="244">
    <w:name w:val="Lined - Accent 4"/>
    <w:qFormat/>
    <w:uiPriority w:val="99"/>
    <w:rPr>
      <w:color w:val="404040"/>
    </w:rPr>
    <w:tblPr>
      <w:tblCellMar>
        <w:top w:w="0" w:type="dxa"/>
        <w:left w:w="0" w:type="dxa"/>
        <w:bottom w:w="0" w:type="dxa"/>
        <w:right w:w="0" w:type="dxa"/>
      </w:tblCellMar>
    </w:tblPr>
  </w:style>
  <w:style w:type="table" w:customStyle="1" w:styleId="245">
    <w:name w:val="Lined - Accent 5"/>
    <w:qFormat/>
    <w:uiPriority w:val="99"/>
    <w:rPr>
      <w:color w:val="404040"/>
    </w:rPr>
    <w:tblPr>
      <w:tblCellMar>
        <w:top w:w="0" w:type="dxa"/>
        <w:left w:w="0" w:type="dxa"/>
        <w:bottom w:w="0" w:type="dxa"/>
        <w:right w:w="0" w:type="dxa"/>
      </w:tblCellMar>
    </w:tblPr>
  </w:style>
  <w:style w:type="table" w:customStyle="1" w:styleId="246">
    <w:name w:val="Lined - Accent 6"/>
    <w:qFormat/>
    <w:uiPriority w:val="99"/>
    <w:rPr>
      <w:color w:val="404040"/>
    </w:rPr>
    <w:tblPr>
      <w:tblCellMar>
        <w:top w:w="0" w:type="dxa"/>
        <w:left w:w="0" w:type="dxa"/>
        <w:bottom w:w="0" w:type="dxa"/>
        <w:right w:w="0" w:type="dxa"/>
      </w:tblCellMar>
    </w:tblPr>
  </w:style>
  <w:style w:type="table" w:customStyle="1" w:styleId="247">
    <w:name w:val="Bordered &amp; Lined - Accent"/>
    <w:qFormat/>
    <w:uiPriority w:val="99"/>
    <w:rPr>
      <w:color w:val="404040"/>
    </w:rPr>
    <w:tblPr>
      <w:tblCellMar>
        <w:top w:w="0" w:type="dxa"/>
        <w:left w:w="0" w:type="dxa"/>
        <w:bottom w:w="0" w:type="dxa"/>
        <w:right w:w="0" w:type="dxa"/>
      </w:tblCellMar>
    </w:tblPr>
  </w:style>
  <w:style w:type="table" w:customStyle="1" w:styleId="248">
    <w:name w:val="Bordered &amp; Lined - Accent 1"/>
    <w:qFormat/>
    <w:uiPriority w:val="99"/>
    <w:rPr>
      <w:color w:val="404040"/>
    </w:rPr>
    <w:tblPr>
      <w:tblCellMar>
        <w:top w:w="0" w:type="dxa"/>
        <w:left w:w="0" w:type="dxa"/>
        <w:bottom w:w="0" w:type="dxa"/>
        <w:right w:w="0" w:type="dxa"/>
      </w:tblCellMar>
    </w:tblPr>
  </w:style>
  <w:style w:type="table" w:customStyle="1" w:styleId="249">
    <w:name w:val="Bordered &amp; Lined - Accent 2"/>
    <w:qFormat/>
    <w:uiPriority w:val="99"/>
    <w:rPr>
      <w:color w:val="404040"/>
    </w:rPr>
    <w:tblPr>
      <w:tblCellMar>
        <w:top w:w="0" w:type="dxa"/>
        <w:left w:w="0" w:type="dxa"/>
        <w:bottom w:w="0" w:type="dxa"/>
        <w:right w:w="0" w:type="dxa"/>
      </w:tblCellMar>
    </w:tblPr>
  </w:style>
  <w:style w:type="table" w:customStyle="1" w:styleId="250">
    <w:name w:val="Bordered &amp; Lined - Accent 3"/>
    <w:qFormat/>
    <w:uiPriority w:val="99"/>
    <w:rPr>
      <w:color w:val="404040"/>
    </w:rPr>
    <w:tblPr>
      <w:tblCellMar>
        <w:top w:w="0" w:type="dxa"/>
        <w:left w:w="0" w:type="dxa"/>
        <w:bottom w:w="0" w:type="dxa"/>
        <w:right w:w="0" w:type="dxa"/>
      </w:tblCellMar>
    </w:tblPr>
  </w:style>
  <w:style w:type="table" w:customStyle="1" w:styleId="251">
    <w:name w:val="Bordered &amp; Lined - Accent 4"/>
    <w:qFormat/>
    <w:uiPriority w:val="99"/>
    <w:rPr>
      <w:color w:val="404040"/>
    </w:rPr>
    <w:tblPr>
      <w:tblCellMar>
        <w:top w:w="0" w:type="dxa"/>
        <w:left w:w="0" w:type="dxa"/>
        <w:bottom w:w="0" w:type="dxa"/>
        <w:right w:w="0" w:type="dxa"/>
      </w:tblCellMar>
    </w:tblPr>
  </w:style>
  <w:style w:type="table" w:customStyle="1" w:styleId="252">
    <w:name w:val="Bordered &amp; Lined - Accent 5"/>
    <w:qFormat/>
    <w:uiPriority w:val="99"/>
    <w:rPr>
      <w:color w:val="404040"/>
    </w:rPr>
    <w:tblPr>
      <w:tblCellMar>
        <w:top w:w="0" w:type="dxa"/>
        <w:left w:w="0" w:type="dxa"/>
        <w:bottom w:w="0" w:type="dxa"/>
        <w:right w:w="0" w:type="dxa"/>
      </w:tblCellMar>
    </w:tblPr>
  </w:style>
  <w:style w:type="table" w:customStyle="1" w:styleId="253">
    <w:name w:val="Bordered &amp; Lined - Accent 6"/>
    <w:qFormat/>
    <w:uiPriority w:val="99"/>
    <w:rPr>
      <w:color w:val="404040"/>
    </w:rPr>
    <w:tblPr>
      <w:tblCellMar>
        <w:top w:w="0" w:type="dxa"/>
        <w:left w:w="0" w:type="dxa"/>
        <w:bottom w:w="0" w:type="dxa"/>
        <w:right w:w="0" w:type="dxa"/>
      </w:tblCellMar>
    </w:tblPr>
  </w:style>
  <w:style w:type="table" w:customStyle="1" w:styleId="254">
    <w:name w:val="Bordered"/>
    <w:qFormat/>
    <w:uiPriority w:val="99"/>
    <w:tblPr>
      <w:tblCellMar>
        <w:top w:w="0" w:type="dxa"/>
        <w:left w:w="0" w:type="dxa"/>
        <w:bottom w:w="0" w:type="dxa"/>
        <w:right w:w="0" w:type="dxa"/>
      </w:tblCellMar>
    </w:tblPr>
  </w:style>
  <w:style w:type="table" w:customStyle="1" w:styleId="255">
    <w:name w:val="Bordered - Accent 1"/>
    <w:qFormat/>
    <w:uiPriority w:val="99"/>
    <w:tblPr>
      <w:tblCellMar>
        <w:top w:w="0" w:type="dxa"/>
        <w:left w:w="0" w:type="dxa"/>
        <w:bottom w:w="0" w:type="dxa"/>
        <w:right w:w="0" w:type="dxa"/>
      </w:tblCellMar>
    </w:tblPr>
  </w:style>
  <w:style w:type="table" w:customStyle="1" w:styleId="256">
    <w:name w:val="Bordered - Accent 2"/>
    <w:qFormat/>
    <w:uiPriority w:val="99"/>
    <w:tblPr>
      <w:tblCellMar>
        <w:top w:w="0" w:type="dxa"/>
        <w:left w:w="0" w:type="dxa"/>
        <w:bottom w:w="0" w:type="dxa"/>
        <w:right w:w="0" w:type="dxa"/>
      </w:tblCellMar>
    </w:tblPr>
  </w:style>
  <w:style w:type="table" w:customStyle="1" w:styleId="257">
    <w:name w:val="Bordered - Accent 3"/>
    <w:qFormat/>
    <w:uiPriority w:val="99"/>
    <w:tblPr>
      <w:tblCellMar>
        <w:top w:w="0" w:type="dxa"/>
        <w:left w:w="0" w:type="dxa"/>
        <w:bottom w:w="0" w:type="dxa"/>
        <w:right w:w="0" w:type="dxa"/>
      </w:tblCellMar>
    </w:tblPr>
  </w:style>
  <w:style w:type="table" w:customStyle="1" w:styleId="258">
    <w:name w:val="Bordered - Accent 4"/>
    <w:qFormat/>
    <w:uiPriority w:val="99"/>
    <w:tblPr>
      <w:tblCellMar>
        <w:top w:w="0" w:type="dxa"/>
        <w:left w:w="0" w:type="dxa"/>
        <w:bottom w:w="0" w:type="dxa"/>
        <w:right w:w="0" w:type="dxa"/>
      </w:tblCellMar>
    </w:tblPr>
  </w:style>
  <w:style w:type="table" w:customStyle="1" w:styleId="259">
    <w:name w:val="Bordered - Accent 5"/>
    <w:qFormat/>
    <w:uiPriority w:val="99"/>
    <w:tblPr>
      <w:tblCellMar>
        <w:top w:w="0" w:type="dxa"/>
        <w:left w:w="0" w:type="dxa"/>
        <w:bottom w:w="0" w:type="dxa"/>
        <w:right w:w="0" w:type="dxa"/>
      </w:tblCellMar>
    </w:tblPr>
  </w:style>
  <w:style w:type="table" w:customStyle="1" w:styleId="260">
    <w:name w:val="Bordered - Accent 6"/>
    <w:qFormat/>
    <w:uiPriority w:val="99"/>
    <w:tblPr>
      <w:tblCellMar>
        <w:top w:w="0" w:type="dxa"/>
        <w:left w:w="0" w:type="dxa"/>
        <w:bottom w:w="0" w:type="dxa"/>
        <w:right w:w="0" w:type="dxa"/>
      </w:tblCellMar>
    </w:tblPr>
  </w:style>
  <w:style w:type="paragraph" w:customStyle="1" w:styleId="261">
    <w:name w:val="TOC 标题11"/>
    <w:unhideWhenUsed/>
    <w:qFormat/>
    <w:uiPriority w:val="39"/>
    <w:rPr>
      <w:rFonts w:ascii="Times New Roman" w:hAnsi="Times New Roman" w:eastAsia="宋体" w:cs="Times New Roman"/>
      <w:lang w:val="en-US" w:eastAsia="zh-CN" w:bidi="ar-SA"/>
    </w:rPr>
  </w:style>
  <w:style w:type="paragraph" w:customStyle="1" w:styleId="262">
    <w:name w:val="标题 11"/>
    <w:basedOn w:val="1"/>
    <w:next w:val="1"/>
    <w:link w:val="263"/>
    <w:qFormat/>
    <w:uiPriority w:val="99"/>
    <w:pPr>
      <w:keepNext/>
      <w:keepLines/>
      <w:spacing w:before="340" w:after="330" w:line="576" w:lineRule="auto"/>
      <w:outlineLvl w:val="0"/>
    </w:pPr>
    <w:rPr>
      <w:b/>
      <w:bCs/>
      <w:sz w:val="44"/>
      <w:szCs w:val="44"/>
    </w:rPr>
  </w:style>
  <w:style w:type="character" w:customStyle="1" w:styleId="263">
    <w:name w:val="标题 1 Char"/>
    <w:link w:val="262"/>
    <w:qFormat/>
    <w:uiPriority w:val="99"/>
    <w:rPr>
      <w:rFonts w:ascii="Times New Roman" w:hAnsi="Times New Roman" w:eastAsia="宋体" w:cs="Times New Roman"/>
      <w:b/>
      <w:sz w:val="44"/>
    </w:rPr>
  </w:style>
  <w:style w:type="paragraph" w:customStyle="1" w:styleId="264">
    <w:name w:val="标题 21"/>
    <w:basedOn w:val="1"/>
    <w:next w:val="1"/>
    <w:link w:val="265"/>
    <w:qFormat/>
    <w:uiPriority w:val="9"/>
    <w:pPr>
      <w:keepNext/>
      <w:keepLines/>
      <w:spacing w:before="260" w:after="260" w:line="413" w:lineRule="auto"/>
      <w:outlineLvl w:val="1"/>
    </w:pPr>
    <w:rPr>
      <w:rFonts w:ascii="Arial" w:hAnsi="Arial" w:eastAsia="黑体"/>
      <w:b/>
      <w:bCs/>
      <w:sz w:val="32"/>
      <w:szCs w:val="32"/>
    </w:rPr>
  </w:style>
  <w:style w:type="character" w:customStyle="1" w:styleId="265">
    <w:name w:val="标题 2 Char"/>
    <w:link w:val="264"/>
    <w:qFormat/>
    <w:uiPriority w:val="9"/>
    <w:rPr>
      <w:rFonts w:ascii="Arial" w:hAnsi="Arial" w:eastAsia="黑体" w:cs="Times New Roman"/>
      <w:b/>
      <w:sz w:val="32"/>
    </w:rPr>
  </w:style>
  <w:style w:type="paragraph" w:customStyle="1" w:styleId="266">
    <w:name w:val="标题 31"/>
    <w:basedOn w:val="1"/>
    <w:next w:val="1"/>
    <w:link w:val="267"/>
    <w:qFormat/>
    <w:uiPriority w:val="99"/>
    <w:pPr>
      <w:keepNext/>
      <w:keepLines/>
      <w:spacing w:before="260" w:after="260" w:line="413" w:lineRule="auto"/>
      <w:outlineLvl w:val="2"/>
    </w:pPr>
    <w:rPr>
      <w:b/>
      <w:bCs/>
      <w:sz w:val="32"/>
      <w:szCs w:val="32"/>
    </w:rPr>
  </w:style>
  <w:style w:type="character" w:customStyle="1" w:styleId="267">
    <w:name w:val="标题 3 Char"/>
    <w:link w:val="266"/>
    <w:qFormat/>
    <w:uiPriority w:val="99"/>
    <w:rPr>
      <w:rFonts w:ascii="Times New Roman" w:hAnsi="Times New Roman" w:eastAsia="宋体" w:cs="Times New Roman"/>
      <w:b/>
      <w:sz w:val="32"/>
    </w:rPr>
  </w:style>
  <w:style w:type="paragraph" w:customStyle="1" w:styleId="268">
    <w:name w:val="标题 411"/>
    <w:basedOn w:val="1"/>
    <w:next w:val="1"/>
    <w:link w:val="269"/>
    <w:qFormat/>
    <w:uiPriority w:val="9"/>
    <w:pPr>
      <w:keepNext/>
      <w:keepLines/>
      <w:spacing w:before="120" w:after="120"/>
      <w:outlineLvl w:val="3"/>
    </w:pPr>
    <w:rPr>
      <w:rFonts w:ascii="Arial" w:hAnsi="Arial" w:eastAsia="黑体"/>
      <w:b/>
      <w:sz w:val="20"/>
      <w:szCs w:val="20"/>
    </w:rPr>
  </w:style>
  <w:style w:type="character" w:customStyle="1" w:styleId="269">
    <w:name w:val="标题 4 Char"/>
    <w:link w:val="268"/>
    <w:qFormat/>
    <w:uiPriority w:val="9"/>
    <w:rPr>
      <w:rFonts w:ascii="Arial" w:hAnsi="Arial" w:eastAsia="黑体" w:cs="Times New Roman"/>
      <w:b/>
      <w:sz w:val="20"/>
    </w:rPr>
  </w:style>
  <w:style w:type="paragraph" w:customStyle="1" w:styleId="270">
    <w:name w:val="标题 51"/>
    <w:basedOn w:val="1"/>
    <w:next w:val="1"/>
    <w:link w:val="271"/>
    <w:qFormat/>
    <w:uiPriority w:val="99"/>
    <w:pPr>
      <w:keepNext/>
      <w:keepLines/>
      <w:tabs>
        <w:tab w:val="left" w:pos="1008"/>
      </w:tabs>
      <w:spacing w:before="280" w:after="290" w:line="372" w:lineRule="auto"/>
      <w:ind w:left="1008" w:hanging="1008"/>
      <w:outlineLvl w:val="4"/>
    </w:pPr>
    <w:rPr>
      <w:b/>
      <w:bCs/>
      <w:sz w:val="28"/>
      <w:szCs w:val="28"/>
    </w:rPr>
  </w:style>
  <w:style w:type="character" w:customStyle="1" w:styleId="271">
    <w:name w:val="标题 5 Char"/>
    <w:link w:val="270"/>
    <w:qFormat/>
    <w:uiPriority w:val="99"/>
    <w:rPr>
      <w:rFonts w:ascii="Times New Roman" w:hAnsi="Times New Roman" w:eastAsia="宋体" w:cs="Times New Roman"/>
      <w:b/>
      <w:sz w:val="28"/>
    </w:rPr>
  </w:style>
  <w:style w:type="paragraph" w:customStyle="1" w:styleId="272">
    <w:name w:val="标题 61"/>
    <w:basedOn w:val="1"/>
    <w:next w:val="1"/>
    <w:link w:val="273"/>
    <w:qFormat/>
    <w:uiPriority w:val="99"/>
    <w:pPr>
      <w:keepNext/>
      <w:keepLines/>
      <w:tabs>
        <w:tab w:val="left" w:pos="1152"/>
      </w:tabs>
      <w:spacing w:before="240" w:after="64" w:line="317" w:lineRule="auto"/>
      <w:ind w:left="1152" w:hanging="1152"/>
      <w:outlineLvl w:val="5"/>
    </w:pPr>
    <w:rPr>
      <w:rFonts w:ascii="Arial" w:hAnsi="Arial" w:eastAsia="黑体"/>
      <w:b/>
      <w:bCs/>
      <w:sz w:val="24"/>
    </w:rPr>
  </w:style>
  <w:style w:type="character" w:customStyle="1" w:styleId="273">
    <w:name w:val="标题 6 Char"/>
    <w:link w:val="272"/>
    <w:qFormat/>
    <w:uiPriority w:val="99"/>
    <w:rPr>
      <w:rFonts w:ascii="Arial" w:hAnsi="Arial" w:eastAsia="黑体" w:cs="Times New Roman"/>
      <w:b/>
      <w:sz w:val="24"/>
    </w:rPr>
  </w:style>
  <w:style w:type="paragraph" w:customStyle="1" w:styleId="274">
    <w:name w:val="标题 71"/>
    <w:basedOn w:val="1"/>
    <w:next w:val="1"/>
    <w:link w:val="275"/>
    <w:qFormat/>
    <w:uiPriority w:val="99"/>
    <w:pPr>
      <w:keepNext/>
      <w:keepLines/>
      <w:tabs>
        <w:tab w:val="left" w:pos="1296"/>
      </w:tabs>
      <w:spacing w:before="240" w:after="64" w:line="317" w:lineRule="auto"/>
      <w:ind w:left="1296" w:hanging="1296"/>
      <w:outlineLvl w:val="6"/>
    </w:pPr>
    <w:rPr>
      <w:b/>
      <w:bCs/>
      <w:sz w:val="24"/>
    </w:rPr>
  </w:style>
  <w:style w:type="character" w:customStyle="1" w:styleId="275">
    <w:name w:val="标题 7 Char"/>
    <w:link w:val="274"/>
    <w:qFormat/>
    <w:uiPriority w:val="99"/>
    <w:rPr>
      <w:rFonts w:ascii="Times New Roman" w:hAnsi="Times New Roman" w:eastAsia="宋体" w:cs="Times New Roman"/>
      <w:b/>
      <w:sz w:val="24"/>
    </w:rPr>
  </w:style>
  <w:style w:type="paragraph" w:customStyle="1" w:styleId="276">
    <w:name w:val="标题 81"/>
    <w:basedOn w:val="1"/>
    <w:next w:val="1"/>
    <w:link w:val="277"/>
    <w:qFormat/>
    <w:uiPriority w:val="99"/>
    <w:pPr>
      <w:keepNext/>
      <w:keepLines/>
      <w:tabs>
        <w:tab w:val="left" w:pos="1440"/>
      </w:tabs>
      <w:spacing w:before="240" w:after="64" w:line="317" w:lineRule="auto"/>
      <w:ind w:left="1440" w:hanging="1440"/>
      <w:outlineLvl w:val="7"/>
    </w:pPr>
    <w:rPr>
      <w:rFonts w:ascii="Arial" w:hAnsi="Arial" w:eastAsia="黑体"/>
      <w:sz w:val="24"/>
    </w:rPr>
  </w:style>
  <w:style w:type="character" w:customStyle="1" w:styleId="277">
    <w:name w:val="标题 8 Char"/>
    <w:link w:val="276"/>
    <w:qFormat/>
    <w:uiPriority w:val="99"/>
    <w:rPr>
      <w:rFonts w:ascii="Arial" w:hAnsi="Arial" w:eastAsia="黑体" w:cs="Times New Roman"/>
      <w:sz w:val="24"/>
    </w:rPr>
  </w:style>
  <w:style w:type="paragraph" w:customStyle="1" w:styleId="278">
    <w:name w:val="标题 91"/>
    <w:basedOn w:val="1"/>
    <w:next w:val="1"/>
    <w:link w:val="279"/>
    <w:qFormat/>
    <w:uiPriority w:val="99"/>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279">
    <w:name w:val="标题 9 Char"/>
    <w:link w:val="278"/>
    <w:qFormat/>
    <w:uiPriority w:val="99"/>
    <w:rPr>
      <w:rFonts w:ascii="Arial" w:hAnsi="Arial" w:eastAsia="黑体" w:cs="Times New Roman"/>
      <w:sz w:val="21"/>
    </w:rPr>
  </w:style>
  <w:style w:type="character" w:customStyle="1" w:styleId="280">
    <w:name w:val="默认段落字体1"/>
    <w:unhideWhenUsed/>
    <w:qFormat/>
    <w:uiPriority w:val="1"/>
  </w:style>
  <w:style w:type="table" w:customStyle="1" w:styleId="281">
    <w:name w:val="普通表格1"/>
    <w:unhideWhenUsed/>
    <w:qFormat/>
    <w:uiPriority w:val="99"/>
    <w:tblPr>
      <w:tblCellMar>
        <w:top w:w="0" w:type="dxa"/>
        <w:left w:w="0" w:type="dxa"/>
        <w:bottom w:w="0" w:type="dxa"/>
        <w:right w:w="0" w:type="dxa"/>
      </w:tblCellMar>
    </w:tblPr>
  </w:style>
  <w:style w:type="paragraph" w:customStyle="1" w:styleId="282">
    <w:name w:val="列表 31"/>
    <w:basedOn w:val="1"/>
    <w:qFormat/>
    <w:uiPriority w:val="99"/>
    <w:pPr>
      <w:ind w:left="1260" w:hanging="420"/>
    </w:pPr>
    <w:rPr>
      <w:szCs w:val="20"/>
    </w:rPr>
  </w:style>
  <w:style w:type="paragraph" w:customStyle="1" w:styleId="283">
    <w:name w:val="目录 71"/>
    <w:basedOn w:val="1"/>
    <w:next w:val="1"/>
    <w:semiHidden/>
    <w:qFormat/>
    <w:uiPriority w:val="99"/>
    <w:pPr>
      <w:ind w:left="1260"/>
      <w:jc w:val="left"/>
    </w:pPr>
    <w:rPr>
      <w:szCs w:val="21"/>
    </w:rPr>
  </w:style>
  <w:style w:type="paragraph" w:customStyle="1" w:styleId="284">
    <w:name w:val="列表编号 21"/>
    <w:basedOn w:val="1"/>
    <w:qFormat/>
    <w:uiPriority w:val="99"/>
    <w:pPr>
      <w:tabs>
        <w:tab w:val="left" w:pos="1440"/>
      </w:tabs>
      <w:spacing w:line="360" w:lineRule="auto"/>
      <w:ind w:left="1440" w:hanging="1440"/>
    </w:pPr>
    <w:rPr>
      <w:sz w:val="24"/>
    </w:rPr>
  </w:style>
  <w:style w:type="paragraph" w:customStyle="1" w:styleId="285">
    <w:name w:val="引文目录1"/>
    <w:basedOn w:val="1"/>
    <w:next w:val="1"/>
    <w:qFormat/>
    <w:uiPriority w:val="0"/>
    <w:pPr>
      <w:ind w:left="420"/>
    </w:pPr>
  </w:style>
  <w:style w:type="paragraph" w:customStyle="1" w:styleId="286">
    <w:name w:val="列表编号1"/>
    <w:basedOn w:val="1"/>
    <w:qFormat/>
    <w:uiPriority w:val="99"/>
    <w:pPr>
      <w:tabs>
        <w:tab w:val="left" w:pos="2952"/>
      </w:tabs>
      <w:ind w:left="2952" w:hanging="432"/>
    </w:pPr>
  </w:style>
  <w:style w:type="paragraph" w:customStyle="1" w:styleId="287">
    <w:name w:val="正文缩进1"/>
    <w:basedOn w:val="1"/>
    <w:link w:val="288"/>
    <w:qFormat/>
    <w:uiPriority w:val="99"/>
    <w:pPr>
      <w:ind w:firstLine="420"/>
    </w:pPr>
    <w:rPr>
      <w:szCs w:val="20"/>
    </w:rPr>
  </w:style>
  <w:style w:type="character" w:customStyle="1" w:styleId="288">
    <w:name w:val="正文缩进 Char"/>
    <w:link w:val="287"/>
    <w:qFormat/>
    <w:uiPriority w:val="99"/>
    <w:rPr>
      <w:sz w:val="21"/>
    </w:rPr>
  </w:style>
  <w:style w:type="paragraph" w:customStyle="1" w:styleId="289">
    <w:name w:val="文档结构图1"/>
    <w:basedOn w:val="1"/>
    <w:link w:val="290"/>
    <w:semiHidden/>
    <w:qFormat/>
    <w:uiPriority w:val="99"/>
    <w:pPr>
      <w:shd w:val="clear" w:color="auto" w:fill="000080"/>
    </w:pPr>
    <w:rPr>
      <w:sz w:val="24"/>
    </w:rPr>
  </w:style>
  <w:style w:type="character" w:customStyle="1" w:styleId="290">
    <w:name w:val="文档结构图 Char"/>
    <w:link w:val="289"/>
    <w:semiHidden/>
    <w:qFormat/>
    <w:uiPriority w:val="99"/>
    <w:rPr>
      <w:rFonts w:ascii="Times New Roman" w:hAnsi="Times New Roman" w:eastAsia="宋体" w:cs="Times New Roman"/>
      <w:sz w:val="24"/>
      <w:shd w:val="clear" w:color="auto" w:fill="000080"/>
    </w:rPr>
  </w:style>
  <w:style w:type="paragraph" w:customStyle="1" w:styleId="291">
    <w:name w:val="批注文字1"/>
    <w:basedOn w:val="1"/>
    <w:link w:val="292"/>
    <w:qFormat/>
    <w:uiPriority w:val="99"/>
    <w:pPr>
      <w:jc w:val="left"/>
    </w:pPr>
    <w:rPr>
      <w:sz w:val="20"/>
      <w:szCs w:val="20"/>
    </w:rPr>
  </w:style>
  <w:style w:type="character" w:customStyle="1" w:styleId="292">
    <w:name w:val="批注文字 Char"/>
    <w:link w:val="291"/>
    <w:qFormat/>
    <w:uiPriority w:val="99"/>
    <w:rPr>
      <w:rFonts w:ascii="Times New Roman" w:hAnsi="Times New Roman" w:eastAsia="宋体" w:cs="Times New Roman"/>
      <w:sz w:val="20"/>
    </w:rPr>
  </w:style>
  <w:style w:type="paragraph" w:customStyle="1" w:styleId="293">
    <w:name w:val="称呼1"/>
    <w:basedOn w:val="1"/>
    <w:next w:val="1"/>
    <w:link w:val="294"/>
    <w:qFormat/>
    <w:uiPriority w:val="99"/>
    <w:rPr>
      <w:rFonts w:ascii="仿宋_GB2312" w:eastAsia="仿宋_GB2312"/>
      <w:sz w:val="20"/>
      <w:szCs w:val="20"/>
    </w:rPr>
  </w:style>
  <w:style w:type="character" w:customStyle="1" w:styleId="294">
    <w:name w:val="称呼 Char"/>
    <w:link w:val="293"/>
    <w:qFormat/>
    <w:uiPriority w:val="99"/>
    <w:rPr>
      <w:rFonts w:ascii="仿宋_GB2312" w:hAnsi="Times New Roman" w:eastAsia="仿宋_GB2312" w:cs="Times New Roman"/>
      <w:sz w:val="20"/>
    </w:rPr>
  </w:style>
  <w:style w:type="paragraph" w:customStyle="1" w:styleId="295">
    <w:name w:val="正文文本 31"/>
    <w:basedOn w:val="1"/>
    <w:link w:val="296"/>
    <w:qFormat/>
    <w:uiPriority w:val="99"/>
    <w:pPr>
      <w:spacing w:after="120"/>
    </w:pPr>
    <w:rPr>
      <w:sz w:val="16"/>
      <w:szCs w:val="16"/>
    </w:rPr>
  </w:style>
  <w:style w:type="character" w:customStyle="1" w:styleId="296">
    <w:name w:val="正文文本 3 Char"/>
    <w:link w:val="295"/>
    <w:qFormat/>
    <w:uiPriority w:val="99"/>
    <w:rPr>
      <w:rFonts w:ascii="Times New Roman" w:hAnsi="Times New Roman" w:eastAsia="宋体" w:cs="Times New Roman"/>
      <w:sz w:val="16"/>
    </w:rPr>
  </w:style>
  <w:style w:type="paragraph" w:customStyle="1" w:styleId="297">
    <w:name w:val="正文文本1"/>
    <w:basedOn w:val="1"/>
    <w:next w:val="1"/>
    <w:link w:val="298"/>
    <w:qFormat/>
    <w:uiPriority w:val="99"/>
    <w:pPr>
      <w:spacing w:after="120"/>
    </w:pPr>
    <w:rPr>
      <w:sz w:val="24"/>
    </w:rPr>
  </w:style>
  <w:style w:type="character" w:customStyle="1" w:styleId="298">
    <w:name w:val="正文文本 Char"/>
    <w:link w:val="297"/>
    <w:semiHidden/>
    <w:qFormat/>
    <w:uiPriority w:val="99"/>
    <w:rPr>
      <w:rFonts w:ascii="Times New Roman" w:hAnsi="Times New Roman" w:eastAsia="宋体" w:cs="Times New Roman"/>
      <w:sz w:val="24"/>
    </w:rPr>
  </w:style>
  <w:style w:type="paragraph" w:customStyle="1" w:styleId="299">
    <w:name w:val="正文文本缩进11"/>
    <w:basedOn w:val="1"/>
    <w:link w:val="300"/>
    <w:qFormat/>
    <w:uiPriority w:val="99"/>
    <w:pPr>
      <w:spacing w:after="120"/>
      <w:ind w:left="420"/>
    </w:pPr>
    <w:rPr>
      <w:sz w:val="24"/>
    </w:rPr>
  </w:style>
  <w:style w:type="character" w:customStyle="1" w:styleId="300">
    <w:name w:val="正文文本缩进 Char"/>
    <w:link w:val="299"/>
    <w:qFormat/>
    <w:uiPriority w:val="99"/>
    <w:rPr>
      <w:rFonts w:ascii="Times New Roman" w:hAnsi="Times New Roman" w:eastAsia="宋体" w:cs="Times New Roman"/>
      <w:sz w:val="24"/>
    </w:rPr>
  </w:style>
  <w:style w:type="paragraph" w:customStyle="1" w:styleId="301">
    <w:name w:val="列表 21"/>
    <w:basedOn w:val="1"/>
    <w:qFormat/>
    <w:uiPriority w:val="99"/>
    <w:pPr>
      <w:ind w:left="100" w:hanging="200"/>
    </w:pPr>
    <w:rPr>
      <w:szCs w:val="21"/>
    </w:rPr>
  </w:style>
  <w:style w:type="paragraph" w:customStyle="1" w:styleId="302">
    <w:name w:val="文本块1"/>
    <w:basedOn w:val="1"/>
    <w:unhideWhenUsed/>
    <w:qFormat/>
    <w:uiPriority w:val="99"/>
    <w:pPr>
      <w:spacing w:after="120"/>
      <w:ind w:left="1440" w:right="1440"/>
    </w:pPr>
    <w:rPr>
      <w:rFonts w:ascii="Calibri" w:hAnsi="Calibri"/>
      <w:szCs w:val="22"/>
    </w:rPr>
  </w:style>
  <w:style w:type="paragraph" w:customStyle="1" w:styleId="303">
    <w:name w:val="索引 41"/>
    <w:basedOn w:val="1"/>
    <w:next w:val="1"/>
    <w:semiHidden/>
    <w:qFormat/>
    <w:uiPriority w:val="0"/>
    <w:pPr>
      <w:ind w:left="1260"/>
    </w:pPr>
    <w:rPr>
      <w:rFonts w:ascii="Calibri" w:hAnsi="Calibri" w:eastAsia="Calibri" w:cs="宋体"/>
      <w:sz w:val="20"/>
      <w:lang w:val="zh-CN"/>
    </w:rPr>
  </w:style>
  <w:style w:type="paragraph" w:customStyle="1" w:styleId="304">
    <w:name w:val="目录 51"/>
    <w:basedOn w:val="1"/>
    <w:next w:val="1"/>
    <w:semiHidden/>
    <w:qFormat/>
    <w:uiPriority w:val="99"/>
    <w:pPr>
      <w:ind w:left="840"/>
      <w:jc w:val="left"/>
    </w:pPr>
    <w:rPr>
      <w:szCs w:val="21"/>
    </w:rPr>
  </w:style>
  <w:style w:type="paragraph" w:customStyle="1" w:styleId="305">
    <w:name w:val="目录 31"/>
    <w:basedOn w:val="1"/>
    <w:next w:val="1"/>
    <w:semiHidden/>
    <w:qFormat/>
    <w:uiPriority w:val="99"/>
    <w:pPr>
      <w:ind w:left="840"/>
    </w:pPr>
  </w:style>
  <w:style w:type="paragraph" w:customStyle="1" w:styleId="306">
    <w:name w:val="纯文本11"/>
    <w:basedOn w:val="1"/>
    <w:link w:val="307"/>
    <w:qFormat/>
    <w:uiPriority w:val="99"/>
    <w:rPr>
      <w:rFonts w:ascii="宋体" w:hAnsi="Courier New"/>
      <w:szCs w:val="21"/>
    </w:rPr>
  </w:style>
  <w:style w:type="character" w:customStyle="1" w:styleId="307">
    <w:name w:val="纯文本 Char"/>
    <w:link w:val="306"/>
    <w:qFormat/>
    <w:uiPriority w:val="99"/>
    <w:rPr>
      <w:rFonts w:ascii="宋体" w:hAnsi="Courier New" w:eastAsia="宋体" w:cs="Times New Roman"/>
      <w:sz w:val="21"/>
    </w:rPr>
  </w:style>
  <w:style w:type="paragraph" w:customStyle="1" w:styleId="308">
    <w:name w:val="目录 81"/>
    <w:basedOn w:val="1"/>
    <w:next w:val="1"/>
    <w:semiHidden/>
    <w:qFormat/>
    <w:uiPriority w:val="99"/>
    <w:pPr>
      <w:ind w:left="1470"/>
      <w:jc w:val="left"/>
    </w:pPr>
    <w:rPr>
      <w:szCs w:val="21"/>
    </w:rPr>
  </w:style>
  <w:style w:type="paragraph" w:customStyle="1" w:styleId="309">
    <w:name w:val="索引 31"/>
    <w:basedOn w:val="1"/>
    <w:next w:val="1"/>
    <w:semiHidden/>
    <w:qFormat/>
    <w:uiPriority w:val="99"/>
    <w:pPr>
      <w:ind w:left="840"/>
    </w:pPr>
    <w:rPr>
      <w:szCs w:val="20"/>
    </w:rPr>
  </w:style>
  <w:style w:type="paragraph" w:customStyle="1" w:styleId="310">
    <w:name w:val="日期1"/>
    <w:basedOn w:val="1"/>
    <w:next w:val="1"/>
    <w:link w:val="311"/>
    <w:qFormat/>
    <w:uiPriority w:val="99"/>
    <w:pPr>
      <w:ind w:left="100"/>
    </w:pPr>
    <w:rPr>
      <w:sz w:val="20"/>
      <w:szCs w:val="20"/>
    </w:rPr>
  </w:style>
  <w:style w:type="character" w:customStyle="1" w:styleId="311">
    <w:name w:val="日期 Char"/>
    <w:link w:val="310"/>
    <w:qFormat/>
    <w:uiPriority w:val="99"/>
    <w:rPr>
      <w:rFonts w:ascii="Times New Roman" w:hAnsi="Times New Roman" w:eastAsia="宋体" w:cs="Times New Roman"/>
      <w:sz w:val="20"/>
    </w:rPr>
  </w:style>
  <w:style w:type="paragraph" w:customStyle="1" w:styleId="312">
    <w:name w:val="正文文本缩进 21"/>
    <w:basedOn w:val="1"/>
    <w:link w:val="313"/>
    <w:qFormat/>
    <w:uiPriority w:val="99"/>
    <w:pPr>
      <w:spacing w:line="400" w:lineRule="exact"/>
      <w:ind w:firstLine="480"/>
    </w:pPr>
    <w:rPr>
      <w:rFonts w:ascii="宋体" w:hAnsi="宋体"/>
      <w:sz w:val="24"/>
    </w:rPr>
  </w:style>
  <w:style w:type="character" w:customStyle="1" w:styleId="313">
    <w:name w:val="正文文本缩进 2 Char"/>
    <w:link w:val="312"/>
    <w:qFormat/>
    <w:uiPriority w:val="99"/>
    <w:rPr>
      <w:rFonts w:ascii="宋体" w:hAnsi="宋体" w:eastAsia="宋体" w:cs="Times New Roman"/>
      <w:sz w:val="24"/>
    </w:rPr>
  </w:style>
  <w:style w:type="paragraph" w:customStyle="1" w:styleId="314">
    <w:name w:val="尾注文本1"/>
    <w:basedOn w:val="1"/>
    <w:link w:val="315"/>
    <w:semiHidden/>
    <w:qFormat/>
    <w:uiPriority w:val="99"/>
    <w:pPr>
      <w:jc w:val="left"/>
    </w:pPr>
    <w:rPr>
      <w:sz w:val="24"/>
    </w:rPr>
  </w:style>
  <w:style w:type="character" w:customStyle="1" w:styleId="315">
    <w:name w:val="尾注文本 Char"/>
    <w:link w:val="314"/>
    <w:semiHidden/>
    <w:qFormat/>
    <w:uiPriority w:val="99"/>
    <w:rPr>
      <w:rFonts w:ascii="Times New Roman" w:hAnsi="Times New Roman" w:eastAsia="宋体" w:cs="Times New Roman"/>
      <w:sz w:val="24"/>
    </w:rPr>
  </w:style>
  <w:style w:type="paragraph" w:customStyle="1" w:styleId="316">
    <w:name w:val="批注框文本11"/>
    <w:basedOn w:val="1"/>
    <w:link w:val="317"/>
    <w:semiHidden/>
    <w:qFormat/>
    <w:uiPriority w:val="99"/>
    <w:rPr>
      <w:sz w:val="18"/>
      <w:szCs w:val="18"/>
    </w:rPr>
  </w:style>
  <w:style w:type="character" w:customStyle="1" w:styleId="317">
    <w:name w:val="批注框文本 Char"/>
    <w:link w:val="316"/>
    <w:semiHidden/>
    <w:qFormat/>
    <w:uiPriority w:val="99"/>
    <w:rPr>
      <w:rFonts w:ascii="Times New Roman" w:hAnsi="Times New Roman" w:eastAsia="宋体" w:cs="Times New Roman"/>
      <w:sz w:val="18"/>
    </w:rPr>
  </w:style>
  <w:style w:type="paragraph" w:customStyle="1" w:styleId="318">
    <w:name w:val="页脚1"/>
    <w:basedOn w:val="1"/>
    <w:link w:val="319"/>
    <w:qFormat/>
    <w:uiPriority w:val="99"/>
    <w:pPr>
      <w:tabs>
        <w:tab w:val="center" w:pos="4153"/>
        <w:tab w:val="right" w:pos="8306"/>
      </w:tabs>
      <w:jc w:val="left"/>
    </w:pPr>
    <w:rPr>
      <w:sz w:val="18"/>
      <w:szCs w:val="18"/>
    </w:rPr>
  </w:style>
  <w:style w:type="character" w:customStyle="1" w:styleId="319">
    <w:name w:val="页脚 Char"/>
    <w:link w:val="318"/>
    <w:qFormat/>
    <w:uiPriority w:val="99"/>
    <w:rPr>
      <w:rFonts w:cs="Times New Roman"/>
      <w:sz w:val="18"/>
    </w:rPr>
  </w:style>
  <w:style w:type="paragraph" w:customStyle="1" w:styleId="320">
    <w:name w:val="页眉1"/>
    <w:basedOn w:val="1"/>
    <w:link w:val="321"/>
    <w:qFormat/>
    <w:uiPriority w:val="0"/>
    <w:pPr>
      <w:pBdr>
        <w:bottom w:val="single" w:color="000000" w:sz="6" w:space="1"/>
      </w:pBdr>
      <w:tabs>
        <w:tab w:val="center" w:pos="4153"/>
        <w:tab w:val="right" w:pos="8306"/>
      </w:tabs>
      <w:jc w:val="center"/>
    </w:pPr>
    <w:rPr>
      <w:sz w:val="18"/>
      <w:szCs w:val="18"/>
    </w:rPr>
  </w:style>
  <w:style w:type="character" w:customStyle="1" w:styleId="321">
    <w:name w:val="页眉 Char"/>
    <w:link w:val="320"/>
    <w:qFormat/>
    <w:uiPriority w:val="99"/>
    <w:rPr>
      <w:rFonts w:cs="Times New Roman"/>
      <w:sz w:val="18"/>
    </w:rPr>
  </w:style>
  <w:style w:type="paragraph" w:customStyle="1" w:styleId="322">
    <w:name w:val="签名1"/>
    <w:basedOn w:val="1"/>
    <w:link w:val="323"/>
    <w:qFormat/>
    <w:uiPriority w:val="99"/>
    <w:pPr>
      <w:spacing w:after="600" w:line="312" w:lineRule="atLeast"/>
      <w:jc w:val="center"/>
    </w:pPr>
    <w:rPr>
      <w:rFonts w:eastAsia="仿宋_GB2312"/>
      <w:sz w:val="20"/>
      <w:szCs w:val="20"/>
    </w:rPr>
  </w:style>
  <w:style w:type="character" w:customStyle="1" w:styleId="323">
    <w:name w:val="签名 Char"/>
    <w:link w:val="322"/>
    <w:qFormat/>
    <w:uiPriority w:val="99"/>
    <w:rPr>
      <w:rFonts w:ascii="Times New Roman" w:hAnsi="Times New Roman" w:eastAsia="仿宋_GB2312" w:cs="Times New Roman"/>
      <w:sz w:val="20"/>
    </w:rPr>
  </w:style>
  <w:style w:type="paragraph" w:customStyle="1" w:styleId="324">
    <w:name w:val="目录 11"/>
    <w:basedOn w:val="1"/>
    <w:next w:val="1"/>
    <w:semiHidden/>
    <w:qFormat/>
    <w:uiPriority w:val="99"/>
  </w:style>
  <w:style w:type="paragraph" w:customStyle="1" w:styleId="325">
    <w:name w:val="目录 41"/>
    <w:basedOn w:val="1"/>
    <w:next w:val="1"/>
    <w:semiHidden/>
    <w:qFormat/>
    <w:uiPriority w:val="99"/>
    <w:pPr>
      <w:ind w:left="630"/>
      <w:jc w:val="left"/>
    </w:pPr>
    <w:rPr>
      <w:szCs w:val="21"/>
    </w:rPr>
  </w:style>
  <w:style w:type="paragraph" w:customStyle="1" w:styleId="326">
    <w:name w:val="索引标题1"/>
    <w:basedOn w:val="1"/>
    <w:next w:val="327"/>
    <w:semiHidden/>
    <w:qFormat/>
    <w:uiPriority w:val="99"/>
    <w:rPr>
      <w:szCs w:val="20"/>
    </w:rPr>
  </w:style>
  <w:style w:type="paragraph" w:customStyle="1" w:styleId="327">
    <w:name w:val="索引 11"/>
    <w:basedOn w:val="1"/>
    <w:next w:val="1"/>
    <w:semiHidden/>
    <w:qFormat/>
    <w:uiPriority w:val="99"/>
    <w:pPr>
      <w:tabs>
        <w:tab w:val="left" w:pos="1260"/>
      </w:tabs>
      <w:jc w:val="center"/>
    </w:pPr>
    <w:rPr>
      <w:rFonts w:ascii="仿宋_GB2312" w:hAnsi="宋体" w:eastAsia="仿宋_GB2312"/>
      <w:sz w:val="30"/>
      <w:szCs w:val="20"/>
    </w:rPr>
  </w:style>
  <w:style w:type="paragraph" w:customStyle="1" w:styleId="328">
    <w:name w:val="副标题1"/>
    <w:basedOn w:val="1"/>
    <w:next w:val="1"/>
    <w:link w:val="329"/>
    <w:qFormat/>
    <w:uiPriority w:val="99"/>
    <w:pPr>
      <w:widowControl/>
      <w:spacing w:after="600" w:line="276" w:lineRule="auto"/>
      <w:jc w:val="left"/>
    </w:pPr>
    <w:rPr>
      <w:rFonts w:ascii="Cambria" w:hAnsi="Cambria"/>
      <w:i/>
      <w:iCs/>
      <w:spacing w:val="13"/>
      <w:sz w:val="24"/>
      <w:lang w:eastAsia="en-US"/>
    </w:rPr>
  </w:style>
  <w:style w:type="character" w:customStyle="1" w:styleId="329">
    <w:name w:val="副标题 Char"/>
    <w:link w:val="328"/>
    <w:qFormat/>
    <w:uiPriority w:val="99"/>
    <w:rPr>
      <w:rFonts w:ascii="Cambria" w:hAnsi="Cambria" w:eastAsia="宋体" w:cs="Times New Roman"/>
      <w:i/>
      <w:spacing w:val="13"/>
      <w:sz w:val="24"/>
      <w:lang w:eastAsia="en-US"/>
    </w:rPr>
  </w:style>
  <w:style w:type="paragraph" w:customStyle="1" w:styleId="330">
    <w:name w:val="列表1"/>
    <w:basedOn w:val="1"/>
    <w:qFormat/>
    <w:uiPriority w:val="99"/>
    <w:pPr>
      <w:ind w:left="200" w:hanging="200"/>
    </w:pPr>
    <w:rPr>
      <w:szCs w:val="21"/>
    </w:rPr>
  </w:style>
  <w:style w:type="paragraph" w:customStyle="1" w:styleId="331">
    <w:name w:val="脚注文本1"/>
    <w:basedOn w:val="1"/>
    <w:link w:val="332"/>
    <w:semiHidden/>
    <w:qFormat/>
    <w:uiPriority w:val="99"/>
    <w:pPr>
      <w:jc w:val="left"/>
    </w:pPr>
    <w:rPr>
      <w:sz w:val="18"/>
      <w:szCs w:val="18"/>
    </w:rPr>
  </w:style>
  <w:style w:type="character" w:customStyle="1" w:styleId="332">
    <w:name w:val="脚注文本 Char"/>
    <w:link w:val="331"/>
    <w:semiHidden/>
    <w:qFormat/>
    <w:uiPriority w:val="99"/>
    <w:rPr>
      <w:rFonts w:ascii="Times New Roman" w:hAnsi="Times New Roman" w:eastAsia="宋体" w:cs="Times New Roman"/>
      <w:sz w:val="18"/>
    </w:rPr>
  </w:style>
  <w:style w:type="paragraph" w:customStyle="1" w:styleId="333">
    <w:name w:val="目录 61"/>
    <w:basedOn w:val="1"/>
    <w:next w:val="1"/>
    <w:semiHidden/>
    <w:qFormat/>
    <w:uiPriority w:val="99"/>
    <w:pPr>
      <w:ind w:left="1050"/>
      <w:jc w:val="left"/>
    </w:pPr>
    <w:rPr>
      <w:szCs w:val="21"/>
    </w:rPr>
  </w:style>
  <w:style w:type="paragraph" w:customStyle="1" w:styleId="334">
    <w:name w:val="正文文本缩进 311"/>
    <w:basedOn w:val="1"/>
    <w:link w:val="335"/>
    <w:qFormat/>
    <w:uiPriority w:val="99"/>
    <w:pPr>
      <w:spacing w:before="120" w:after="120" w:line="264" w:lineRule="auto"/>
      <w:ind w:left="480"/>
    </w:pPr>
    <w:rPr>
      <w:b/>
      <w:bCs/>
      <w:sz w:val="20"/>
      <w:szCs w:val="20"/>
    </w:rPr>
  </w:style>
  <w:style w:type="character" w:customStyle="1" w:styleId="335">
    <w:name w:val="正文文本缩进 3 Char"/>
    <w:link w:val="334"/>
    <w:qFormat/>
    <w:uiPriority w:val="99"/>
    <w:rPr>
      <w:rFonts w:ascii="Times New Roman" w:hAnsi="Times New Roman" w:eastAsia="宋体" w:cs="Times New Roman"/>
      <w:b/>
      <w:sz w:val="20"/>
    </w:rPr>
  </w:style>
  <w:style w:type="paragraph" w:customStyle="1" w:styleId="336">
    <w:name w:val="图表目录1"/>
    <w:basedOn w:val="1"/>
    <w:next w:val="1"/>
    <w:semiHidden/>
    <w:qFormat/>
    <w:uiPriority w:val="99"/>
    <w:pPr>
      <w:ind w:left="840" w:hanging="420"/>
    </w:pPr>
    <w:rPr>
      <w:szCs w:val="21"/>
    </w:rPr>
  </w:style>
  <w:style w:type="paragraph" w:customStyle="1" w:styleId="337">
    <w:name w:val="目录 21"/>
    <w:basedOn w:val="1"/>
    <w:next w:val="1"/>
    <w:semiHidden/>
    <w:qFormat/>
    <w:uiPriority w:val="99"/>
    <w:pPr>
      <w:ind w:left="420"/>
    </w:pPr>
  </w:style>
  <w:style w:type="paragraph" w:customStyle="1" w:styleId="338">
    <w:name w:val="目录 91"/>
    <w:basedOn w:val="1"/>
    <w:next w:val="1"/>
    <w:semiHidden/>
    <w:qFormat/>
    <w:uiPriority w:val="99"/>
    <w:pPr>
      <w:ind w:left="1680"/>
      <w:jc w:val="left"/>
    </w:pPr>
    <w:rPr>
      <w:szCs w:val="21"/>
    </w:rPr>
  </w:style>
  <w:style w:type="paragraph" w:customStyle="1" w:styleId="339">
    <w:name w:val="正文文本 2111"/>
    <w:basedOn w:val="1"/>
    <w:link w:val="340"/>
    <w:qFormat/>
    <w:uiPriority w:val="99"/>
    <w:pPr>
      <w:jc w:val="center"/>
    </w:pPr>
    <w:rPr>
      <w:b/>
      <w:bCs/>
      <w:sz w:val="20"/>
      <w:szCs w:val="20"/>
    </w:rPr>
  </w:style>
  <w:style w:type="character" w:customStyle="1" w:styleId="340">
    <w:name w:val="正文文本 2 Char"/>
    <w:link w:val="339"/>
    <w:qFormat/>
    <w:uiPriority w:val="99"/>
    <w:rPr>
      <w:rFonts w:ascii="Times New Roman" w:hAnsi="Times New Roman" w:eastAsia="宋体" w:cs="Times New Roman"/>
      <w:b/>
      <w:sz w:val="20"/>
    </w:rPr>
  </w:style>
  <w:style w:type="paragraph" w:customStyle="1" w:styleId="341">
    <w:name w:val="HTML 预设格式1"/>
    <w:basedOn w:val="1"/>
    <w:link w:val="342"/>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342">
    <w:name w:val="HTML 预设格式 Char"/>
    <w:link w:val="341"/>
    <w:qFormat/>
    <w:uiPriority w:val="99"/>
    <w:rPr>
      <w:rFonts w:ascii="宋体" w:hAnsi="宋体" w:eastAsia="宋体" w:cs="Times New Roman"/>
      <w:sz w:val="24"/>
    </w:rPr>
  </w:style>
  <w:style w:type="paragraph" w:customStyle="1" w:styleId="343">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344">
    <w:name w:val="索引 21"/>
    <w:basedOn w:val="1"/>
    <w:next w:val="1"/>
    <w:semiHidden/>
    <w:qFormat/>
    <w:uiPriority w:val="99"/>
    <w:pPr>
      <w:ind w:left="420"/>
      <w:jc w:val="center"/>
    </w:pPr>
    <w:rPr>
      <w:rFonts w:ascii="宋体" w:hAnsi="宋体"/>
      <w:b/>
      <w:sz w:val="32"/>
      <w:szCs w:val="20"/>
    </w:rPr>
  </w:style>
  <w:style w:type="paragraph" w:customStyle="1" w:styleId="345">
    <w:name w:val="标题11"/>
    <w:basedOn w:val="1"/>
    <w:link w:val="346"/>
    <w:qFormat/>
    <w:uiPriority w:val="99"/>
    <w:pPr>
      <w:widowControl/>
      <w:spacing w:line="420" w:lineRule="exact"/>
      <w:jc w:val="center"/>
    </w:pPr>
    <w:rPr>
      <w:rFonts w:eastAsia="黑体"/>
      <w:b/>
      <w:sz w:val="20"/>
      <w:szCs w:val="20"/>
      <w:lang w:val="en-GB"/>
    </w:rPr>
  </w:style>
  <w:style w:type="character" w:customStyle="1" w:styleId="346">
    <w:name w:val="标题 Char"/>
    <w:link w:val="345"/>
    <w:qFormat/>
    <w:uiPriority w:val="99"/>
    <w:rPr>
      <w:rFonts w:ascii="Times New Roman" w:hAnsi="Times New Roman" w:eastAsia="黑体" w:cs="Times New Roman"/>
      <w:b/>
      <w:sz w:val="20"/>
      <w:lang w:val="en-GB"/>
    </w:rPr>
  </w:style>
  <w:style w:type="paragraph" w:customStyle="1" w:styleId="347">
    <w:name w:val="批注主题11"/>
    <w:basedOn w:val="291"/>
    <w:next w:val="291"/>
    <w:link w:val="348"/>
    <w:semiHidden/>
    <w:qFormat/>
    <w:uiPriority w:val="99"/>
    <w:rPr>
      <w:b/>
      <w:bCs/>
      <w:sz w:val="24"/>
      <w:szCs w:val="24"/>
    </w:rPr>
  </w:style>
  <w:style w:type="character" w:customStyle="1" w:styleId="348">
    <w:name w:val="批注主题 Char"/>
    <w:link w:val="347"/>
    <w:semiHidden/>
    <w:qFormat/>
    <w:uiPriority w:val="99"/>
    <w:rPr>
      <w:rFonts w:ascii="Times New Roman" w:hAnsi="Times New Roman" w:eastAsia="宋体" w:cs="Times New Roman"/>
      <w:b/>
      <w:sz w:val="24"/>
    </w:rPr>
  </w:style>
  <w:style w:type="paragraph" w:customStyle="1" w:styleId="349">
    <w:name w:val="正文首行缩进1"/>
    <w:basedOn w:val="297"/>
    <w:link w:val="350"/>
    <w:qFormat/>
    <w:uiPriority w:val="99"/>
    <w:pPr>
      <w:ind w:firstLine="420"/>
    </w:pPr>
  </w:style>
  <w:style w:type="character" w:customStyle="1" w:styleId="350">
    <w:name w:val="正文首行缩进 Char"/>
    <w:link w:val="349"/>
    <w:qFormat/>
    <w:uiPriority w:val="99"/>
    <w:rPr>
      <w:rFonts w:ascii="Times New Roman" w:hAnsi="Times New Roman" w:eastAsia="宋体" w:cs="Times New Roman"/>
      <w:sz w:val="24"/>
      <w:szCs w:val="24"/>
    </w:rPr>
  </w:style>
  <w:style w:type="paragraph" w:customStyle="1" w:styleId="351">
    <w:name w:val="正文首行缩进 21"/>
    <w:basedOn w:val="299"/>
    <w:link w:val="352"/>
    <w:qFormat/>
    <w:uiPriority w:val="99"/>
    <w:pPr>
      <w:spacing w:after="0" w:line="360" w:lineRule="auto"/>
      <w:ind w:left="0" w:firstLine="420"/>
    </w:pPr>
    <w:rPr>
      <w:rFonts w:ascii="宋体" w:hAnsi="宋体"/>
      <w:sz w:val="20"/>
      <w:szCs w:val="20"/>
    </w:rPr>
  </w:style>
  <w:style w:type="character" w:customStyle="1" w:styleId="352">
    <w:name w:val="正文首行缩进 2 Char"/>
    <w:link w:val="351"/>
    <w:qFormat/>
    <w:uiPriority w:val="99"/>
    <w:rPr>
      <w:rFonts w:ascii="宋体" w:hAnsi="宋体" w:eastAsia="宋体" w:cs="Times New Roman"/>
      <w:sz w:val="20"/>
    </w:rPr>
  </w:style>
  <w:style w:type="table" w:customStyle="1" w:styleId="353">
    <w:name w:val="网格型1"/>
    <w:basedOn w:val="281"/>
    <w:qFormat/>
    <w:uiPriority w:val="0"/>
    <w:pPr>
      <w:widowControl w:val="0"/>
      <w:jc w:val="both"/>
    </w:pPr>
  </w:style>
  <w:style w:type="character" w:customStyle="1" w:styleId="354">
    <w:name w:val="要点1"/>
    <w:qFormat/>
    <w:uiPriority w:val="99"/>
    <w:rPr>
      <w:rFonts w:cs="Times New Roman"/>
      <w:b/>
    </w:rPr>
  </w:style>
  <w:style w:type="character" w:customStyle="1" w:styleId="355">
    <w:name w:val="尾注引用1"/>
    <w:semiHidden/>
    <w:qFormat/>
    <w:uiPriority w:val="99"/>
    <w:rPr>
      <w:rFonts w:cs="Times New Roman"/>
      <w:vertAlign w:val="superscript"/>
    </w:rPr>
  </w:style>
  <w:style w:type="character" w:customStyle="1" w:styleId="356">
    <w:name w:val="页码1"/>
    <w:qFormat/>
    <w:uiPriority w:val="0"/>
    <w:rPr>
      <w:rFonts w:cs="Times New Roman"/>
    </w:rPr>
  </w:style>
  <w:style w:type="character" w:customStyle="1" w:styleId="357">
    <w:name w:val="已访问的超链接11"/>
    <w:qFormat/>
    <w:uiPriority w:val="99"/>
    <w:rPr>
      <w:rFonts w:cs="Times New Roman"/>
      <w:color w:val="0076BE"/>
      <w:u w:val="none"/>
    </w:rPr>
  </w:style>
  <w:style w:type="character" w:customStyle="1" w:styleId="358">
    <w:name w:val="强调1"/>
    <w:qFormat/>
    <w:uiPriority w:val="99"/>
    <w:rPr>
      <w:rFonts w:cs="Times New Roman"/>
      <w:b/>
      <w:i/>
      <w:spacing w:val="10"/>
      <w:shd w:val="clear" w:color="auto" w:fill="auto"/>
    </w:rPr>
  </w:style>
  <w:style w:type="character" w:customStyle="1" w:styleId="359">
    <w:name w:val="行号1"/>
    <w:qFormat/>
    <w:uiPriority w:val="99"/>
    <w:rPr>
      <w:rFonts w:cs="Times New Roman"/>
    </w:rPr>
  </w:style>
  <w:style w:type="character" w:customStyle="1" w:styleId="360">
    <w:name w:val="HTML 打字机1"/>
    <w:qFormat/>
    <w:uiPriority w:val="99"/>
    <w:rPr>
      <w:rFonts w:ascii="宋体" w:hAnsi="宋体" w:eastAsia="宋体" w:cs="Times New Roman"/>
      <w:sz w:val="24"/>
    </w:rPr>
  </w:style>
  <w:style w:type="character" w:customStyle="1" w:styleId="361">
    <w:name w:val="超链接1"/>
    <w:qFormat/>
    <w:uiPriority w:val="99"/>
    <w:rPr>
      <w:rFonts w:cs="Times New Roman"/>
      <w:color w:val="0076BE"/>
      <w:u w:val="none"/>
    </w:rPr>
  </w:style>
  <w:style w:type="character" w:customStyle="1" w:styleId="362">
    <w:name w:val="批注引用1"/>
    <w:qFormat/>
    <w:uiPriority w:val="99"/>
    <w:rPr>
      <w:rFonts w:cs="Times New Roman"/>
      <w:sz w:val="21"/>
    </w:rPr>
  </w:style>
  <w:style w:type="character" w:customStyle="1" w:styleId="363">
    <w:name w:val="脚注引用1"/>
    <w:semiHidden/>
    <w:qFormat/>
    <w:uiPriority w:val="99"/>
    <w:rPr>
      <w:rFonts w:cs="Times New Roman"/>
      <w:vertAlign w:val="superscript"/>
    </w:rPr>
  </w:style>
  <w:style w:type="character" w:customStyle="1" w:styleId="364">
    <w:name w:val="HTML 样本1"/>
    <w:qFormat/>
    <w:uiPriority w:val="99"/>
    <w:rPr>
      <w:rFonts w:ascii="Courier New" w:hAnsi="宋体" w:eastAsia="宋体" w:cs="Times New Roman"/>
    </w:rPr>
  </w:style>
  <w:style w:type="paragraph" w:customStyle="1" w:styleId="365">
    <w:name w:val="首行缩进"/>
    <w:basedOn w:val="1"/>
    <w:qFormat/>
    <w:uiPriority w:val="0"/>
    <w:pPr>
      <w:ind w:firstLine="480"/>
    </w:pPr>
    <w:rPr>
      <w:szCs w:val="20"/>
      <w:lang w:val="zh-CN"/>
    </w:rPr>
  </w:style>
  <w:style w:type="paragraph" w:customStyle="1" w:styleId="366">
    <w:name w:val="列出段落1"/>
    <w:basedOn w:val="1"/>
    <w:link w:val="367"/>
    <w:unhideWhenUsed/>
    <w:qFormat/>
    <w:uiPriority w:val="99"/>
    <w:pPr>
      <w:ind w:firstLine="420"/>
    </w:pPr>
    <w:rPr>
      <w:rFonts w:ascii="Calibri" w:hAnsi="Calibri"/>
    </w:rPr>
  </w:style>
  <w:style w:type="character" w:customStyle="1" w:styleId="367">
    <w:name w:val="列出段落 字符"/>
    <w:link w:val="366"/>
    <w:qFormat/>
    <w:uiPriority w:val="34"/>
    <w:rPr>
      <w:rFonts w:ascii="Calibri" w:hAnsi="Calibri" w:eastAsia="宋体" w:cs="Times New Roman"/>
      <w:sz w:val="21"/>
      <w:szCs w:val="24"/>
    </w:rPr>
  </w:style>
  <w:style w:type="paragraph" w:customStyle="1" w:styleId="368">
    <w:name w:val="样式2"/>
    <w:basedOn w:val="1"/>
    <w:qFormat/>
    <w:uiPriority w:val="99"/>
    <w:pPr>
      <w:spacing w:line="360" w:lineRule="auto"/>
      <w:ind w:left="200"/>
    </w:pPr>
    <w:rPr>
      <w:rFonts w:ascii="宋体" w:hAnsi="宋体"/>
      <w:b/>
      <w:sz w:val="24"/>
    </w:rPr>
  </w:style>
  <w:style w:type="paragraph" w:customStyle="1" w:styleId="369">
    <w:name w:val="部分1"/>
    <w:basedOn w:val="1"/>
    <w:qFormat/>
    <w:uiPriority w:val="99"/>
    <w:pPr>
      <w:keepNext/>
      <w:pageBreakBefore/>
      <w:tabs>
        <w:tab w:val="left" w:pos="360"/>
      </w:tabs>
      <w:spacing w:line="360" w:lineRule="auto"/>
      <w:jc w:val="center"/>
      <w:outlineLvl w:val="0"/>
    </w:pPr>
    <w:rPr>
      <w:rFonts w:eastAsia="黑体"/>
      <w:b/>
      <w:sz w:val="36"/>
      <w:szCs w:val="20"/>
    </w:rPr>
  </w:style>
  <w:style w:type="paragraph" w:customStyle="1" w:styleId="370">
    <w:name w:val="xl2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371">
    <w:name w:val="正文缩进2字符"/>
    <w:basedOn w:val="1"/>
    <w:qFormat/>
    <w:uiPriority w:val="99"/>
    <w:pPr>
      <w:spacing w:line="300" w:lineRule="auto"/>
      <w:ind w:firstLine="200"/>
    </w:pPr>
    <w:rPr>
      <w:rFonts w:ascii="仿宋_GB2312" w:eastAsia="仿宋_GB2312"/>
      <w:sz w:val="32"/>
      <w:szCs w:val="32"/>
    </w:rPr>
  </w:style>
  <w:style w:type="paragraph" w:customStyle="1" w:styleId="372">
    <w:name w:val="Table Text Char"/>
    <w:qFormat/>
    <w:uiPriority w:val="99"/>
    <w:pPr>
      <w:spacing w:before="80" w:after="80"/>
    </w:pPr>
    <w:rPr>
      <w:rFonts w:ascii="Arial" w:hAnsi="Arial" w:eastAsia="宋体" w:cs="Arial"/>
      <w:sz w:val="18"/>
      <w:szCs w:val="28"/>
      <w:lang w:val="en-US" w:eastAsia="zh-CN" w:bidi="ar-SA"/>
    </w:rPr>
  </w:style>
  <w:style w:type="paragraph" w:customStyle="1" w:styleId="373">
    <w:name w:val="小四 段落 宋体 Char Char Char Char"/>
    <w:basedOn w:val="1"/>
    <w:qFormat/>
    <w:uiPriority w:val="99"/>
    <w:pPr>
      <w:spacing w:line="360" w:lineRule="auto"/>
      <w:ind w:right="-33" w:firstLine="480"/>
      <w:jc w:val="left"/>
    </w:pPr>
    <w:rPr>
      <w:sz w:val="24"/>
    </w:rPr>
  </w:style>
  <w:style w:type="paragraph" w:customStyle="1" w:styleId="374">
    <w:name w:val="Char Char Char"/>
    <w:basedOn w:val="1"/>
    <w:qFormat/>
    <w:uiPriority w:val="99"/>
    <w:rPr>
      <w:rFonts w:ascii="Tahoma" w:hAnsi="Tahoma"/>
      <w:sz w:val="24"/>
      <w:szCs w:val="20"/>
    </w:rPr>
  </w:style>
  <w:style w:type="paragraph" w:customStyle="1" w:styleId="375">
    <w:name w:val="样式 段后: 0.25 行"/>
    <w:basedOn w:val="1"/>
    <w:qFormat/>
    <w:uiPriority w:val="99"/>
    <w:pPr>
      <w:widowControl/>
      <w:spacing w:line="300" w:lineRule="auto"/>
      <w:ind w:firstLine="420"/>
      <w:jc w:val="left"/>
    </w:pPr>
    <w:rPr>
      <w:rFonts w:ascii="Arial" w:hAnsi="Arial" w:cs="宋体"/>
      <w:sz w:val="22"/>
      <w:szCs w:val="20"/>
      <w:lang w:eastAsia="en-US"/>
    </w:rPr>
  </w:style>
  <w:style w:type="paragraph" w:customStyle="1" w:styleId="376">
    <w:name w:val="正文表标题"/>
    <w:next w:val="377"/>
    <w:qFormat/>
    <w:uiPriority w:val="99"/>
    <w:pPr>
      <w:tabs>
        <w:tab w:val="left" w:pos="900"/>
      </w:tabs>
      <w:ind w:left="900" w:hanging="420"/>
      <w:jc w:val="center"/>
    </w:pPr>
    <w:rPr>
      <w:rFonts w:ascii="黑体" w:hAnsi="Times New Roman" w:eastAsia="黑体" w:cs="Times New Roman"/>
      <w:sz w:val="21"/>
      <w:lang w:val="en-US" w:eastAsia="zh-CN" w:bidi="ar-SA"/>
    </w:rPr>
  </w:style>
  <w:style w:type="paragraph" w:customStyle="1" w:styleId="377">
    <w:name w:val="段"/>
    <w:qFormat/>
    <w:uiPriority w:val="99"/>
    <w:pPr>
      <w:ind w:firstLine="200"/>
      <w:jc w:val="both"/>
    </w:pPr>
    <w:rPr>
      <w:rFonts w:ascii="宋体" w:hAnsi="Times New Roman" w:eastAsia="宋体" w:cs="Times New Roman"/>
      <w:sz w:val="21"/>
      <w:lang w:val="en-US" w:eastAsia="zh-CN" w:bidi="ar-SA"/>
    </w:rPr>
  </w:style>
  <w:style w:type="paragraph" w:customStyle="1" w:styleId="378">
    <w:name w:val="qw"/>
    <w:qFormat/>
    <w:uiPriority w:val="99"/>
    <w:pPr>
      <w:widowControl w:val="0"/>
      <w:spacing w:line="312" w:lineRule="atLeast"/>
      <w:jc w:val="both"/>
    </w:pPr>
    <w:rPr>
      <w:rFonts w:ascii="宋体" w:hAnsi="Times New Roman" w:eastAsia="宋体" w:cs="Times New Roman"/>
      <w:sz w:val="24"/>
      <w:lang w:val="en-US" w:eastAsia="zh-CN" w:bidi="ar-SA"/>
    </w:rPr>
  </w:style>
  <w:style w:type="paragraph" w:customStyle="1" w:styleId="379">
    <w:name w:val="样式 加点正文 + 段前: 0.5 行 段后: 0.5 行1"/>
    <w:basedOn w:val="1"/>
    <w:qFormat/>
    <w:uiPriority w:val="99"/>
    <w:pPr>
      <w:tabs>
        <w:tab w:val="left" w:pos="1268"/>
      </w:tabs>
      <w:spacing w:line="300" w:lineRule="auto"/>
      <w:ind w:left="1268" w:hanging="420"/>
    </w:pPr>
    <w:rPr>
      <w:sz w:val="24"/>
      <w:szCs w:val="20"/>
    </w:rPr>
  </w:style>
  <w:style w:type="paragraph" w:customStyle="1" w:styleId="380">
    <w:name w:val="样式 标题 3H3sect1.2.3BOD 0Heading 3 - oldh3l3CTLevel 3 Head..."/>
    <w:basedOn w:val="266"/>
    <w:qFormat/>
    <w:uiPriority w:val="99"/>
    <w:pPr>
      <w:spacing w:line="240" w:lineRule="auto"/>
      <w:jc w:val="left"/>
    </w:pPr>
    <w:rPr>
      <w:rFonts w:cs="宋体"/>
      <w:sz w:val="30"/>
      <w:szCs w:val="20"/>
    </w:rPr>
  </w:style>
  <w:style w:type="paragraph" w:customStyle="1" w:styleId="381">
    <w:name w:val="正文 + 宋体"/>
    <w:basedOn w:val="1"/>
    <w:qFormat/>
    <w:uiPriority w:val="99"/>
    <w:pPr>
      <w:spacing w:line="360" w:lineRule="auto"/>
      <w:ind w:firstLine="420"/>
    </w:pPr>
  </w:style>
  <w:style w:type="paragraph" w:customStyle="1" w:styleId="382">
    <w:name w:val="样式 样式 首行缩进:  2 字符 + 行距: 1.5 倍行距"/>
    <w:basedOn w:val="1"/>
    <w:qFormat/>
    <w:uiPriority w:val="99"/>
    <w:pPr>
      <w:spacing w:line="360" w:lineRule="auto"/>
      <w:ind w:firstLine="470"/>
    </w:pPr>
    <w:rPr>
      <w:sz w:val="24"/>
      <w:szCs w:val="20"/>
    </w:rPr>
  </w:style>
  <w:style w:type="paragraph" w:customStyle="1" w:styleId="383">
    <w:name w:val="_Style 82"/>
    <w:qFormat/>
    <w:uiPriority w:val="99"/>
    <w:rPr>
      <w:rFonts w:ascii="Times New Roman" w:hAnsi="Times New Roman" w:eastAsia="宋体" w:cs="Times New Roman"/>
      <w:sz w:val="22"/>
      <w:szCs w:val="22"/>
      <w:lang w:val="en-US" w:eastAsia="zh-CN" w:bidi="ar-SA"/>
    </w:rPr>
  </w:style>
  <w:style w:type="paragraph" w:customStyle="1" w:styleId="384">
    <w:name w:val="Char Char1 Char Char Char Char1 Char Char Char Char Char Char"/>
    <w:basedOn w:val="1"/>
    <w:qFormat/>
    <w:uiPriority w:val="99"/>
    <w:rPr>
      <w:rFonts w:ascii="Tahoma" w:hAnsi="Tahoma"/>
      <w:sz w:val="24"/>
      <w:szCs w:val="20"/>
    </w:rPr>
  </w:style>
  <w:style w:type="paragraph" w:customStyle="1" w:styleId="385">
    <w:name w:val="flNote"/>
    <w:basedOn w:val="1"/>
    <w:qFormat/>
    <w:uiPriority w:val="99"/>
    <w:pPr>
      <w:spacing w:before="567" w:line="360" w:lineRule="atLeast"/>
      <w:jc w:val="center"/>
    </w:pPr>
    <w:rPr>
      <w:rFonts w:eastAsia="黑体"/>
      <w:b/>
      <w:sz w:val="24"/>
      <w:szCs w:val="20"/>
    </w:rPr>
  </w:style>
  <w:style w:type="paragraph" w:customStyle="1" w:styleId="386">
    <w:name w:val="flType"/>
    <w:basedOn w:val="387"/>
    <w:qFormat/>
    <w:uiPriority w:val="99"/>
    <w:pPr>
      <w:spacing w:after="284"/>
    </w:pPr>
    <w:rPr>
      <w:rFonts w:eastAsia="宋体"/>
    </w:rPr>
  </w:style>
  <w:style w:type="paragraph" w:customStyle="1" w:styleId="387">
    <w:name w:val="flName"/>
    <w:basedOn w:val="385"/>
    <w:qFormat/>
    <w:uiPriority w:val="99"/>
    <w:pPr>
      <w:spacing w:before="0" w:line="113" w:lineRule="atLeast"/>
    </w:pPr>
  </w:style>
  <w:style w:type="paragraph" w:customStyle="1" w:styleId="388">
    <w:name w:val="样式 样式 首行缩进:  0.74 厘米 行距: 1.5 倍行距 + 段后: 0.5 行"/>
    <w:basedOn w:val="1"/>
    <w:qFormat/>
    <w:uiPriority w:val="99"/>
    <w:pPr>
      <w:spacing w:line="360" w:lineRule="auto"/>
      <w:ind w:firstLine="420"/>
    </w:pPr>
    <w:rPr>
      <w:rFonts w:ascii="楷体_GB2312" w:eastAsia="楷体_GB2312"/>
      <w:bCs/>
      <w:sz w:val="24"/>
      <w:szCs w:val="20"/>
    </w:rPr>
  </w:style>
  <w:style w:type="paragraph" w:customStyle="1" w:styleId="389">
    <w:name w:val="Pa5"/>
    <w:basedOn w:val="1"/>
    <w:next w:val="1"/>
    <w:qFormat/>
    <w:uiPriority w:val="99"/>
    <w:pPr>
      <w:spacing w:line="241" w:lineRule="atLeast"/>
      <w:jc w:val="left"/>
    </w:pPr>
    <w:rPr>
      <w:rFonts w:ascii="HYDaHeiJ" w:eastAsia="HYDaHeiJ"/>
      <w:sz w:val="24"/>
    </w:rPr>
  </w:style>
  <w:style w:type="paragraph" w:customStyle="1" w:styleId="390">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391">
    <w:name w:val="标题2，章节第二层"/>
    <w:basedOn w:val="1"/>
    <w:next w:val="392"/>
    <w:qFormat/>
    <w:uiPriority w:val="99"/>
    <w:pPr>
      <w:tabs>
        <w:tab w:val="left" w:pos="630"/>
        <w:tab w:val="left" w:pos="992"/>
      </w:tabs>
      <w:spacing w:line="300" w:lineRule="auto"/>
      <w:ind w:left="992" w:hanging="567"/>
      <w:outlineLvl w:val="1"/>
    </w:pPr>
    <w:rPr>
      <w:rFonts w:ascii="Arial" w:hAnsi="Arial" w:eastAsia="黑体"/>
      <w:sz w:val="32"/>
    </w:rPr>
  </w:style>
  <w:style w:type="paragraph" w:customStyle="1" w:styleId="392">
    <w:name w:val="正文格式"/>
    <w:basedOn w:val="1"/>
    <w:qFormat/>
    <w:uiPriority w:val="99"/>
    <w:pPr>
      <w:widowControl/>
      <w:spacing w:line="360" w:lineRule="auto"/>
      <w:ind w:left="178" w:right="44" w:hanging="178"/>
      <w:jc w:val="left"/>
    </w:pPr>
    <w:rPr>
      <w:rFonts w:ascii="宋体" w:hAnsi="宋体"/>
      <w:bCs/>
      <w:szCs w:val="21"/>
    </w:rPr>
  </w:style>
  <w:style w:type="paragraph" w:customStyle="1" w:styleId="393">
    <w:name w:val="Test2"/>
    <w:basedOn w:val="264"/>
    <w:qFormat/>
    <w:uiPriority w:val="99"/>
    <w:pPr>
      <w:widowControl/>
      <w:spacing w:line="480" w:lineRule="exact"/>
      <w:jc w:val="center"/>
    </w:pPr>
    <w:rPr>
      <w:rFonts w:ascii="黑体"/>
      <w:sz w:val="24"/>
      <w:szCs w:val="24"/>
    </w:rPr>
  </w:style>
  <w:style w:type="paragraph" w:customStyle="1" w:styleId="394">
    <w:name w:val="二级条标题"/>
    <w:basedOn w:val="1"/>
    <w:next w:val="377"/>
    <w:qFormat/>
    <w:uiPriority w:val="99"/>
    <w:pPr>
      <w:widowControl/>
      <w:tabs>
        <w:tab w:val="left" w:pos="2240"/>
      </w:tabs>
      <w:ind w:hanging="420"/>
      <w:outlineLvl w:val="3"/>
    </w:pPr>
    <w:rPr>
      <w:rFonts w:eastAsia="黑体"/>
      <w:szCs w:val="20"/>
    </w:rPr>
  </w:style>
  <w:style w:type="paragraph" w:customStyle="1" w:styleId="395">
    <w:name w:val="Char2"/>
    <w:basedOn w:val="289"/>
    <w:qFormat/>
    <w:uiPriority w:val="99"/>
    <w:rPr>
      <w:rFonts w:ascii="Tahoma" w:hAnsi="Tahoma"/>
    </w:rPr>
  </w:style>
  <w:style w:type="paragraph" w:customStyle="1" w:styleId="396">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rPr>
  </w:style>
  <w:style w:type="paragraph" w:customStyle="1" w:styleId="397">
    <w:name w:val="标准文本"/>
    <w:basedOn w:val="1"/>
    <w:qFormat/>
    <w:uiPriority w:val="99"/>
    <w:pPr>
      <w:spacing w:line="360" w:lineRule="auto"/>
      <w:ind w:firstLine="480"/>
    </w:pPr>
    <w:rPr>
      <w:rFonts w:cs="宋体"/>
      <w:sz w:val="24"/>
    </w:rPr>
  </w:style>
  <w:style w:type="paragraph" w:customStyle="1" w:styleId="398">
    <w:name w:val="马刚标题4"/>
    <w:basedOn w:val="399"/>
    <w:next w:val="1"/>
    <w:qFormat/>
    <w:uiPriority w:val="99"/>
    <w:pPr>
      <w:tabs>
        <w:tab w:val="left" w:pos="567"/>
        <w:tab w:val="left" w:pos="735"/>
        <w:tab w:val="left" w:pos="1050"/>
      </w:tabs>
      <w:spacing w:before="100" w:after="40"/>
      <w:outlineLvl w:val="3"/>
    </w:pPr>
    <w:rPr>
      <w:b w:val="0"/>
    </w:rPr>
  </w:style>
  <w:style w:type="paragraph" w:customStyle="1" w:styleId="399">
    <w:name w:val="马刚标题3"/>
    <w:basedOn w:val="1"/>
    <w:next w:val="1"/>
    <w:qFormat/>
    <w:uiPriority w:val="99"/>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400">
    <w:name w:val="普通 (Web)"/>
    <w:basedOn w:val="1"/>
    <w:qFormat/>
    <w:uiPriority w:val="99"/>
    <w:pPr>
      <w:widowControl/>
      <w:spacing w:before="100" w:beforeAutospacing="1" w:after="100" w:afterAutospacing="1"/>
      <w:jc w:val="left"/>
    </w:pPr>
    <w:rPr>
      <w:rFonts w:ascii="宋体" w:hAnsi="宋体"/>
      <w:sz w:val="24"/>
    </w:rPr>
  </w:style>
  <w:style w:type="paragraph" w:customStyle="1" w:styleId="401">
    <w:name w:val="Char1 Char Char Char"/>
    <w:basedOn w:val="1"/>
    <w:qFormat/>
    <w:uiPriority w:val="99"/>
    <w:rPr>
      <w:rFonts w:ascii="Tahoma" w:hAnsi="Tahoma" w:cs="Tahoma"/>
      <w:sz w:val="24"/>
      <w:szCs w:val="20"/>
    </w:rPr>
  </w:style>
  <w:style w:type="paragraph" w:customStyle="1" w:styleId="402">
    <w:name w:val="Char Char Char Char Char Char Char Char Char Char Char Char Char Char Char Char Char Char Char Char Char1"/>
    <w:basedOn w:val="1"/>
    <w:qFormat/>
    <w:uiPriority w:val="99"/>
    <w:rPr>
      <w:rFonts w:ascii="Tahoma" w:hAnsi="Tahoma"/>
      <w:sz w:val="24"/>
      <w:szCs w:val="20"/>
    </w:rPr>
  </w:style>
  <w:style w:type="paragraph" w:customStyle="1" w:styleId="403">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404">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405">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406">
    <w:name w:val="xl58"/>
    <w:basedOn w:val="1"/>
    <w:qFormat/>
    <w:uiPriority w:val="99"/>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07">
    <w:name w:val="font10"/>
    <w:basedOn w:val="1"/>
    <w:qFormat/>
    <w:uiPriority w:val="99"/>
    <w:pPr>
      <w:widowControl/>
      <w:spacing w:before="100" w:beforeAutospacing="1" w:after="100" w:afterAutospacing="1"/>
      <w:jc w:val="left"/>
    </w:pPr>
    <w:rPr>
      <w:rFonts w:ascii="楷体_GB2312" w:hAnsi="宋体" w:eastAsia="楷体_GB2312" w:cs="宋体"/>
      <w:b/>
      <w:bCs/>
      <w:sz w:val="18"/>
      <w:szCs w:val="18"/>
    </w:rPr>
  </w:style>
  <w:style w:type="paragraph" w:customStyle="1" w:styleId="408">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409">
    <w:name w:val="样式"/>
    <w:basedOn w:val="1"/>
    <w:qFormat/>
    <w:uiPriority w:val="99"/>
    <w:pPr>
      <w:spacing w:before="120" w:after="120" w:line="360" w:lineRule="auto"/>
    </w:pPr>
    <w:rPr>
      <w:rFonts w:ascii="宋体"/>
      <w:sz w:val="24"/>
      <w:szCs w:val="20"/>
    </w:rPr>
  </w:style>
  <w:style w:type="paragraph" w:customStyle="1" w:styleId="410">
    <w:name w:val="方案正文"/>
    <w:basedOn w:val="1"/>
    <w:qFormat/>
    <w:uiPriority w:val="99"/>
    <w:pPr>
      <w:spacing w:before="156" w:line="360" w:lineRule="auto"/>
      <w:ind w:firstLine="359"/>
      <w:jc w:val="left"/>
    </w:pPr>
    <w:rPr>
      <w:rFonts w:ascii="Arial" w:hAnsi="Arial" w:cs="宋体"/>
      <w:sz w:val="24"/>
      <w:szCs w:val="21"/>
    </w:rPr>
  </w:style>
  <w:style w:type="paragraph" w:customStyle="1" w:styleId="411">
    <w:name w:val="a0"/>
    <w:basedOn w:val="1"/>
    <w:qFormat/>
    <w:uiPriority w:val="99"/>
    <w:pPr>
      <w:widowControl/>
      <w:spacing w:before="100" w:beforeAutospacing="1" w:after="100" w:afterAutospacing="1"/>
    </w:pPr>
    <w:rPr>
      <w:rFonts w:ascii="宋体" w:hAnsi="宋体" w:cs="宋体"/>
      <w:sz w:val="24"/>
    </w:rPr>
  </w:style>
  <w:style w:type="paragraph" w:customStyle="1" w:styleId="412">
    <w:name w:val="retrait3"/>
    <w:basedOn w:val="1"/>
    <w:qFormat/>
    <w:uiPriority w:val="99"/>
    <w:pPr>
      <w:widowControl/>
      <w:spacing w:before="20" w:after="20"/>
      <w:ind w:left="851"/>
      <w:jc w:val="left"/>
    </w:pPr>
    <w:rPr>
      <w:rFonts w:ascii="Arial" w:hAnsi="Arial"/>
      <w:sz w:val="24"/>
      <w:szCs w:val="20"/>
      <w:lang w:val="en-GB"/>
    </w:rPr>
  </w:style>
  <w:style w:type="paragraph" w:customStyle="1" w:styleId="413">
    <w:name w:val="图标"/>
    <w:basedOn w:val="1"/>
    <w:next w:val="1"/>
    <w:qFormat/>
    <w:uiPriority w:val="99"/>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414">
    <w:name w:val="Char1 Char Char Char1"/>
    <w:basedOn w:val="1"/>
    <w:qFormat/>
    <w:uiPriority w:val="99"/>
    <w:rPr>
      <w:rFonts w:ascii="Tahoma" w:hAnsi="Tahoma"/>
      <w:sz w:val="24"/>
      <w:szCs w:val="20"/>
    </w:rPr>
  </w:style>
  <w:style w:type="paragraph" w:customStyle="1" w:styleId="415">
    <w:name w:val="table_lines"/>
    <w:basedOn w:val="1"/>
    <w:qFormat/>
    <w:uiPriority w:val="99"/>
    <w:pPr>
      <w:widowControl/>
      <w:jc w:val="left"/>
    </w:pPr>
    <w:rPr>
      <w:sz w:val="20"/>
      <w:szCs w:val="20"/>
      <w:lang w:val="de-DE" w:eastAsia="de-DE"/>
    </w:rPr>
  </w:style>
  <w:style w:type="paragraph" w:customStyle="1" w:styleId="416">
    <w:name w:val="Char Char1"/>
    <w:basedOn w:val="1"/>
    <w:qFormat/>
    <w:uiPriority w:val="99"/>
    <w:rPr>
      <w:rFonts w:ascii="Tahoma" w:hAnsi="Tahoma"/>
      <w:sz w:val="24"/>
      <w:szCs w:val="20"/>
    </w:rPr>
  </w:style>
  <w:style w:type="paragraph" w:customStyle="1" w:styleId="417">
    <w:name w:val="Item List Char Char"/>
    <w:qFormat/>
    <w:uiPriority w:val="99"/>
    <w:pPr>
      <w:spacing w:line="288" w:lineRule="auto"/>
      <w:jc w:val="both"/>
    </w:pPr>
    <w:rPr>
      <w:rFonts w:ascii="Arial" w:hAnsi="Arial" w:eastAsia="宋体" w:cs="Arial"/>
      <w:b/>
      <w:bCs/>
      <w:sz w:val="21"/>
      <w:szCs w:val="28"/>
      <w:lang w:val="en-US" w:eastAsia="zh-CN" w:bidi="ar-SA"/>
    </w:rPr>
  </w:style>
  <w:style w:type="paragraph" w:customStyle="1" w:styleId="418">
    <w:name w:val="样式 样式 标题 3H3sect1.2.3BOD 0Heading 3 - oldh3l3CTLevel 3 Head... +..."/>
    <w:basedOn w:val="1"/>
    <w:qFormat/>
    <w:uiPriority w:val="99"/>
    <w:pPr>
      <w:keepNext/>
      <w:keepLines/>
      <w:jc w:val="left"/>
      <w:outlineLvl w:val="2"/>
    </w:pPr>
    <w:rPr>
      <w:rFonts w:cs="宋体"/>
      <w:b/>
      <w:bCs/>
      <w:sz w:val="24"/>
      <w:szCs w:val="20"/>
    </w:rPr>
  </w:style>
  <w:style w:type="paragraph" w:customStyle="1" w:styleId="419">
    <w:name w:val="Char Char1 Char1"/>
    <w:basedOn w:val="1"/>
    <w:qFormat/>
    <w:uiPriority w:val="99"/>
    <w:pPr>
      <w:widowControl/>
      <w:spacing w:after="160" w:line="240" w:lineRule="exact"/>
      <w:jc w:val="left"/>
    </w:pPr>
    <w:rPr>
      <w:rFonts w:ascii="Verdana" w:hAnsi="Verdana"/>
      <w:sz w:val="20"/>
      <w:szCs w:val="20"/>
      <w:lang w:eastAsia="en-US"/>
    </w:rPr>
  </w:style>
  <w:style w:type="paragraph" w:customStyle="1" w:styleId="420">
    <w:name w:val="正文2"/>
    <w:basedOn w:val="1"/>
    <w:link w:val="421"/>
    <w:qFormat/>
    <w:uiPriority w:val="99"/>
    <w:pPr>
      <w:spacing w:before="156" w:line="360" w:lineRule="auto"/>
      <w:ind w:firstLine="510"/>
    </w:pPr>
    <w:rPr>
      <w:sz w:val="24"/>
      <w:szCs w:val="20"/>
    </w:rPr>
  </w:style>
  <w:style w:type="character" w:customStyle="1" w:styleId="421">
    <w:name w:val="正文2 Char Char"/>
    <w:link w:val="420"/>
    <w:qFormat/>
    <w:uiPriority w:val="99"/>
    <w:rPr>
      <w:rFonts w:cs="Times New Roman"/>
      <w:sz w:val="24"/>
    </w:rPr>
  </w:style>
  <w:style w:type="paragraph" w:customStyle="1" w:styleId="422">
    <w:name w:val="font13"/>
    <w:basedOn w:val="1"/>
    <w:qFormat/>
    <w:uiPriority w:val="99"/>
    <w:pPr>
      <w:widowControl/>
      <w:spacing w:before="100" w:beforeAutospacing="1" w:after="100" w:afterAutospacing="1"/>
      <w:jc w:val="left"/>
    </w:pPr>
    <w:rPr>
      <w:i/>
      <w:iCs/>
      <w:sz w:val="36"/>
      <w:szCs w:val="36"/>
    </w:rPr>
  </w:style>
  <w:style w:type="paragraph" w:customStyle="1" w:styleId="423">
    <w:name w:val="默认段落字体 Para Char"/>
    <w:basedOn w:val="1"/>
    <w:qFormat/>
    <w:uiPriority w:val="99"/>
    <w:pPr>
      <w:spacing w:line="360" w:lineRule="auto"/>
    </w:pPr>
    <w:rPr>
      <w:sz w:val="24"/>
    </w:rPr>
  </w:style>
  <w:style w:type="paragraph" w:customStyle="1" w:styleId="424">
    <w:name w:val="af17cgridlangnp1033langf"/>
    <w:qFormat/>
    <w:uiPriority w:val="99"/>
    <w:pPr>
      <w:widowControl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425">
    <w:name w:val="正文1"/>
    <w:basedOn w:val="1"/>
    <w:next w:val="1"/>
    <w:qFormat/>
    <w:uiPriority w:val="99"/>
    <w:pPr>
      <w:spacing w:before="156" w:line="360" w:lineRule="auto"/>
      <w:ind w:firstLine="510"/>
    </w:pPr>
    <w:rPr>
      <w:sz w:val="24"/>
      <w:szCs w:val="20"/>
    </w:rPr>
  </w:style>
  <w:style w:type="paragraph" w:customStyle="1" w:styleId="426">
    <w:name w:val="Char Char Char Char Char Char Char Char Char1"/>
    <w:basedOn w:val="1"/>
    <w:qFormat/>
    <w:uiPriority w:val="99"/>
    <w:pPr>
      <w:tabs>
        <w:tab w:val="left" w:pos="360"/>
      </w:tabs>
      <w:ind w:left="360" w:hanging="360"/>
    </w:pPr>
    <w:rPr>
      <w:sz w:val="24"/>
    </w:rPr>
  </w:style>
  <w:style w:type="paragraph" w:customStyle="1" w:styleId="427">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428">
    <w:name w:val="正文文本 21"/>
    <w:basedOn w:val="1"/>
    <w:qFormat/>
    <w:uiPriority w:val="99"/>
    <w:pPr>
      <w:widowControl/>
      <w:ind w:left="720" w:hanging="720"/>
    </w:pPr>
    <w:rPr>
      <w:sz w:val="24"/>
      <w:szCs w:val="20"/>
      <w:lang w:val="en-GB"/>
    </w:rPr>
  </w:style>
  <w:style w:type="paragraph" w:customStyle="1" w:styleId="429">
    <w:name w:val="Char Char Char Char Char Char Char Char Char Char Char Char Char Char Char Char Char Char Char Char Char Char Char1"/>
    <w:basedOn w:val="1"/>
    <w:qFormat/>
    <w:uiPriority w:val="99"/>
    <w:rPr>
      <w:rFonts w:ascii="Tahoma" w:hAnsi="Tahoma" w:cs="Tahoma"/>
      <w:sz w:val="24"/>
      <w:szCs w:val="20"/>
    </w:rPr>
  </w:style>
  <w:style w:type="paragraph" w:customStyle="1" w:styleId="430">
    <w:name w:val="Char Char Char Char Char Char Char Char Char Char Char Char Char Char1"/>
    <w:basedOn w:val="1"/>
    <w:qFormat/>
    <w:uiPriority w:val="99"/>
    <w:rPr>
      <w:rFonts w:ascii="Tahoma" w:hAnsi="Tahoma" w:cs="Tahoma"/>
      <w:sz w:val="24"/>
      <w:szCs w:val="20"/>
    </w:rPr>
  </w:style>
  <w:style w:type="paragraph" w:customStyle="1" w:styleId="431">
    <w:name w:val="Default Text"/>
    <w:basedOn w:val="1"/>
    <w:qFormat/>
    <w:uiPriority w:val="99"/>
    <w:pPr>
      <w:widowControl/>
      <w:jc w:val="left"/>
    </w:pPr>
    <w:rPr>
      <w:sz w:val="24"/>
      <w:szCs w:val="20"/>
      <w:lang w:eastAsia="en-US"/>
    </w:rPr>
  </w:style>
  <w:style w:type="paragraph" w:customStyle="1" w:styleId="432">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33">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434">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35">
    <w:name w:val="纯文本1"/>
    <w:basedOn w:val="1"/>
    <w:qFormat/>
    <w:uiPriority w:val="99"/>
    <w:rPr>
      <w:rFonts w:ascii="宋体" w:hAnsi="宋体" w:eastAsia="楷体_GB2312" w:cs="宋体"/>
      <w:sz w:val="28"/>
      <w:szCs w:val="20"/>
    </w:rPr>
  </w:style>
  <w:style w:type="paragraph" w:customStyle="1" w:styleId="436">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437">
    <w:name w:val="font14"/>
    <w:basedOn w:val="1"/>
    <w:qFormat/>
    <w:uiPriority w:val="99"/>
    <w:pPr>
      <w:widowControl/>
      <w:spacing w:before="100" w:beforeAutospacing="1" w:after="100" w:afterAutospacing="1"/>
      <w:jc w:val="left"/>
    </w:pPr>
    <w:rPr>
      <w:sz w:val="36"/>
      <w:szCs w:val="36"/>
    </w:rPr>
  </w:style>
  <w:style w:type="paragraph" w:customStyle="1" w:styleId="438">
    <w:name w:val="章标题"/>
    <w:next w:val="377"/>
    <w:qFormat/>
    <w:uiPriority w:val="99"/>
    <w:pPr>
      <w:jc w:val="both"/>
      <w:outlineLvl w:val="1"/>
    </w:pPr>
    <w:rPr>
      <w:rFonts w:ascii="Times New Roman" w:hAnsi="Times New Roman" w:eastAsia="黑体" w:cs="Times New Roman"/>
      <w:sz w:val="21"/>
      <w:lang w:val="en-US" w:eastAsia="zh-CN" w:bidi="ar-SA"/>
    </w:rPr>
  </w:style>
  <w:style w:type="paragraph" w:customStyle="1" w:styleId="439">
    <w:name w:val="正文文本缩进1"/>
    <w:basedOn w:val="1"/>
    <w:qFormat/>
    <w:uiPriority w:val="99"/>
    <w:pPr>
      <w:spacing w:after="120"/>
      <w:ind w:left="420"/>
    </w:pPr>
  </w:style>
  <w:style w:type="paragraph" w:customStyle="1" w:styleId="440">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441">
    <w:name w:val="Char Char1 Char"/>
    <w:basedOn w:val="1"/>
    <w:qFormat/>
    <w:uiPriority w:val="99"/>
    <w:pPr>
      <w:widowControl/>
      <w:spacing w:after="160" w:line="240" w:lineRule="exact"/>
      <w:jc w:val="left"/>
    </w:pPr>
    <w:rPr>
      <w:rFonts w:ascii="Verdana" w:hAnsi="Verdana"/>
      <w:sz w:val="20"/>
      <w:szCs w:val="20"/>
      <w:lang w:eastAsia="en-US"/>
    </w:rPr>
  </w:style>
  <w:style w:type="paragraph" w:customStyle="1" w:styleId="442">
    <w:name w:val="项目符号，一级"/>
    <w:basedOn w:val="392"/>
    <w:next w:val="392"/>
    <w:qFormat/>
    <w:uiPriority w:val="99"/>
    <w:pPr>
      <w:tabs>
        <w:tab w:val="left" w:pos="1320"/>
      </w:tabs>
      <w:spacing w:line="240" w:lineRule="atLeast"/>
      <w:ind w:left="376" w:firstLine="0"/>
    </w:pPr>
    <w:rPr>
      <w:bCs w:val="0"/>
      <w:color w:val="000000"/>
      <w:szCs w:val="24"/>
    </w:rPr>
  </w:style>
  <w:style w:type="paragraph" w:customStyle="1" w:styleId="443">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44">
    <w:name w:val="标题3"/>
    <w:basedOn w:val="266"/>
    <w:qFormat/>
    <w:uiPriority w:val="99"/>
    <w:pPr>
      <w:keepNext w:val="0"/>
      <w:keepLines w:val="0"/>
      <w:spacing w:before="0" w:after="0" w:line="360" w:lineRule="auto"/>
    </w:pPr>
    <w:rPr>
      <w:rFonts w:eastAsia="仿宋_GB2312"/>
      <w:b w:val="0"/>
      <w:sz w:val="30"/>
    </w:rPr>
  </w:style>
  <w:style w:type="paragraph" w:customStyle="1" w:styleId="445">
    <w:name w:val="样式3"/>
    <w:basedOn w:val="1"/>
    <w:next w:val="1"/>
    <w:qFormat/>
    <w:uiPriority w:val="99"/>
    <w:pPr>
      <w:spacing w:line="360" w:lineRule="auto"/>
    </w:pPr>
    <w:rPr>
      <w:szCs w:val="20"/>
    </w:rPr>
  </w:style>
  <w:style w:type="paragraph" w:customStyle="1" w:styleId="446">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447">
    <w:name w:val="Char Char1 Char Char2 Char Char"/>
    <w:basedOn w:val="1"/>
    <w:qFormat/>
    <w:uiPriority w:val="99"/>
    <w:pPr>
      <w:widowControl/>
      <w:spacing w:after="160" w:line="240" w:lineRule="exact"/>
      <w:jc w:val="left"/>
    </w:pPr>
  </w:style>
  <w:style w:type="paragraph" w:customStyle="1" w:styleId="448">
    <w:name w:val="正文 + Arial Char"/>
    <w:basedOn w:val="1"/>
    <w:qFormat/>
    <w:uiPriority w:val="99"/>
    <w:pPr>
      <w:widowControl/>
      <w:tabs>
        <w:tab w:val="left" w:pos="315"/>
      </w:tabs>
      <w:spacing w:line="300" w:lineRule="auto"/>
      <w:ind w:left="315" w:hanging="315"/>
    </w:pPr>
    <w:rPr>
      <w:rFonts w:ascii="Arial" w:hAnsi="Arial" w:cs="Arial"/>
      <w:b/>
      <w:color w:val="000000"/>
      <w:szCs w:val="20"/>
    </w:rPr>
  </w:style>
  <w:style w:type="paragraph" w:customStyle="1" w:styleId="449">
    <w:name w:val="table_1stline"/>
    <w:basedOn w:val="1"/>
    <w:qFormat/>
    <w:uiPriority w:val="99"/>
    <w:pPr>
      <w:widowControl/>
      <w:spacing w:before="120"/>
      <w:jc w:val="left"/>
    </w:pPr>
    <w:rPr>
      <w:bCs/>
      <w:sz w:val="20"/>
      <w:szCs w:val="20"/>
      <w:lang w:val="de-DE" w:eastAsia="de-DE"/>
    </w:rPr>
  </w:style>
  <w:style w:type="paragraph" w:customStyle="1" w:styleId="450">
    <w:name w:val="tableau"/>
    <w:basedOn w:val="1"/>
    <w:qFormat/>
    <w:uiPriority w:val="99"/>
    <w:pPr>
      <w:widowControl/>
      <w:spacing w:before="20" w:after="20"/>
      <w:jc w:val="center"/>
    </w:pPr>
    <w:rPr>
      <w:rFonts w:ascii="Arial" w:hAnsi="Arial"/>
      <w:sz w:val="16"/>
      <w:szCs w:val="20"/>
      <w:lang w:val="en-GB" w:eastAsia="en-US"/>
    </w:rPr>
  </w:style>
  <w:style w:type="paragraph" w:customStyle="1" w:styleId="451">
    <w:name w:val="Char Char Char Char1"/>
    <w:basedOn w:val="289"/>
    <w:qFormat/>
    <w:uiPriority w:val="99"/>
    <w:pPr>
      <w:spacing w:line="360" w:lineRule="auto"/>
    </w:pPr>
    <w:rPr>
      <w:rFonts w:ascii="Tahoma" w:hAnsi="Tahoma"/>
    </w:rPr>
  </w:style>
  <w:style w:type="paragraph" w:customStyle="1" w:styleId="452">
    <w:name w:val="font9"/>
    <w:basedOn w:val="1"/>
    <w:qFormat/>
    <w:uiPriority w:val="99"/>
    <w:pPr>
      <w:widowControl/>
      <w:spacing w:before="100" w:beforeAutospacing="1" w:after="100" w:afterAutospacing="1"/>
      <w:jc w:val="left"/>
    </w:pPr>
    <w:rPr>
      <w:b/>
      <w:bCs/>
      <w:sz w:val="20"/>
      <w:szCs w:val="20"/>
    </w:rPr>
  </w:style>
  <w:style w:type="paragraph" w:customStyle="1" w:styleId="453">
    <w:name w:val="Char Char Char Char Char Char Char1 Char"/>
    <w:basedOn w:val="1"/>
    <w:qFormat/>
    <w:uiPriority w:val="99"/>
    <w:rPr>
      <w:rFonts w:ascii="Tahoma" w:hAnsi="Tahoma" w:cs="Tahoma"/>
      <w:sz w:val="24"/>
      <w:szCs w:val="20"/>
    </w:rPr>
  </w:style>
  <w:style w:type="paragraph" w:customStyle="1" w:styleId="454">
    <w:name w:val="插图"/>
    <w:basedOn w:val="1"/>
    <w:qFormat/>
    <w:uiPriority w:val="99"/>
    <w:pPr>
      <w:tabs>
        <w:tab w:val="left" w:pos="1620"/>
      </w:tabs>
      <w:jc w:val="center"/>
    </w:pPr>
    <w:rPr>
      <w:bCs/>
      <w:color w:val="000000"/>
      <w:szCs w:val="22"/>
    </w:rPr>
  </w:style>
  <w:style w:type="paragraph" w:customStyle="1" w:styleId="455">
    <w:name w:val="Char1"/>
    <w:basedOn w:val="1"/>
    <w:qFormat/>
    <w:uiPriority w:val="99"/>
    <w:rPr>
      <w:rFonts w:ascii="仿宋_GB2312" w:hAnsi="宋体" w:eastAsia="仿宋_GB2312" w:cs="宋体"/>
      <w:b/>
      <w:sz w:val="32"/>
      <w:szCs w:val="32"/>
    </w:rPr>
  </w:style>
  <w:style w:type="paragraph" w:customStyle="1" w:styleId="456">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7">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b/>
      <w:bCs/>
      <w:sz w:val="20"/>
      <w:szCs w:val="20"/>
    </w:rPr>
  </w:style>
  <w:style w:type="paragraph" w:customStyle="1" w:styleId="458">
    <w:name w:val="引用11"/>
    <w:basedOn w:val="1"/>
    <w:next w:val="1"/>
    <w:link w:val="459"/>
    <w:qFormat/>
    <w:uiPriority w:val="99"/>
    <w:pPr>
      <w:widowControl/>
      <w:spacing w:before="200" w:line="276" w:lineRule="auto"/>
      <w:ind w:left="360" w:right="360"/>
      <w:jc w:val="left"/>
    </w:pPr>
    <w:rPr>
      <w:rFonts w:ascii="Calibri" w:hAnsi="Calibri"/>
      <w:i/>
      <w:sz w:val="22"/>
      <w:szCs w:val="20"/>
      <w:lang w:eastAsia="en-US"/>
    </w:rPr>
  </w:style>
  <w:style w:type="character" w:customStyle="1" w:styleId="459">
    <w:name w:val="Quote Char"/>
    <w:link w:val="458"/>
    <w:qFormat/>
    <w:uiPriority w:val="99"/>
    <w:rPr>
      <w:rFonts w:ascii="Calibri" w:hAnsi="Calibri" w:eastAsia="宋体"/>
      <w:i/>
      <w:sz w:val="22"/>
      <w:lang w:eastAsia="en-US"/>
    </w:rPr>
  </w:style>
  <w:style w:type="paragraph" w:customStyle="1" w:styleId="460">
    <w:name w:val="Char Char1 Char Char Char Char Char Char Char"/>
    <w:basedOn w:val="1"/>
    <w:qFormat/>
    <w:uiPriority w:val="99"/>
    <w:rPr>
      <w:rFonts w:ascii="Tahoma" w:hAnsi="Tahoma" w:cs="Tahoma"/>
      <w:sz w:val="24"/>
      <w:szCs w:val="20"/>
    </w:rPr>
  </w:style>
  <w:style w:type="paragraph" w:customStyle="1" w:styleId="461">
    <w:name w:val="列表内容"/>
    <w:basedOn w:val="1"/>
    <w:next w:val="1"/>
    <w:qFormat/>
    <w:uiPriority w:val="99"/>
    <w:pPr>
      <w:widowControl/>
      <w:tabs>
        <w:tab w:val="left" w:pos="840"/>
      </w:tabs>
      <w:ind w:left="840" w:hanging="420"/>
      <w:jc w:val="left"/>
    </w:pPr>
    <w:rPr>
      <w:sz w:val="18"/>
    </w:rPr>
  </w:style>
  <w:style w:type="paragraph" w:customStyle="1" w:styleId="462">
    <w:name w:val="Body Text(ch)"/>
    <w:basedOn w:val="1"/>
    <w:next w:val="297"/>
    <w:qFormat/>
    <w:uiPriority w:val="99"/>
    <w:pPr>
      <w:spacing w:after="120"/>
    </w:pPr>
    <w:rPr>
      <w:rFonts w:ascii="宋体" w:hAnsi="Arial"/>
      <w:bCs/>
      <w:iCs/>
    </w:rPr>
  </w:style>
  <w:style w:type="paragraph" w:customStyle="1" w:styleId="463">
    <w:name w:val="Body Text 211"/>
    <w:basedOn w:val="1"/>
    <w:qFormat/>
    <w:uiPriority w:val="99"/>
    <w:pPr>
      <w:widowControl/>
      <w:ind w:left="720" w:hanging="720"/>
    </w:pPr>
    <w:rPr>
      <w:sz w:val="24"/>
      <w:szCs w:val="20"/>
      <w:lang w:val="en-GB"/>
    </w:rPr>
  </w:style>
  <w:style w:type="paragraph" w:customStyle="1" w:styleId="464">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465">
    <w:name w:val="xl2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466">
    <w:name w:val="Body Text 21"/>
    <w:basedOn w:val="1"/>
    <w:qFormat/>
    <w:uiPriority w:val="99"/>
    <w:pPr>
      <w:widowControl/>
      <w:ind w:left="720" w:hanging="720"/>
    </w:pPr>
    <w:rPr>
      <w:sz w:val="24"/>
      <w:szCs w:val="20"/>
      <w:lang w:val="en-GB"/>
    </w:rPr>
  </w:style>
  <w:style w:type="paragraph" w:customStyle="1" w:styleId="467">
    <w:name w:val="列出段落111"/>
    <w:basedOn w:val="1"/>
    <w:link w:val="468"/>
    <w:qFormat/>
    <w:uiPriority w:val="99"/>
    <w:pPr>
      <w:ind w:firstLine="420"/>
    </w:pPr>
    <w:rPr>
      <w:rFonts w:ascii="Calibri" w:hAnsi="Calibri"/>
      <w:szCs w:val="22"/>
    </w:rPr>
  </w:style>
  <w:style w:type="character" w:customStyle="1" w:styleId="468">
    <w:name w:val="列出段落 Char"/>
    <w:link w:val="467"/>
    <w:qFormat/>
    <w:uiPriority w:val="99"/>
    <w:rPr>
      <w:rFonts w:ascii="Calibri" w:hAnsi="Calibri"/>
      <w:sz w:val="21"/>
      <w:szCs w:val="22"/>
    </w:rPr>
  </w:style>
  <w:style w:type="paragraph" w:customStyle="1" w:styleId="469">
    <w:name w:val="华宇段落1 Char"/>
    <w:basedOn w:val="1"/>
    <w:qFormat/>
    <w:uiPriority w:val="99"/>
    <w:pPr>
      <w:spacing w:line="360" w:lineRule="auto"/>
      <w:ind w:firstLine="200"/>
    </w:pPr>
    <w:rPr>
      <w:bCs/>
      <w:sz w:val="24"/>
    </w:rPr>
  </w:style>
  <w:style w:type="paragraph" w:customStyle="1" w:styleId="470">
    <w:name w:val="正文 New"/>
    <w:qFormat/>
    <w:uiPriority w:val="99"/>
    <w:pPr>
      <w:widowControl w:val="0"/>
      <w:jc w:val="both"/>
    </w:pPr>
    <w:rPr>
      <w:rFonts w:ascii="Times New Roman" w:hAnsi="Times New Roman" w:eastAsia="宋体" w:cs="Times New Roman"/>
      <w:sz w:val="21"/>
      <w:lang w:val="en-US" w:eastAsia="zh-CN" w:bidi="ar-SA"/>
    </w:rPr>
  </w:style>
  <w:style w:type="paragraph" w:customStyle="1" w:styleId="471">
    <w:name w:val="马刚标题1"/>
    <w:basedOn w:val="262"/>
    <w:next w:val="1"/>
    <w:qFormat/>
    <w:uiPriority w:val="99"/>
    <w:pPr>
      <w:tabs>
        <w:tab w:val="left" w:pos="315"/>
        <w:tab w:val="left" w:pos="567"/>
      </w:tabs>
      <w:spacing w:before="400" w:after="120"/>
      <w:ind w:left="567" w:hanging="567"/>
      <w:jc w:val="left"/>
    </w:pPr>
    <w:rPr>
      <w:rFonts w:eastAsia="黑体"/>
      <w:b w:val="0"/>
      <w:bCs w:val="0"/>
      <w:sz w:val="32"/>
      <w:szCs w:val="20"/>
    </w:rPr>
  </w:style>
  <w:style w:type="paragraph" w:customStyle="1" w:styleId="472">
    <w:name w:val="Char Char Char Char Char"/>
    <w:basedOn w:val="1"/>
    <w:qFormat/>
    <w:uiPriority w:val="99"/>
    <w:rPr>
      <w:rFonts w:ascii="Tahoma" w:hAnsi="Tahoma"/>
      <w:sz w:val="24"/>
      <w:szCs w:val="20"/>
    </w:rPr>
  </w:style>
  <w:style w:type="paragraph" w:customStyle="1" w:styleId="473">
    <w:name w:val="明显引用11"/>
    <w:basedOn w:val="1"/>
    <w:next w:val="1"/>
    <w:link w:val="474"/>
    <w:qFormat/>
    <w:uiPriority w:val="99"/>
    <w:pPr>
      <w:widowControl/>
      <w:pBdr>
        <w:bottom w:val="single" w:color="000000" w:sz="4" w:space="1"/>
      </w:pBdr>
      <w:spacing w:before="200" w:after="280" w:line="276" w:lineRule="auto"/>
      <w:ind w:left="1008" w:right="1152"/>
    </w:pPr>
    <w:rPr>
      <w:rFonts w:ascii="Calibri" w:hAnsi="Calibri"/>
      <w:b/>
      <w:i/>
      <w:sz w:val="22"/>
      <w:szCs w:val="20"/>
      <w:lang w:eastAsia="en-US"/>
    </w:rPr>
  </w:style>
  <w:style w:type="character" w:customStyle="1" w:styleId="474">
    <w:name w:val="Intense Quote Char"/>
    <w:link w:val="473"/>
    <w:qFormat/>
    <w:uiPriority w:val="99"/>
    <w:rPr>
      <w:rFonts w:ascii="Calibri" w:hAnsi="Calibri" w:eastAsia="宋体"/>
      <w:b/>
      <w:i/>
      <w:sz w:val="22"/>
      <w:lang w:eastAsia="en-US"/>
    </w:rPr>
  </w:style>
  <w:style w:type="paragraph" w:customStyle="1" w:styleId="475">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476">
    <w:name w:val="样式4 Char"/>
    <w:basedOn w:val="1"/>
    <w:qFormat/>
    <w:uiPriority w:val="99"/>
    <w:pPr>
      <w:widowControl/>
      <w:spacing w:line="360" w:lineRule="auto"/>
      <w:ind w:firstLine="480"/>
      <w:jc w:val="left"/>
    </w:pPr>
    <w:rPr>
      <w:rFonts w:cs="宋体"/>
      <w:color w:val="000000"/>
      <w:sz w:val="24"/>
    </w:rPr>
  </w:style>
  <w:style w:type="paragraph" w:customStyle="1" w:styleId="477">
    <w:name w:val="xl3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78">
    <w:name w:val="1"/>
    <w:basedOn w:val="1"/>
    <w:next w:val="339"/>
    <w:qFormat/>
    <w:uiPriority w:val="99"/>
    <w:pPr>
      <w:spacing w:line="360" w:lineRule="auto"/>
    </w:pPr>
    <w:rPr>
      <w:rFonts w:eastAsia="仿宋_GB2312"/>
      <w:sz w:val="24"/>
    </w:rPr>
  </w:style>
  <w:style w:type="paragraph" w:customStyle="1" w:styleId="479">
    <w:name w:val="小四 段落 宋体 Char Char Char"/>
    <w:basedOn w:val="286"/>
    <w:qFormat/>
    <w:uiPriority w:val="99"/>
    <w:pPr>
      <w:tabs>
        <w:tab w:val="clear" w:pos="2952"/>
      </w:tabs>
      <w:spacing w:line="360" w:lineRule="auto"/>
      <w:ind w:left="0" w:right="-33" w:firstLine="545"/>
      <w:jc w:val="left"/>
    </w:pPr>
    <w:rPr>
      <w:sz w:val="24"/>
    </w:rPr>
  </w:style>
  <w:style w:type="paragraph" w:customStyle="1" w:styleId="480">
    <w:name w:val="正文 首行缩进:  2 字符 Char Char"/>
    <w:basedOn w:val="1"/>
    <w:qFormat/>
    <w:uiPriority w:val="99"/>
    <w:pPr>
      <w:spacing w:line="360" w:lineRule="auto"/>
      <w:ind w:firstLine="480"/>
    </w:pPr>
    <w:rPr>
      <w:rFonts w:ascii="楷体_GB2312" w:eastAsia="楷体_GB2312"/>
      <w:bCs/>
      <w:sz w:val="24"/>
    </w:rPr>
  </w:style>
  <w:style w:type="paragraph" w:customStyle="1" w:styleId="481">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82">
    <w:name w:val="Char Char Char Char Char Char Char Char Char Char Char Char Char"/>
    <w:basedOn w:val="1"/>
    <w:qFormat/>
    <w:uiPriority w:val="99"/>
    <w:pPr>
      <w:widowControl/>
      <w:spacing w:after="160" w:line="240" w:lineRule="exact"/>
      <w:jc w:val="left"/>
    </w:pPr>
  </w:style>
  <w:style w:type="paragraph" w:customStyle="1" w:styleId="483">
    <w:name w:val="列出段落2"/>
    <w:basedOn w:val="1"/>
    <w:qFormat/>
    <w:uiPriority w:val="99"/>
    <w:pPr>
      <w:widowControl/>
      <w:ind w:left="720"/>
      <w:jc w:val="left"/>
    </w:pPr>
    <w:rPr>
      <w:rFonts w:ascii="Arial" w:hAnsi="Arial" w:eastAsia="黑体" w:cs="Arial"/>
      <w:sz w:val="24"/>
      <w:lang w:eastAsia="en-US"/>
    </w:rPr>
  </w:style>
  <w:style w:type="paragraph" w:customStyle="1" w:styleId="484">
    <w:name w:val="符号与编号 Char"/>
    <w:basedOn w:val="1"/>
    <w:qFormat/>
    <w:uiPriority w:val="99"/>
    <w:pPr>
      <w:tabs>
        <w:tab w:val="left" w:pos="720"/>
      </w:tabs>
      <w:spacing w:line="400" w:lineRule="atLeast"/>
      <w:ind w:left="720"/>
    </w:pPr>
    <w:rPr>
      <w:sz w:val="24"/>
    </w:rPr>
  </w:style>
  <w:style w:type="paragraph" w:customStyle="1" w:styleId="485">
    <w:name w:val="正文--表格内正文"/>
    <w:basedOn w:val="1"/>
    <w:qFormat/>
    <w:uiPriority w:val="99"/>
    <w:pPr>
      <w:spacing w:line="240" w:lineRule="atLeast"/>
      <w:jc w:val="center"/>
    </w:pPr>
    <w:rPr>
      <w:rFonts w:ascii="宋体" w:hAnsi="宋体"/>
      <w:color w:val="000000"/>
      <w:sz w:val="24"/>
    </w:rPr>
  </w:style>
  <w:style w:type="paragraph" w:customStyle="1" w:styleId="486">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87">
    <w:name w:val="正文 居中"/>
    <w:basedOn w:val="1"/>
    <w:qFormat/>
    <w:uiPriority w:val="99"/>
    <w:pPr>
      <w:spacing w:line="360" w:lineRule="auto"/>
      <w:jc w:val="center"/>
    </w:pPr>
    <w:rPr>
      <w:sz w:val="24"/>
      <w:szCs w:val="20"/>
    </w:rPr>
  </w:style>
  <w:style w:type="paragraph" w:customStyle="1" w:styleId="488">
    <w:name w:val="一级标题"/>
    <w:basedOn w:val="1"/>
    <w:qFormat/>
    <w:uiPriority w:val="99"/>
    <w:pPr>
      <w:tabs>
        <w:tab w:val="left" w:pos="903"/>
      </w:tabs>
      <w:spacing w:line="360" w:lineRule="auto"/>
      <w:ind w:left="900" w:hanging="420"/>
    </w:pPr>
    <w:rPr>
      <w:rFonts w:ascii="Arial" w:hAnsi="Arial" w:cs="Arial"/>
      <w:sz w:val="24"/>
      <w:szCs w:val="20"/>
    </w:rPr>
  </w:style>
  <w:style w:type="paragraph" w:customStyle="1" w:styleId="489">
    <w:name w:val="xl2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90">
    <w:name w:val="标题1，章节第一层"/>
    <w:basedOn w:val="392"/>
    <w:next w:val="392"/>
    <w:qFormat/>
    <w:uiPriority w:val="99"/>
    <w:pPr>
      <w:tabs>
        <w:tab w:val="left" w:pos="693"/>
      </w:tabs>
      <w:ind w:left="482"/>
      <w:outlineLvl w:val="0"/>
    </w:pPr>
    <w:rPr>
      <w:color w:val="000000"/>
      <w:sz w:val="24"/>
      <w:szCs w:val="24"/>
    </w:rPr>
  </w:style>
  <w:style w:type="paragraph" w:customStyle="1" w:styleId="491">
    <w:name w:val="小四 段落 宋体"/>
    <w:basedOn w:val="286"/>
    <w:qFormat/>
    <w:uiPriority w:val="99"/>
    <w:pPr>
      <w:tabs>
        <w:tab w:val="clear" w:pos="2952"/>
      </w:tabs>
      <w:spacing w:line="360" w:lineRule="auto"/>
      <w:ind w:left="113" w:right="113" w:firstLine="425"/>
      <w:jc w:val="left"/>
    </w:pPr>
    <w:rPr>
      <w:sz w:val="24"/>
    </w:rPr>
  </w:style>
  <w:style w:type="paragraph" w:customStyle="1" w:styleId="492">
    <w:name w:val="greytypebeni"/>
    <w:basedOn w:val="1"/>
    <w:qFormat/>
    <w:uiPriority w:val="99"/>
    <w:pPr>
      <w:widowControl/>
      <w:jc w:val="left"/>
    </w:pPr>
    <w:rPr>
      <w:rFonts w:ascii="宋体" w:hAnsi="宋体" w:cs="宋体"/>
      <w:sz w:val="24"/>
    </w:rPr>
  </w:style>
  <w:style w:type="paragraph" w:customStyle="1" w:styleId="493">
    <w:name w:val="Char Char Char Char Char Char Char Char Char Char Char"/>
    <w:basedOn w:val="1"/>
    <w:qFormat/>
    <w:uiPriority w:val="99"/>
    <w:rPr>
      <w:rFonts w:ascii="Tahoma" w:hAnsi="Tahoma"/>
      <w:sz w:val="24"/>
      <w:szCs w:val="20"/>
    </w:rPr>
  </w:style>
  <w:style w:type="paragraph" w:customStyle="1" w:styleId="494">
    <w:name w:val="List Paragraph1"/>
    <w:basedOn w:val="1"/>
    <w:qFormat/>
    <w:uiPriority w:val="99"/>
    <w:pPr>
      <w:widowControl/>
      <w:ind w:left="720"/>
      <w:jc w:val="left"/>
    </w:pPr>
    <w:rPr>
      <w:rFonts w:ascii="Arial" w:hAnsi="Arial" w:eastAsia="黑体"/>
      <w:sz w:val="24"/>
      <w:lang w:eastAsia="en-US"/>
    </w:rPr>
  </w:style>
  <w:style w:type="paragraph" w:customStyle="1" w:styleId="495">
    <w:name w:val="批注框文本1"/>
    <w:basedOn w:val="1"/>
    <w:qFormat/>
    <w:uiPriority w:val="99"/>
    <w:rPr>
      <w:sz w:val="18"/>
      <w:szCs w:val="18"/>
    </w:rPr>
  </w:style>
  <w:style w:type="paragraph" w:customStyle="1" w:styleId="496">
    <w:name w:val="Pa6"/>
    <w:basedOn w:val="1"/>
    <w:next w:val="1"/>
    <w:qFormat/>
    <w:uiPriority w:val="99"/>
    <w:pPr>
      <w:spacing w:line="241" w:lineRule="atLeast"/>
      <w:jc w:val="left"/>
    </w:pPr>
    <w:rPr>
      <w:rFonts w:ascii="HYDaHeiJ" w:eastAsia="HYDaHeiJ"/>
      <w:sz w:val="24"/>
    </w:rPr>
  </w:style>
  <w:style w:type="paragraph" w:customStyle="1" w:styleId="497">
    <w:name w:val="样式1"/>
    <w:basedOn w:val="1"/>
    <w:qFormat/>
    <w:uiPriority w:val="99"/>
    <w:pPr>
      <w:spacing w:line="300" w:lineRule="auto"/>
      <w:ind w:firstLine="480"/>
    </w:pPr>
    <w:rPr>
      <w:sz w:val="24"/>
    </w:rPr>
  </w:style>
  <w:style w:type="paragraph" w:customStyle="1" w:styleId="498">
    <w:name w:val="列出段落11"/>
    <w:basedOn w:val="1"/>
    <w:qFormat/>
    <w:uiPriority w:val="99"/>
    <w:pPr>
      <w:ind w:firstLine="200"/>
    </w:pPr>
    <w:rPr>
      <w:rFonts w:ascii="Calibri" w:hAnsi="Calibri" w:cs="宋体"/>
      <w:szCs w:val="22"/>
    </w:rPr>
  </w:style>
  <w:style w:type="paragraph" w:customStyle="1" w:styleId="499">
    <w:name w:val="样式 段后: 0.5 行 左  0.75 字符"/>
    <w:basedOn w:val="1"/>
    <w:qFormat/>
    <w:uiPriority w:val="99"/>
    <w:pPr>
      <w:widowControl/>
      <w:spacing w:line="360" w:lineRule="auto"/>
      <w:ind w:firstLine="420"/>
    </w:pPr>
    <w:rPr>
      <w:rFonts w:hAnsi="Arial" w:cs="Arial"/>
      <w:szCs w:val="21"/>
    </w:rPr>
  </w:style>
  <w:style w:type="paragraph" w:customStyle="1" w:styleId="500">
    <w:name w:val="Char Char Char Char Char Char Char1"/>
    <w:basedOn w:val="1"/>
    <w:qFormat/>
    <w:uiPriority w:val="99"/>
    <w:rPr>
      <w:rFonts w:ascii="Tahoma" w:hAnsi="Tahoma"/>
      <w:sz w:val="24"/>
      <w:szCs w:val="20"/>
    </w:rPr>
  </w:style>
  <w:style w:type="paragraph" w:customStyle="1" w:styleId="501">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02">
    <w:name w:val="表格"/>
    <w:basedOn w:val="1"/>
    <w:qFormat/>
    <w:uiPriority w:val="99"/>
    <w:pPr>
      <w:ind w:firstLine="21"/>
    </w:pPr>
    <w:rPr>
      <w:rFonts w:ascii="宋体" w:hAnsi="宋体" w:cs="宋体"/>
      <w:sz w:val="20"/>
      <w:szCs w:val="20"/>
    </w:rPr>
  </w:style>
  <w:style w:type="paragraph" w:customStyle="1" w:styleId="503">
    <w:name w:val="p0"/>
    <w:basedOn w:val="1"/>
    <w:qFormat/>
    <w:uiPriority w:val="0"/>
    <w:pPr>
      <w:widowControl/>
      <w:spacing w:before="100" w:beforeAutospacing="1" w:after="100" w:afterAutospacing="1"/>
      <w:jc w:val="left"/>
    </w:pPr>
    <w:rPr>
      <w:rFonts w:ascii="宋体" w:hAnsi="宋体" w:cs="宋体"/>
      <w:sz w:val="24"/>
    </w:rPr>
  </w:style>
  <w:style w:type="paragraph" w:customStyle="1" w:styleId="504">
    <w:name w:val="Char Char Char Char Char Char Char Char Char Char"/>
    <w:basedOn w:val="1"/>
    <w:qFormat/>
    <w:uiPriority w:val="99"/>
    <w:pPr>
      <w:spacing w:line="360" w:lineRule="auto"/>
    </w:pPr>
    <w:rPr>
      <w:sz w:val="24"/>
      <w:szCs w:val="20"/>
    </w:rPr>
  </w:style>
  <w:style w:type="paragraph" w:customStyle="1" w:styleId="505">
    <w:name w:val="Char"/>
    <w:basedOn w:val="1"/>
    <w:qFormat/>
    <w:uiPriority w:val="99"/>
    <w:pPr>
      <w:spacing w:line="360" w:lineRule="auto"/>
    </w:pPr>
    <w:rPr>
      <w:rFonts w:ascii="Tahoma" w:hAnsi="Tahoma"/>
      <w:sz w:val="24"/>
      <w:szCs w:val="20"/>
    </w:rPr>
  </w:style>
  <w:style w:type="paragraph" w:customStyle="1" w:styleId="506">
    <w:name w:val="Char Char Char Char"/>
    <w:basedOn w:val="289"/>
    <w:qFormat/>
    <w:uiPriority w:val="99"/>
    <w:pPr>
      <w:spacing w:line="360" w:lineRule="auto"/>
    </w:pPr>
    <w:rPr>
      <w:rFonts w:ascii="Tahoma" w:hAnsi="Tahoma"/>
    </w:rPr>
  </w:style>
  <w:style w:type="paragraph" w:customStyle="1" w:styleId="507">
    <w:name w:val="方案文档"/>
    <w:basedOn w:val="1"/>
    <w:qFormat/>
    <w:uiPriority w:val="99"/>
    <w:pPr>
      <w:spacing w:before="60" w:after="60" w:line="360" w:lineRule="auto"/>
      <w:jc w:val="center"/>
    </w:pPr>
    <w:rPr>
      <w:rFonts w:ascii="宋体" w:hAnsi="宋体"/>
      <w:sz w:val="24"/>
      <w:szCs w:val="20"/>
      <w:lang w:val="zh-CN"/>
    </w:rPr>
  </w:style>
  <w:style w:type="paragraph" w:customStyle="1" w:styleId="508">
    <w:name w:val="a"/>
    <w:basedOn w:val="1"/>
    <w:qFormat/>
    <w:uiPriority w:val="99"/>
    <w:pPr>
      <w:widowControl/>
      <w:spacing w:before="100" w:beforeAutospacing="1" w:after="100" w:afterAutospacing="1"/>
    </w:pPr>
    <w:rPr>
      <w:rFonts w:ascii="宋体" w:hAnsi="宋体" w:cs="宋体"/>
      <w:sz w:val="24"/>
    </w:rPr>
  </w:style>
  <w:style w:type="paragraph" w:customStyle="1" w:styleId="509">
    <w:name w:val="公文正文"/>
    <w:basedOn w:val="299"/>
    <w:qFormat/>
    <w:uiPriority w:val="99"/>
    <w:pPr>
      <w:spacing w:after="0"/>
      <w:ind w:left="0" w:firstLine="200"/>
    </w:pPr>
    <w:rPr>
      <w:rFonts w:ascii="仿宋_GB2312" w:hAnsi="宋体" w:eastAsia="仿宋_GB2312"/>
      <w:sz w:val="28"/>
    </w:rPr>
  </w:style>
  <w:style w:type="paragraph" w:customStyle="1" w:styleId="510">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11">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12">
    <w:name w:val="Char11"/>
    <w:basedOn w:val="1"/>
    <w:qFormat/>
    <w:uiPriority w:val="99"/>
    <w:rPr>
      <w:rFonts w:ascii="仿宋_GB2312" w:eastAsia="仿宋_GB2312"/>
      <w:b/>
      <w:sz w:val="32"/>
      <w:szCs w:val="32"/>
    </w:rPr>
  </w:style>
  <w:style w:type="paragraph" w:customStyle="1" w:styleId="513">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14">
    <w:name w:val="表蕊"/>
    <w:basedOn w:val="1"/>
    <w:qFormat/>
    <w:uiPriority w:val="99"/>
    <w:pPr>
      <w:spacing w:line="320" w:lineRule="atLeast"/>
      <w:jc w:val="left"/>
    </w:pPr>
    <w:rPr>
      <w:rFonts w:eastAsia="楷体_GB2312"/>
      <w:spacing w:val="-10"/>
      <w:szCs w:val="20"/>
    </w:rPr>
  </w:style>
  <w:style w:type="paragraph" w:customStyle="1" w:styleId="515">
    <w:name w:val="xl49"/>
    <w:basedOn w:val="1"/>
    <w:qFormat/>
    <w:uiPriority w:val="99"/>
    <w:pPr>
      <w:widowControl/>
      <w:pBdr>
        <w:left w:val="single" w:color="000000" w:sz="4" w:space="0"/>
        <w:right w:val="single" w:color="000000" w:sz="4" w:space="0"/>
      </w:pBdr>
      <w:spacing w:before="100" w:beforeAutospacing="1" w:after="100" w:afterAutospacing="1"/>
      <w:jc w:val="center"/>
    </w:pPr>
    <w:rPr>
      <w:b/>
      <w:bCs/>
      <w:sz w:val="20"/>
      <w:szCs w:val="20"/>
    </w:rPr>
  </w:style>
  <w:style w:type="paragraph" w:customStyle="1" w:styleId="516">
    <w:name w:val="font7"/>
    <w:basedOn w:val="1"/>
    <w:qFormat/>
    <w:uiPriority w:val="99"/>
    <w:pPr>
      <w:widowControl/>
      <w:spacing w:before="100" w:beforeAutospacing="1" w:after="100" w:afterAutospacing="1"/>
      <w:jc w:val="left"/>
    </w:pPr>
    <w:rPr>
      <w:rFonts w:ascii="宋体" w:hAnsi="宋体"/>
      <w:b/>
      <w:bCs/>
      <w:sz w:val="24"/>
    </w:rPr>
  </w:style>
  <w:style w:type="paragraph" w:customStyle="1" w:styleId="517">
    <w:name w:val="文档正文"/>
    <w:basedOn w:val="1"/>
    <w:qFormat/>
    <w:uiPriority w:val="99"/>
    <w:pPr>
      <w:spacing w:line="360" w:lineRule="auto"/>
    </w:pPr>
    <w:rPr>
      <w:rFonts w:ascii="宋体" w:hAnsi="宋体"/>
      <w:b/>
      <w:bCs/>
    </w:rPr>
  </w:style>
  <w:style w:type="paragraph" w:customStyle="1" w:styleId="518">
    <w:name w:val="段 Char"/>
    <w:qFormat/>
    <w:uiPriority w:val="99"/>
    <w:pPr>
      <w:ind w:firstLine="200"/>
      <w:jc w:val="both"/>
    </w:pPr>
    <w:rPr>
      <w:rFonts w:ascii="宋体" w:hAnsi="Times New Roman" w:eastAsia="宋体" w:cs="Times New Roman"/>
      <w:sz w:val="21"/>
      <w:lang w:val="en-US" w:eastAsia="zh-CN" w:bidi="ar-SA"/>
    </w:rPr>
  </w:style>
  <w:style w:type="paragraph" w:customStyle="1" w:styleId="519">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20">
    <w:name w:val="公文标题 2"/>
    <w:basedOn w:val="1"/>
    <w:next w:val="509"/>
    <w:qFormat/>
    <w:uiPriority w:val="99"/>
    <w:pPr>
      <w:outlineLvl w:val="1"/>
    </w:pPr>
    <w:rPr>
      <w:rFonts w:ascii="仿宋_GB2312" w:hAnsi="宋体" w:eastAsia="仿宋_GB2312"/>
      <w:sz w:val="28"/>
    </w:rPr>
  </w:style>
  <w:style w:type="paragraph" w:customStyle="1" w:styleId="521">
    <w:name w:val="标题4，章节第四层"/>
    <w:basedOn w:val="1"/>
    <w:next w:val="1"/>
    <w:qFormat/>
    <w:uiPriority w:val="99"/>
    <w:pPr>
      <w:tabs>
        <w:tab w:val="left" w:pos="0"/>
      </w:tabs>
      <w:spacing w:line="360" w:lineRule="auto"/>
      <w:outlineLvl w:val="3"/>
    </w:pPr>
    <w:rPr>
      <w:rFonts w:ascii="宋体" w:hAnsi="宋体"/>
      <w:b/>
      <w:sz w:val="24"/>
    </w:rPr>
  </w:style>
  <w:style w:type="paragraph" w:customStyle="1" w:styleId="522">
    <w:name w:val="Char Char Char1"/>
    <w:basedOn w:val="289"/>
    <w:qFormat/>
    <w:uiPriority w:val="99"/>
    <w:pPr>
      <w:spacing w:line="436" w:lineRule="exact"/>
    </w:pPr>
  </w:style>
  <w:style w:type="paragraph" w:customStyle="1" w:styleId="523">
    <w:name w:val="Normal Indent1"/>
    <w:basedOn w:val="1"/>
    <w:qFormat/>
    <w:uiPriority w:val="99"/>
    <w:pPr>
      <w:ind w:firstLine="420"/>
    </w:pPr>
    <w:rPr>
      <w:sz w:val="20"/>
      <w:szCs w:val="20"/>
    </w:rPr>
  </w:style>
  <w:style w:type="paragraph" w:customStyle="1" w:styleId="524">
    <w:name w:val="正文 首行缩进:  2 字符 Char"/>
    <w:basedOn w:val="1"/>
    <w:qFormat/>
    <w:uiPriority w:val="99"/>
    <w:pPr>
      <w:spacing w:line="360" w:lineRule="auto"/>
      <w:ind w:firstLine="480"/>
    </w:pPr>
    <w:rPr>
      <w:rFonts w:cs="宋体"/>
      <w:sz w:val="24"/>
      <w:szCs w:val="20"/>
    </w:rPr>
  </w:style>
  <w:style w:type="paragraph" w:customStyle="1" w:styleId="525">
    <w:name w:val="font12"/>
    <w:basedOn w:val="1"/>
    <w:qFormat/>
    <w:uiPriority w:val="99"/>
    <w:pPr>
      <w:widowControl/>
      <w:spacing w:before="100" w:beforeAutospacing="1" w:after="100" w:afterAutospacing="1"/>
      <w:jc w:val="left"/>
    </w:pPr>
    <w:rPr>
      <w:rFonts w:ascii="宋体" w:hAnsi="宋体" w:cs="宋体"/>
      <w:sz w:val="36"/>
      <w:szCs w:val="36"/>
    </w:rPr>
  </w:style>
  <w:style w:type="paragraph" w:customStyle="1" w:styleId="526">
    <w:name w:val="Char Char"/>
    <w:basedOn w:val="1"/>
    <w:qFormat/>
    <w:uiPriority w:val="99"/>
    <w:rPr>
      <w:rFonts w:ascii="Tahoma" w:hAnsi="Tahoma"/>
      <w:sz w:val="24"/>
      <w:szCs w:val="20"/>
    </w:rPr>
  </w:style>
  <w:style w:type="paragraph" w:customStyle="1" w:styleId="527">
    <w:name w:val="表头_5"/>
    <w:basedOn w:val="1"/>
    <w:qFormat/>
    <w:uiPriority w:val="99"/>
    <w:pPr>
      <w:spacing w:line="360" w:lineRule="auto"/>
    </w:pPr>
    <w:rPr>
      <w:b/>
      <w:bCs/>
      <w:sz w:val="28"/>
      <w:szCs w:val="21"/>
    </w:rPr>
  </w:style>
  <w:style w:type="paragraph" w:customStyle="1" w:styleId="528">
    <w:name w:val="Char Char110"/>
    <w:basedOn w:val="1"/>
    <w:qFormat/>
    <w:uiPriority w:val="99"/>
    <w:rPr>
      <w:rFonts w:ascii="Tahoma" w:hAnsi="Tahoma" w:cs="Tahoma"/>
      <w:sz w:val="24"/>
      <w:szCs w:val="20"/>
    </w:rPr>
  </w:style>
  <w:style w:type="paragraph" w:customStyle="1" w:styleId="529">
    <w:name w:val="标题 4宋体"/>
    <w:basedOn w:val="268"/>
    <w:qFormat/>
    <w:uiPriority w:val="99"/>
    <w:pPr>
      <w:keepLines w:val="0"/>
      <w:spacing w:before="0" w:after="0" w:line="360" w:lineRule="auto"/>
      <w:jc w:val="left"/>
    </w:pPr>
    <w:rPr>
      <w:rFonts w:ascii="宋体" w:hAnsi="宋体" w:eastAsia="宋体"/>
      <w:bCs/>
      <w:color w:val="000000"/>
      <w:sz w:val="24"/>
    </w:rPr>
  </w:style>
  <w:style w:type="paragraph" w:customStyle="1" w:styleId="530">
    <w:name w:val="zw"/>
    <w:basedOn w:val="1"/>
    <w:qFormat/>
    <w:uiPriority w:val="99"/>
    <w:pPr>
      <w:widowControl/>
      <w:spacing w:line="360" w:lineRule="auto"/>
      <w:ind w:firstLine="480"/>
      <w:jc w:val="left"/>
    </w:pPr>
    <w:rPr>
      <w:rFonts w:ascii="宋体" w:hAnsi="宋体"/>
      <w:bCs/>
      <w:sz w:val="24"/>
      <w:szCs w:val="20"/>
    </w:rPr>
  </w:style>
  <w:style w:type="paragraph" w:customStyle="1" w:styleId="531">
    <w:name w:val="Char2 Char Char Char Char Char Char1"/>
    <w:basedOn w:val="1"/>
    <w:qFormat/>
    <w:uiPriority w:val="99"/>
    <w:pPr>
      <w:keepNext/>
      <w:widowControl/>
      <w:tabs>
        <w:tab w:val="left" w:pos="425"/>
      </w:tabs>
      <w:spacing w:before="80" w:after="80"/>
      <w:ind w:hanging="425"/>
    </w:pPr>
    <w:rPr>
      <w:rFonts w:ascii="Arial" w:hAnsi="Arial" w:cs="Arial"/>
      <w:sz w:val="20"/>
      <w:szCs w:val="20"/>
    </w:rPr>
  </w:style>
  <w:style w:type="paragraph" w:customStyle="1" w:styleId="532">
    <w:name w:val="条1"/>
    <w:basedOn w:val="1"/>
    <w:qFormat/>
    <w:uiPriority w:val="99"/>
    <w:pPr>
      <w:tabs>
        <w:tab w:val="left" w:pos="780"/>
      </w:tabs>
      <w:spacing w:before="156" w:line="360" w:lineRule="auto"/>
      <w:ind w:left="780" w:hanging="360"/>
    </w:pPr>
    <w:rPr>
      <w:rFonts w:eastAsia="黑体"/>
      <w:sz w:val="24"/>
      <w:szCs w:val="20"/>
    </w:rPr>
  </w:style>
  <w:style w:type="paragraph" w:customStyle="1" w:styleId="533">
    <w:name w:val="Char Char Char Char Char Char Char Char Char Char Char1"/>
    <w:basedOn w:val="1"/>
    <w:qFormat/>
    <w:uiPriority w:val="99"/>
    <w:rPr>
      <w:rFonts w:ascii="Tahoma" w:hAnsi="Tahoma" w:cs="Tahoma"/>
      <w:sz w:val="24"/>
      <w:szCs w:val="20"/>
    </w:rPr>
  </w:style>
  <w:style w:type="paragraph" w:customStyle="1" w:styleId="534">
    <w:name w:val="丁华标题2"/>
    <w:basedOn w:val="264"/>
    <w:next w:val="535"/>
    <w:qFormat/>
    <w:uiPriority w:val="99"/>
    <w:pPr>
      <w:tabs>
        <w:tab w:val="left" w:pos="567"/>
      </w:tabs>
      <w:spacing w:before="120" w:after="120"/>
      <w:ind w:left="567" w:hanging="567"/>
      <w:jc w:val="left"/>
    </w:pPr>
    <w:rPr>
      <w:color w:val="000000"/>
      <w:sz w:val="28"/>
      <w:szCs w:val="20"/>
    </w:rPr>
  </w:style>
  <w:style w:type="paragraph" w:customStyle="1" w:styleId="535">
    <w:name w:val="丁华正文"/>
    <w:basedOn w:val="334"/>
    <w:qFormat/>
    <w:uiPriority w:val="99"/>
    <w:pPr>
      <w:spacing w:before="0" w:after="0" w:line="360" w:lineRule="auto"/>
      <w:ind w:left="0" w:firstLine="510"/>
    </w:pPr>
    <w:rPr>
      <w:rFonts w:ascii="宋体" w:hAnsi="Arial"/>
      <w:bCs w:val="0"/>
      <w:color w:val="000000"/>
      <w:szCs w:val="16"/>
    </w:rPr>
  </w:style>
  <w:style w:type="paragraph" w:customStyle="1" w:styleId="536">
    <w:name w:val="4"/>
    <w:basedOn w:val="1"/>
    <w:next w:val="334"/>
    <w:qFormat/>
    <w:uiPriority w:val="99"/>
    <w:pPr>
      <w:spacing w:line="360" w:lineRule="auto"/>
      <w:ind w:firstLine="420"/>
    </w:pPr>
    <w:rPr>
      <w:color w:val="FF0000"/>
      <w:sz w:val="24"/>
    </w:rPr>
  </w:style>
  <w:style w:type="paragraph" w:customStyle="1" w:styleId="537">
    <w:name w:val="正文 New New New New New"/>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38">
    <w:name w:val="大标题"/>
    <w:basedOn w:val="1"/>
    <w:next w:val="1"/>
    <w:qFormat/>
    <w:uiPriority w:val="99"/>
    <w:pPr>
      <w:pageBreakBefore/>
      <w:tabs>
        <w:tab w:val="left" w:pos="420"/>
      </w:tabs>
      <w:spacing w:line="360" w:lineRule="auto"/>
      <w:ind w:hanging="420"/>
      <w:outlineLvl w:val="0"/>
    </w:pPr>
    <w:rPr>
      <w:b/>
      <w:iCs/>
      <w:sz w:val="44"/>
    </w:rPr>
  </w:style>
  <w:style w:type="paragraph" w:customStyle="1" w:styleId="539">
    <w:name w:val="Char Char Char Char Char Char Char"/>
    <w:basedOn w:val="1"/>
    <w:qFormat/>
    <w:uiPriority w:val="99"/>
    <w:pPr>
      <w:jc w:val="left"/>
    </w:pPr>
    <w:rPr>
      <w:rFonts w:ascii="Tahoma" w:hAnsi="Tahoma"/>
      <w:sz w:val="24"/>
      <w:szCs w:val="20"/>
    </w:rPr>
  </w:style>
  <w:style w:type="paragraph" w:customStyle="1" w:styleId="540">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41">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42">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43">
    <w:name w:val="Char Char Char Char Char Char Char Char Char Char Char Char Char Char"/>
    <w:basedOn w:val="1"/>
    <w:qFormat/>
    <w:uiPriority w:val="99"/>
    <w:rPr>
      <w:rFonts w:ascii="Tahoma" w:hAnsi="Tahoma"/>
      <w:sz w:val="24"/>
      <w:szCs w:val="20"/>
    </w:rPr>
  </w:style>
  <w:style w:type="paragraph" w:customStyle="1" w:styleId="544">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45">
    <w:name w:val="符号与编号 Char Char"/>
    <w:basedOn w:val="1"/>
    <w:qFormat/>
    <w:uiPriority w:val="99"/>
    <w:pPr>
      <w:tabs>
        <w:tab w:val="left" w:pos="840"/>
      </w:tabs>
      <w:spacing w:line="400" w:lineRule="atLeast"/>
      <w:ind w:left="839" w:hanging="419"/>
    </w:pPr>
    <w:rPr>
      <w:sz w:val="24"/>
    </w:rPr>
  </w:style>
  <w:style w:type="paragraph" w:customStyle="1" w:styleId="546">
    <w:name w:val="默认段落字体 Para Char Char Char Char Char Char Char Char Char1 Char Char Char Char Char Char Char"/>
    <w:basedOn w:val="289"/>
    <w:qFormat/>
    <w:uiPriority w:val="99"/>
    <w:rPr>
      <w:szCs w:val="20"/>
    </w:rPr>
  </w:style>
  <w:style w:type="paragraph" w:customStyle="1" w:styleId="547">
    <w:name w:val="普通正文"/>
    <w:basedOn w:val="1"/>
    <w:qFormat/>
    <w:uiPriority w:val="0"/>
    <w:pPr>
      <w:spacing w:before="120" w:after="120" w:line="360" w:lineRule="auto"/>
      <w:ind w:firstLine="480"/>
      <w:jc w:val="left"/>
    </w:pPr>
    <w:rPr>
      <w:rFonts w:ascii="Arial" w:hAnsi="Arial"/>
      <w:sz w:val="24"/>
    </w:rPr>
  </w:style>
  <w:style w:type="paragraph" w:customStyle="1" w:styleId="548">
    <w:name w:val="表格内容"/>
    <w:basedOn w:val="1"/>
    <w:qFormat/>
    <w:uiPriority w:val="99"/>
    <w:pPr>
      <w:widowControl/>
      <w:spacing w:before="60" w:line="300" w:lineRule="auto"/>
      <w:jc w:val="center"/>
    </w:pPr>
    <w:rPr>
      <w:szCs w:val="20"/>
    </w:rPr>
  </w:style>
  <w:style w:type="paragraph" w:customStyle="1" w:styleId="549">
    <w:name w:val="正文文本 New New"/>
    <w:basedOn w:val="1"/>
    <w:qFormat/>
    <w:uiPriority w:val="99"/>
    <w:pPr>
      <w:widowControl/>
      <w:spacing w:before="60" w:after="60" w:line="360" w:lineRule="auto"/>
      <w:ind w:firstLine="200"/>
    </w:pPr>
    <w:rPr>
      <w:rFonts w:eastAsia="华文楷体"/>
      <w:sz w:val="24"/>
    </w:rPr>
  </w:style>
  <w:style w:type="paragraph" w:customStyle="1" w:styleId="550">
    <w:name w:val="font8"/>
    <w:basedOn w:val="1"/>
    <w:qFormat/>
    <w:uiPriority w:val="99"/>
    <w:pPr>
      <w:widowControl/>
      <w:spacing w:before="100" w:beforeAutospacing="1" w:after="100" w:afterAutospacing="1"/>
      <w:jc w:val="left"/>
    </w:pPr>
    <w:rPr>
      <w:rFonts w:ascii="宋体" w:hAnsi="宋体" w:cs="宋体"/>
      <w:b/>
      <w:bCs/>
      <w:i/>
      <w:iCs/>
      <w:sz w:val="20"/>
      <w:szCs w:val="20"/>
    </w:rPr>
  </w:style>
  <w:style w:type="paragraph" w:customStyle="1" w:styleId="551">
    <w:name w:val="Char Char Char Char Char Char Char Char Char Char Char1 Char Char Char1"/>
    <w:basedOn w:val="1"/>
    <w:qFormat/>
    <w:uiPriority w:val="99"/>
    <w:pPr>
      <w:ind w:firstLine="200"/>
      <w:jc w:val="left"/>
    </w:pPr>
    <w:rPr>
      <w:rFonts w:ascii="Tahoma" w:hAnsi="Tahoma"/>
      <w:sz w:val="24"/>
    </w:rPr>
  </w:style>
  <w:style w:type="paragraph" w:customStyle="1" w:styleId="552">
    <w:name w:val="xl25"/>
    <w:basedOn w:val="1"/>
    <w:qFormat/>
    <w:uiPriority w:val="99"/>
    <w:pPr>
      <w:widowControl/>
      <w:pBdr>
        <w:right w:val="single" w:color="000000" w:sz="4" w:space="0"/>
      </w:pBdr>
      <w:spacing w:before="100" w:beforeAutospacing="1" w:after="100" w:afterAutospacing="1"/>
      <w:jc w:val="center"/>
    </w:pPr>
    <w:rPr>
      <w:szCs w:val="21"/>
    </w:rPr>
  </w:style>
  <w:style w:type="paragraph" w:customStyle="1" w:styleId="553">
    <w:name w:val="标准小四"/>
    <w:basedOn w:val="1"/>
    <w:qFormat/>
    <w:uiPriority w:val="99"/>
    <w:pPr>
      <w:spacing w:line="360" w:lineRule="auto"/>
      <w:ind w:firstLine="480"/>
    </w:pPr>
    <w:rPr>
      <w:rFonts w:ascii="Arial" w:hAnsi="Arial"/>
      <w:sz w:val="24"/>
      <w:szCs w:val="21"/>
    </w:rPr>
  </w:style>
  <w:style w:type="paragraph" w:customStyle="1" w:styleId="554">
    <w:name w:val="附录1"/>
    <w:qFormat/>
    <w:uiPriority w:val="99"/>
    <w:pPr>
      <w:tabs>
        <w:tab w:val="left" w:pos="907"/>
      </w:tabs>
      <w:spacing w:before="240" w:line="600" w:lineRule="atLeast"/>
      <w:ind w:left="902" w:hanging="420"/>
    </w:pPr>
    <w:rPr>
      <w:rFonts w:ascii="Times New Roman" w:hAnsi="Times New Roman" w:eastAsia="宋体" w:cs="Times New Roman"/>
      <w:b/>
      <w:i/>
      <w:sz w:val="28"/>
      <w:lang w:val="en-US" w:eastAsia="zh-CN" w:bidi="ar-SA"/>
    </w:rPr>
  </w:style>
  <w:style w:type="paragraph" w:customStyle="1" w:styleId="555">
    <w:name w:val="标题3，章节第三层"/>
    <w:basedOn w:val="1"/>
    <w:next w:val="392"/>
    <w:qFormat/>
    <w:uiPriority w:val="99"/>
    <w:pPr>
      <w:spacing w:before="78" w:line="300" w:lineRule="auto"/>
      <w:outlineLvl w:val="2"/>
    </w:pPr>
    <w:rPr>
      <w:rFonts w:ascii="Arial" w:hAnsi="Arial" w:eastAsia="华文细黑"/>
      <w:sz w:val="30"/>
    </w:rPr>
  </w:style>
  <w:style w:type="paragraph" w:customStyle="1" w:styleId="556">
    <w:name w:val="7"/>
    <w:basedOn w:val="1"/>
    <w:next w:val="343"/>
    <w:qFormat/>
    <w:uiPriority w:val="99"/>
    <w:pPr>
      <w:widowControl/>
      <w:spacing w:before="100" w:beforeAutospacing="1" w:after="100" w:afterAutospacing="1"/>
      <w:jc w:val="left"/>
    </w:pPr>
    <w:rPr>
      <w:rFonts w:ascii="宋体" w:hAnsi="宋体"/>
      <w:sz w:val="24"/>
      <w:szCs w:val="20"/>
    </w:rPr>
  </w:style>
  <w:style w:type="paragraph" w:customStyle="1" w:styleId="557">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558">
    <w:name w:val="无间隔11"/>
    <w:qFormat/>
    <w:uiPriority w:val="99"/>
    <w:pPr>
      <w:widowControl w:val="0"/>
      <w:jc w:val="both"/>
    </w:pPr>
    <w:rPr>
      <w:rFonts w:ascii="Times New Roman" w:hAnsi="Times New Roman" w:eastAsia="微软雅黑" w:cs="Times New Roman"/>
      <w:sz w:val="24"/>
      <w:szCs w:val="22"/>
      <w:lang w:val="en-US" w:eastAsia="zh-CN" w:bidi="ar-SA"/>
    </w:rPr>
  </w:style>
  <w:style w:type="paragraph" w:customStyle="1" w:styleId="559">
    <w:name w:val="Char Char Char Char Char Char Char Char Char Char Char Char Char Char Char Char Char Char Char Char Char"/>
    <w:basedOn w:val="1"/>
    <w:qFormat/>
    <w:uiPriority w:val="99"/>
    <w:rPr>
      <w:rFonts w:ascii="Tahoma" w:hAnsi="Tahoma" w:cs="Tahoma"/>
      <w:sz w:val="24"/>
      <w:szCs w:val="20"/>
    </w:rPr>
  </w:style>
  <w:style w:type="paragraph" w:customStyle="1" w:styleId="560">
    <w:name w:val="Char Char Char Char Char Char Char Char1"/>
    <w:basedOn w:val="1"/>
    <w:qFormat/>
    <w:uiPriority w:val="99"/>
    <w:pPr>
      <w:widowControl/>
      <w:spacing w:after="160" w:line="240" w:lineRule="exact"/>
      <w:jc w:val="left"/>
    </w:pPr>
    <w:rPr>
      <w:rFonts w:ascii="Verdana" w:hAnsi="Verdana"/>
      <w:sz w:val="20"/>
      <w:szCs w:val="20"/>
      <w:lang w:eastAsia="en-US"/>
    </w:rPr>
  </w:style>
  <w:style w:type="paragraph" w:customStyle="1" w:styleId="561">
    <w:name w:val="Char Char Char Char Char Char Char Char Char Char Char Char Char Char Char Char Char Char Char Char Char Char Char"/>
    <w:basedOn w:val="1"/>
    <w:qFormat/>
    <w:uiPriority w:val="99"/>
    <w:rPr>
      <w:rFonts w:ascii="Tahoma" w:hAnsi="Tahoma"/>
      <w:sz w:val="24"/>
      <w:szCs w:val="20"/>
    </w:rPr>
  </w:style>
  <w:style w:type="paragraph" w:customStyle="1" w:styleId="562">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63">
    <w:name w:val="Default"/>
    <w:qFormat/>
    <w:uiPriority w:val="99"/>
    <w:pPr>
      <w:widowControl w:val="0"/>
    </w:pPr>
    <w:rPr>
      <w:rFonts w:ascii="宋体" w:hAnsi="Times New Roman" w:eastAsia="宋体" w:cs="宋体"/>
      <w:color w:val="000000"/>
      <w:sz w:val="24"/>
      <w:szCs w:val="24"/>
      <w:lang w:val="en-US" w:eastAsia="zh-CN" w:bidi="ar-SA"/>
    </w:rPr>
  </w:style>
  <w:style w:type="paragraph" w:customStyle="1" w:styleId="564">
    <w:name w:val="Char Char Char Char Char Char Char Char Char"/>
    <w:basedOn w:val="1"/>
    <w:qFormat/>
    <w:uiPriority w:val="99"/>
    <w:pPr>
      <w:tabs>
        <w:tab w:val="left" w:pos="360"/>
      </w:tabs>
      <w:ind w:left="200" w:hanging="200"/>
    </w:pPr>
    <w:rPr>
      <w:sz w:val="24"/>
    </w:rPr>
  </w:style>
  <w:style w:type="paragraph" w:customStyle="1" w:styleId="565">
    <w:name w:val="批注主题1"/>
    <w:basedOn w:val="291"/>
    <w:next w:val="291"/>
    <w:qFormat/>
    <w:uiPriority w:val="99"/>
    <w:rPr>
      <w:b/>
      <w:bCs/>
      <w:szCs w:val="24"/>
    </w:rPr>
  </w:style>
  <w:style w:type="paragraph" w:customStyle="1" w:styleId="566">
    <w:name w:val="Char Char1 Char Char Char Char"/>
    <w:basedOn w:val="289"/>
    <w:qFormat/>
    <w:uiPriority w:val="99"/>
    <w:pPr>
      <w:spacing w:line="436" w:lineRule="exact"/>
      <w:ind w:left="357"/>
      <w:jc w:val="left"/>
      <w:outlineLvl w:val="3"/>
    </w:pPr>
    <w:rPr>
      <w:rFonts w:ascii="Tahoma" w:hAnsi="Tahoma" w:cs="Tahoma"/>
      <w:b/>
    </w:rPr>
  </w:style>
  <w:style w:type="paragraph" w:customStyle="1" w:styleId="567">
    <w:name w:val="xl2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68">
    <w:name w:val="标题5，章节第五层"/>
    <w:basedOn w:val="1"/>
    <w:next w:val="1"/>
    <w:qFormat/>
    <w:uiPriority w:val="99"/>
    <w:pPr>
      <w:tabs>
        <w:tab w:val="left" w:pos="1050"/>
        <w:tab w:val="left" w:pos="2100"/>
      </w:tabs>
      <w:spacing w:before="78"/>
      <w:ind w:left="2100" w:hanging="420"/>
      <w:outlineLvl w:val="4"/>
    </w:pPr>
    <w:rPr>
      <w:rFonts w:ascii="Arial" w:hAnsi="Arial" w:eastAsia="华文细黑"/>
      <w:sz w:val="30"/>
    </w:rPr>
  </w:style>
  <w:style w:type="paragraph" w:customStyle="1" w:styleId="569">
    <w:name w:val="正文--wdh"/>
    <w:basedOn w:val="1"/>
    <w:qFormat/>
    <w:uiPriority w:val="99"/>
    <w:pPr>
      <w:spacing w:line="360" w:lineRule="auto"/>
    </w:pPr>
    <w:rPr>
      <w:sz w:val="24"/>
    </w:rPr>
  </w:style>
  <w:style w:type="paragraph" w:customStyle="1" w:styleId="570">
    <w:name w:val="Char Char Char Char Char Char Char Char"/>
    <w:basedOn w:val="1"/>
    <w:qFormat/>
    <w:uiPriority w:val="99"/>
    <w:pPr>
      <w:widowControl/>
      <w:spacing w:after="160" w:line="240" w:lineRule="exact"/>
      <w:jc w:val="left"/>
    </w:pPr>
    <w:rPr>
      <w:rFonts w:ascii="Verdana" w:hAnsi="Verdana"/>
      <w:sz w:val="20"/>
      <w:szCs w:val="20"/>
      <w:lang w:eastAsia="en-US"/>
    </w:rPr>
  </w:style>
  <w:style w:type="paragraph" w:customStyle="1" w:styleId="571">
    <w:name w:val="项目符号：一级"/>
    <w:basedOn w:val="392"/>
    <w:next w:val="392"/>
    <w:qFormat/>
    <w:uiPriority w:val="99"/>
    <w:pPr>
      <w:ind w:right="-134"/>
    </w:pPr>
    <w:rPr>
      <w:bCs w:val="0"/>
    </w:rPr>
  </w:style>
  <w:style w:type="paragraph" w:customStyle="1" w:styleId="572">
    <w:name w:val="小四 段落 宋体 Char"/>
    <w:basedOn w:val="286"/>
    <w:qFormat/>
    <w:uiPriority w:val="99"/>
    <w:pPr>
      <w:tabs>
        <w:tab w:val="clear" w:pos="2952"/>
      </w:tabs>
      <w:ind w:left="0" w:right="-33" w:firstLine="600"/>
      <w:jc w:val="left"/>
    </w:pPr>
    <w:rPr>
      <w:rFonts w:ascii="仿宋_GB2312" w:eastAsia="仿宋_GB2312"/>
      <w:sz w:val="30"/>
      <w:szCs w:val="30"/>
    </w:rPr>
  </w:style>
  <w:style w:type="paragraph" w:customStyle="1" w:styleId="573">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szCs w:val="20"/>
    </w:rPr>
  </w:style>
  <w:style w:type="paragraph" w:customStyle="1" w:styleId="574">
    <w:name w:val="普通文字"/>
    <w:basedOn w:val="1"/>
    <w:next w:val="1"/>
    <w:qFormat/>
    <w:uiPriority w:val="99"/>
    <w:rPr>
      <w:rFonts w:ascii="宋体" w:hAnsi="宋体" w:cs="宋体"/>
      <w:sz w:val="24"/>
      <w:szCs w:val="20"/>
    </w:rPr>
  </w:style>
  <w:style w:type="paragraph" w:customStyle="1" w:styleId="575">
    <w:name w:val="默认段落字体 Para Char Char Char Char Char Char Char"/>
    <w:basedOn w:val="1"/>
    <w:qFormat/>
    <w:uiPriority w:val="99"/>
    <w:rPr>
      <w:rFonts w:ascii="Tahoma" w:hAnsi="Tahoma"/>
      <w:sz w:val="24"/>
      <w:szCs w:val="20"/>
    </w:rPr>
  </w:style>
  <w:style w:type="paragraph" w:customStyle="1" w:styleId="576">
    <w:name w:val="符号与编号"/>
    <w:basedOn w:val="1"/>
    <w:qFormat/>
    <w:uiPriority w:val="99"/>
    <w:pPr>
      <w:tabs>
        <w:tab w:val="left" w:pos="900"/>
      </w:tabs>
      <w:spacing w:line="400" w:lineRule="atLeast"/>
      <w:ind w:left="900" w:hanging="420"/>
    </w:pPr>
    <w:rPr>
      <w:sz w:val="24"/>
    </w:rPr>
  </w:style>
  <w:style w:type="paragraph" w:customStyle="1" w:styleId="577">
    <w:name w:val="样式 首行缩进:  2 字符"/>
    <w:basedOn w:val="1"/>
    <w:qFormat/>
    <w:uiPriority w:val="99"/>
    <w:pPr>
      <w:spacing w:line="360" w:lineRule="auto"/>
      <w:ind w:firstLine="480"/>
    </w:pPr>
    <w:rPr>
      <w:rFonts w:cs="宋体"/>
      <w:sz w:val="24"/>
      <w:szCs w:val="20"/>
    </w:rPr>
  </w:style>
  <w:style w:type="paragraph" w:customStyle="1" w:styleId="578">
    <w:name w:val="标题1"/>
    <w:basedOn w:val="1"/>
    <w:next w:val="1"/>
    <w:qFormat/>
    <w:uiPriority w:val="99"/>
    <w:pPr>
      <w:tabs>
        <w:tab w:val="left" w:pos="9193"/>
        <w:tab w:val="left" w:pos="9827"/>
      </w:tabs>
      <w:spacing w:line="700" w:lineRule="atLeast"/>
      <w:jc w:val="center"/>
    </w:pPr>
    <w:rPr>
      <w:rFonts w:ascii="方正小标宋_GBK" w:eastAsia="方正小标宋_GBK"/>
      <w:sz w:val="44"/>
      <w:szCs w:val="20"/>
    </w:rPr>
  </w:style>
  <w:style w:type="paragraph" w:customStyle="1" w:styleId="579">
    <w:name w:val="正文lzq"/>
    <w:basedOn w:val="1"/>
    <w:qFormat/>
    <w:uiPriority w:val="99"/>
    <w:pPr>
      <w:spacing w:line="360" w:lineRule="auto"/>
      <w:ind w:firstLine="480"/>
    </w:pPr>
    <w:rPr>
      <w:sz w:val="24"/>
      <w:szCs w:val="20"/>
    </w:rPr>
  </w:style>
  <w:style w:type="paragraph" w:customStyle="1" w:styleId="580">
    <w:name w:val="样式 标题 2H2h2sect 1.2Heading 2 HiddenHeading 2 CCBSheading 2..."/>
    <w:basedOn w:val="264"/>
    <w:qFormat/>
    <w:uiPriority w:val="99"/>
    <w:pPr>
      <w:tabs>
        <w:tab w:val="left" w:pos="576"/>
      </w:tabs>
      <w:spacing w:line="240" w:lineRule="auto"/>
      <w:ind w:left="576" w:hanging="36"/>
      <w:jc w:val="left"/>
    </w:pPr>
    <w:rPr>
      <w:rFonts w:ascii="宋体" w:hAnsi="宋体" w:eastAsia="宋体"/>
      <w:sz w:val="28"/>
      <w:szCs w:val="20"/>
    </w:rPr>
  </w:style>
  <w:style w:type="paragraph" w:customStyle="1" w:styleId="581">
    <w:name w:val="表格内文字"/>
    <w:basedOn w:val="1"/>
    <w:qFormat/>
    <w:uiPriority w:val="99"/>
    <w:pPr>
      <w:spacing w:line="300" w:lineRule="atLeast"/>
    </w:pPr>
    <w:rPr>
      <w:sz w:val="18"/>
    </w:rPr>
  </w:style>
  <w:style w:type="paragraph" w:customStyle="1" w:styleId="582">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3">
    <w:name w:val="content_lineheight"/>
    <w:basedOn w:val="1"/>
    <w:qFormat/>
    <w:uiPriority w:val="99"/>
    <w:pPr>
      <w:widowControl/>
      <w:spacing w:before="100" w:beforeAutospacing="1" w:after="100" w:afterAutospacing="1"/>
      <w:jc w:val="left"/>
    </w:pPr>
    <w:rPr>
      <w:rFonts w:ascii="宋体" w:hAnsi="宋体"/>
      <w:sz w:val="24"/>
    </w:rPr>
  </w:style>
  <w:style w:type="paragraph" w:customStyle="1" w:styleId="584">
    <w:name w:val="xl2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85">
    <w:name w:val="font11"/>
    <w:basedOn w:val="1"/>
    <w:qFormat/>
    <w:uiPriority w:val="99"/>
    <w:pPr>
      <w:widowControl/>
      <w:spacing w:before="100" w:beforeAutospacing="1" w:after="100" w:afterAutospacing="1"/>
      <w:jc w:val="left"/>
    </w:pPr>
    <w:rPr>
      <w:b/>
      <w:bCs/>
      <w:sz w:val="18"/>
      <w:szCs w:val="18"/>
    </w:rPr>
  </w:style>
  <w:style w:type="paragraph" w:customStyle="1" w:styleId="586">
    <w:name w:val="111111"/>
    <w:basedOn w:val="1"/>
    <w:qFormat/>
    <w:uiPriority w:val="99"/>
    <w:pPr>
      <w:spacing w:before="120" w:after="120"/>
      <w:jc w:val="center"/>
    </w:pPr>
    <w:rPr>
      <w:rFonts w:ascii="宋体" w:hAnsi="宋体" w:eastAsia="黑体" w:cs="宋体"/>
      <w:b/>
      <w:bCs/>
      <w:szCs w:val="21"/>
    </w:rPr>
  </w:style>
  <w:style w:type="paragraph" w:customStyle="1" w:styleId="587">
    <w:name w:val="段落"/>
    <w:qFormat/>
    <w:uiPriority w:val="99"/>
    <w:pPr>
      <w:spacing w:before="120" w:after="120" w:line="360" w:lineRule="auto"/>
      <w:ind w:firstLine="480"/>
      <w:jc w:val="both"/>
    </w:pPr>
    <w:rPr>
      <w:rFonts w:ascii="Times New Roman" w:hAnsi="Times New Roman" w:eastAsia="仿宋_GB2312" w:cs="Times New Roman"/>
      <w:sz w:val="24"/>
      <w:szCs w:val="24"/>
      <w:lang w:val="en-US" w:eastAsia="zh-CN" w:bidi="ar-SA"/>
    </w:rPr>
  </w:style>
  <w:style w:type="paragraph" w:customStyle="1" w:styleId="588">
    <w:name w:val="样式 标题 2第一章 标题 2Heading 2 HiddenHeading 2 CCBSheading 2H2h2..."/>
    <w:basedOn w:val="264"/>
    <w:qFormat/>
    <w:uiPriority w:val="99"/>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589">
    <w:name w:val="我的正文"/>
    <w:basedOn w:val="1"/>
    <w:qFormat/>
    <w:uiPriority w:val="99"/>
    <w:pPr>
      <w:widowControl/>
      <w:spacing w:line="360" w:lineRule="auto"/>
      <w:ind w:firstLine="420"/>
      <w:jc w:val="left"/>
    </w:pPr>
    <w:rPr>
      <w:rFonts w:ascii="宋体" w:hAnsi="宋体" w:cs="宋体"/>
      <w:szCs w:val="21"/>
    </w:rPr>
  </w:style>
  <w:style w:type="paragraph" w:customStyle="1" w:styleId="590">
    <w:name w:val="项目符号，二级"/>
    <w:basedOn w:val="392"/>
    <w:next w:val="392"/>
    <w:qFormat/>
    <w:uiPriority w:val="99"/>
    <w:pPr>
      <w:tabs>
        <w:tab w:val="left" w:pos="1211"/>
        <w:tab w:val="left" w:pos="1337"/>
      </w:tabs>
      <w:ind w:left="1337" w:right="-27" w:firstLine="480"/>
    </w:pPr>
    <w:rPr>
      <w:bCs w:val="0"/>
      <w:color w:val="000000"/>
      <w:sz w:val="24"/>
      <w:szCs w:val="24"/>
    </w:rPr>
  </w:style>
  <w:style w:type="paragraph" w:customStyle="1" w:styleId="591">
    <w:name w:val="小四 段落 宋体 Char Char"/>
    <w:basedOn w:val="1"/>
    <w:qFormat/>
    <w:uiPriority w:val="99"/>
    <w:pPr>
      <w:spacing w:line="360" w:lineRule="auto"/>
      <w:ind w:firstLine="480"/>
    </w:pPr>
    <w:rPr>
      <w:rFonts w:ascii="宋体" w:hAnsi="宋体"/>
      <w:sz w:val="24"/>
    </w:rPr>
  </w:style>
  <w:style w:type="character" w:customStyle="1" w:styleId="592">
    <w:name w:val="font111"/>
    <w:qFormat/>
    <w:uiPriority w:val="99"/>
    <w:rPr>
      <w:rFonts w:ascii="宋体" w:hAnsi="宋体" w:eastAsia="宋体"/>
      <w:color w:val="000000"/>
      <w:sz w:val="20"/>
      <w:u w:val="none"/>
    </w:rPr>
  </w:style>
  <w:style w:type="character" w:customStyle="1" w:styleId="593">
    <w:name w:val="Char Char24"/>
    <w:qFormat/>
    <w:uiPriority w:val="99"/>
    <w:rPr>
      <w:b/>
      <w:sz w:val="28"/>
    </w:rPr>
  </w:style>
  <w:style w:type="character" w:customStyle="1" w:styleId="594">
    <w:name w:val="Char Char23"/>
    <w:qFormat/>
    <w:uiPriority w:val="99"/>
    <w:rPr>
      <w:rFonts w:ascii="Arial" w:hAnsi="Arial" w:eastAsia="黑体"/>
      <w:b/>
      <w:sz w:val="24"/>
    </w:rPr>
  </w:style>
  <w:style w:type="character" w:customStyle="1" w:styleId="595">
    <w:name w:val="华宇段落1 Char Char Char"/>
    <w:qFormat/>
    <w:uiPriority w:val="99"/>
    <w:rPr>
      <w:rFonts w:eastAsia="宋体"/>
      <w:sz w:val="24"/>
      <w:lang w:val="en-US" w:eastAsia="zh-CN"/>
    </w:rPr>
  </w:style>
  <w:style w:type="character" w:customStyle="1" w:styleId="596">
    <w:name w:val="样式 首行缩进:  2 字符 Char Char Char"/>
    <w:qFormat/>
    <w:uiPriority w:val="99"/>
    <w:rPr>
      <w:rFonts w:eastAsia="宋体"/>
      <w:sz w:val="24"/>
      <w:lang w:val="en-US" w:eastAsia="zh-CN"/>
    </w:rPr>
  </w:style>
  <w:style w:type="character" w:customStyle="1" w:styleId="597">
    <w:name w:val="Char Char6"/>
    <w:qFormat/>
    <w:uiPriority w:val="99"/>
    <w:rPr>
      <w:rFonts w:eastAsia="宋体"/>
      <w:sz w:val="24"/>
      <w:lang w:val="en-US" w:eastAsia="zh-CN"/>
    </w:rPr>
  </w:style>
  <w:style w:type="character" w:customStyle="1" w:styleId="598">
    <w:name w:val="Char Char31"/>
    <w:qFormat/>
    <w:uiPriority w:val="99"/>
    <w:rPr>
      <w:rFonts w:ascii="Arial" w:hAnsi="Arial" w:eastAsia="黑体"/>
      <w:b/>
      <w:sz w:val="28"/>
      <w:lang w:val="en-US" w:eastAsia="zh-CN"/>
    </w:rPr>
  </w:style>
  <w:style w:type="character" w:customStyle="1" w:styleId="599">
    <w:name w:val="纯文本 Char Char Char1"/>
    <w:qFormat/>
    <w:uiPriority w:val="99"/>
    <w:rPr>
      <w:rFonts w:ascii="宋体" w:hAnsi="Courier New" w:eastAsia="宋体"/>
      <w:sz w:val="21"/>
      <w:lang w:val="en-US" w:eastAsia="zh-CN"/>
    </w:rPr>
  </w:style>
  <w:style w:type="character" w:customStyle="1" w:styleId="600">
    <w:name w:val="小四 段落 宋体 Char Char Char1"/>
    <w:qFormat/>
    <w:uiPriority w:val="99"/>
    <w:rPr>
      <w:rFonts w:ascii="宋体" w:hAnsi="宋体" w:eastAsia="宋体"/>
      <w:sz w:val="24"/>
      <w:lang w:val="en-US" w:eastAsia="zh-CN"/>
    </w:rPr>
  </w:style>
  <w:style w:type="character" w:customStyle="1" w:styleId="601">
    <w:name w:val="Char Char7"/>
    <w:qFormat/>
    <w:uiPriority w:val="99"/>
    <w:rPr>
      <w:rFonts w:eastAsia="宋体"/>
      <w:b/>
      <w:sz w:val="24"/>
      <w:lang w:val="en-US" w:eastAsia="zh-CN"/>
    </w:rPr>
  </w:style>
  <w:style w:type="character" w:customStyle="1" w:styleId="602">
    <w:name w:val="concon"/>
    <w:qFormat/>
    <w:uiPriority w:val="99"/>
  </w:style>
  <w:style w:type="character" w:customStyle="1" w:styleId="603">
    <w:name w:val="标题 3 Char1"/>
    <w:qFormat/>
    <w:uiPriority w:val="99"/>
    <w:rPr>
      <w:rFonts w:eastAsia="宋体"/>
      <w:b/>
      <w:sz w:val="32"/>
      <w:lang w:val="en-US" w:eastAsia="zh-CN"/>
    </w:rPr>
  </w:style>
  <w:style w:type="character" w:customStyle="1" w:styleId="604">
    <w:name w:val="Char Char33"/>
    <w:qFormat/>
    <w:uiPriority w:val="99"/>
    <w:rPr>
      <w:rFonts w:ascii="Arial" w:hAnsi="Arial" w:eastAsia="黑体"/>
      <w:b/>
      <w:sz w:val="32"/>
      <w:lang w:val="en-US" w:eastAsia="zh-CN"/>
    </w:rPr>
  </w:style>
  <w:style w:type="character" w:customStyle="1" w:styleId="605">
    <w:name w:val="小四 段落 宋体 Char Char Char Char Char Char Char"/>
    <w:qFormat/>
    <w:uiPriority w:val="99"/>
    <w:rPr>
      <w:rFonts w:eastAsia="宋体"/>
      <w:sz w:val="24"/>
      <w:lang w:val="en-US" w:eastAsia="zh-CN"/>
    </w:rPr>
  </w:style>
  <w:style w:type="character" w:customStyle="1" w:styleId="606">
    <w:name w:val="Char Char17"/>
    <w:qFormat/>
    <w:uiPriority w:val="99"/>
    <w:rPr>
      <w:rFonts w:ascii="宋体" w:hAnsi="Courier New"/>
      <w:sz w:val="21"/>
    </w:rPr>
  </w:style>
  <w:style w:type="character" w:customStyle="1" w:styleId="607">
    <w:name w:val="Char Char32"/>
    <w:qFormat/>
    <w:uiPriority w:val="99"/>
    <w:rPr>
      <w:rFonts w:eastAsia="宋体"/>
      <w:b/>
      <w:sz w:val="32"/>
      <w:lang w:val="en-US" w:eastAsia="zh-CN"/>
    </w:rPr>
  </w:style>
  <w:style w:type="character" w:customStyle="1" w:styleId="608">
    <w:name w:val="小四 段落 宋体 Char Char Char Char1"/>
    <w:qFormat/>
    <w:uiPriority w:val="99"/>
    <w:rPr>
      <w:rFonts w:eastAsia="宋体"/>
      <w:sz w:val="24"/>
      <w:lang w:val="en-US" w:eastAsia="zh-CN"/>
    </w:rPr>
  </w:style>
  <w:style w:type="character" w:customStyle="1" w:styleId="609">
    <w:name w:val="标准小四 Char"/>
    <w:qFormat/>
    <w:uiPriority w:val="99"/>
    <w:rPr>
      <w:rFonts w:ascii="Arial" w:hAnsi="Arial" w:eastAsia="宋体"/>
      <w:sz w:val="21"/>
      <w:lang w:val="en-US" w:eastAsia="zh-CN"/>
    </w:rPr>
  </w:style>
  <w:style w:type="character" w:customStyle="1" w:styleId="610">
    <w:name w:val="标题 3 Char Char"/>
    <w:qFormat/>
    <w:uiPriority w:val="99"/>
    <w:rPr>
      <w:rFonts w:eastAsia="仿宋_GB2312"/>
      <w:b/>
      <w:sz w:val="32"/>
      <w:lang w:val="en-US" w:eastAsia="zh-CN"/>
    </w:rPr>
  </w:style>
  <w:style w:type="character" w:customStyle="1" w:styleId="611">
    <w:name w:val="已访问的超链接1"/>
    <w:qFormat/>
    <w:uiPriority w:val="99"/>
    <w:rPr>
      <w:color w:val="000000"/>
      <w:u w:val="none"/>
    </w:rPr>
  </w:style>
  <w:style w:type="character" w:customStyle="1" w:styleId="612">
    <w:name w:val="正文缩进 Char1"/>
    <w:qFormat/>
    <w:uiPriority w:val="99"/>
    <w:rPr>
      <w:rFonts w:eastAsia="宋体"/>
    </w:rPr>
  </w:style>
  <w:style w:type="character" w:customStyle="1" w:styleId="613">
    <w:name w:val="Char Char27"/>
    <w:qFormat/>
    <w:uiPriority w:val="99"/>
    <w:rPr>
      <w:b/>
      <w:sz w:val="44"/>
    </w:rPr>
  </w:style>
  <w:style w:type="character" w:customStyle="1" w:styleId="614">
    <w:name w:val="font21"/>
    <w:qFormat/>
    <w:uiPriority w:val="99"/>
    <w:rPr>
      <w:rFonts w:ascii="宋体" w:hAnsi="宋体" w:eastAsia="宋体"/>
      <w:color w:val="000000"/>
      <w:sz w:val="20"/>
      <w:u w:val="none"/>
    </w:rPr>
  </w:style>
  <w:style w:type="character" w:customStyle="1" w:styleId="615">
    <w:name w:val="Char Char22"/>
    <w:qFormat/>
    <w:uiPriority w:val="99"/>
    <w:rPr>
      <w:b/>
      <w:sz w:val="24"/>
    </w:rPr>
  </w:style>
  <w:style w:type="character" w:customStyle="1" w:styleId="616">
    <w:name w:val="样式 宋体 小四"/>
    <w:qFormat/>
    <w:uiPriority w:val="99"/>
    <w:rPr>
      <w:rFonts w:ascii="宋体" w:eastAsia="宋体"/>
      <w:sz w:val="24"/>
    </w:rPr>
  </w:style>
  <w:style w:type="character" w:customStyle="1" w:styleId="617">
    <w:name w:val="纯文本 Char Char Char"/>
    <w:qFormat/>
    <w:uiPriority w:val="99"/>
    <w:rPr>
      <w:rFonts w:ascii="宋体" w:hAnsi="Courier New" w:eastAsia="宋体"/>
      <w:sz w:val="21"/>
      <w:lang w:val="en-US" w:eastAsia="zh-CN"/>
    </w:rPr>
  </w:style>
  <w:style w:type="character" w:customStyle="1" w:styleId="618">
    <w:name w:val="content_lineheight1"/>
    <w:qFormat/>
    <w:uiPriority w:val="99"/>
  </w:style>
  <w:style w:type="character" w:customStyle="1" w:styleId="619">
    <w:name w:val="ih151"/>
    <w:qFormat/>
    <w:uiPriority w:val="99"/>
    <w:rPr>
      <w:color w:val="666666"/>
      <w:sz w:val="18"/>
      <w:u w:val="none"/>
    </w:rPr>
  </w:style>
  <w:style w:type="character" w:customStyle="1" w:styleId="620">
    <w:name w:val="样式 首行缩进:  2 字符 Char Char"/>
    <w:qFormat/>
    <w:uiPriority w:val="99"/>
    <w:rPr>
      <w:rFonts w:eastAsia="宋体"/>
      <w:sz w:val="24"/>
      <w:lang w:val="en-US" w:eastAsia="zh-CN"/>
    </w:rPr>
  </w:style>
  <w:style w:type="character" w:customStyle="1" w:styleId="621">
    <w:name w:val="subtitle1"/>
    <w:qFormat/>
    <w:uiPriority w:val="99"/>
    <w:rPr>
      <w:rFonts w:ascii="Georgia" w:hAnsi="Georgia"/>
      <w:b/>
      <w:color w:val="666666"/>
      <w:sz w:val="18"/>
    </w:rPr>
  </w:style>
  <w:style w:type="character" w:customStyle="1" w:styleId="622">
    <w:name w:val="Char Char30"/>
    <w:qFormat/>
    <w:uiPriority w:val="99"/>
    <w:rPr>
      <w:rFonts w:eastAsia="宋体"/>
      <w:b/>
      <w:sz w:val="28"/>
      <w:lang w:val="en-US" w:eastAsia="zh-CN"/>
    </w:rPr>
  </w:style>
  <w:style w:type="character" w:customStyle="1" w:styleId="623">
    <w:name w:val="Char Char15"/>
    <w:qFormat/>
    <w:uiPriority w:val="99"/>
    <w:rPr>
      <w:rFonts w:ascii="Arial" w:hAnsi="Arial" w:eastAsia="黑体"/>
      <w:sz w:val="21"/>
      <w:lang w:val="en-US" w:eastAsia="zh-CN"/>
    </w:rPr>
  </w:style>
  <w:style w:type="character" w:customStyle="1" w:styleId="624">
    <w:name w:val="style131"/>
    <w:qFormat/>
    <w:uiPriority w:val="99"/>
    <w:rPr>
      <w:sz w:val="18"/>
    </w:rPr>
  </w:style>
  <w:style w:type="character" w:customStyle="1" w:styleId="625">
    <w:name w:val="Char Char11"/>
    <w:qFormat/>
    <w:uiPriority w:val="99"/>
    <w:rPr>
      <w:rFonts w:ascii="宋体" w:hAnsi="宋体" w:eastAsia="宋体"/>
      <w:sz w:val="24"/>
      <w:lang w:val="en-US" w:eastAsia="zh-CN"/>
    </w:rPr>
  </w:style>
  <w:style w:type="character" w:customStyle="1" w:styleId="626">
    <w:name w:val="Char Char28"/>
    <w:qFormat/>
    <w:uiPriority w:val="99"/>
    <w:rPr>
      <w:rFonts w:ascii="Arial" w:hAnsi="Arial" w:eastAsia="黑体"/>
      <w:b/>
      <w:sz w:val="32"/>
    </w:rPr>
  </w:style>
  <w:style w:type="character" w:customStyle="1" w:styleId="627">
    <w:name w:val="方案文档 Char Char"/>
    <w:qFormat/>
    <w:uiPriority w:val="99"/>
    <w:rPr>
      <w:rFonts w:ascii="宋体" w:hAnsi="宋体" w:eastAsia="宋体"/>
      <w:sz w:val="24"/>
      <w:lang w:val="zh-CN" w:eastAsia="zh-CN"/>
    </w:rPr>
  </w:style>
  <w:style w:type="character" w:customStyle="1" w:styleId="628">
    <w:name w:val="标准文本 Char Char Char"/>
    <w:qFormat/>
    <w:uiPriority w:val="99"/>
    <w:rPr>
      <w:rFonts w:eastAsia="宋体"/>
      <w:sz w:val="24"/>
      <w:lang w:val="en-US" w:eastAsia="zh-CN"/>
    </w:rPr>
  </w:style>
  <w:style w:type="character" w:customStyle="1" w:styleId="629">
    <w:name w:val="t1"/>
    <w:qFormat/>
    <w:uiPriority w:val="99"/>
  </w:style>
  <w:style w:type="character" w:customStyle="1" w:styleId="630">
    <w:name w:val="Char Char21"/>
    <w:qFormat/>
    <w:uiPriority w:val="99"/>
    <w:rPr>
      <w:rFonts w:ascii="Arial" w:hAnsi="Arial" w:eastAsia="黑体"/>
      <w:sz w:val="24"/>
    </w:rPr>
  </w:style>
  <w:style w:type="character" w:customStyle="1" w:styleId="631">
    <w:name w:val="normalfont1"/>
    <w:qFormat/>
    <w:uiPriority w:val="99"/>
    <w:rPr>
      <w:rFonts w:ascii="??" w:hAnsi="??"/>
      <w:sz w:val="18"/>
      <w:u w:val="none"/>
    </w:rPr>
  </w:style>
  <w:style w:type="character" w:customStyle="1" w:styleId="632">
    <w:name w:val="小四 段落 宋体 Char Char Char Char Char"/>
    <w:qFormat/>
    <w:uiPriority w:val="99"/>
    <w:rPr>
      <w:rFonts w:eastAsia="宋体"/>
      <w:sz w:val="24"/>
      <w:lang w:val="en-US" w:eastAsia="zh-CN"/>
    </w:rPr>
  </w:style>
  <w:style w:type="character" w:customStyle="1" w:styleId="633">
    <w:name w:val="h Char Char"/>
    <w:qFormat/>
    <w:uiPriority w:val="99"/>
    <w:rPr>
      <w:rFonts w:eastAsia="宋体"/>
      <w:sz w:val="18"/>
      <w:lang w:val="en-US" w:eastAsia="zh-CN"/>
    </w:rPr>
  </w:style>
  <w:style w:type="character" w:customStyle="1" w:styleId="634">
    <w:name w:val="不明显参考1"/>
    <w:qFormat/>
    <w:uiPriority w:val="99"/>
    <w:rPr>
      <w:smallCaps/>
    </w:rPr>
  </w:style>
  <w:style w:type="character" w:customStyle="1" w:styleId="635">
    <w:name w:val="apple-converted-space"/>
    <w:qFormat/>
    <w:uiPriority w:val="99"/>
  </w:style>
  <w:style w:type="character" w:customStyle="1" w:styleId="636">
    <w:name w:val="Char Char20"/>
    <w:qFormat/>
    <w:uiPriority w:val="99"/>
    <w:rPr>
      <w:rFonts w:ascii="Arial" w:hAnsi="Arial" w:eastAsia="黑体"/>
      <w:sz w:val="21"/>
    </w:rPr>
  </w:style>
  <w:style w:type="character" w:customStyle="1" w:styleId="637">
    <w:name w:val="纯文本 Char1"/>
    <w:qFormat/>
    <w:uiPriority w:val="99"/>
    <w:rPr>
      <w:rFonts w:ascii="宋体" w:hAnsi="Courier New"/>
      <w:sz w:val="21"/>
    </w:rPr>
  </w:style>
  <w:style w:type="character" w:customStyle="1" w:styleId="638">
    <w:name w:val="无间隔 Char"/>
    <w:qFormat/>
    <w:uiPriority w:val="99"/>
    <w:rPr>
      <w:rFonts w:ascii="Calibri" w:hAnsi="Calibri" w:eastAsia="微软雅黑"/>
      <w:sz w:val="22"/>
      <w:lang w:val="en-US" w:eastAsia="zh-CN"/>
    </w:rPr>
  </w:style>
  <w:style w:type="character" w:customStyle="1" w:styleId="639">
    <w:name w:val="Char Char2"/>
    <w:qFormat/>
    <w:uiPriority w:val="99"/>
    <w:rPr>
      <w:rFonts w:ascii="宋体" w:hAnsi="Courier New" w:eastAsia="宋体"/>
      <w:sz w:val="21"/>
      <w:lang w:val="en-US" w:eastAsia="zh-CN"/>
    </w:rPr>
  </w:style>
  <w:style w:type="character" w:customStyle="1" w:styleId="640">
    <w:name w:val="Char Char34"/>
    <w:qFormat/>
    <w:uiPriority w:val="99"/>
    <w:rPr>
      <w:rFonts w:eastAsia="宋体"/>
      <w:b/>
      <w:sz w:val="44"/>
      <w:lang w:val="en-US" w:eastAsia="zh-CN"/>
    </w:rPr>
  </w:style>
  <w:style w:type="character" w:customStyle="1" w:styleId="641">
    <w:name w:val="font61"/>
    <w:qFormat/>
    <w:uiPriority w:val="99"/>
    <w:rPr>
      <w:rFonts w:ascii="宋体" w:hAnsi="宋体" w:eastAsia="宋体"/>
      <w:color w:val="FF0000"/>
      <w:sz w:val="20"/>
      <w:u w:val="none"/>
    </w:rPr>
  </w:style>
  <w:style w:type="character" w:customStyle="1" w:styleId="642">
    <w:name w:val="Char Char9"/>
    <w:qFormat/>
    <w:uiPriority w:val="99"/>
    <w:rPr>
      <w:rFonts w:eastAsia="宋体"/>
      <w:sz w:val="21"/>
      <w:lang w:val="en-US" w:eastAsia="zh-CN"/>
    </w:rPr>
  </w:style>
  <w:style w:type="character" w:customStyle="1" w:styleId="643">
    <w:name w:val="纯文本 Char Char"/>
    <w:qFormat/>
    <w:uiPriority w:val="99"/>
    <w:rPr>
      <w:rFonts w:ascii="宋体" w:hAnsi="Courier New" w:eastAsia="宋体"/>
      <w:sz w:val="21"/>
      <w:lang w:val="en-US" w:eastAsia="zh-CN"/>
    </w:rPr>
  </w:style>
  <w:style w:type="character" w:customStyle="1" w:styleId="644">
    <w:name w:val="content"/>
    <w:qFormat/>
    <w:uiPriority w:val="99"/>
  </w:style>
  <w:style w:type="character" w:customStyle="1" w:styleId="645">
    <w:name w:val="标准小四 Char Char Char"/>
    <w:qFormat/>
    <w:uiPriority w:val="99"/>
    <w:rPr>
      <w:rFonts w:ascii="Arial" w:hAnsi="Arial" w:eastAsia="宋体"/>
      <w:sz w:val="21"/>
      <w:lang w:val="en-US" w:eastAsia="zh-CN"/>
    </w:rPr>
  </w:style>
  <w:style w:type="character" w:customStyle="1" w:styleId="646">
    <w:name w:val="3zw"/>
    <w:qFormat/>
    <w:uiPriority w:val="99"/>
  </w:style>
  <w:style w:type="character" w:customStyle="1" w:styleId="647">
    <w:name w:val="样式 首行缩进:  2 字符 Char"/>
    <w:qFormat/>
    <w:uiPriority w:val="99"/>
    <w:rPr>
      <w:rFonts w:eastAsia="宋体"/>
      <w:sz w:val="24"/>
      <w:lang w:val="en-US" w:eastAsia="zh-CN"/>
    </w:rPr>
  </w:style>
  <w:style w:type="character" w:customStyle="1" w:styleId="648">
    <w:name w:val="medium_text1"/>
    <w:qFormat/>
    <w:uiPriority w:val="99"/>
    <w:rPr>
      <w:sz w:val="24"/>
    </w:rPr>
  </w:style>
  <w:style w:type="character" w:customStyle="1" w:styleId="649">
    <w:name w:val="Char Char16"/>
    <w:qFormat/>
    <w:uiPriority w:val="99"/>
    <w:rPr>
      <w:rFonts w:ascii="Arial" w:hAnsi="Arial" w:eastAsia="黑体"/>
      <w:sz w:val="24"/>
      <w:lang w:val="en-US" w:eastAsia="zh-CN"/>
    </w:rPr>
  </w:style>
  <w:style w:type="character" w:customStyle="1" w:styleId="650">
    <w:name w:val="font91"/>
    <w:qFormat/>
    <w:uiPriority w:val="99"/>
    <w:rPr>
      <w:rFonts w:ascii="宋体" w:hAnsi="宋体" w:eastAsia="宋体"/>
      <w:color w:val="000000"/>
      <w:sz w:val="20"/>
      <w:u w:val="none"/>
    </w:rPr>
  </w:style>
  <w:style w:type="character" w:customStyle="1" w:styleId="651">
    <w:name w:val="Char Char3"/>
    <w:qFormat/>
    <w:uiPriority w:val="99"/>
    <w:rPr>
      <w:rFonts w:eastAsia="宋体"/>
      <w:sz w:val="18"/>
      <w:lang w:val="en-US" w:eastAsia="zh-CN"/>
    </w:rPr>
  </w:style>
  <w:style w:type="character" w:customStyle="1" w:styleId="652">
    <w:name w:val="标题 Char1"/>
    <w:qFormat/>
    <w:uiPriority w:val="99"/>
    <w:rPr>
      <w:rFonts w:ascii="Cambria" w:eastAsia="宋体"/>
      <w:b/>
      <w:sz w:val="32"/>
    </w:rPr>
  </w:style>
  <w:style w:type="character" w:customStyle="1" w:styleId="653">
    <w:name w:val="标准小四 Char Char"/>
    <w:qFormat/>
    <w:uiPriority w:val="99"/>
    <w:rPr>
      <w:rFonts w:ascii="Arial" w:hAnsi="Arial" w:eastAsia="宋体"/>
      <w:sz w:val="21"/>
      <w:lang w:val="en-US" w:eastAsia="zh-CN"/>
    </w:rPr>
  </w:style>
  <w:style w:type="character" w:customStyle="1" w:styleId="654">
    <w:name w:val="普通文字 Char Char3"/>
    <w:qFormat/>
    <w:uiPriority w:val="99"/>
    <w:rPr>
      <w:rFonts w:ascii="宋体" w:hAnsi="Courier New" w:eastAsia="宋体"/>
      <w:sz w:val="21"/>
      <w:lang w:val="en-US" w:eastAsia="zh-CN"/>
    </w:rPr>
  </w:style>
  <w:style w:type="character" w:customStyle="1" w:styleId="655">
    <w:name w:val="case31"/>
    <w:qFormat/>
    <w:uiPriority w:val="99"/>
    <w:rPr>
      <w:sz w:val="21"/>
    </w:rPr>
  </w:style>
  <w:style w:type="character" w:customStyle="1" w:styleId="656">
    <w:name w:val="明显参考1"/>
    <w:qFormat/>
    <w:uiPriority w:val="99"/>
    <w:rPr>
      <w:smallCaps/>
      <w:spacing w:val="5"/>
      <w:u w:val="single"/>
    </w:rPr>
  </w:style>
  <w:style w:type="character" w:customStyle="1" w:styleId="657">
    <w:name w:val="textcontents"/>
    <w:qFormat/>
    <w:uiPriority w:val="99"/>
  </w:style>
  <w:style w:type="character" w:customStyle="1" w:styleId="658">
    <w:name w:val="普通文字1 Char"/>
    <w:qFormat/>
    <w:uiPriority w:val="99"/>
    <w:rPr>
      <w:rFonts w:ascii="宋体" w:eastAsia="宋体"/>
      <w:sz w:val="21"/>
      <w:lang w:val="en-US" w:eastAsia="zh-CN"/>
    </w:rPr>
  </w:style>
  <w:style w:type="character" w:customStyle="1" w:styleId="659">
    <w:name w:val="Char Char29"/>
    <w:qFormat/>
    <w:uiPriority w:val="99"/>
    <w:rPr>
      <w:rFonts w:ascii="Times New Roman" w:hAnsi="Times New Roman" w:eastAsia="宋体"/>
      <w:b/>
      <w:sz w:val="44"/>
    </w:rPr>
  </w:style>
  <w:style w:type="character" w:customStyle="1" w:styleId="660">
    <w:name w:val="title_emph1"/>
    <w:qFormat/>
    <w:uiPriority w:val="99"/>
    <w:rPr>
      <w:rFonts w:ascii="Arial"/>
      <w:b/>
      <w:sz w:val="18"/>
    </w:rPr>
  </w:style>
  <w:style w:type="character" w:customStyle="1" w:styleId="661">
    <w:name w:val="111111 Char Char"/>
    <w:qFormat/>
    <w:uiPriority w:val="99"/>
    <w:rPr>
      <w:rFonts w:ascii="宋体" w:hAnsi="宋体" w:eastAsia="黑体"/>
      <w:b/>
      <w:sz w:val="21"/>
      <w:lang w:val="en-US" w:eastAsia="zh-CN"/>
    </w:rPr>
  </w:style>
  <w:style w:type="character" w:customStyle="1" w:styleId="662">
    <w:name w:val="书籍标题1"/>
    <w:qFormat/>
    <w:uiPriority w:val="99"/>
    <w:rPr>
      <w:i/>
      <w:smallCaps/>
      <w:spacing w:val="5"/>
    </w:rPr>
  </w:style>
  <w:style w:type="character" w:customStyle="1" w:styleId="663">
    <w:name w:val="Char Char13"/>
    <w:qFormat/>
    <w:uiPriority w:val="99"/>
    <w:rPr>
      <w:rFonts w:ascii="宋体" w:hAnsi="宋体" w:eastAsia="宋体"/>
      <w:sz w:val="24"/>
      <w:lang w:val="en-US" w:eastAsia="zh-CN"/>
    </w:rPr>
  </w:style>
  <w:style w:type="character" w:customStyle="1" w:styleId="664">
    <w:name w:val="Char Char8"/>
    <w:qFormat/>
    <w:uiPriority w:val="99"/>
    <w:rPr>
      <w:rFonts w:eastAsia="宋体"/>
      <w:sz w:val="18"/>
      <w:lang w:val="en-US" w:eastAsia="zh-CN"/>
    </w:rPr>
  </w:style>
  <w:style w:type="character" w:customStyle="1" w:styleId="665">
    <w:name w:val="引用 Char"/>
    <w:qFormat/>
    <w:uiPriority w:val="99"/>
    <w:rPr>
      <w:rFonts w:ascii="Calibri" w:hAnsi="Calibri" w:eastAsia="宋体"/>
      <w:i/>
      <w:sz w:val="22"/>
      <w:lang w:val="en-US" w:eastAsia="en-US"/>
    </w:rPr>
  </w:style>
  <w:style w:type="character" w:customStyle="1" w:styleId="666">
    <w:name w:val="A2"/>
    <w:qFormat/>
    <w:uiPriority w:val="99"/>
    <w:rPr>
      <w:color w:val="000000"/>
      <w:sz w:val="18"/>
    </w:rPr>
  </w:style>
  <w:style w:type="character" w:customStyle="1" w:styleId="667">
    <w:name w:val="Char Char5"/>
    <w:qFormat/>
    <w:uiPriority w:val="99"/>
    <w:rPr>
      <w:rFonts w:eastAsia="宋体"/>
      <w:sz w:val="24"/>
      <w:lang w:val="en-US" w:eastAsia="zh-CN"/>
    </w:rPr>
  </w:style>
  <w:style w:type="character" w:customStyle="1" w:styleId="668">
    <w:name w:val="不明显强调1"/>
    <w:qFormat/>
    <w:uiPriority w:val="99"/>
    <w:rPr>
      <w:i/>
    </w:rPr>
  </w:style>
  <w:style w:type="character" w:customStyle="1" w:styleId="669">
    <w:name w:val="标准文本 Char Char"/>
    <w:qFormat/>
    <w:uiPriority w:val="99"/>
    <w:rPr>
      <w:rFonts w:eastAsia="宋体"/>
      <w:sz w:val="24"/>
      <w:lang w:val="en-US" w:eastAsia="zh-CN"/>
    </w:rPr>
  </w:style>
  <w:style w:type="character" w:customStyle="1" w:styleId="670">
    <w:name w:val="明显引用 Char"/>
    <w:qFormat/>
    <w:uiPriority w:val="99"/>
    <w:rPr>
      <w:rFonts w:ascii="Calibri" w:hAnsi="Calibri" w:eastAsia="宋体"/>
      <w:b/>
      <w:i/>
      <w:sz w:val="22"/>
      <w:lang w:val="en-US" w:eastAsia="en-US"/>
    </w:rPr>
  </w:style>
  <w:style w:type="character" w:customStyle="1" w:styleId="671">
    <w:name w:val="Char Char14"/>
    <w:qFormat/>
    <w:uiPriority w:val="99"/>
    <w:rPr>
      <w:rFonts w:eastAsia="黑体"/>
      <w:b/>
      <w:sz w:val="28"/>
      <w:lang w:val="en-GB" w:eastAsia="zh-CN"/>
    </w:rPr>
  </w:style>
  <w:style w:type="character" w:customStyle="1" w:styleId="672">
    <w:name w:val="Char Char25"/>
    <w:qFormat/>
    <w:uiPriority w:val="99"/>
    <w:rPr>
      <w:rFonts w:ascii="Arial" w:hAnsi="Arial" w:eastAsia="黑体"/>
      <w:b/>
      <w:sz w:val="28"/>
    </w:rPr>
  </w:style>
  <w:style w:type="character" w:customStyle="1" w:styleId="673">
    <w:name w:val="小四 段落 宋体 Char Char Char Char Char Char Char Char"/>
    <w:qFormat/>
    <w:uiPriority w:val="99"/>
    <w:rPr>
      <w:rFonts w:eastAsia="宋体"/>
      <w:sz w:val="24"/>
      <w:lang w:val="en-US" w:eastAsia="zh-CN"/>
    </w:rPr>
  </w:style>
  <w:style w:type="character" w:customStyle="1" w:styleId="674">
    <w:name w:val="华宇段落1 Char Char Char Char"/>
    <w:qFormat/>
    <w:uiPriority w:val="99"/>
    <w:rPr>
      <w:rFonts w:eastAsia="宋体"/>
      <w:sz w:val="24"/>
      <w:lang w:val="en-US" w:eastAsia="zh-CN"/>
    </w:rPr>
  </w:style>
  <w:style w:type="character" w:customStyle="1" w:styleId="675">
    <w:name w:val="小四 段落 宋体 Char Char Char Char Char Char"/>
    <w:qFormat/>
    <w:uiPriority w:val="99"/>
    <w:rPr>
      <w:rFonts w:eastAsia="宋体"/>
      <w:sz w:val="24"/>
      <w:lang w:val="en-US" w:eastAsia="zh-CN"/>
    </w:rPr>
  </w:style>
  <w:style w:type="character" w:customStyle="1" w:styleId="676">
    <w:name w:val="标题 3 Char Char Char Char Char Char Char Char Char Char Char Char Char Char Char Char Char Char Char Char Char Char Char Char Char Char Char Char Char Char Char Char Char Char Char Char Char Char Char Char Char Char Char Char Char Char Char Char Cha Cha"/>
    <w:qFormat/>
    <w:uiPriority w:val="99"/>
    <w:rPr>
      <w:rFonts w:eastAsia="宋体"/>
      <w:b/>
      <w:sz w:val="32"/>
      <w:lang w:val="en-US" w:eastAsia="zh-CN"/>
    </w:rPr>
  </w:style>
  <w:style w:type="character" w:customStyle="1" w:styleId="677">
    <w:name w:val="2nd level Char"/>
    <w:qFormat/>
    <w:uiPriority w:val="99"/>
    <w:rPr>
      <w:rFonts w:ascii="Arial" w:hAnsi="Arial" w:eastAsia="黑体"/>
      <w:b/>
      <w:sz w:val="32"/>
      <w:lang w:val="en-US" w:eastAsia="zh-CN"/>
    </w:rPr>
  </w:style>
  <w:style w:type="character" w:customStyle="1" w:styleId="678">
    <w:name w:val="华宇段落1 Char Char"/>
    <w:qFormat/>
    <w:uiPriority w:val="99"/>
    <w:rPr>
      <w:rFonts w:eastAsia="宋体"/>
      <w:sz w:val="24"/>
      <w:lang w:val="en-US" w:eastAsia="zh-CN"/>
    </w:rPr>
  </w:style>
  <w:style w:type="character" w:customStyle="1" w:styleId="679">
    <w:name w:val="Char Char12"/>
    <w:qFormat/>
    <w:uiPriority w:val="99"/>
    <w:rPr>
      <w:rFonts w:ascii="Arial" w:hAnsi="Arial" w:eastAsia="黑体"/>
      <w:sz w:val="21"/>
      <w:lang w:val="en-US" w:eastAsia="zh-CN"/>
    </w:rPr>
  </w:style>
  <w:style w:type="character" w:customStyle="1" w:styleId="680">
    <w:name w:val="Title1 Char"/>
    <w:qFormat/>
    <w:uiPriority w:val="99"/>
    <w:rPr>
      <w:rFonts w:eastAsia="宋体"/>
      <w:b/>
      <w:sz w:val="44"/>
      <w:lang w:val="en-US" w:eastAsia="zh-CN"/>
    </w:rPr>
  </w:style>
  <w:style w:type="character" w:customStyle="1" w:styleId="681">
    <w:name w:val="Char Char19"/>
    <w:qFormat/>
    <w:uiPriority w:val="99"/>
    <w:rPr>
      <w:rFonts w:ascii="Arial" w:hAnsi="Arial" w:eastAsia="黑体"/>
      <w:b/>
      <w:sz w:val="24"/>
      <w:lang w:val="en-US" w:eastAsia="zh-CN"/>
    </w:rPr>
  </w:style>
  <w:style w:type="character" w:customStyle="1" w:styleId="682">
    <w:name w:val="样式 非加粗"/>
    <w:qFormat/>
    <w:uiPriority w:val="99"/>
    <w:rPr>
      <w:rFonts w:eastAsia="宋体"/>
      <w:sz w:val="28"/>
    </w:rPr>
  </w:style>
  <w:style w:type="character" w:customStyle="1" w:styleId="683">
    <w:name w:val="正文 + 宋体 Char"/>
    <w:qFormat/>
    <w:uiPriority w:val="99"/>
    <w:rPr>
      <w:rFonts w:eastAsia="宋体"/>
      <w:sz w:val="24"/>
      <w:lang w:val="en-US" w:eastAsia="zh-CN"/>
    </w:rPr>
  </w:style>
  <w:style w:type="character" w:customStyle="1" w:styleId="684">
    <w:name w:val="Char Char4"/>
    <w:qFormat/>
    <w:uiPriority w:val="99"/>
    <w:rPr>
      <w:rFonts w:ascii="方正大黑简体" w:eastAsia="方正大黑简体"/>
      <w:position w:val="6"/>
      <w:sz w:val="30"/>
      <w:lang w:val="en-US" w:eastAsia="zh-CN"/>
    </w:rPr>
  </w:style>
  <w:style w:type="character" w:customStyle="1" w:styleId="685">
    <w:name w:val="Char Char26"/>
    <w:qFormat/>
    <w:uiPriority w:val="99"/>
    <w:rPr>
      <w:b/>
      <w:sz w:val="32"/>
    </w:rPr>
  </w:style>
  <w:style w:type="character" w:customStyle="1" w:styleId="686">
    <w:name w:val="小四 段落 宋体 Char1"/>
    <w:qFormat/>
    <w:uiPriority w:val="99"/>
    <w:rPr>
      <w:rFonts w:eastAsia="宋体"/>
      <w:sz w:val="24"/>
      <w:lang w:val="en-US" w:eastAsia="zh-CN"/>
    </w:rPr>
  </w:style>
  <w:style w:type="character" w:customStyle="1" w:styleId="687">
    <w:name w:val="apple-style-span"/>
    <w:qFormat/>
    <w:uiPriority w:val="99"/>
  </w:style>
  <w:style w:type="character" w:customStyle="1" w:styleId="688">
    <w:name w:val="Char Char18"/>
    <w:qFormat/>
    <w:uiPriority w:val="99"/>
    <w:rPr>
      <w:rFonts w:eastAsia="宋体"/>
      <w:b/>
      <w:sz w:val="24"/>
      <w:lang w:val="en-US" w:eastAsia="zh-CN"/>
    </w:rPr>
  </w:style>
  <w:style w:type="character" w:customStyle="1" w:styleId="689">
    <w:name w:val="标准文本 Char"/>
    <w:qFormat/>
    <w:uiPriority w:val="99"/>
    <w:rPr>
      <w:rFonts w:eastAsia="宋体"/>
      <w:sz w:val="24"/>
      <w:lang w:val="en-US" w:eastAsia="zh-CN"/>
    </w:rPr>
  </w:style>
  <w:style w:type="character" w:customStyle="1" w:styleId="690">
    <w:name w:val="font5 Char Char"/>
    <w:qFormat/>
    <w:uiPriority w:val="99"/>
    <w:rPr>
      <w:rFonts w:ascii="宋体" w:hAnsi="宋体" w:eastAsia="宋体"/>
      <w:sz w:val="28"/>
      <w:lang w:val="en-US" w:eastAsia="zh-CN"/>
    </w:rPr>
  </w:style>
  <w:style w:type="character" w:customStyle="1" w:styleId="691">
    <w:name w:val="Char Char10"/>
    <w:qFormat/>
    <w:uiPriority w:val="99"/>
    <w:rPr>
      <w:rFonts w:eastAsia="宋体"/>
      <w:b/>
      <w:sz w:val="24"/>
      <w:lang w:val="en-US" w:eastAsia="zh-CN"/>
    </w:rPr>
  </w:style>
  <w:style w:type="character" w:customStyle="1" w:styleId="692">
    <w:name w:val="特点 Char1"/>
    <w:qFormat/>
    <w:uiPriority w:val="99"/>
    <w:rPr>
      <w:rFonts w:eastAsia="宋体"/>
      <w:sz w:val="21"/>
      <w:lang w:val="en-US" w:eastAsia="zh-CN"/>
    </w:rPr>
  </w:style>
  <w:style w:type="character" w:customStyle="1" w:styleId="693">
    <w:name w:val="明显强调1"/>
    <w:qFormat/>
    <w:uiPriority w:val="99"/>
    <w:rPr>
      <w:b/>
    </w:rPr>
  </w:style>
  <w:style w:type="character" w:customStyle="1" w:styleId="694">
    <w:name w:val="listbenefit"/>
    <w:qFormat/>
    <w:uiPriority w:val="99"/>
  </w:style>
  <w:style w:type="paragraph" w:customStyle="1" w:styleId="695">
    <w:name w:val="xl6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696">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697">
    <w:name w:val="xl67"/>
    <w:basedOn w:val="1"/>
    <w:qFormat/>
    <w:uiPriority w:val="0"/>
    <w:pPr>
      <w:widowControl/>
      <w:spacing w:before="100" w:beforeAutospacing="1" w:after="100" w:afterAutospacing="1"/>
      <w:jc w:val="left"/>
    </w:pPr>
    <w:rPr>
      <w:rFonts w:ascii="宋体" w:hAnsi="宋体" w:cs="宋体"/>
      <w:b/>
      <w:bCs/>
      <w:sz w:val="24"/>
    </w:rPr>
  </w:style>
  <w:style w:type="paragraph" w:customStyle="1" w:styleId="698">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69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0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D7E4BC"/>
      <w:spacing w:before="100" w:beforeAutospacing="1" w:after="100" w:afterAutospacing="1"/>
      <w:jc w:val="center"/>
    </w:pPr>
    <w:rPr>
      <w:rFonts w:ascii="宋体" w:hAnsi="宋体" w:cs="宋体"/>
      <w:sz w:val="24"/>
    </w:rPr>
  </w:style>
  <w:style w:type="paragraph" w:customStyle="1" w:styleId="701">
    <w:name w:val="xl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D7E4BC"/>
      <w:spacing w:before="100" w:beforeAutospacing="1" w:after="100" w:afterAutospacing="1"/>
      <w:jc w:val="center"/>
    </w:pPr>
    <w:rPr>
      <w:rFonts w:ascii="宋体" w:hAnsi="宋体" w:cs="宋体"/>
      <w:b/>
      <w:bCs/>
      <w:sz w:val="24"/>
    </w:rPr>
  </w:style>
  <w:style w:type="paragraph" w:customStyle="1" w:styleId="702">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3">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4">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05">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6">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7">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08">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09">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10">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11">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12">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13">
    <w:name w:val="xl8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714">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15">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16">
    <w:name w:val="xl86"/>
    <w:basedOn w:val="1"/>
    <w:qFormat/>
    <w:uiPriority w:val="0"/>
    <w:pPr>
      <w:widowControl/>
      <w:pBdr>
        <w:bottom w:val="single" w:color="000000" w:sz="4" w:space="0"/>
      </w:pBdr>
      <w:spacing w:before="100" w:beforeAutospacing="1" w:after="100" w:afterAutospacing="1"/>
      <w:jc w:val="center"/>
    </w:pPr>
    <w:rPr>
      <w:rFonts w:ascii="宋体" w:hAnsi="宋体" w:cs="宋体"/>
      <w:color w:val="000000"/>
      <w:sz w:val="28"/>
      <w:szCs w:val="28"/>
    </w:rPr>
  </w:style>
  <w:style w:type="paragraph" w:customStyle="1" w:styleId="717">
    <w:name w:val="xl8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b/>
      <w:bCs/>
      <w:sz w:val="24"/>
    </w:rPr>
  </w:style>
  <w:style w:type="paragraph" w:customStyle="1" w:styleId="718">
    <w:name w:val="xl88"/>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cs="宋体"/>
      <w:b/>
      <w:bCs/>
      <w:sz w:val="24"/>
    </w:rPr>
  </w:style>
  <w:style w:type="paragraph" w:customStyle="1" w:styleId="719">
    <w:name w:val="xl8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720">
    <w:name w:val="正文文本缩进 31"/>
    <w:basedOn w:val="1"/>
    <w:qFormat/>
    <w:uiPriority w:val="0"/>
    <w:pPr>
      <w:tabs>
        <w:tab w:val="left" w:pos="0"/>
      </w:tabs>
      <w:spacing w:line="360" w:lineRule="auto"/>
      <w:ind w:firstLine="504"/>
    </w:pPr>
    <w:rPr>
      <w:rFonts w:ascii="宋体"/>
      <w:b/>
      <w:bCs/>
      <w:sz w:val="24"/>
    </w:rPr>
  </w:style>
  <w:style w:type="character" w:customStyle="1" w:styleId="721">
    <w:name w:val="批注文字 Char1"/>
    <w:qFormat/>
    <w:uiPriority w:val="0"/>
    <w:rPr>
      <w:b/>
      <w:sz w:val="24"/>
    </w:rPr>
  </w:style>
  <w:style w:type="table" w:customStyle="1" w:styleId="722">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723">
    <w:name w:val="Table Paragraph"/>
    <w:basedOn w:val="1"/>
    <w:qFormat/>
    <w:uiPriority w:val="1"/>
    <w:pPr>
      <w:jc w:val="left"/>
    </w:pPr>
    <w:rPr>
      <w:rFonts w:ascii="宋体" w:hAnsi="宋体" w:cs="宋体"/>
      <w:sz w:val="22"/>
      <w:szCs w:val="22"/>
      <w:lang w:val="zh-CN" w:bidi="zh-CN"/>
    </w:rPr>
  </w:style>
  <w:style w:type="paragraph" w:customStyle="1" w:styleId="724">
    <w:name w:val="ewb-con-p2"/>
    <w:basedOn w:val="1"/>
    <w:qFormat/>
    <w:uiPriority w:val="0"/>
    <w:pPr>
      <w:widowControl/>
      <w:spacing w:before="100" w:beforeAutospacing="1" w:after="100" w:afterAutospacing="1"/>
      <w:jc w:val="left"/>
    </w:pPr>
    <w:rPr>
      <w:rFonts w:ascii="宋体" w:hAnsi="宋体" w:cs="宋体"/>
      <w:sz w:val="24"/>
    </w:rPr>
  </w:style>
  <w:style w:type="paragraph" w:customStyle="1" w:styleId="725">
    <w:name w:val="标题 41"/>
    <w:basedOn w:val="1"/>
    <w:qFormat/>
    <w:uiPriority w:val="1"/>
    <w:pPr>
      <w:ind w:left="618"/>
      <w:jc w:val="left"/>
      <w:outlineLvl w:val="4"/>
    </w:pPr>
    <w:rPr>
      <w:rFonts w:ascii="宋体" w:hAnsi="宋体" w:cs="宋体"/>
      <w:b/>
      <w:bCs/>
      <w:sz w:val="24"/>
      <w:lang w:val="zh-CN" w:bidi="zh-CN"/>
    </w:rPr>
  </w:style>
  <w:style w:type="paragraph" w:customStyle="1" w:styleId="726">
    <w:name w:val="_Style 427"/>
    <w:basedOn w:val="1"/>
    <w:next w:val="366"/>
    <w:qFormat/>
    <w:uiPriority w:val="0"/>
    <w:pPr>
      <w:ind w:left="618" w:firstLine="240"/>
      <w:jc w:val="left"/>
    </w:pPr>
    <w:rPr>
      <w:rFonts w:ascii="宋体" w:hAnsi="宋体" w:cs="宋体"/>
      <w:sz w:val="22"/>
      <w:szCs w:val="22"/>
      <w:lang w:val="zh-CN" w:bidi="zh-CN"/>
    </w:rPr>
  </w:style>
  <w:style w:type="paragraph" w:customStyle="1" w:styleId="727">
    <w:name w:val="正文文本 211"/>
    <w:basedOn w:val="1"/>
    <w:qFormat/>
    <w:uiPriority w:val="0"/>
    <w:pPr>
      <w:widowControl/>
      <w:ind w:left="720" w:hanging="720"/>
    </w:pPr>
    <w:rPr>
      <w:sz w:val="24"/>
      <w:szCs w:val="20"/>
      <w:lang w:val="en-GB"/>
    </w:rPr>
  </w:style>
  <w:style w:type="paragraph" w:customStyle="1" w:styleId="728">
    <w:name w:val="正文内容"/>
    <w:basedOn w:val="1"/>
    <w:qFormat/>
    <w:uiPriority w:val="0"/>
    <w:pPr>
      <w:spacing w:line="288" w:lineRule="auto"/>
      <w:ind w:firstLine="600"/>
    </w:pPr>
    <w:rPr>
      <w:rFonts w:eastAsia="仿宋"/>
      <w:sz w:val="30"/>
      <w:szCs w:val="32"/>
    </w:rPr>
  </w:style>
  <w:style w:type="character" w:customStyle="1" w:styleId="729">
    <w:name w:val="font01"/>
    <w:qFormat/>
    <w:uiPriority w:val="0"/>
    <w:rPr>
      <w:rFonts w:ascii="Wingdings 2" w:hAnsi="Wingdings 2" w:eastAsia="Wingdings 2" w:cs="Wingdings 2"/>
      <w:color w:val="000000"/>
      <w:sz w:val="20"/>
      <w:szCs w:val="20"/>
      <w:u w:val="none"/>
    </w:rPr>
  </w:style>
  <w:style w:type="paragraph" w:customStyle="1" w:styleId="730">
    <w:name w:val="BodyText1"/>
    <w:basedOn w:val="1"/>
    <w:qFormat/>
    <w:uiPriority w:val="0"/>
    <w:pPr>
      <w:spacing w:after="120"/>
    </w:pPr>
    <w:rPr>
      <w:rFonts w:ascii="Calibri"/>
      <w:sz w:val="20"/>
    </w:rPr>
  </w:style>
  <w:style w:type="paragraph" w:customStyle="1" w:styleId="731">
    <w:name w:val="修订1"/>
    <w:unhideWhenUsed/>
    <w:qFormat/>
    <w:uiPriority w:val="99"/>
    <w:rPr>
      <w:rFonts w:ascii="Times New Roman" w:hAnsi="Times New Roman" w:eastAsia="宋体" w:cs="Times New Roman"/>
      <w:sz w:val="21"/>
      <w:szCs w:val="24"/>
      <w:lang w:val="en-US" w:eastAsia="zh-CN" w:bidi="ar-SA"/>
    </w:rPr>
  </w:style>
  <w:style w:type="paragraph" w:customStyle="1" w:styleId="732">
    <w:name w:val="修订2"/>
    <w:semiHidden/>
    <w:qFormat/>
    <w:uiPriority w:val="99"/>
    <w:rPr>
      <w:rFonts w:ascii="Times New Roman" w:hAnsi="Times New Roman" w:eastAsia="宋体" w:cs="Times New Roman"/>
      <w:sz w:val="21"/>
      <w:szCs w:val="24"/>
      <w:lang w:val="en-US" w:eastAsia="zh-CN" w:bidi="ar-SA"/>
    </w:rPr>
  </w:style>
  <w:style w:type="paragraph" w:customStyle="1" w:styleId="733">
    <w:name w:val="修订3"/>
    <w:semiHidden/>
    <w:qFormat/>
    <w:uiPriority w:val="99"/>
    <w:rPr>
      <w:rFonts w:ascii="Times New Roman" w:hAnsi="Times New Roman" w:eastAsia="宋体" w:cs="Times New Roman"/>
      <w:sz w:val="21"/>
      <w:szCs w:val="24"/>
      <w:lang w:val="en-US" w:eastAsia="zh-CN" w:bidi="ar-SA"/>
    </w:rPr>
  </w:style>
  <w:style w:type="paragraph" w:customStyle="1" w:styleId="734">
    <w:name w:val="正文文本11"/>
    <w:basedOn w:val="1"/>
    <w:next w:val="735"/>
    <w:qFormat/>
    <w:uiPriority w:val="0"/>
    <w:rPr>
      <w:rFonts w:ascii="楷体_GB2312" w:hAnsi="Arial" w:eastAsia="楷体_GB2312"/>
      <w:sz w:val="28"/>
      <w:szCs w:val="28"/>
    </w:rPr>
  </w:style>
  <w:style w:type="paragraph" w:customStyle="1" w:styleId="735">
    <w:name w:val="默认"/>
    <w:qFormat/>
    <w:uiPriority w:val="0"/>
    <w:rPr>
      <w:rFonts w:ascii="Helvetica" w:hAnsi="Helvetica" w:eastAsia="Helvetica" w:cs="Helvetica"/>
      <w:color w:val="000000"/>
      <w:sz w:val="22"/>
      <w:szCs w:val="22"/>
      <w:lang w:val="en-US" w:eastAsia="zh-CN" w:bidi="ar-SA"/>
    </w:rPr>
  </w:style>
  <w:style w:type="character" w:customStyle="1" w:styleId="736">
    <w:name w:val="font71"/>
    <w:qFormat/>
    <w:uiPriority w:val="0"/>
    <w:rPr>
      <w:rFonts w:hint="eastAsia" w:ascii="宋体" w:hAnsi="宋体" w:eastAsia="宋体" w:cs="宋体"/>
      <w:b/>
      <w:bCs/>
      <w:color w:val="000000"/>
      <w:sz w:val="21"/>
      <w:szCs w:val="21"/>
      <w:u w:val="none"/>
    </w:rPr>
  </w:style>
  <w:style w:type="character" w:customStyle="1" w:styleId="737">
    <w:name w:val="font161"/>
    <w:qFormat/>
    <w:uiPriority w:val="0"/>
    <w:rPr>
      <w:rFonts w:hint="eastAsia" w:ascii="宋体" w:hAnsi="宋体" w:eastAsia="宋体" w:cs="宋体"/>
      <w:b/>
      <w:bCs/>
      <w:color w:val="000000"/>
      <w:sz w:val="24"/>
      <w:szCs w:val="24"/>
      <w:u w:val="none"/>
    </w:rPr>
  </w:style>
  <w:style w:type="character" w:customStyle="1" w:styleId="738">
    <w:name w:val="font31"/>
    <w:qFormat/>
    <w:uiPriority w:val="0"/>
    <w:rPr>
      <w:rFonts w:ascii="Times New Roman" w:hAnsi="Times New Roman" w:cs="Times New Roman"/>
      <w:b/>
      <w:bCs/>
      <w:color w:val="000000"/>
      <w:sz w:val="21"/>
      <w:szCs w:val="21"/>
      <w:u w:val="none"/>
    </w:rPr>
  </w:style>
  <w:style w:type="character" w:customStyle="1" w:styleId="739">
    <w:name w:val="font171"/>
    <w:qFormat/>
    <w:uiPriority w:val="0"/>
    <w:rPr>
      <w:rFonts w:ascii="Times New Roman" w:hAnsi="Times New Roman" w:cs="Times New Roman"/>
      <w:b/>
      <w:bCs/>
      <w:color w:val="000000"/>
      <w:sz w:val="21"/>
      <w:szCs w:val="21"/>
      <w:u w:val="none"/>
      <w:vertAlign w:val="superscript"/>
    </w:rPr>
  </w:style>
  <w:style w:type="character" w:customStyle="1" w:styleId="740">
    <w:name w:val="font181"/>
    <w:qFormat/>
    <w:uiPriority w:val="0"/>
    <w:rPr>
      <w:rFonts w:hint="eastAsia" w:ascii="宋体" w:hAnsi="宋体" w:eastAsia="宋体" w:cs="宋体"/>
      <w:b/>
      <w:bCs/>
      <w:color w:val="000000"/>
      <w:sz w:val="22"/>
      <w:szCs w:val="22"/>
      <w:u w:val="none"/>
    </w:rPr>
  </w:style>
  <w:style w:type="character" w:customStyle="1" w:styleId="741">
    <w:name w:val="font132"/>
    <w:qFormat/>
    <w:uiPriority w:val="0"/>
    <w:rPr>
      <w:rFonts w:hint="eastAsia" w:ascii="宋体" w:hAnsi="宋体" w:eastAsia="宋体" w:cs="宋体"/>
      <w:color w:val="000000"/>
      <w:sz w:val="21"/>
      <w:szCs w:val="21"/>
      <w:u w:val="none"/>
    </w:rPr>
  </w:style>
  <w:style w:type="character" w:customStyle="1" w:styleId="742">
    <w:name w:val="font151"/>
    <w:qFormat/>
    <w:uiPriority w:val="0"/>
    <w:rPr>
      <w:rFonts w:hint="eastAsia" w:ascii="宋体" w:hAnsi="宋体" w:eastAsia="宋体" w:cs="宋体"/>
      <w:color w:val="000000"/>
      <w:sz w:val="21"/>
      <w:szCs w:val="21"/>
      <w:u w:val="none"/>
    </w:rPr>
  </w:style>
  <w:style w:type="character" w:customStyle="1" w:styleId="743">
    <w:name w:val="font81"/>
    <w:qFormat/>
    <w:uiPriority w:val="0"/>
    <w:rPr>
      <w:rFonts w:hint="eastAsia" w:ascii="宋体" w:hAnsi="宋体" w:eastAsia="宋体" w:cs="宋体"/>
      <w:color w:val="000000"/>
      <w:sz w:val="21"/>
      <w:szCs w:val="21"/>
      <w:u w:val="none"/>
    </w:rPr>
  </w:style>
  <w:style w:type="character" w:customStyle="1" w:styleId="744">
    <w:name w:val="font41"/>
    <w:qFormat/>
    <w:uiPriority w:val="0"/>
    <w:rPr>
      <w:rFonts w:hint="eastAsia" w:ascii="宋体" w:hAnsi="宋体" w:eastAsia="宋体" w:cs="宋体"/>
      <w:color w:val="000000"/>
      <w:sz w:val="21"/>
      <w:szCs w:val="21"/>
      <w:u w:val="none"/>
      <w:vertAlign w:val="superscript"/>
    </w:rPr>
  </w:style>
  <w:style w:type="character" w:customStyle="1" w:styleId="745">
    <w:name w:val="font191"/>
    <w:qFormat/>
    <w:uiPriority w:val="0"/>
    <w:rPr>
      <w:rFonts w:ascii="Times New Roman" w:hAnsi="Times New Roman" w:cs="Times New Roman"/>
      <w:b/>
      <w:bCs/>
      <w:color w:val="000000"/>
      <w:sz w:val="21"/>
      <w:szCs w:val="21"/>
      <w:u w:val="none"/>
      <w:vertAlign w:val="superscript"/>
    </w:rPr>
  </w:style>
  <w:style w:type="character" w:customStyle="1" w:styleId="746">
    <w:name w:val="font201"/>
    <w:qFormat/>
    <w:uiPriority w:val="0"/>
    <w:rPr>
      <w:rFonts w:hint="eastAsia" w:ascii="宋体" w:hAnsi="宋体" w:eastAsia="宋体" w:cs="宋体"/>
      <w:b/>
      <w:bCs/>
      <w:color w:val="000000"/>
      <w:sz w:val="22"/>
      <w:szCs w:val="22"/>
      <w:u w:val="none"/>
    </w:rPr>
  </w:style>
  <w:style w:type="character" w:customStyle="1" w:styleId="747">
    <w:name w:val="font121"/>
    <w:qFormat/>
    <w:uiPriority w:val="0"/>
    <w:rPr>
      <w:rFonts w:ascii="Times New Roman" w:hAnsi="Times New Roman" w:cs="Times New Roman"/>
      <w:b/>
      <w:bCs/>
      <w:color w:val="000000"/>
      <w:sz w:val="22"/>
      <w:szCs w:val="22"/>
      <w:u w:val="none"/>
    </w:rPr>
  </w:style>
  <w:style w:type="paragraph" w:customStyle="1" w:styleId="748">
    <w:name w:val="Table Text"/>
    <w:basedOn w:val="1"/>
    <w:semiHidden/>
    <w:qFormat/>
    <w:uiPriority w:val="0"/>
    <w:rPr>
      <w:rFonts w:ascii="宋体" w:hAnsi="宋体" w:cs="宋体"/>
      <w:sz w:val="19"/>
      <w:szCs w:val="19"/>
      <w:lang w:eastAsia="en-US"/>
    </w:rPr>
  </w:style>
  <w:style w:type="paragraph" w:customStyle="1" w:styleId="749">
    <w:name w:val="（RZM政采）正文-首行缩进2"/>
    <w:basedOn w:val="1"/>
    <w:qFormat/>
    <w:uiPriority w:val="0"/>
    <w:pPr>
      <w:spacing w:line="360" w:lineRule="auto"/>
      <w:ind w:firstLine="200"/>
    </w:pPr>
    <w:rPr>
      <w:rFonts w:ascii="宋体" w:hAnsi="宋体"/>
      <w:szCs w:val="21"/>
      <w:lang w:val="zh-CN"/>
    </w:rPr>
  </w:style>
  <w:style w:type="character" w:customStyle="1" w:styleId="750">
    <w:name w:val="font112"/>
    <w:basedOn w:val="32"/>
    <w:qFormat/>
    <w:uiPriority w:val="0"/>
    <w:rPr>
      <w:rFonts w:hint="default" w:ascii="方正小标宋_GBK" w:hAnsi="方正小标宋_GBK" w:eastAsia="方正小标宋_GBK" w:cs="方正小标宋_GBK"/>
      <w:color w:val="548235"/>
      <w:sz w:val="20"/>
      <w:szCs w:val="20"/>
      <w:u w:val="none"/>
    </w:rPr>
  </w:style>
  <w:style w:type="paragraph" w:customStyle="1" w:styleId="751">
    <w:name w:val="Revision"/>
    <w:hidden/>
    <w:unhideWhenUsed/>
    <w:qFormat/>
    <w:uiPriority w:val="99"/>
    <w:rPr>
      <w:rFonts w:ascii="Times New Roman" w:hAnsi="Times New Roman" w:eastAsia="宋体" w:cs="Times New Roman"/>
      <w:sz w:val="21"/>
      <w:szCs w:val="24"/>
      <w:lang w:val="en-US" w:eastAsia="zh-CN" w:bidi="ar-SA"/>
    </w:rPr>
  </w:style>
  <w:style w:type="character" w:customStyle="1" w:styleId="752">
    <w:name w:val="font51"/>
    <w:basedOn w:val="32"/>
    <w:qFormat/>
    <w:uiPriority w:val="0"/>
    <w:rPr>
      <w:rFonts w:hint="eastAsia" w:ascii="宋体" w:hAnsi="宋体" w:eastAsia="宋体" w:cs="宋体"/>
      <w:color w:val="548235"/>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32ad1387-4c53-42f1-b02c-e9a509737e88</errorID>
      <errorWord>万</errorWord>
      <group>L1_Word</group>
      <groupName>字词问题</groupName>
      <ability>L2_Typo</ability>
      <abilityName>字词错误</abilityName>
      <candidateList>
        <item>万元</item>
      </candidateList>
      <explain/>
      <paraID>53837CD5</paraID>
      <start>8</start>
      <end>10</end>
      <status>modified</status>
      <modifiedWord>万元</modifiedWord>
      <trackRevisions>false</trackRevisions>
    </reviewItem>
    <reviewItem>
      <errorID>fcf87f50-3747-4c2b-839a-515757a4465e</errorID>
      <errorWord>万</errorWord>
      <group>L1_Word</group>
      <groupName>字词问题</groupName>
      <ability>L2_Typo</ability>
      <abilityName>字词错误</abilityName>
      <candidateList>
        <item>万元</item>
      </candidateList>
      <explain/>
      <paraID>3C1967B6</paraID>
      <start>10</start>
      <end>12</end>
      <status>modified</status>
      <modifiedWord>万元</modifiedWord>
      <trackRevisions>false</trackRevisions>
    </reviewItem>
    <reviewItem>
      <errorID>20e6281b-8da7-40b6-9d2c-9a78da8fbdc0</errorID>
      <errorWord>（</errorWord>
      <group>L1_Punc</group>
      <groupName>标点问题</groupName>
      <ability>L2_Punc</ability>
      <abilityName>标点符号检查</abilityName>
      <candidateList/>
      <explain>同一形式括号套用。</explain>
      <paraID>218694D5</paraID>
      <start>57</start>
      <end>58</end>
      <status>ignored</status>
      <modifiedWord/>
      <trackRevisions>false</trackRevisions>
    </reviewItem>
    <reviewItem>
      <errorID>49972e3b-df30-4ed4-b008-3272b2267e52</errorID>
      <errorWord>）</errorWord>
      <group>L1_Punc</group>
      <groupName>标点问题</groupName>
      <ability>L2_Punc</ability>
      <abilityName>标点符号检查</abilityName>
      <candidateList/>
      <explain>同一形式括号套用。</explain>
      <paraID>218694D5</paraID>
      <start>87</start>
      <end>88</end>
      <status>ignored</status>
      <modifiedWord/>
      <trackRevisions>false</trackRevisions>
    </reviewItem>
    <reviewItem>
      <errorID>f684e8c6-7df3-45c1-a08d-fdc80956ee93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60B91050</paraID>
      <start>0</start>
      <end>2</end>
      <status>ignored</status>
      <modifiedWord/>
      <trackRevisions>false</trackRevisions>
    </reviewItem>
    <reviewItem>
      <errorID>1c5357dd-b236-4b19-99a9-648d3677a842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F8D2387</paraID>
      <start>0</start>
      <end>2</end>
      <status>ignored</status>
      <modifiedWord/>
      <trackRevisions>false</trackRevisions>
    </reviewItem>
    <reviewItem>
      <errorID>2b62fb59-0c61-42e0-8759-5e2e414cef2a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3FE0846A</paraID>
      <start>0</start>
      <end>2</end>
      <status>ignored</status>
      <modifiedWord/>
      <trackRevisions>false</trackRevisions>
    </reviewItem>
    <reviewItem>
      <errorID>64205e54-0c16-4398-9be4-b6210842d389</errorID>
      <errorWord>万</errorWord>
      <group>L1_Word</group>
      <groupName>字词问题</groupName>
      <ability>L2_Typo</ability>
      <abilityName>字词错误</abilityName>
      <candidateList>
        <item>万元</item>
      </candidateList>
      <explain/>
      <paraID>19056019</paraID>
      <start>10</start>
      <end>12</end>
      <status>modified</status>
      <modifiedWord>万元</modifiedWord>
      <trackRevisions>false</trackRevisions>
    </reviewItem>
    <reviewItem>
      <errorID>f27720d8-e4c5-435b-a051-1446d47350b5</errorID>
      <errorWord>法人签字</errorWord>
      <group>L1_Word</group>
      <groupName>字词问题</groupName>
      <ability>L2_Typo</ability>
      <abilityName>字词错误</abilityName>
      <candidateList>
        <item>法人代表签字</item>
      </candidateList>
      <explain/>
      <paraID>2006B66E</paraID>
      <start>376</start>
      <end>382</end>
      <status>modified</status>
      <modifiedWord>法人代表签字</modifiedWord>
      <trackRevisions>false</trackRevisions>
    </reviewItem>
    <reviewItem>
      <errorID>81b4edb2-d16e-42b2-b3b5-ee7778e6828f</errorID>
      <errorWord>并</errorWord>
      <group>L1_Word</group>
      <groupName>字词问题</groupName>
      <ability>L2_Typo</ability>
      <abilityName>字词错误</abilityName>
      <candidateList>
        <item>并加</item>
      </candidateList>
      <explain/>
      <paraID>2006B66E</paraID>
      <start>382</start>
      <end>384</end>
      <status>modified</status>
      <modifiedWord>并加</modifiedWord>
      <trackRevisions>false</trackRevisions>
    </reviewItem>
    <reviewItem>
      <errorID>41dd66c9-b803-4c9a-a662-b75c5291bbab</errorID>
      <errorWord>上述</errorWord>
      <group>L1_Grammar</group>
      <groupName>语法问题</groupName>
      <ability>L2_Grammar</ability>
      <abilityName>语法错误</abilityName>
      <candidateList>
        <item>提供上述</item>
      </candidateList>
      <explain/>
      <paraID>18E78CF9</paraID>
      <start>13</start>
      <end>17</end>
      <status>modified</status>
      <modifiedWord>提供上述</modifiedWord>
      <trackRevisions>false</trackRevisions>
    </reviewItem>
    <reviewItem>
      <errorID>7d177419-e749-47cb-8fa1-722806cff467</errorID>
      <errorWord>伍份</errorWord>
      <group>L1_Word</group>
      <groupName>字词问题</groupName>
      <ability>L2_Typo</ability>
      <abilityName>字词错误</abilityName>
      <candidateList>
        <item>五份</item>
      </candidateList>
      <explain/>
      <paraID>18E78CF9</paraID>
      <start>33</start>
      <end>35</end>
      <status>ignored</status>
      <modifiedWord/>
      <trackRevisions>false</trackRevisions>
    </reviewItem>
    <reviewItem>
      <errorID>1fe38ab6-dcfe-481c-8db9-ade9c900bcd6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7197F533</paraID>
      <start>0</start>
      <end>2</end>
      <status>ignored</status>
      <modifiedWord/>
      <trackRevisions>false</trackRevisions>
    </reviewItem>
    <reviewItem>
      <errorID>e79e939c-7ded-47c9-8c72-d1b6a39d4a82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17</start>
      <end>19</end>
      <status>modified</status>
      <modifiedWord>》《</modifiedWord>
      <trackRevisions>false</trackRevisions>
    </reviewItem>
    <reviewItem>
      <errorID>0de9d346-0199-46b0-aca7-dfc0ed68a713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5C11D651</paraID>
      <start>35</start>
      <end>37</end>
      <status>modified</status>
      <modifiedWord>》《</modifiedWord>
      <trackRevisions>false</trackRevisions>
    </reviewItem>
    <reviewItem>
      <errorID>8f4315f8-d7cb-45e1-acea-e64cf523a99e</errorID>
      <errorWord>规定等</errorWord>
      <group>L1_Word</group>
      <groupName>字词问题</groupName>
      <ability>L2_Typo</ability>
      <abilityName>字词错误</abilityName>
      <candidateList>
        <item>规定</item>
      </candidateList>
      <explain/>
      <paraID>5C11D651</paraID>
      <start>64</start>
      <end>67</end>
      <status>ignored</status>
      <modifiedWord/>
      <trackRevisions>false</trackRevisions>
    </reviewItem>
    <reviewItem>
      <errorID>bc7ca725-8a30-40a7-96cb-20946eab94d4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43C3562F</paraID>
      <start>0</start>
      <end>2</end>
      <status>ignored</status>
      <modifiedWord/>
      <trackRevisions>false</trackRevisions>
    </reviewItem>
    <reviewItem>
      <errorID>52cb5eeb-f8f8-4e6a-ae21-ab17a66ba118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2D487808</paraID>
      <start>8</start>
      <end>10</end>
      <status>modified</status>
      <modifiedWord>”“</modifiedWord>
      <trackRevisions>false</trackRevisions>
    </reviewItem>
    <reviewItem>
      <errorID>c6aa7606-c9a8-4b5a-a2b3-1d0988d28f39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4BC73243</paraID>
      <start>0</start>
      <end>2</end>
      <status>ignored</status>
      <modifiedWord/>
      <trackRevisions>false</trackRevisions>
    </reviewItem>
    <reviewItem>
      <errorID>92091c6b-af91-4bea-98c8-1c400d7fd95a</errorID>
      <errorWord>（</errorWord>
      <group>L1_Punc</group>
      <groupName>标点问题</groupName>
      <ability>L2_Punc</ability>
      <abilityName>标点符号检查</abilityName>
      <candidateList/>
      <explain>同一形式括号套用。</explain>
      <paraID>4D04BA9E</paraID>
      <start>103</start>
      <end>104</end>
      <status>ignored</status>
      <modifiedWord/>
      <trackRevisions>false</trackRevisions>
    </reviewItem>
    <reviewItem>
      <errorID>ecdd7c81-6f7a-4023-a30a-94a3d3fa9fd8</errorID>
      <errorWord>）</errorWord>
      <group>L1_Punc</group>
      <groupName>标点问题</groupName>
      <ability>L2_Punc</ability>
      <abilityName>标点符号检查</abilityName>
      <candidateList/>
      <explain>同一形式括号套用。</explain>
      <paraID>4D04BA9E</paraID>
      <start>108</start>
      <end>109</end>
      <status>ignored</status>
      <modifiedWord/>
      <trackRevisions>false</trackRevisions>
    </reviewItem>
    <reviewItem>
      <errorID>5f00af8a-c142-4782-a7f3-508e6428ad5a</errorID>
      <errorWord>，</errorWord>
      <group>L1_Punc</group>
      <groupName>标点问题</groupName>
      <ability>L2_Punc</ability>
      <abilityName>标点符号检查</abilityName>
      <candidateList>
        <item>、</item>
      </candidateList>
      <explain/>
      <paraID>2C4E3994</paraID>
      <start>82</start>
      <end>83</end>
      <status>modified</status>
      <modifiedWord>、</modifiedWord>
      <trackRevisions>false</trackRevisions>
    </reviewItem>
    <reviewItem>
      <errorID>31409023-19e3-470a-9776-559fc3d2ab3a</errorID>
      <errorWord>，</errorWord>
      <group>L1_Punc</group>
      <groupName>标点问题</groupName>
      <ability>L2_Punc</ability>
      <abilityName>标点符号检查</abilityName>
      <candidateList>
        <item>、</item>
      </candidateList>
      <explain/>
      <paraID>2C4E3994</paraID>
      <start>89</start>
      <end>90</end>
      <status>modified</status>
      <modifiedWord>、</modifiedWord>
      <trackRevisions>false</trackRevisions>
    </reviewItem>
    <reviewItem>
      <errorID>1a34f251-30d9-4925-b1fd-7c9e6a3c827f</errorID>
      <errorWord>，</errorWord>
      <group>L1_Punc</group>
      <groupName>标点问题</groupName>
      <ability>L2_Punc</ability>
      <abilityName>标点符号检查</abilityName>
      <candidateList>
        <item>、</item>
      </candidateList>
      <explain/>
      <paraID>2C4E3994</paraID>
      <start>95</start>
      <end>96</end>
      <status>modified</status>
      <modifiedWord>、</modifiedWord>
      <trackRevisions>false</trackRevisions>
    </reviewItem>
    <reviewItem>
      <errorID>60952706-2292-442a-ae7f-ffca2a094549</errorID>
      <errorWord>，</errorWord>
      <group>L1_Punc</group>
      <groupName>标点问题</groupName>
      <ability>L2_Punc</ability>
      <abilityName>标点符号检查</abilityName>
      <candidateList>
        <item>、</item>
      </candidateList>
      <explain/>
      <paraID>2C4E3994</paraID>
      <start>101</start>
      <end>102</end>
      <status>modified</status>
      <modifiedWord>、</modifiedWord>
      <trackRevisions>false</trackRevisions>
    </reviewItem>
    <reviewItem>
      <errorID>0947327d-9102-4f1e-9105-72cc683e0d15</errorID>
      <errorWord>，</errorWord>
      <group>L1_Punc</group>
      <groupName>标点问题</groupName>
      <ability>L2_Punc</ability>
      <abilityName>标点符号检查</abilityName>
      <candidateList>
        <item>、</item>
      </candidateList>
      <explain/>
      <paraID>2C4E3994</paraID>
      <start>109</start>
      <end>110</end>
      <status>modified</status>
      <modifiedWord>、</modifiedWord>
      <trackRevisions>false</trackRevisions>
    </reviewItem>
    <reviewItem>
      <errorID>23b54d41-c7b2-4b2e-a2b0-2e399e63d2d9</errorID>
      <errorWord>，</errorWord>
      <group>L1_Punc</group>
      <groupName>标点问题</groupName>
      <ability>L2_Punc</ability>
      <abilityName>标点符号检查</abilityName>
      <candidateList>
        <item>、</item>
      </candidateList>
      <explain/>
      <paraID>2C4E3994</paraID>
      <start>114</start>
      <end>115</end>
      <status>modified</status>
      <modifiedWord>、</modifiedWord>
      <trackRevisions>false</trackRevisions>
    </reviewItem>
    <reviewItem>
      <errorID>f022b17c-da1f-448a-b7ec-2d0fbd8fd2de</errorID>
      <errorWord>、水，</errorWord>
      <group>L1_Grammar</group>
      <groupName>语法问题</groupName>
      <ability>L2_Grammar</ability>
      <abilityName>语法错误</abilityName>
      <candidateList>
        <item>、</item>
      </candidateList>
      <explain/>
      <paraID>2C4E3994</paraID>
      <start>128</start>
      <end>129</end>
      <status>modified</status>
      <modifiedWord>、</modifiedWord>
      <trackRevisions>false</trackRevisions>
    </reviewItem>
    <reviewItem>
      <errorID>36754dd1-cdee-4acb-830a-1704fb18bfe0</errorID>
      <errorWord>，</errorWord>
      <group>L1_Punc</group>
      <groupName>标点问题</groupName>
      <ability>L2_Punc</ability>
      <abilityName>标点符号检查</abilityName>
      <candidateList>
        <item>、</item>
      </candidateList>
      <explain/>
      <paraID>2C4E3994</paraID>
      <start>139</start>
      <end>140</end>
      <status>modified</status>
      <modifiedWord>、</modifiedWord>
      <trackRevisions>false</trackRevisions>
    </reviewItem>
    <reviewItem>
      <errorID>27cb5c2a-8398-4bbb-aa55-f33eefbcfb48</errorID>
      <errorWord>会</errorWord>
      <group>L1_Word</group>
      <groupName>字词问题</groupName>
      <ability>L2_Typo</ability>
      <abilityName>字词错误</abilityName>
      <candidateList>
        <item>会在</item>
      </candidateList>
      <explain/>
      <paraID>73478745</paraID>
      <start>4</start>
      <end>5</end>
      <status>ignored</status>
      <modifiedWord/>
      <trackRevisions>false</trackRevisions>
    </reviewItem>
    <reviewItem>
      <errorID>9c908a13-8dd9-4863-9e3a-adb6bd7b1899</errorID>
      <errorWord>代理</errorWord>
      <group>L1_Word</group>
      <groupName>字词问题</groupName>
      <ability>L2_Typo</ability>
      <abilityName>字词错误</abilityName>
      <candidateList>
        <item> 代理</item>
      </candidateList>
      <explain/>
      <paraID>70BBC994</paraID>
      <start>3</start>
      <end>6</end>
      <status>modified</status>
      <modifiedWord> 代理</modifiedWord>
      <trackRevisions>false</trackRevisions>
    </reviewItem>
    <reviewItem>
      <errorID>0645d7bf-a0cc-421a-ad99-c354205ce1f8</errorID>
      <errorWord>一次性支付给</errorWord>
      <group>L1_Word</group>
      <groupName>字词问题</groupName>
      <ability>L2_Typo</ability>
      <abilityName>字词错误</abilityName>
      <candidateList>
        <item>一次性支付</item>
      </candidateList>
      <explain/>
      <paraID>1C9B9C12</paraID>
      <start>113</start>
      <end>119</end>
      <status>ignored</status>
      <modifiedWord/>
      <trackRevisions>false</trackRevisions>
    </reviewItem>
    <reviewItem>
      <errorID>b3ed701b-3199-4ba1-9542-b0025afb2954</errorID>
      <errorWord>,</errorWord>
      <group>L1_Format</group>
      <groupName>格式问题</groupName>
      <ability>L2_HalfPunc</ability>
      <abilityName>全半角检查</abilityName>
      <candidateList>
        <item>，</item>
      </candidateList>
      <explain>文本全半角错误。</explain>
      <paraID>14870BBF</paraID>
      <start>109</start>
      <end>110</end>
      <status>modified</status>
      <modifiedWord>，</modifiedWord>
      <trackRevisions>false</trackRevisions>
    </reviewItem>
    <reviewItem>
      <errorID>f317fccd-42a6-4ddb-a662-a00fa00c6ff0</errorID>
      <errorWord>,</errorWord>
      <group>L1_Format</group>
      <groupName>格式问题</groupName>
      <ability>L2_HalfPunc</ability>
      <abilityName>全半角检查</abilityName>
      <candidateList>
        <item>，</item>
      </candidateList>
      <explain>文本全半角错误。</explain>
      <paraID>14870BBF</paraID>
      <start>119</start>
      <end>120</end>
      <status>modified</status>
      <modifiedWord>，</modifiedWord>
      <trackRevisions>false</trackRevisions>
    </reviewItem>
    <reviewItem>
      <errorID>73df58ec-80c9-4fd9-86c9-5a3c61024579</errorID>
      <errorWord>16.3</errorWord>
      <group>L1_Format</group>
      <groupName>格式问题</groupName>
      <ability>L2_Ordinal</ability>
      <abilityName>序号格式</abilityName>
      <candidateList>
        <item>16.1</item>
      </candidateList>
      <explain>标题顺序错误，请检查标题顺序是否合理。</explain>
      <paraID>6DF364F7</paraID>
      <start>0</start>
      <end>4</end>
      <status>modified</status>
      <modifiedWord>16.1</modifiedWord>
      <trackRevisions>false</trackRevisions>
    </reviewItem>
    <reviewItem>
      <errorID>bde33097-74c8-4eec-b5e5-efad2bab24a8</errorID>
      <errorWord>做无效投标</errorWord>
      <group>L1_Word</group>
      <groupName>字词问题</groupName>
      <ability>L2_Typo</ability>
      <abilityName>字词错误</abilityName>
      <candidateList>
        <item>作无效投标</item>
      </candidateList>
      <explain/>
      <paraID>2B51E8CF</paraID>
      <start>84</start>
      <end>89</end>
      <status>modified</status>
      <modifiedWord>作无效投标</modifiedWord>
      <trackRevisions>false</trackRevisions>
    </reviewItem>
    <reviewItem>
      <errorID>4761c106-1ea1-461f-8a5f-c052c89f9bfb</errorID>
      <errorWord>拒收</errorWord>
      <group>L1_Punc</group>
      <groupName>标点问题</groupName>
      <ability>L2_Punc</ability>
      <abilityName>标点符号检查</abilityName>
      <candidateList>
        <item>拒收：</item>
      </candidateList>
      <explain/>
      <paraID>6244194B</paraID>
      <start>18</start>
      <end>21</end>
      <status>modified</status>
      <modifiedWord>拒收：</modifiedWord>
      <trackRevisions>false</trackRevisions>
    </reviewItem>
    <reviewItem>
      <errorID>68f97c26-70e5-46ab-9f96-508819b7c743</errorID>
      <errorWord>19.2.1</errorWord>
      <group>L1_Format</group>
      <groupName>格式问题</groupName>
      <ability>L2_Ordinal</ability>
      <abilityName>序号格式</abilityName>
      <candidateList>
        <item>19.1.1</item>
      </candidateList>
      <explain>标题顺序错误，请检查标题顺序是否合理。</explain>
      <paraID>11E13F18</paraID>
      <start>0</start>
      <end>6</end>
      <status>ignored</status>
      <modifiedWord/>
      <trackRevisions>false</trackRevisions>
    </reviewItem>
    <reviewItem>
      <errorID>39951b84-c255-48fd-9530-4133dc3f61d4</errorID>
      <errorWord>19.2.2</errorWord>
      <group>L1_Format</group>
      <groupName>格式问题</groupName>
      <ability>L2_Ordinal</ability>
      <abilityName>序号格式</abilityName>
      <candidateList>
        <item>19.1.2</item>
      </candidateList>
      <explain>标题顺序错误，请检查标题顺序是否合理。</explain>
      <paraID>735E12EE</paraID>
      <start>0</start>
      <end>6</end>
      <status>ignored</status>
      <modifiedWord/>
      <trackRevisions>false</trackRevisions>
    </reviewItem>
    <reviewItem>
      <errorID>472fcca7-64d7-44ca-ab26-bca2a66ec012</errorID>
      <errorWord>19.2.3</errorWord>
      <group>L1_Format</group>
      <groupName>格式问题</groupName>
      <ability>L2_Ordinal</ability>
      <abilityName>序号格式</abilityName>
      <candidateList>
        <item>19.1.3</item>
      </candidateList>
      <explain>标题顺序错误，请检查标题顺序是否合理。</explain>
      <paraID>5FB0FA75</paraID>
      <start>0</start>
      <end>6</end>
      <status>ignored</status>
      <modifiedWord/>
      <trackRevisions>false</trackRevisions>
    </reviewItem>
    <reviewItem>
      <errorID>76f145a2-433e-4f70-842c-707c3ff35704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9016C5C</paraID>
      <start>14</start>
      <end>16</end>
      <status>modified</status>
      <modifiedWord>涉及</modifiedWord>
      <trackRevisions>false</trackRevisions>
    </reviewItem>
    <reviewItem>
      <errorID>96d410f9-89b2-4cc5-9c5a-7c69e8d6bdcc</errorID>
      <errorWord>应用</errorWord>
      <group>L1_Word</group>
      <groupName>字词问题</groupName>
      <ability>L2_Typo</ability>
      <abilityName>字词错误</abilityName>
      <candidateList>
        <item>信用</item>
      </candidateList>
      <explain/>
      <paraID> 9789245</paraID>
      <start>183</start>
      <end>185</end>
      <status>modified</status>
      <modifiedWord>信用</modifiedWord>
      <trackRevisions>false</trackRevisions>
    </reviewItem>
    <reviewItem>
      <errorID>e23abd77-f344-471b-ab6b-403acd947950</errorID>
      <errorWord>不</errorWord>
      <group>L1_Word</group>
      <groupName>字词问题</groupName>
      <ability>L2_Typo</ability>
      <abilityName>字词错误</abilityName>
      <candidateList>
        <item>不符</item>
      </candidateList>
      <explain/>
      <paraID>6530875B</paraID>
      <start>53</start>
      <end>55</end>
      <status>modified</status>
      <modifiedWord>不符</modifiedWord>
      <trackRevisions>false</trackRevisions>
    </reviewItem>
    <reviewItem>
      <errorID>c64b7196-4b6a-47c5-bf43-3c598dd2276e</errorID>
      <errorWord>处理</errorWord>
      <group>L1_Punc</group>
      <groupName>标点问题</groupName>
      <ability>L2_Punc</ability>
      <abilityName>标点符号检查</abilityName>
      <candidateList>
        <item>处理。</item>
      </candidateList>
      <explain/>
      <paraID>2C1D0F10</paraID>
      <start>35</start>
      <end>38</end>
      <status>modified</status>
      <modifiedWord>处理。</modifiedWord>
      <trackRevisions>false</trackRevisions>
    </reviewItem>
    <reviewItem>
      <errorID>0323b337-d8f8-4b09-a3ae-c81cf636c693</errorID>
      <errorWord>国家发改委</errorWord>
      <group>L1_Knowledge</group>
      <groupName>知识性问题</groupName>
      <ability>L2_Knowledge</ability>
      <abilityName>其他知识</abilityName>
      <candidateList>
        <item>国家发展改革委</item>
      </candidateList>
      <explain/>
      <paraID>7AED4FBB</paraID>
      <start>13</start>
      <end>20</end>
      <status>modified</status>
      <modifiedWord>国家发展改革委</modifiedWord>
      <trackRevisions>false</trackRevisions>
    </reviewItem>
    <reviewItem>
      <errorID>88e53f1b-32ac-43fe-81ee-fd53ef7e2566</errorID>
      <errorWord>标</errorWord>
      <group>L1_Punc</group>
      <groupName>标点问题</groupName>
      <ability>L2_Punc</ability>
      <abilityName>标点符号检查</abilityName>
      <candidateList>
        <item>标。</item>
      </candidateList>
      <explain/>
      <paraID>37537545</paraID>
      <start>10</start>
      <end>11</end>
      <status>ignored</status>
      <modifiedWord/>
      <trackRevisions>false</trackRevisions>
    </reviewItem>
    <reviewItem>
      <errorID>560d8661-f199-4529-9ef8-181a93ed2176</errorID>
      <errorWord>评审</errorWord>
      <group>L1_Punc</group>
      <groupName>标点问题</groupName>
      <ability>L2_Punc</ability>
      <abilityName>标点符号检查</abilityName>
      <candidateList>
        <item>评审。</item>
      </candidateList>
      <explain/>
      <paraID>51033D4D</paraID>
      <start>15</start>
      <end>17</end>
      <status>ignored</status>
      <modifiedWord/>
      <trackRevisions>false</trackRevisions>
    </reviewItem>
    <reviewItem>
      <errorID>d873e6a0-8b41-4eb9-8385-7073624d0d5e</errorID>
      <errorWord>评</errorWord>
      <group>L1_Word</group>
      <groupName>字词问题</groupName>
      <ability>L2_Typo</ability>
      <abilityName>字词错误</abilityName>
      <candidateList>
        <item> 评</item>
      </candidateList>
      <explain/>
      <paraID>46E8FB6A</paraID>
      <start>8</start>
      <end>10</end>
      <status>modified</status>
      <modifiedWord> 评</modifiedWord>
      <trackRevisions>false</trackRevisions>
    </reviewItem>
    <reviewItem>
      <errorID>02a02d66-7202-4f33-b778-48262cd46c30</errorID>
      <errorWord>评委会</errorWord>
      <group>L1_Grammar</group>
      <groupName>语法问题</groupName>
      <ability>L2_Grammar</ability>
      <abilityName>语法错误</abilityName>
      <candidateList>
        <item>评标委员会</item>
      </candidateList>
      <explain/>
      <paraID>702F4CEA</paraID>
      <start>9</start>
      <end>14</end>
      <status>modified</status>
      <modifiedWord>评标委员会</modifiedWord>
      <trackRevisions>false</trackRevisions>
    </reviewItem>
    <reviewItem>
      <errorID>9195834b-dcc3-4e1d-b78e-37f36403e5c3</errorID>
      <errorWord>保持通讯畅通</errorWord>
      <group>L1_Word</group>
      <groupName>字词问题</groupName>
      <ability>L2_Typo</ability>
      <abilityName>字词错误</abilityName>
      <candidateList>
        <item>保持通信畅通</item>
      </candidateList>
      <explain/>
      <paraID>33397851</paraID>
      <start>22</start>
      <end>28</end>
      <status>modified</status>
      <modifiedWord>保持通信畅通</modifiedWord>
      <trackRevisions>false</trackRevisions>
    </reviewItem>
    <reviewItem>
      <errorID>bfcd4abe-ded3-4683-959e-d03ea7ed9881</errorID>
      <errorWord>审查</errorWord>
      <group>L1_Punc</group>
      <groupName>标点问题</groupName>
      <ability>L2_Punc</ability>
      <abilityName>标点符号检查</abilityName>
      <candidateList>
        <item>审查。</item>
      </candidateList>
      <explain/>
      <paraID>6B3E6AA7</paraID>
      <start>14</start>
      <end>16</end>
      <status>ignored</status>
      <modifiedWord/>
      <trackRevisions>false</trackRevisions>
    </reviewItem>
    <reviewItem>
      <errorID>1085c19f-5558-4e7d-8de0-c910c22e41d5</errorID>
      <errorWord>&lt;</errorWord>
      <group>L1_Format</group>
      <groupName>格式问题</groupName>
      <ability>L2_HalfPunc</ability>
      <abilityName>全半角检查</abilityName>
      <candidateList>
        <item>〈</item>
      </candidateList>
      <explain>文本全半角错误。</explain>
      <paraID>4FFF164C</paraID>
      <start>50</start>
      <end>51</end>
      <status>ignored</status>
      <modifiedWord/>
      <trackRevisions>false</trackRevisions>
    </reviewItem>
    <reviewItem>
      <errorID>ce50302d-939d-4120-916e-626423dcddb0</errorID>
      <errorWord>&lt;</errorWord>
      <group>L1_Format</group>
      <groupName>格式问题</groupName>
      <ability>L2_HalfPunc</ability>
      <abilityName>全半角检查</abilityName>
      <candidateList>
        <item>〈</item>
      </candidateList>
      <explain>文本全半角错误。</explain>
      <paraID>1B9E24FD</paraID>
      <start>50</start>
      <end>51</end>
      <status>ignored</status>
      <modifiedWord/>
      <trackRevisions>false</trackRevisions>
    </reviewItem>
    <reviewItem>
      <errorID>b15222d6-e0ef-4dc5-858c-48ebde6e574a</errorID>
      <errorWord>&lt;</errorWord>
      <group>L1_Format</group>
      <groupName>格式问题</groupName>
      <ability>L2_HalfPunc</ability>
      <abilityName>全半角检查</abilityName>
      <candidateList>
        <item>〈</item>
      </candidateList>
      <explain>文本全半角错误。</explain>
      <paraID>3A5FF810</paraID>
      <start>35</start>
      <end>36</end>
      <status>ignored</status>
      <modifiedWord/>
      <trackRevisions>false</trackRevisions>
    </reviewItem>
    <reviewItem>
      <errorID>1f7d5640-08d4-4e12-b19d-7993c30233a9</errorID>
      <errorWord>(</errorWord>
      <group>L1_Format</group>
      <groupName>格式问题</groupName>
      <ability>L2_HalfPunc</ability>
      <abilityName>全半角检查</abilityName>
      <candidateList>
        <item>（</item>
      </candidateList>
      <explain>文本全半角错误。</explain>
      <paraID>60F4F917</paraID>
      <start>36</start>
      <end>37</end>
      <status>modified</status>
      <modifiedWord>（</modifiedWord>
      <trackRevisions>false</trackRevisions>
    </reviewItem>
    <reviewItem>
      <errorID>baee007e-e7af-4f7a-8319-c45cfb597f30</errorID>
      <errorWord>)</errorWord>
      <group>L1_Format</group>
      <groupName>格式问题</groupName>
      <ability>L2_HalfPunc</ability>
      <abilityName>全半角检查</abilityName>
      <candidateList>
        <item>）</item>
      </candidateList>
      <explain>文本全半角错误。</explain>
      <paraID>60F4F917</paraID>
      <start>39</start>
      <end>40</end>
      <status>modified</status>
      <modifiedWord>）</modifiedWord>
      <trackRevisions>false</trackRevisions>
    </reviewItem>
    <reviewItem>
      <errorID>66c0200e-0c22-46d6-8be3-91047b8a28d2</errorID>
      <errorWord>(</errorWord>
      <group>L1_Format</group>
      <groupName>格式问题</groupName>
      <ability>L2_HalfPunc</ability>
      <abilityName>全半角检查</abilityName>
      <candidateList>
        <item>（</item>
      </candidateList>
      <explain>文本全半角错误。</explain>
      <paraID>304A9AAC</paraID>
      <start>29</start>
      <end>30</end>
      <status>modified</status>
      <modifiedWord>（</modifiedWord>
      <trackRevisions>false</trackRevisions>
    </reviewItem>
    <reviewItem>
      <errorID>d1578956-0ee0-4967-b608-2ad160475919</errorID>
      <errorWord>)</errorWord>
      <group>L1_Format</group>
      <groupName>格式问题</groupName>
      <ability>L2_HalfPunc</ability>
      <abilityName>全半角检查</abilityName>
      <candidateList>
        <item>）</item>
      </candidateList>
      <explain>文本全半角错误。</explain>
      <paraID>304A9AAC</paraID>
      <start>32</start>
      <end>33</end>
      <status>modified</status>
      <modifiedWord>）</modifiedWord>
      <trackRevisions>false</trackRevisions>
    </reviewItem>
    <reviewItem>
      <errorID>2e35e90d-a9bb-4967-b279-46353fa6ddb9</errorID>
      <errorWord>(</errorWord>
      <group>L1_Format</group>
      <groupName>格式问题</groupName>
      <ability>L2_HalfPunc</ability>
      <abilityName>全半角检查</abilityName>
      <candidateList>
        <item>（</item>
      </candidateList>
      <explain>文本全半角错误。</explain>
      <paraID>304A9AAC</paraID>
      <start>94</start>
      <end>95</end>
      <status>modified</status>
      <modifiedWord>（</modifiedWord>
      <trackRevisions>false</trackRevisions>
    </reviewItem>
    <reviewItem>
      <errorID>4e44664f-0241-4863-9cfc-e1f1c718a235</errorID>
      <errorWord>)</errorWord>
      <group>L1_Format</group>
      <groupName>格式问题</groupName>
      <ability>L2_HalfPunc</ability>
      <abilityName>全半角检查</abilityName>
      <candidateList>
        <item>）</item>
      </candidateList>
      <explain>文本全半角错误。</explain>
      <paraID>304A9AAC</paraID>
      <start>97</start>
      <end>98</end>
      <status>modified</status>
      <modifiedWord>）</modifiedWord>
      <trackRevisions>false</trackRevisions>
    </reviewItem>
    <reviewItem>
      <errorID>58b10fa1-ddd1-48de-828d-45842ac8e4d0</errorID>
      <errorWord>(</errorWord>
      <group>L1_Format</group>
      <groupName>格式问题</groupName>
      <ability>L2_HalfPunc</ability>
      <abilityName>全半角检查</abilityName>
      <candidateList>
        <item>（</item>
      </candidateList>
      <explain>文本全半角错误。</explain>
      <paraID>304A9AAC</paraID>
      <start>156</start>
      <end>157</end>
      <status>modified</status>
      <modifiedWord>（</modifiedWord>
      <trackRevisions>false</trackRevisions>
    </reviewItem>
    <reviewItem>
      <errorID>4897bf96-206b-4758-8508-fda91bf67345</errorID>
      <errorWord>)</errorWord>
      <group>L1_Format</group>
      <groupName>格式问题</groupName>
      <ability>L2_HalfPunc</ability>
      <abilityName>全半角检查</abilityName>
      <candidateList>
        <item>）</item>
      </candidateList>
      <explain>文本全半角错误。</explain>
      <paraID>304A9AAC</paraID>
      <start>159</start>
      <end>160</end>
      <status>modified</status>
      <modifiedWord>）</modifiedWord>
      <trackRevisions>false</trackRevisions>
    </reviewItem>
    <reviewItem>
      <errorID>7926323c-b2e4-4c44-bd39-50df90d1002e</errorID>
      <errorWord>(</errorWord>
      <group>L1_Format</group>
      <groupName>格式问题</groupName>
      <ability>L2_HalfPunc</ability>
      <abilityName>全半角检查</abilityName>
      <candidateList>
        <item>（</item>
      </candidateList>
      <explain>文本全半角错误。</explain>
      <paraID>4E7E4886</paraID>
      <start>33</start>
      <end>34</end>
      <status>modified</status>
      <modifiedWord>（</modifiedWord>
      <trackRevisions>false</trackRevisions>
    </reviewItem>
    <reviewItem>
      <errorID>761fd305-3354-4536-bcf6-6d4903acaec8</errorID>
      <errorWord>)</errorWord>
      <group>L1_Format</group>
      <groupName>格式问题</groupName>
      <ability>L2_HalfPunc</ability>
      <abilityName>全半角检查</abilityName>
      <candidateList>
        <item>）</item>
      </candidateList>
      <explain>文本全半角错误。</explain>
      <paraID>4E7E4886</paraID>
      <start>36</start>
      <end>37</end>
      <status>modified</status>
      <modifiedWord>）</modifiedWord>
      <trackRevisions>false</trackRevisions>
    </reviewItem>
    <reviewItem>
      <errorID>fdb9ab23-78bb-48b9-99a8-5c3fc3bf3708</errorID>
      <errorWord>(</errorWord>
      <group>L1_Format</group>
      <groupName>格式问题</groupName>
      <ability>L2_HalfPunc</ability>
      <abilityName>全半角检查</abilityName>
      <candidateList>
        <item>（</item>
      </candidateList>
      <explain>文本全半角错误。</explain>
      <paraID>4F5D5E83</paraID>
      <start>6</start>
      <end>7</end>
      <status>modified</status>
      <modifiedWord>（</modifiedWord>
      <trackRevisions>false</trackRevisions>
    </reviewItem>
    <reviewItem>
      <errorID>a42f189f-f8b7-467c-9130-03499a8db9af</errorID>
      <errorWord>)</errorWord>
      <group>L1_Format</group>
      <groupName>格式问题</groupName>
      <ability>L2_HalfPunc</ability>
      <abilityName>全半角检查</abilityName>
      <candidateList>
        <item>）</item>
      </candidateList>
      <explain>文本全半角错误。</explain>
      <paraID>4F5D5E83</paraID>
      <start>9</start>
      <end>10</end>
      <status>modified</status>
      <modifiedWord>）</modifiedWord>
      <trackRevisions>false</trackRevisions>
    </reviewItem>
    <reviewItem>
      <errorID>ef88c144-f734-4177-9817-f4ee4e42aa4e</errorID>
      <errorWord>评分标准</errorWord>
      <group>L1_Word</group>
      <groupName>字词问题</groupName>
      <ability>L2_Typo</ability>
      <abilityName>字词错误</abilityName>
      <candidateList>
        <item> 评分标准</item>
      </candidateList>
      <explain/>
      <paraID> 1B14A58</paraID>
      <start>6</start>
      <end>11</end>
      <status>modified</status>
      <modifiedWord> 评分标准</modifiedWord>
      <trackRevisions>false</trackRevisions>
    </reviewItem>
    <reviewItem>
      <errorID>97697867-fcbd-4611-afd6-0eda7be144a8</errorID>
      <errorWord>供应商</errorWord>
      <group>L1_Word</group>
      <groupName>字词问题</groupName>
      <ability>L2_Typo</ability>
      <abilityName>字词错误</abilityName>
      <candidateList>
        <item> 供应商</item>
      </candidateList>
      <explain/>
      <paraID>440AF161</paraID>
      <start>4</start>
      <end>8</end>
      <status>modified</status>
      <modifiedWord> 供应商</modifiedWord>
      <trackRevisions>false</trackRevisions>
    </reviewItem>
    <reviewItem>
      <errorID>bf86ef85-87cc-4bdd-888c-95f6083d9c43</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3CDB1448</paraID>
      <start>83</start>
      <end>97</end>
      <status>modified</status>
      <modifiedWord>《中华人民共和国政府采购法》</modifiedWord>
      <trackRevisions>false</trackRevisions>
    </reviewItem>
    <reviewItem>
      <errorID>5be104dd-6c1d-40b2-82f9-5cf8944253fa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1CB4AF3B</paraID>
      <start>135</start>
      <end>139</end>
      <status>ignored</status>
      <modifiedWord/>
      <trackRevisions>false</trackRevisions>
    </reviewItem>
    <reviewItem>
      <errorID>3abf03c4-fe93-4c39-834b-749659dc67ec</errorID>
      <errorWord>(</errorWord>
      <group>L1_Format</group>
      <groupName>格式问题</groupName>
      <ability>L2_HalfPunc</ability>
      <abilityName>全半角检查</abilityName>
      <candidateList>
        <item>（</item>
      </candidateList>
      <explain>文本全半角错误。</explain>
      <paraID>3C87B8AD</paraID>
      <start>73</start>
      <end>74</end>
      <status>modified</status>
      <modifiedWord>（</modifiedWord>
      <trackRevisions>false</trackRevisions>
    </reviewItem>
    <reviewItem>
      <errorID>085c8931-1e96-4059-a4fd-74194b83f4cd</errorID>
      <errorWord>)</errorWord>
      <group>L1_Format</group>
      <groupName>格式问题</groupName>
      <ability>L2_HalfPunc</ability>
      <abilityName>全半角检查</abilityName>
      <candidateList>
        <item>）</item>
      </candidateList>
      <explain>文本全半角错误。</explain>
      <paraID>3C87B8AD</paraID>
      <start>84</start>
      <end>85</end>
      <status>modified</status>
      <modifiedWord>）</modifiedWord>
      <trackRevisions>false</trackRevisions>
    </reviewItem>
    <reviewItem>
      <errorID>2ad426b1-1acb-496d-8c3f-425ecf54566a</errorID>
      <errorWord>详实</errorWord>
      <group>L1_Word</group>
      <groupName>字词问题</groupName>
      <ability>L2_Typo</ability>
      <abilityName>字词错误</abilityName>
      <candidateList>
        <item>翔实</item>
      </candidateList>
      <explain>存在发音相同字词的误用。</explain>
      <paraID>57EB3D0C</paraID>
      <start>6</start>
      <end>8</end>
      <status>ignored</status>
      <modifiedWord/>
      <trackRevisions>false</trackRevisions>
    </reviewItem>
    <reviewItem>
      <errorID>a88741b2-42f2-4f85-b651-edfa9f05e9b4</errorID>
      <errorWord>(</errorWord>
      <group>L1_Format</group>
      <groupName>格式问题</groupName>
      <ability>L2_HalfPunc</ability>
      <abilityName>全半角检查</abilityName>
      <candidateList>
        <item>（</item>
      </candidateList>
      <explain>文本全半角错误。</explain>
      <paraID>26081A2C</paraID>
      <start>27</start>
      <end>28</end>
      <status>modified</status>
      <modifiedWord>（</modifiedWord>
      <trackRevisions>false</trackRevisions>
    </reviewItem>
    <reviewItem>
      <errorID>57dd17c3-bc7a-44c0-8a82-3fd25248b48f</errorID>
      <errorWord>)</errorWord>
      <group>L1_Format</group>
      <groupName>格式问题</groupName>
      <ability>L2_HalfPunc</ability>
      <abilityName>全半角检查</abilityName>
      <candidateList>
        <item>）</item>
      </candidateList>
      <explain>文本全半角错误。</explain>
      <paraID>26081A2C</paraID>
      <start>42</start>
      <end>43</end>
      <status>modified</status>
      <modifiedWord>）</modifiedWord>
      <trackRevisions>false</trackRevisions>
    </reviewItem>
    <reviewItem>
      <errorID>af5b8e98-09c0-40ed-93ae-cac4833dfbbd</errorID>
      <errorWord>在供</errorWord>
      <group>L1_Word</group>
      <groupName>字词问题</groupName>
      <ability>L2_Typo</ability>
      <abilityName>字词错误</abilityName>
      <candidateList>
        <item>在</item>
      </candidateList>
      <explain/>
      <paraID>2A1F9841</paraID>
      <start>7</start>
      <end>8</end>
      <status>modified</status>
      <modifiedWord>在</modifiedWord>
      <trackRevisions>false</trackRevisions>
    </reviewItem>
    <reviewItem>
      <errorID>9373aa5d-e4a8-4a42-af4a-377da373a715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3B05BED</paraID>
      <start>0</start>
      <end>2</end>
      <status>ignored</status>
      <modifiedWord/>
      <trackRevisions>false</trackRevisions>
    </reviewItem>
    <reviewItem>
      <errorID>2ea619be-d332-4b24-8c4e-19f2309e732f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55909FE4</paraID>
      <start>0</start>
      <end>2</end>
      <status>ignored</status>
      <modifiedWord/>
      <trackRevisions>false</trackRevisions>
    </reviewItem>
    <reviewItem>
      <errorID>7e8d9471-a920-427b-ab06-40cef3e5d6c3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2B669784</paraID>
      <start>0</start>
      <end>2</end>
      <status>ignored</status>
      <modifiedWord/>
      <trackRevisions>false</trackRevisions>
    </reviewItem>
    <reviewItem>
      <errorID>aa6728f5-4db2-4aa7-9f3e-6f5c65b44458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3518CBD9</paraID>
      <start>0</start>
      <end>2</end>
      <status>ignored</status>
      <modifiedWord/>
      <trackRevisions>false</trackRevisions>
    </reviewItem>
    <reviewItem>
      <errorID>6afe83ad-d819-4967-b795-6674eec035bd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768DEA4B</paraID>
      <start>0</start>
      <end>2</end>
      <status>ignored</status>
      <modifiedWord/>
      <trackRevisions>false</trackRevisions>
    </reviewItem>
    <reviewItem>
      <errorID>75e886f5-cf4d-46cd-aae5-eb5deef28bdd</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5F00DE97</paraID>
      <start>68</start>
      <end>73</end>
      <status>ignored</status>
      <modifiedWord/>
      <trackRevisions>false</trackRevisions>
    </reviewItem>
    <reviewItem>
      <errorID>5402bd69-ef11-45e9-a5ac-e8657e5dae1f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64E2F2A7</paraID>
      <start>0</start>
      <end>2</end>
      <status>ignored</status>
      <modifiedWord/>
      <trackRevisions>false</trackRevisions>
    </reviewItem>
    <reviewItem>
      <errorID>ba1e9ed6-8680-4408-a8e9-b8b8b889ecd7</errorID>
      <errorWord>;</errorWord>
      <group>L1_Punc</group>
      <groupName>标点问题</groupName>
      <ability>L2_Punc</ability>
      <abilityName>标点符号检查</abilityName>
      <candidateList>
        <item>，</item>
      </candidateList>
      <explain/>
      <paraID>64E2F2A7</paraID>
      <start>15</start>
      <end>16</end>
      <status>ignored</status>
      <modifiedWord/>
      <trackRevisions>false</trackRevisions>
    </reviewItem>
    <reviewItem>
      <errorID>38c0d597-057c-4f05-8f6a-fddda41993c9</errorID>
      <errorWord>；</errorWord>
      <group>L1_Punc</group>
      <groupName>标点问题</groupName>
      <ability>L2_Punc</ability>
      <abilityName>标点符号检查</abilityName>
      <candidateList>
        <item>，</item>
      </candidateList>
      <explain/>
      <paraID>64E2F2A7</paraID>
      <start>30</start>
      <end>31</end>
      <status>ignored</status>
      <modifiedWord/>
      <trackRevisions>false</trackRevisions>
    </reviewItem>
    <reviewItem>
      <errorID>5ed5937f-f840-4859-9aec-799e821cee33</errorID>
      <errorWord>；</errorWord>
      <group>L1_Punc</group>
      <groupName>标点问题</groupName>
      <ability>L2_Punc</ability>
      <abilityName>标点符号检查</abilityName>
      <candidateList>
        <item>，</item>
      </candidateList>
      <explain/>
      <paraID>64E2F2A7</paraID>
      <start>41</start>
      <end>42</end>
      <status>ignored</status>
      <modifiedWord/>
      <trackRevisions>false</trackRevisions>
    </reviewItem>
    <reviewItem>
      <errorID>829da9e3-7e3a-4254-a2c6-0243bd2699f9</errorID>
      <errorWord>；</errorWord>
      <group>L1_Punc</group>
      <groupName>标点问题</groupName>
      <ability>L2_Punc</ability>
      <abilityName>标点符号检查</abilityName>
      <candidateList>
        <item>，</item>
      </candidateList>
      <explain/>
      <paraID>64E2F2A7</paraID>
      <start>48</start>
      <end>49</end>
      <status>ignored</status>
      <modifiedWord/>
      <trackRevisions>false</trackRevisions>
    </reviewItem>
    <reviewItem>
      <errorID>6e8ff9b4-49d0-4909-ac39-7db6462e8339</errorID>
      <errorWord>；</errorWord>
      <group>L1_Punc</group>
      <groupName>标点问题</groupName>
      <ability>L2_Punc</ability>
      <abilityName>标点符号检查</abilityName>
      <candidateList>
        <item>，</item>
      </candidateList>
      <explain/>
      <paraID>64E2F2A7</paraID>
      <start>54</start>
      <end>55</end>
      <status>ignored</status>
      <modifiedWord/>
      <trackRevisions>false</trackRevisions>
    </reviewItem>
    <reviewItem>
      <errorID>bbce9c5e-c9a3-4fa4-9a7a-b5f5065c6bcf</errorID>
      <errorWord>；</errorWord>
      <group>L1_Punc</group>
      <groupName>标点问题</groupName>
      <ability>L2_Punc</ability>
      <abilityName>标点符号检查</abilityName>
      <candidateList>
        <item>，</item>
      </candidateList>
      <explain/>
      <paraID>64E2F2A7</paraID>
      <start>65</start>
      <end>66</end>
      <status>ignored</status>
      <modifiedWord/>
      <trackRevisions>false</trackRevisions>
    </reviewItem>
    <reviewItem>
      <errorID>b0f533e1-50ef-441b-b240-f1ee6a5bf6e6</errorID>
      <errorWord>；</errorWord>
      <group>L1_Punc</group>
      <groupName>标点问题</groupName>
      <ability>L2_Punc</ability>
      <abilityName>标点符号检查</abilityName>
      <candidateList>
        <item>，</item>
      </candidateList>
      <explain/>
      <paraID>64E2F2A7</paraID>
      <start>71</start>
      <end>72</end>
      <status>ignored</status>
      <modifiedWord/>
      <trackRevisions>false</trackRevisions>
    </reviewItem>
    <reviewItem>
      <errorID>a1211d67-9947-4b2c-ae76-07f3c57632e9</errorID>
      <errorWord>；</errorWord>
      <group>L1_Punc</group>
      <groupName>标点问题</groupName>
      <ability>L2_Punc</ability>
      <abilityName>标点符号检查</abilityName>
      <candidateList>
        <item>，</item>
      </candidateList>
      <explain/>
      <paraID>64E2F2A7</paraID>
      <start>82</start>
      <end>83</end>
      <status>ignored</status>
      <modifiedWord/>
      <trackRevisions>false</trackRevisions>
    </reviewItem>
    <reviewItem>
      <errorID>b4164363-112c-4fe2-ac71-db8a6dca5769</errorID>
      <errorWord>：</errorWord>
      <group>L1_Punc</group>
      <groupName>标点问题</groupName>
      <ability>L2_Punc</ability>
      <abilityName>标点符号检查</abilityName>
      <candidateList>
        <item>。</item>
      </candidateList>
      <explain/>
      <paraID>142692EC</paraID>
      <start>33</start>
      <end>34</end>
      <status>ignored</status>
      <modifiedWord/>
      <trackRevisions>false</trackRevisions>
    </reviewItem>
    <reviewItem>
      <errorID>2af13b4d-5aef-4f86-b142-071ec1be36cc</errorID>
      <errorWord>根据</errorWord>
      <group>L1_Word</group>
      <groupName>字词问题</groupName>
      <ability>L2_Typo</ability>
      <abilityName>字词错误</abilityName>
      <candidateList>
        <item>应根据</item>
      </candidateList>
      <explain/>
      <paraID>6108C87B</paraID>
      <start>21</start>
      <end>24</end>
      <status>modified</status>
      <modifiedWord>应根据</modifiedWord>
      <trackRevisions>false</trackRevisions>
    </reviewItem>
    <reviewItem>
      <errorID>8893c3c8-6f0e-4502-810f-7f092dd2e6b5</errorID>
      <errorWord>及</errorWord>
      <group>L1_Word</group>
      <groupName>字词问题</groupName>
      <ability>L2_Typo</ability>
      <abilityName>字词错误</abilityName>
      <candidateList>
        <item>并</item>
      </candidateList>
      <explain/>
      <paraID>6108C87B</paraID>
      <start>30</start>
      <end>31</end>
      <status>modified</status>
      <modifiedWord>并</modifiedWord>
      <trackRevisions>false</trackRevisions>
    </reviewItem>
    <reviewItem>
      <errorID>d236460f-0c40-4003-87aa-0d828694a191</errorID>
      <errorWord>。并</errorWord>
      <group>L1_Word</group>
      <groupName>字词问题</groupName>
      <ability>L2_Typo</ability>
      <abilityName>字词错误</abilityName>
      <candidateList>
        <item>，同时</item>
      </candidateList>
      <explain/>
      <paraID>6108C87B</paraID>
      <start>47</start>
      <end>50</end>
      <status>modified</status>
      <modifiedWord>，同时</modifiedWord>
      <trackRevisions>false</trackRevisions>
    </reviewItem>
    <reviewItem>
      <errorID>93bb85bf-1831-4a8a-9837-8aa7818df803</errorID>
      <errorWord>用</errorWord>
      <group>L1_Word</group>
      <groupName>字词问题</groupName>
      <ability>L2_Typo</ability>
      <abilityName>字词错误</abilityName>
      <candidateList>
        <item>用由</item>
      </candidateList>
      <explain/>
      <paraID>118A8B94</paraID>
      <start>99</start>
      <end>101</end>
      <status>modified</status>
      <modifiedWord>用由</modifiedWord>
      <trackRevisions>false</trackRevisions>
    </reviewItem>
    <reviewItem>
      <errorID>4d2ed90d-ec72-4818-b82c-4fe02fe7918e</errorID>
      <errorWord>程</errorWord>
      <group>L1_Word</group>
      <groupName>字词问题</groupName>
      <ability>L2_Typo</ability>
      <abilityName>字词错误</abilityName>
      <candidateList>
        <item>程中</item>
      </candidateList>
      <explain/>
      <paraID>657204C2</paraID>
      <start>13</start>
      <end>15</end>
      <status>modified</status>
      <modifiedWord>程中</modifiedWord>
      <trackRevisions>false</trackRevisions>
    </reviewItem>
    <reviewItem>
      <errorID>c8949161-0c9c-4c5b-8674-05db620954be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3B2FE509</paraID>
      <start>0</start>
      <end>2</end>
      <status>ignored</status>
      <modifiedWord/>
      <trackRevisions>false</trackRevisions>
    </reviewItem>
    <reviewItem>
      <errorID>c19d3fcc-488e-4aa0-bec8-58267a8e8516</errorID>
      <errorWord>少于</errorWord>
      <group>L1_Word</group>
      <groupName>字词问题</groupName>
      <ability>L2_Typo</ability>
      <abilityName>字词错误</abilityName>
      <candidateList>
        <item>小于</item>
      </candidateList>
      <explain>存在字形相近字词的误用。</explain>
      <paraID>4E35F141</paraID>
      <start>37</start>
      <end>39</end>
      <status>modified</status>
      <modifiedWord>小于</modifiedWord>
      <trackRevisions>false</trackRevisions>
    </reviewItem>
    <reviewItem>
      <errorID>edc6f419-ff13-4841-9e40-d82962b2e777</errorID>
      <errorWord>核对情况</errorWord>
      <group>L1_Grammar</group>
      <groupName>语法问题</groupName>
      <ability>L2_Grammar</ability>
      <abilityName>语法错误</abilityName>
      <candidateList>
        <item>核对</item>
      </candidateList>
      <explain/>
      <paraID> EC1A087</paraID>
      <start>19</start>
      <end>21</end>
      <status>modified</status>
      <modifiedWord>核对</modifiedWord>
      <trackRevisions>false</trackRevisions>
    </reviewItem>
    <reviewItem>
      <errorID>2ae7ae24-301c-4e4b-9b78-2b11353fc583</errorID>
      <errorWord>版</errorWord>
      <group>L1_Word</group>
      <groupName>字词问题</groupName>
      <ability>L2_Typo</ability>
      <abilityName>字词错误</abilityName>
      <candidateList>
        <item>板</item>
      </candidateList>
      <explain/>
      <paraID>37476DD9</paraID>
      <start>9</start>
      <end>10</end>
      <status>modified</status>
      <modifiedWord>板</modifiedWord>
      <trackRevisions>false</trackRevisions>
    </reviewItem>
    <reviewItem>
      <errorID>4e44bccc-dc3c-408a-8bd1-f8fcef34c4ef</errorID>
      <errorWord>版</errorWord>
      <group>L1_Word</group>
      <groupName>字词问题</groupName>
      <ability>L2_Typo</ability>
      <abilityName>字词错误</abilityName>
      <candidateList>
        <item>板</item>
      </candidateList>
      <explain/>
      <paraID>27B93FAE</paraID>
      <start>9</start>
      <end>10</end>
      <status>modified</status>
      <modifiedWord>板</modifiedWord>
      <trackRevisions>false</trackRevisions>
    </reviewItem>
    <reviewItem>
      <errorID>bd9d2463-9f4f-4766-81c0-a679e61fc9eb</errorID>
      <errorWord>回回</errorWord>
      <group>L1_Word</group>
      <groupName>字词问题</groupName>
      <ability>L2_Typo</ability>
      <abilityName>字词错误</abilityName>
      <candidateList>
        <item>回</item>
      </candidateList>
      <explain>（囘、囬）∥•huí〈动〉趋向动词。用在动词后面，表示人或事物随动作从别处到原处：从邮局取～一个包裹｜书报阅后，请放～原处。</explain>
      <paraID>323FE4D7</paraID>
      <start>3</start>
      <end>5</end>
      <status>ignored</status>
      <modifiedWord/>
      <trackRevisions>false</trackRevisions>
    </reviewItem>
    <reviewItem>
      <errorID>6a5d8e62-b34e-46ed-81d8-648172064904</errorID>
      <errorWord>版</errorWord>
      <group>L1_Word</group>
      <groupName>字词问题</groupName>
      <ability>L2_Typo</ability>
      <abilityName>字词错误</abilityName>
      <candidateList>
        <item>板</item>
      </candidateList>
      <explain/>
      <paraID>3B844355</paraID>
      <start>9</start>
      <end>10</end>
      <status>modified</status>
      <modifiedWord>板</modifiedWord>
      <trackRevisions>false</trackRevisions>
    </reviewItem>
    <reviewItem>
      <errorID>8b6c1ec2-dec1-4555-937a-66ddd7817f04</errorID>
      <errorWord>，</errorWord>
      <group>L1_Punc</group>
      <groupName>标点问题</groupName>
      <ability>L2_Punc</ability>
      <abilityName>标点符号检查</abilityName>
      <candidateList>
        <item>。</item>
      </candidateList>
      <explain/>
      <paraID>3B844355</paraID>
      <start>14</start>
      <end>15</end>
      <status>modified</status>
      <modifiedWord>。</modifiedWord>
      <trackRevisions>false</trackRevisions>
    </reviewItem>
    <reviewItem>
      <errorID>f42f440d-ee04-47ab-b02a-b98e0014304a</errorID>
      <errorWord>落葬</errorWord>
      <group>L1_Punc</group>
      <groupName>标点问题</groupName>
      <ability>L2_Punc</ability>
      <abilityName>标点符号检查</abilityName>
      <candidateList>
        <item>，落葬</item>
      </candidateList>
      <explain/>
      <paraID>62DB4C6C</paraID>
      <start>29</start>
      <end>31</end>
      <status>ignored</status>
      <modifiedWord/>
      <trackRevisions>false</trackRevisions>
    </reviewItem>
    <reviewItem>
      <errorID>02acdecd-610c-4e0e-ae09-0d282b87feb4</errorID>
      <errorWord>固定</errorWord>
      <group>L1_Word</group>
      <groupName>字词问题</groupName>
      <ability>L2_Typo</ability>
      <abilityName>字词错误</abilityName>
      <candidateList>
        <item>并固定</item>
      </candidateList>
      <explain/>
      <paraID>62DB4C6C</paraID>
      <start>34</start>
      <end>37</end>
      <status>modified</status>
      <modifiedWord>并固定</modifiedWord>
      <trackRevisions>false</trackRevisions>
    </reviewItem>
    <reviewItem>
      <errorID>191e6588-b3f4-47d8-851f-a405b5555404</errorID>
      <errorWord>落</errorWord>
      <group>L1_Word</group>
      <groupName>字词问题</groupName>
      <ability>L2_Typo</ability>
      <abilityName>字词错误</abilityName>
      <candidateList>
        <item>殡</item>
      </candidateList>
      <explain/>
      <paraID>7D603930</paraID>
      <start>0</start>
      <end>1</end>
      <status>ignored</status>
      <modifiedWord/>
      <trackRevisions>false</trackRevisions>
    </reviewItem>
    <reviewItem>
      <errorID>8d6f8212-7e8b-4e2b-a4d4-56b39c7a0051</errorID>
      <errorWord>安装椁</errorWord>
      <group>L1_Word</group>
      <groupName>字词问题</groupName>
      <ability>L2_Typo</ability>
      <abilityName>字词错误</abilityName>
      <candidateList>
        <item>安装</item>
      </candidateList>
      <explain>〈动〉按照一定的方法、规格把机械或器材（多指成套的）固定在一定的地方：～自来水管｜～电话｜～机器。</explain>
      <paraID>138F840A</paraID>
      <start>2</start>
      <end>5</end>
      <status>ignored</status>
      <modifiedWord/>
      <trackRevisions>false</trackRevisions>
    </reviewItem>
    <reviewItem>
      <errorID>60495cfc-5bca-4d20-92eb-e2c43e840fe7</errorID>
      <errorWord>回 回 </errorWord>
      <group>L1_Grammar</group>
      <groupName>语法问题</groupName>
      <ability>L2_Grammar</ability>
      <abilityName>语法错误</abilityName>
      <candidateList>
        <item>回汉</item>
      </candidateList>
      <explain/>
      <paraID>3AD429A9</paraID>
      <start>0</start>
      <end>4</end>
      <status>ignored</status>
      <modifiedWord/>
      <trackRevisions>false</trackRevisions>
    </reviewItem>
    <reviewItem>
      <errorID>2ca08a62-77e7-4324-ad5a-bb328e6f671d</errorID>
      <errorWord> </errorWord>
      <group>L1_Punc</group>
      <groupName>标点问题</groupName>
      <ability>L2_Punc</ability>
      <abilityName>标点符号检查</abilityName>
      <candidateList>
        <item/>
      </candidateList>
      <explain>此处空格冗余，建议删除。</explain>
      <paraID>3AD429A9</paraID>
      <start>5</start>
      <end>5</end>
      <status>modified</status>
      <modifiedWord/>
      <trackRevisions>false</trackRevisions>
    </reviewItem>
    <reviewItem>
      <errorID>8b6f3687-17cc-4f38-a96a-e6c1ac443e67</errorID>
      <errorWord>工 程 </errorWord>
      <group>L1_Grammar</group>
      <groupName>语法问题</groupName>
      <ability>L2_Grammar</ability>
      <abilityName>语法错误</abilityName>
      <candidateList>
        <item>工程</item>
      </candidateList>
      <explain/>
      <paraID>4D71BA85</paraID>
      <start>0</start>
      <end>2</end>
      <status>modified</status>
      <modifiedWord>工程</modifiedWord>
      <trackRevisions>false</trackRevisions>
    </reviewItem>
    <reviewItem>
      <errorID>2631bf7a-82f6-4e82-aa52-0241364f58e0</errorID>
      <errorWord> </errorWord>
      <group>L1_Punc</group>
      <groupName>标点问题</groupName>
      <ability>L2_Punc</ability>
      <abilityName>标点符号检查</abilityName>
      <candidateList>
        <item/>
      </candidateList>
      <explain>此处空格冗余，建议删除。</explain>
      <paraID>4D71BA85</paraID>
      <start>7</start>
      <end>7</end>
      <status>modified</status>
      <modifiedWord/>
      <trackRevisions>false</trackRevisions>
    </reviewItem>
    <reviewItem>
      <errorID>4794d44f-e4a1-4583-bb49-addbb9e33e81</errorID>
      <errorWord>带帽子</errorWord>
      <group>L1_Word</group>
      <groupName>字词问题</groupName>
      <ability>L2_Typo</ability>
      <abilityName>字词错误</abilityName>
      <candidateList>
        <item>戴帽子</item>
      </candidateList>
      <explain/>
      <paraID>4A709EE1</paraID>
      <start>7</start>
      <end>10</end>
      <status>ignored</status>
      <modifiedWord/>
      <trackRevisions>false</trackRevisions>
    </reviewItem>
    <reviewItem>
      <errorID>a22ff8a9-e5db-4af2-85b2-42e4ddfb2ce4</errorID>
      <errorWord>10</errorWord>
      <group>L1_Punc</group>
      <groupName>标点问题</groupName>
      <ability>L2_Punc</ability>
      <abilityName>标点符号检查</abilityName>
      <candidateList>
        <item>&lt;10</item>
      </candidateList>
      <explain/>
      <paraID>55744FCF</paraID>
      <start>1</start>
      <end>4</end>
      <status>modified</status>
      <modifiedWord>&lt;10</modifiedWord>
      <trackRevisions>false</trackRevisions>
    </reviewItem>
    <reviewItem>
      <errorID>0407b511-b788-48c1-8949-57e0a0d6c623</errorID>
      <errorWord> </errorWord>
      <group>L1_Punc</group>
      <groupName>标点问题</groupName>
      <ability>L2_Punc</ability>
      <abilityName>标点符号检查</abilityName>
      <candidateList>
        <item>，</item>
      </candidateList>
      <explain/>
      <paraID>55744FCF</paraID>
      <start>10</start>
      <end>11</end>
      <status>modified</status>
      <modifiedWord>，</modifiedWord>
      <trackRevisions>false</trackRevisions>
    </reviewItem>
    <reviewItem>
      <errorID>2b062e57-e39a-4755-9134-81278320ad7a</errorID>
      <errorWord> </errorWord>
      <group>L1_Punc</group>
      <groupName>标点问题</groupName>
      <ability>L2_Punc</ability>
      <abilityName>标点符号检查</abilityName>
      <candidateList>
        <item>，</item>
      </candidateList>
      <explain/>
      <paraID>55744FCF</paraID>
      <start>22</start>
      <end>23</end>
      <status>modified</status>
      <modifiedWord>，</modifiedWord>
      <trackRevisions>false</trackRevisions>
    </reviewItem>
    <reviewItem>
      <errorID>8a68cd95-f657-499b-b3b6-a2d79e4ebf89</errorID>
      <errorWord>10</errorWord>
      <group>L1_Punc</group>
      <groupName>标点问题</groupName>
      <ability>L2_Punc</ability>
      <abilityName>标点符号检查</abilityName>
      <candidateList>
        <item>&lt;10</item>
      </candidateList>
      <explain/>
      <paraID>6CE37604</paraID>
      <start>1</start>
      <end>4</end>
      <status>modified</status>
      <modifiedWord>&lt;10</modifiedWord>
      <trackRevisions>false</trackRevisions>
    </reviewItem>
    <reviewItem>
      <errorID>c02c50ab-3f6d-4a92-b522-18ef90a4dba9</errorID>
      <errorWord> </errorWord>
      <group>L1_Punc</group>
      <groupName>标点问题</groupName>
      <ability>L2_Punc</ability>
      <abilityName>标点符号检查</abilityName>
      <candidateList>
        <item>，</item>
      </candidateList>
      <explain/>
      <paraID>6CE37604</paraID>
      <start>10</start>
      <end>11</end>
      <status>modified</status>
      <modifiedWord>，</modifiedWord>
      <trackRevisions>false</trackRevisions>
    </reviewItem>
    <reviewItem>
      <errorID>bd49cc10-0e43-438c-9337-e896a788ef18</errorID>
      <errorWord> </errorWord>
      <group>L1_Punc</group>
      <groupName>标点问题</groupName>
      <ability>L2_Punc</ability>
      <abilityName>标点符号检查</abilityName>
      <candidateList>
        <item>，</item>
      </candidateList>
      <explain/>
      <paraID>6CE37604</paraID>
      <start>22</start>
      <end>23</end>
      <status>modified</status>
      <modifiedWord>，</modifiedWord>
      <trackRevisions>false</trackRevisions>
    </reviewItem>
    <reviewItem>
      <errorID>c31911bb-def2-4661-9338-a75f92c58264</errorID>
      <errorWord>。</errorWord>
      <group>L1_Punc</group>
      <groupName>标点问题</groupName>
      <ability>L2_Punc</ability>
      <abilityName>标点符号检查</abilityName>
      <candidateList>
        <item>；</item>
      </candidateList>
      <explain/>
      <paraID>211C293E</paraID>
      <start>24</start>
      <end>25</end>
      <status>modified</status>
      <modifiedWord>；</modifiedWord>
      <trackRevisions>false</trackRevisions>
    </reviewItem>
    <reviewItem>
      <errorID>f2bd8fc6-ab31-49dc-b342-313bf92238a8</errorID>
      <errorWord>双方</errorWord>
      <group>L1_Punc</group>
      <groupName>标点问题</groupName>
      <ability>L2_Punc</ability>
      <abilityName>标点符号检查</abilityName>
      <candidateList>
        <item>，双方</item>
      </candidateList>
      <explain/>
      <paraID>211C293E</paraID>
      <start>31</start>
      <end>34</end>
      <status>modified</status>
      <modifiedWord>，双方</modifiedWord>
      <trackRevisions>false</trackRevisions>
    </reviewItem>
    <reviewItem>
      <errorID>ed8f6a8f-2e96-4e72-a913-ed2d6796307c</errorID>
      <errorWord>合同</errorWord>
      <group>L1_Word</group>
      <groupName>字词问题</groupName>
      <ability>L2_Typo</ability>
      <abilityName>字词错误</abilityName>
      <candidateList>
        <item> 合同</item>
      </candidateList>
      <explain/>
      <paraID>5F09290B</paraID>
      <start>0</start>
      <end>3</end>
      <status>modified</status>
      <modifiedWord> 合同</modifiedWord>
      <trackRevisions>false</trackRevisions>
    </reviewItem>
    <reviewItem>
      <errorID>8c90969a-fbe6-42f3-8a7c-62017d6b9aad</errorID>
      <errorWord>：</errorWord>
      <group>L1_Punc</group>
      <groupName>标点问题</groupName>
      <ability>L2_Punc</ability>
      <abilityName>标点符号检查</abilityName>
      <candidateList>
        <item/>
      </candidateList>
      <explain/>
      <paraID>515BA0E1</paraID>
      <start>75</start>
      <end>76</end>
      <status>ignored</status>
      <modifiedWord/>
      <trackRevisions>false</trackRevisions>
    </reviewItem>
    <reviewItem>
      <errorID>c70731d2-ae6f-41d6-87fa-b08c0eea5870</errorID>
      <errorWord>)</errorWord>
      <group>L1_Punc</group>
      <groupName>标点问题</groupName>
      <ability>L2_Punc</ability>
      <abilityName>标点符号检查</abilityName>
      <candidateList>
        <item>）</item>
      </candidateList>
      <explain/>
      <paraID>515BA0E1</paraID>
      <start>78</start>
      <end>79</end>
      <status>modified</status>
      <modifiedWord>）</modifiedWord>
      <trackRevisions>false</trackRevisions>
    </reviewItem>
    <reviewItem>
      <errorID>3a7389c6-d656-4b17-89cf-b47b9b7b1d44</errorID>
      <errorWord>   (</errorWord>
      <group>L1_Punc</group>
      <groupName>标点问题</groupName>
      <ability>L2_Punc</ability>
      <abilityName>标点符号检查</abilityName>
      <candidateList>
        <item>（</item>
      </candidateList>
      <explain/>
      <paraID>515BA0E1</paraID>
      <start>90</start>
      <end>94</end>
      <status>ignored</status>
      <modifiedWord/>
      <trackRevisions>false</trackRevisions>
    </reviewItem>
    <reviewItem>
      <errorID>e617f571-70c0-4bba-aa91-5260d91b1379</errorID>
      <errorWord>：</errorWord>
      <group>L1_Punc</group>
      <groupName>标点问题</groupName>
      <ability>L2_Punc</ability>
      <abilityName>标点符号检查</abilityName>
      <candidateList>
        <item/>
      </candidateList>
      <explain/>
      <paraID>515BA0E1</paraID>
      <start>98</start>
      <end>99</end>
      <status>ignored</status>
      <modifiedWord/>
      <trackRevisions>false</trackRevisions>
    </reviewItem>
    <reviewItem>
      <errorID>8a679d62-f44c-4886-b411-6e47e7da7d4d</errorID>
      <errorWord>)</errorWord>
      <group>L1_Format</group>
      <groupName>格式问题</groupName>
      <ability>L2_HalfPunc</ability>
      <abilityName>全半角检查</abilityName>
      <candidateList>
        <item>）</item>
      </candidateList>
      <explain>文本全半角错误。</explain>
      <paraID>515BA0E1</paraID>
      <start>101</start>
      <end>102</end>
      <status>modified</status>
      <modifiedWord>）</modifiedWord>
      <trackRevisions>false</trackRevisions>
    </reviewItem>
    <reviewItem>
      <errorID>ff99a9b5-2a1f-441b-81af-d4ded91a95c2</errorID>
      <errorWord>兹</errorWord>
      <group>L1_Word</group>
      <groupName>字词问题</groupName>
      <ability>L2_Typo</ability>
      <abilityName>字词错误</abilityName>
      <candidateList>
        <item>资</item>
      </candidateList>
      <explain/>
      <paraID>515BA0E1</paraID>
      <start>117</start>
      <end>118</end>
      <status>ignored</status>
      <modifiedWord/>
      <trackRevisions>false</trackRevisions>
    </reviewItem>
    <reviewItem>
      <errorID>b42c73b2-0d00-48d5-b80a-b294b5194fef</errorID>
      <errorWord>其它</errorWord>
      <group>L1_Word</group>
      <groupName>字词问题</groupName>
      <ability>L2_Alias</ability>
      <abilityName>也作/曾用词</abilityName>
      <candidateList>
        <item>其他</item>
      </candidateList>
      <explain>词汇[其它]为不规范表述或旧称，其规范书面表述为[其他]。</explain>
      <paraID>665D291F</paraID>
      <start>12</start>
      <end>14</end>
      <status>modified</status>
      <modifiedWord>其他</modifiedWord>
      <trackRevisions>false</trackRevisions>
    </reviewItem>
    <reviewItem>
      <errorID>8f655682-b05c-444d-8a27-804354034a96</errorID>
      <errorWord>甲方人</errorWord>
      <group>L1_Word</group>
      <groupName>字词问题</groupName>
      <ability>L2_Typo</ability>
      <abilityName>字词错误</abilityName>
      <candidateList>
        <item>甲方</item>
      </candidateList>
      <explain/>
      <paraID>72E294F1</paraID>
      <start>42</start>
      <end>44</end>
      <status>modified</status>
      <modifiedWord>甲方</modifiedWord>
      <trackRevisions>false</trackRevisions>
    </reviewItem>
    <reviewItem>
      <errorID>0879f69b-538e-4ed0-9fe9-d6f18b529808</errorID>
      <errorWord>(</errorWord>
      <group>L1_Format</group>
      <groupName>格式问题</groupName>
      <ability>L2_HalfPunc</ability>
      <abilityName>全半角检查</abilityName>
      <candidateList>
        <item>（</item>
      </candidateList>
      <explain>文本全半角错误。</explain>
      <paraID>67B181D1</paraID>
      <start>22</start>
      <end>23</end>
      <status>modified</status>
      <modifiedWord>（</modifiedWord>
      <trackRevisions>false</trackRevisions>
    </reviewItem>
    <reviewItem>
      <errorID>d51ed8ea-5794-48f8-b77b-40f718af3dce</errorID>
      <errorWord>)</errorWord>
      <group>L1_Format</group>
      <groupName>格式问题</groupName>
      <ability>L2_HalfPunc</ability>
      <abilityName>全半角检查</abilityName>
      <candidateList>
        <item>）</item>
      </candidateList>
      <explain>文本全半角错误。</explain>
      <paraID>67B181D1</paraID>
      <start>24</start>
      <end>25</end>
      <status>modified</status>
      <modifiedWord>）</modifiedWord>
      <trackRevisions>false</trackRevisions>
    </reviewItem>
    <reviewItem>
      <errorID>24daf4f3-4b39-4949-a647-527a34ac9a75</errorID>
      <errorWord>(</errorWord>
      <group>L1_Format</group>
      <groupName>格式问题</groupName>
      <ability>L2_HalfPunc</ability>
      <abilityName>全半角检查</abilityName>
      <candidateList>
        <item>（</item>
      </candidateList>
      <explain>文本全半角错误。</explain>
      <paraID>67B181D1</paraID>
      <start>50</start>
      <end>51</end>
      <status>modified</status>
      <modifiedWord>（</modifiedWord>
      <trackRevisions>false</trackRevisions>
    </reviewItem>
    <reviewItem>
      <errorID>a390f011-d089-4b91-b927-426740e56cd0</errorID>
      <errorWord>)</errorWord>
      <group>L1_Format</group>
      <groupName>格式问题</groupName>
      <ability>L2_HalfPunc</ability>
      <abilityName>全半角检查</abilityName>
      <candidateList>
        <item>）</item>
      </candidateList>
      <explain>文本全半角错误。</explain>
      <paraID>67B181D1</paraID>
      <start>52</start>
      <end>53</end>
      <status>modified</status>
      <modifiedWord>）</modifiedWord>
      <trackRevisions>false</trackRevisions>
    </reviewItem>
    <reviewItem>
      <errorID>93badca9-185e-4c93-90f7-2663dd447ef7</errorID>
      <errorWord>(</errorWord>
      <group>L1_Format</group>
      <groupName>格式问题</groupName>
      <ability>L2_HalfPunc</ability>
      <abilityName>全半角检查</abilityName>
      <candidateList>
        <item>（</item>
      </candidateList>
      <explain>文本全半角错误。</explain>
      <paraID>67B181D1</paraID>
      <start>57</start>
      <end>58</end>
      <status>modified</status>
      <modifiedWord>（</modifiedWord>
      <trackRevisions>false</trackRevisions>
    </reviewItem>
    <reviewItem>
      <errorID>99ed6b6d-5e31-4297-bd9f-97ee3764bf33</errorID>
      <errorWord>)</errorWord>
      <group>L1_Format</group>
      <groupName>格式问题</groupName>
      <ability>L2_HalfPunc</ability>
      <abilityName>全半角检查</abilityName>
      <candidateList>
        <item>）</item>
      </candidateList>
      <explain>文本全半角错误。</explain>
      <paraID>67B181D1</paraID>
      <start>60</start>
      <end>61</end>
      <status>modified</status>
      <modifiedWord>）</modifiedWord>
      <trackRevisions>false</trackRevisions>
    </reviewItem>
    <reviewItem>
      <errorID>b44b407b-2974-404b-a0ba-d10269e8e47b</errorID>
      <errorWord>(</errorWord>
      <group>L1_Format</group>
      <groupName>格式问题</groupName>
      <ability>L2_HalfPunc</ability>
      <abilityName>全半角检查</abilityName>
      <candidateList>
        <item>（</item>
      </candidateList>
      <explain>文本全半角错误。</explain>
      <paraID>67B181D1</paraID>
      <start>96</start>
      <end>97</end>
      <status>modified</status>
      <modifiedWord>（</modifiedWord>
      <trackRevisions>false</trackRevisions>
    </reviewItem>
    <reviewItem>
      <errorID>ae4684f5-cc62-4fe3-8b55-eae95eba6bf1</errorID>
      <errorWord>)</errorWord>
      <group>L1_Format</group>
      <groupName>格式问题</groupName>
      <ability>L2_HalfPunc</ability>
      <abilityName>全半角检查</abilityName>
      <candidateList>
        <item>）</item>
      </candidateList>
      <explain>文本全半角错误。</explain>
      <paraID>67B181D1</paraID>
      <start>99</start>
      <end>100</end>
      <status>modified</status>
      <modifiedWord>）</modifiedWord>
      <trackRevisions>false</trackRevisions>
    </reviewItem>
    <reviewItem>
      <errorID>1fab7cdc-d9b5-4679-914f-ae2367f918e9</errorID>
      <errorWord>,</errorWord>
      <group>L1_Format</group>
      <groupName>格式问题</groupName>
      <ability>L2_HalfPunc</ability>
      <abilityName>全半角检查</abilityName>
      <candidateList>
        <item>，</item>
      </candidateList>
      <explain>文本全半角错误。</explain>
      <paraID> 271893A</paraID>
      <start>37</start>
      <end>38</end>
      <status>modified</status>
      <modifiedWord>，</modifiedWord>
      <trackRevisions>false</trackRevisions>
    </reviewItem>
    <reviewItem>
      <errorID>c6c0f1fe-03bf-4f18-8d5d-5229b4988465</errorID>
      <errorWord>,</errorWord>
      <group>L1_Format</group>
      <groupName>格式问题</groupName>
      <ability>L2_HalfPunc</ability>
      <abilityName>全半角检查</abilityName>
      <candidateList>
        <item>，</item>
      </candidateList>
      <explain>文本全半角错误。</explain>
      <paraID> 271893A</paraID>
      <start>78</start>
      <end>79</end>
      <status>modified</status>
      <modifiedWord>，</modifiedWord>
      <trackRevisions>false</trackRevisions>
    </reviewItem>
    <reviewItem>
      <errorID>4a11cc29-b6ea-4672-bf79-3d24d3af7f03</errorID>
      <errorWord>,</errorWord>
      <group>L1_Format</group>
      <groupName>格式问题</groupName>
      <ability>L2_HalfPunc</ability>
      <abilityName>全半角检查</abilityName>
      <candidateList>
        <item>，</item>
      </candidateList>
      <explain>文本全半角错误。</explain>
      <paraID> 271893A</paraID>
      <start>88</start>
      <end>89</end>
      <status>modified</status>
      <modifiedWord>，</modifiedWord>
      <trackRevisions>false</trackRevisions>
    </reviewItem>
    <reviewItem>
      <errorID>a5130af5-2288-4b9f-a727-66fa607643f2</errorID>
      <errorWord>,</errorWord>
      <group>L1_Format</group>
      <groupName>格式问题</groupName>
      <ability>L2_HalfPunc</ability>
      <abilityName>全半角检查</abilityName>
      <candidateList>
        <item>，</item>
      </candidateList>
      <explain>文本全半角错误。</explain>
      <paraID> 271893A</paraID>
      <start>107</start>
      <end>108</end>
      <status>modified</status>
      <modifiedWord>，</modifiedWord>
      <trackRevisions>false</trackRevisions>
    </reviewItem>
    <reviewItem>
      <errorID>75bcea18-c85f-43fa-bdbb-6bf16320f43a</errorID>
      <errorWord>,</errorWord>
      <group>L1_Format</group>
      <groupName>格式问题</groupName>
      <ability>L2_HalfPunc</ability>
      <abilityName>全半角检查</abilityName>
      <candidateList>
        <item>，</item>
      </candidateList>
      <explain>文本全半角错误。</explain>
      <paraID>5B49177B</paraID>
      <start>11</start>
      <end>12</end>
      <status>modified</status>
      <modifiedWord>，</modifiedWord>
      <trackRevisions>false</trackRevisions>
    </reviewItem>
    <reviewItem>
      <errorID>2bd4fe6d-9cf1-4b86-ae97-61bb12fdc8c9</errorID>
      <errorWord>员</errorWord>
      <group>L1_Word</group>
      <groupName>字词问题</groupName>
      <ability>L2_Typo</ability>
      <abilityName>字词错误</abilityName>
      <candidateList>
        <item>员和</item>
      </candidateList>
      <explain/>
      <paraID>763C5107</paraID>
      <start>31</start>
      <end>33</end>
      <status>modified</status>
      <modifiedWord>员和</modifiedWord>
      <trackRevisions>false</trackRevisions>
    </reviewItem>
    <reviewItem>
      <errorID>bd5352fe-ecfc-4584-a45d-95d21465cae8</errorID>
      <errorWord>品性</errorWord>
      <group>L1_Word</group>
      <groupName>字词问题</groupName>
      <ability>L2_Typo</ability>
      <abilityName>字词错误</abilityName>
      <candidateList>
        <item>品行</item>
      </candidateList>
      <explain>存在发音相同字词的误用。</explain>
      <paraID>40523132</paraID>
      <start>13</start>
      <end>15</end>
      <status>modified</status>
      <modifiedWord>品行</modifiedWord>
      <trackRevisions>false</trackRevisions>
    </reviewItem>
    <reviewItem>
      <errorID>80741513-4540-4520-a4f2-27824802aae1</errorID>
      <errorWord>未经得</errorWord>
      <group>L1_Word</group>
      <groupName>字词问题</groupName>
      <ability>L2_Typo</ability>
      <abilityName>字词错误</abilityName>
      <candidateList>
        <item>未经</item>
      </candidateList>
      <explain/>
      <paraID>2CF1D1FF</paraID>
      <start>17</start>
      <end>19</end>
      <status>modified</status>
      <modifiedWord>未经</modifiedWord>
      <trackRevisions>false</trackRevisions>
    </reviewItem>
    <reviewItem>
      <errorID>249ab560-9fda-4f27-9d7a-d30a09abe0fd</errorID>
      <errorWord>，</errorWord>
      <group>L1_Word</group>
      <groupName>字词问题</groupName>
      <ability>L2_Typo</ability>
      <abilityName>字词错误</abilityName>
      <candidateList>
        <item>，在</item>
      </candidateList>
      <explain/>
      <paraID>1C22F499</paraID>
      <start>29</start>
      <end>31</end>
      <status>modified</status>
      <modifiedWord>，在</modifiedWord>
      <trackRevisions>false</trackRevisions>
    </reviewItem>
    <reviewItem>
      <errorID>1f365f95-14bb-45a4-8149-9c37121a7c88</errorID>
      <errorWord>因</errorWord>
      <group>L1_Word</group>
      <groupName>字词问题</groupName>
      <ability>L2_Typo</ability>
      <abilityName>字词错误</abilityName>
      <candidateList>
        <item>应</item>
      </candidateList>
      <explain/>
      <paraID>560D230D</paraID>
      <start>14</start>
      <end>15</end>
      <status>modified</status>
      <modifiedWord>应</modifiedWord>
      <trackRevisions>false</trackRevisions>
    </reviewItem>
    <reviewItem>
      <errorID>b270fb20-f546-412a-a2ca-f18e5bf8cf00</errorID>
      <errorWord>，</errorWord>
      <group>L1_Word</group>
      <groupName>字词问题</groupName>
      <ability>L2_Typo</ability>
      <abilityName>字词错误</abilityName>
      <candidateList>
        <item>，在</item>
      </candidateList>
      <explain/>
      <paraID>73F28A80</paraID>
      <start>28</start>
      <end>30</end>
      <status>modified</status>
      <modifiedWord>，在</modifiedWord>
      <trackRevisions>false</trackRevisions>
    </reviewItem>
    <reviewItem>
      <errorID>6dca8457-df71-40ea-a4d5-f961f279ef43</errorID>
      <errorWord>中止</errorWord>
      <group>L1_Word</group>
      <groupName>字词问题</groupName>
      <ability>L2_Typo</ability>
      <abilityName>字词错误</abilityName>
      <candidateList>
        <item>终止</item>
      </candidateList>
      <explain>存在发音相同字词的误用。</explain>
      <paraID>41D4AA58</paraID>
      <start>11</start>
      <end>13</end>
      <status>ignored</status>
      <modifiedWord/>
      <trackRevisions>false</trackRevisions>
    </reviewItem>
    <reviewItem>
      <errorID>f5b1744f-a2cd-4732-922d-b3aad8907e38</errorID>
      <errorWord>中止</errorWord>
      <group>L1_Word</group>
      <groupName>字词问题</groupName>
      <ability>L2_Typo</ability>
      <abilityName>字词错误</abilityName>
      <candidateList>
        <item>终止</item>
      </candidateList>
      <explain>存在发音相同字词的误用。</explain>
      <paraID>1E2AEB60</paraID>
      <start>18</start>
      <end>20</end>
      <status>ignored</status>
      <modifiedWord/>
      <trackRevisions>false</trackRevisions>
    </reviewItem>
    <reviewItem>
      <errorID>e774687c-cb41-4ab9-b126-985798ad81e3</errorID>
      <errorWord>履行保证金</errorWord>
      <group>L1_Knowledge</group>
      <groupName>知识性问题</groupName>
      <ability>L2_Term</ability>
      <abilityName>专业术语</abilityName>
      <candidateList>
        <item>履约保证金</item>
      </candidateList>
      <explain/>
      <paraID>7169AD52</paraID>
      <start>37</start>
      <end>42</end>
      <status>modified</status>
      <modifiedWord>履约保证金</modifiedWord>
      <trackRevisions>false</trackRevisions>
    </reviewItem>
    <reviewItem>
      <errorID>02f1dbf0-fc59-4005-a644-4a7785ca9840</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776D268F</paraID>
      <start>45</start>
      <end>47</end>
      <status>modified</status>
      <modifiedWord>其他</modifiedWord>
      <trackRevisions>false</trackRevisions>
    </reviewItem>
    <reviewItem>
      <errorID>86edd542-49b3-4564-b333-a3609256bc90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7BE8585A</paraID>
      <start>23</start>
      <end>24</end>
      <status>ignored</status>
      <modifiedWord/>
      <trackRevisions>false</trackRevisions>
    </reviewItem>
    <reviewItem>
      <errorID>1d3dc31b-17ee-4449-8f29-f7b571959aa8</errorID>
      <errorWord>《政府采购法》</errorWord>
      <group>L1_Word</group>
      <groupName>字词问题</groupName>
      <ability>L2_Typo</ability>
      <abilityName>字词错误</abilityName>
      <candidateList>
        <item>《中华人民共和国政府采购法》</item>
      </candidateList>
      <explain/>
      <paraID>7A402111</paraID>
      <start>107</start>
      <end>121</end>
      <status>modified</status>
      <modifiedWord>《中华人民共和国政府采购法》</modifiedWord>
      <trackRevisions>false</trackRevisions>
    </reviewItem>
    <reviewItem>
      <errorID>516b24ee-db2d-4ea8-9785-ccbf16230529</errorID>
      <errorWord>，</errorWord>
      <group>L1_Word</group>
      <groupName>字词问题</groupName>
      <ability>L2_Typo</ability>
      <abilityName>字词错误</abilityName>
      <candidateList>
        <item>，自</item>
      </candidateList>
      <explain/>
      <paraID>7A402111</paraID>
      <start>273</start>
      <end>275</end>
      <status>modified</status>
      <modifiedWord>，自</modifiedWord>
      <trackRevisions>false</trackRevisions>
    </reviewItem>
    <reviewItem>
      <errorID>7ceaec99-f724-403f-bec8-8848eacecd6a</errorID>
      <errorWord>，</errorWord>
      <group>L1_Word</group>
      <groupName>字词问题</groupName>
      <ability>L2_Typo</ability>
      <abilityName>字词错误</abilityName>
      <candidateList>
        <item>，并</item>
      </candidateList>
      <explain/>
      <paraID>7A402111</paraID>
      <start>284</start>
      <end>286</end>
      <status>modified</status>
      <modifiedWord>，并</modifiedWord>
      <trackRevisions>false</trackRevisions>
    </reviewItem>
    <reviewItem>
      <errorID>25966068-cffc-48b7-8f0e-297cf47bd052</errorID>
      <errorWord>二O</errorWord>
      <group>L1_Knowledge</group>
      <groupName>知识性问题</groupName>
      <ability>L2_Knowledge</ability>
      <abilityName>其他知识</abilityName>
      <candidateList>
        <item>二〇</item>
      </candidateList>
      <explain>中文数字应使用“〇”，而非形似的字符，如“O”。该字符在不同字体下外观可能相似，但含义和编码不同，请注意区分。</explain>
      <paraID>3A45E3D3</paraID>
      <start>0</start>
      <end>2</end>
      <status>modified</status>
      <modifiedWord>二〇</modifiedWord>
      <trackRevisions>false</trackRevisions>
    </reviewItem>
    <reviewItem>
      <errorID>458f6d5f-d37d-4ce3-9d55-24cb3111e56a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552A24ED</paraID>
      <start>0</start>
      <end>2</end>
      <status>ignored</status>
      <modifiedWord/>
      <trackRevisions>false</trackRevisions>
    </reviewItem>
    <reviewItem>
      <errorID>4845e0c5-fb63-41be-869b-9f8e471bde26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3C8B370B</paraID>
      <start>0</start>
      <end>2</end>
      <status>ignored</status>
      <modifiedWord/>
      <trackRevisions>false</trackRevisions>
    </reviewItem>
    <reviewItem>
      <errorID>7e3b1093-6247-4d82-adf2-bb9d699ebacd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4F11C504</paraID>
      <start>0</start>
      <end>2</end>
      <status>ignored</status>
      <modifiedWord/>
      <trackRevisions>false</trackRevisions>
    </reviewItem>
    <reviewItem>
      <errorID>6db31fec-b433-4167-b750-a5ff83f609cc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55194737</paraID>
      <start>0</start>
      <end>2</end>
      <status>ignored</status>
      <modifiedWord/>
      <trackRevisions>false</trackRevisions>
    </reviewItem>
    <reviewItem>
      <errorID>aef9fe05-2443-40f8-bc46-d2eceb0a55f4</errorID>
      <errorWord>......</errorWord>
      <group>L1_Punc</group>
      <groupName>标点问题</groupName>
      <ability>L2_Punc</ability>
      <abilityName>标点符号检查</abilityName>
      <candidateList>
        <item>……</item>
      </candidateList>
      <explain/>
      <paraID>2F1DF3A8</paraID>
      <start>0</start>
      <end>6</end>
      <status>ignored</status>
      <modifiedWord/>
      <trackRevisions>false</trackRevisions>
    </reviewItem>
    <reviewItem>
      <errorID>3595d20a-bdee-4b12-a479-63af68f32eff</errorID>
      <errorWord>：。</errorWord>
      <group>L1_Punc</group>
      <groupName>标点问题</groupName>
      <ability>L2_Punc</ability>
      <abilityName>标点符号检查</abilityName>
      <candidateList>
        <item>：</item>
      </candidateList>
      <explain/>
      <paraID> 64F585E</paraID>
      <start>5</start>
      <end>7</end>
      <status>ignored</status>
      <modifiedWord/>
      <trackRevisions>false</trackRevisions>
    </reviewItem>
    <reviewItem>
      <errorID>feae392b-4848-4092-9e50-a29737241800</errorID>
      <errorWord>：。</errorWord>
      <group>L1_Punc</group>
      <groupName>标点问题</groupName>
      <ability>L2_Punc</ability>
      <abilityName>标点符号检查</abilityName>
      <candidateList>
        <item>：</item>
      </candidateList>
      <explain/>
      <paraID>4A7ED5A3</paraID>
      <start>9</start>
      <end>11</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975747A-1B4E-4CB2-BE03-95EBC9DE3CE6}">
  <ds:schemaRefs/>
</ds:datastoreItem>
</file>

<file path=docProps/app.xml><?xml version="1.0" encoding="utf-8"?>
<Properties xmlns="http://schemas.openxmlformats.org/officeDocument/2006/extended-properties" xmlns:vt="http://schemas.openxmlformats.org/officeDocument/2006/docPropsVTypes">
  <Template>Normal</Template>
  <Company>M</Company>
  <Pages>76</Pages>
  <Words>30111</Words>
  <Characters>31594</Characters>
  <Lines>296</Lines>
  <Paragraphs>83</Paragraphs>
  <TotalTime>0</TotalTime>
  <ScaleCrop>false</ScaleCrop>
  <LinksUpToDate>false</LinksUpToDate>
  <CharactersWithSpaces>31894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2026-06-02T06:12:00Z</dcterms:created>
  <dc:creator>焦</dc:creator>
  <cp:lastModifiedBy>Letani Z.</cp:lastModifiedBy>
  <cp:lastPrinted>2026-07-02T00:56:00Z</cp:lastPrinted>
  <dcterms:modified xsi:type="dcterms:W3CDTF">2026-07-16T06:14:44Z</dcterms:modified>
  <dc:title>公开</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CA3F27F16F3C437BA015C6773513A21E_13</vt:lpwstr>
  </property>
  <property fmtid="{D5CDD505-2E9C-101B-9397-08002B2CF9AE}" pid="4" name="KSOTemplateDocerSaveRecord">
    <vt:lpwstr>eyJoZGlkIjoiNDkwNjVmZWMzZGNjNGQ2MmU4YjQyOGI5ZDgzMWZjOTgiLCJ1c2VySWQiOiI0Mzc5ODcxNzIifQ==</vt:lpwstr>
  </property>
</Properties>
</file>