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62"/>
        <w:ind w:firstLine="0"/>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62"/>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156"/>
          <w:highlight w:val="none"/>
        </w:rPr>
      </w:pPr>
      <w:r>
        <w:rPr>
          <w:rFonts w:hint="eastAsia" w:ascii="宋体" w:hAnsi="宋体" w:eastAsia="宋体" w:cs="宋体"/>
          <w:b w:val="0"/>
          <w:bCs/>
          <w:color w:val="auto"/>
          <w:spacing w:val="76"/>
          <w:sz w:val="156"/>
          <w:highlight w:val="none"/>
        </w:rPr>
        <w:t xml:space="preserve">招标文件</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32"/>
          <w:highlight w:val="none"/>
          <w:lang w:val="en-US" w:eastAsia="zh-CN"/>
        </w:rPr>
      </w:pPr>
      <w:r>
        <w:rPr>
          <w:rFonts w:hint="eastAsia" w:ascii="宋体" w:hAnsi="宋体" w:eastAsia="宋体" w:cs="宋体"/>
          <w:b w:val="0"/>
          <w:bCs/>
          <w:color w:val="auto"/>
          <w:sz w:val="32"/>
          <w:highlight w:val="none"/>
          <w:lang w:val="en-US" w:eastAsia="zh-CN"/>
        </w:rPr>
      </w:r>
      <w:r/>
    </w:p>
    <w:p>
      <w:pPr>
        <w:pStyle w:val="962"/>
        <w:ind w:firstLine="0"/>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strike/>
          <w:color w:val="auto"/>
          <w:sz w:val="32"/>
          <w:highlight w:val="none"/>
          <w:lang w:eastAsia="zh-CN"/>
        </w:rPr>
      </w:pPr>
      <w:r>
        <w:rPr>
          <w:rFonts w:hint="eastAsia" w:ascii="宋体" w:hAnsi="宋体" w:eastAsia="宋体" w:cs="宋体"/>
          <w:b w:val="0"/>
          <w:bCs/>
          <w:color w:val="auto"/>
          <w:sz w:val="32"/>
          <w:highlight w:val="none"/>
        </w:rPr>
        <w:t xml:space="preserve">项目编号：JSZC-320000-HWZX-G2026-0398</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cs="宋体"/>
          <w:b w:val="0"/>
          <w:bCs/>
          <w:color w:val="auto"/>
          <w:sz w:val="32"/>
          <w:highlight w:val="none"/>
          <w:lang w:eastAsia="zh-CN"/>
        </w:rPr>
      </w:pPr>
      <w:r>
        <w:rPr>
          <w:rFonts w:hint="eastAsia" w:ascii="宋体" w:hAnsi="宋体" w:eastAsia="宋体" w:cs="宋体"/>
          <w:b w:val="0"/>
          <w:bCs/>
          <w:color w:val="auto"/>
          <w:sz w:val="32"/>
          <w:highlight w:val="none"/>
        </w:rPr>
        <w:t xml:space="preserve">项目名称：</w:t>
      </w:r>
      <w:r>
        <w:rPr>
          <w:rFonts w:hint="eastAsia" w:ascii="宋体" w:hAnsi="宋体" w:cs="宋体"/>
          <w:b w:val="0"/>
          <w:bCs/>
          <w:color w:val="auto"/>
          <w:sz w:val="32"/>
          <w:highlight w:val="none"/>
          <w:lang w:eastAsia="zh-CN"/>
        </w:rPr>
        <w:t xml:space="preserve">徐医附院基于人工智能的慢性病管理系统采购项目</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color w:val="auto"/>
          <w:sz w:val="32"/>
          <w:highlight w:val="none"/>
          <w:lang w:eastAsia="zh-CN"/>
        </w:rPr>
      </w:pPr>
      <w:r>
        <w:rPr>
          <w:rFonts w:hint="eastAsia" w:ascii="宋体" w:hAnsi="宋体" w:eastAsia="宋体" w:cs="宋体"/>
          <w:b w:val="0"/>
          <w:bCs/>
          <w:color w:val="auto"/>
          <w:sz w:val="32"/>
          <w:highlight w:val="none"/>
        </w:rPr>
        <w:t xml:space="preserve">采 购 人：</w:t>
      </w:r>
      <w:r>
        <w:rPr>
          <w:rFonts w:hint="eastAsia" w:ascii="宋体" w:hAnsi="宋体" w:cs="宋体"/>
          <w:b w:val="0"/>
          <w:bCs/>
          <w:color w:val="auto"/>
          <w:sz w:val="32"/>
          <w:highlight w:val="none"/>
          <w:lang w:eastAsia="zh-CN"/>
        </w:rPr>
        <w:t xml:space="preserve">徐州医科大学附属医院</w:t>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818"/>
        <w:ind w:firstLine="0"/>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both"/>
        <w:spacing w:before="181" w:line="360" w:lineRule="auto"/>
        <w:rPr>
          <w:rFonts w:hint="eastAsia" w:ascii="宋体" w:hAnsi="宋体" w:eastAsia="宋体" w:cs="宋体"/>
          <w:b w:val="0"/>
          <w:bCs/>
          <w:color w:val="auto"/>
          <w:sz w:val="30"/>
          <w:highlight w:val="none"/>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1941195</wp:posOffset>
                </wp:positionH>
                <wp:positionV relativeFrom="paragraph">
                  <wp:posOffset>663575</wp:posOffset>
                </wp:positionV>
                <wp:extent cx="1511935" cy="1033780"/>
                <wp:effectExtent l="0" t="0" r="12065" b="13970"/>
                <wp:wrapTopAndBottom/>
                <wp:docPr id="4"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2.8pt;mso-position-horizontal:absolute;mso-position-vertical-relative:text;margin-top:52.2pt;mso-position-vertical:absolute;width:119.0pt;height:81.4pt;mso-wrap-distance-left:9.0pt;mso-wrap-distance-top:0.0pt;mso-wrap-distance-right:9.0pt;mso-wrap-distance-bottom:0.0pt;" stroked="f">
                <v:path textboxrect="0,0,0,0"/>
                <w10:wrap type="topAndBottom"/>
                <v:imagedata r:id="rId16" o:title=""/>
              </v:shape>
            </w:pict>
          </mc:Fallback>
        </mc:AlternateContent>
      </w:r>
      <w:r/>
    </w:p>
    <w:p>
      <w:pPr>
        <w:jc w:val="center"/>
        <w:spacing w:before="181" w:line="360" w:lineRule="auto"/>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采购代理机构：江苏海外集团国际工程咨询有限公司</w:t>
      </w:r>
      <w:r/>
    </w:p>
    <w:p>
      <w:pPr>
        <w:jc w:val="center"/>
        <w:spacing w:before="181" w:line="36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0"/>
          <w:highlight w:val="none"/>
        </w:rPr>
        <w:t xml:space="preserve">二〇二</w:t>
      </w:r>
      <w:r>
        <w:rPr>
          <w:rFonts w:hint="eastAsia" w:ascii="宋体" w:hAnsi="宋体" w:cs="宋体"/>
          <w:b w:val="0"/>
          <w:bCs/>
          <w:color w:val="auto"/>
          <w:sz w:val="30"/>
          <w:highlight w:val="none"/>
          <w:lang w:val="en-US" w:eastAsia="zh-CN"/>
        </w:rPr>
        <w:t xml:space="preserve">六</w:t>
      </w:r>
      <w:r>
        <w:rPr>
          <w:rFonts w:hint="eastAsia" w:ascii="宋体" w:hAnsi="宋体" w:eastAsia="宋体" w:cs="宋体"/>
          <w:b w:val="0"/>
          <w:bCs/>
          <w:color w:val="auto"/>
          <w:sz w:val="30"/>
          <w:highlight w:val="none"/>
        </w:rPr>
        <w:t xml:space="preserve">年</w:t>
      </w:r>
      <w:r>
        <w:rPr>
          <w:rFonts w:hint="eastAsia" w:ascii="宋体" w:hAnsi="宋体" w:cs="宋体"/>
          <w:b w:val="0"/>
          <w:bCs/>
          <w:color w:val="auto"/>
          <w:sz w:val="30"/>
          <w:highlight w:val="none"/>
          <w:lang w:val="en-US" w:eastAsia="zh-CN"/>
        </w:rPr>
        <w:t xml:space="preserve">七</w:t>
      </w:r>
      <w:r>
        <w:rPr>
          <w:rFonts w:hint="eastAsia" w:ascii="宋体" w:hAnsi="宋体" w:eastAsia="宋体" w:cs="宋体"/>
          <w:b w:val="0"/>
          <w:bCs/>
          <w:color w:val="auto"/>
          <w:sz w:val="30"/>
          <w:highlight w:val="none"/>
        </w:rPr>
        <w:t xml:space="preserve">月</w:t>
      </w:r>
      <w:r/>
    </w:p>
    <w:p>
      <w:pPr>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目 录</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第一章  投标邀请</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第二章  投标人须知</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第三章  投标资料表</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第四章  评标标准</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第五章  拟签订的合同文本</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第六章  采购需求</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第七章  投标文件相关格式</w:t>
      </w:r>
      <w:r>
        <w:rPr>
          <w:rFonts w:hint="eastAsia" w:ascii="宋体" w:hAnsi="宋体" w:eastAsia="宋体" w:cs="宋体"/>
          <w:b w:val="0"/>
          <w:bCs/>
          <w:color w:val="auto"/>
          <w:sz w:val="30"/>
          <w:highlight w:val="none"/>
        </w:rPr>
        <w:fldChar w:fldCharType="end"/>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spacing w:line="519" w:lineRule="atLeast"/>
        <w:rPr>
          <w:rFonts w:hint="eastAsia" w:ascii="宋体" w:hAnsi="宋体" w:cs="宋体"/>
          <w:b w:val="0"/>
          <w:bCs/>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44"/>
          <w:szCs w:val="44"/>
          <w:highlight w:val="none"/>
          <w:lang w:val="en-US" w:eastAsia="zh-CN"/>
        </w:rPr>
        <w:t xml:space="preserve">徐州医科大学附属医院</w:t>
      </w:r>
      <w:r/>
    </w:p>
    <w:p>
      <w:pPr>
        <w:jc w:val="center"/>
        <w:spacing w:line="519" w:lineRule="atLeast"/>
        <w:rPr>
          <w:rFonts w:hint="eastAsia" w:ascii="宋体" w:hAnsi="宋体" w:eastAsia="宋体" w:cs="宋体"/>
          <w:b w:val="0"/>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0"/>
          <w:szCs w:val="40"/>
          <w:highlight w:val="none"/>
        </w:rPr>
        <w:t xml:space="preserve">《</w:t>
      </w:r>
      <w:r>
        <w:rPr>
          <w:rFonts w:hint="eastAsia" w:ascii="宋体" w:hAnsi="宋体" w:cs="宋体"/>
          <w:b w:val="0"/>
          <w:bCs/>
          <w:color w:val="auto"/>
          <w:sz w:val="40"/>
          <w:szCs w:val="40"/>
          <w:highlight w:val="none"/>
          <w:lang w:eastAsia="zh-CN"/>
        </w:rPr>
        <w:t xml:space="preserve">徐医附院基于人工智能的慢性病管理系统采购项目项目</w:t>
      </w:r>
      <w:r>
        <w:rPr>
          <w:rFonts w:hint="eastAsia" w:ascii="宋体" w:hAnsi="宋体" w:eastAsia="宋体" w:cs="宋体"/>
          <w:b w:val="0"/>
          <w:bCs/>
          <w:color w:val="auto"/>
          <w:sz w:val="40"/>
          <w:szCs w:val="40"/>
          <w:highlight w:val="none"/>
        </w:rPr>
        <w:t xml:space="preserve">》</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第二章，投标人须知</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第三章，投标资料表</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第四章，评标标准</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第五章，拟签订的合同文本</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第六章，采购需求</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第七章，投标文件相关格式。</w:t>
      </w:r>
      <w:r/>
    </w:p>
    <w:p>
      <w:pP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第一章  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u w:val="single"/>
        </w:rPr>
        <w:t xml:space="preserve">江苏海外集团国际工程咨询有限公司</w:t>
      </w:r>
      <w:r>
        <w:rPr>
          <w:rFonts w:hint="eastAsia" w:ascii="宋体" w:hAnsi="宋体" w:eastAsia="宋体" w:cs="宋体"/>
          <w:b w:val="0"/>
          <w:bCs/>
          <w:color w:val="auto"/>
          <w:sz w:val="30"/>
          <w:highlight w:val="none"/>
        </w:rPr>
        <w:t xml:space="preserve">对</w:t>
      </w:r>
      <w:r>
        <w:rPr>
          <w:rFonts w:hint="eastAsia" w:ascii="宋体" w:hAnsi="宋体" w:cs="宋体"/>
          <w:b w:val="0"/>
          <w:bCs/>
          <w:color w:val="auto"/>
          <w:sz w:val="30"/>
          <w:highlight w:val="none"/>
          <w:u w:val="single"/>
          <w:lang w:eastAsia="zh-CN"/>
        </w:rPr>
        <w:t xml:space="preserve">徐医附院基于人工智能的慢性病管理系统采购项目</w:t>
      </w:r>
      <w:r>
        <w:rPr>
          <w:rFonts w:hint="eastAsia" w:ascii="宋体" w:hAnsi="宋体" w:cs="宋体"/>
          <w:b w:val="0"/>
          <w:bCs/>
          <w:color w:val="auto"/>
          <w:sz w:val="30"/>
          <w:highlight w:val="none"/>
          <w:u w:val="none"/>
          <w:lang w:val="en-US" w:eastAsia="zh-CN"/>
        </w:rPr>
        <w:t xml:space="preserve">项目</w:t>
      </w:r>
      <w:r>
        <w:rPr>
          <w:rFonts w:hint="eastAsia" w:ascii="宋体" w:hAnsi="宋体" w:eastAsia="宋体" w:cs="宋体"/>
          <w:b w:val="0"/>
          <w:bCs/>
          <w:color w:val="auto"/>
          <w:sz w:val="30"/>
          <w:highlight w:val="none"/>
        </w:rPr>
        <w:t xml:space="preserve">进行公开招标采购，现邀请符合相关条件的供应商投标。</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一、项目名称和项目编号</w:t>
      </w:r>
      <w:r/>
    </w:p>
    <w:p>
      <w:pPr>
        <w:ind w:firstLine="300"/>
        <w:spacing w:line="51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w:t>
      </w:r>
      <w:r>
        <w:rPr>
          <w:rFonts w:hint="eastAsia" w:ascii="宋体" w:hAnsi="宋体" w:cs="宋体"/>
          <w:b w:val="0"/>
          <w:bCs/>
          <w:color w:val="auto"/>
          <w:sz w:val="30"/>
          <w:highlight w:val="none"/>
          <w:lang w:eastAsia="zh-CN"/>
        </w:rPr>
        <w:t xml:space="preserve">徐医附院基于人工智能的慢性病管理系统采购项目</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(二)项目编号：JSZC-320000-HWZX-G2026-0398</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二、对投标人的资格要求</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详见本项目公开招标公告。</w:t>
      </w:r>
      <w:r/>
    </w:p>
    <w:p>
      <w:pPr>
        <w:ind w:firstLine="301"/>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三、获取招标文件</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w:t>
      </w:r>
      <w:r/>
    </w:p>
    <w:p>
      <w:pPr>
        <w:ind w:firstLine="300"/>
        <w:jc w:val="left"/>
        <w:keepLines w:val="0"/>
        <w:keepNext w:val="0"/>
        <w:pageBreakBefore w:val="0"/>
        <w:spacing w:line="519" w:lineRule="atLeast"/>
        <w:widowControl w:val="off"/>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（2）潜在供应商访问“苏采云”系统的网络地址和方法：“苏采云”系统的网址：http://jszfcg.jsczt.cn/；或进入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政府采购网（网址：</w:t>
      </w:r>
      <w:r>
        <w:rPr>
          <w:rFonts w:hint="eastAsia" w:ascii="宋体" w:hAnsi="宋体" w:cs="宋体"/>
          <w:b w:val="0"/>
          <w:bCs/>
          <w:color w:val="auto"/>
          <w:sz w:val="30"/>
          <w:highlight w:val="none"/>
          <w:lang w:eastAsia="zh-CN"/>
        </w:rPr>
        <w:t xml:space="preserve">http://www.ccgp-jiangsu.gov.cn/</w:t>
      </w:r>
      <w:r>
        <w:rPr>
          <w:rFonts w:hint="eastAsia" w:ascii="宋体" w:hAnsi="宋体" w:eastAsia="宋体" w:cs="宋体"/>
          <w:b w:val="0"/>
          <w:bCs/>
          <w:color w:val="auto"/>
          <w:sz w:val="30"/>
          <w:highlight w:val="none"/>
        </w:rPr>
        <w:t xml:space="preserve">）--办事指南--供应商--供应商进入，点击“苏采云”进入系统。</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（3）“CA数字证书”的获取：</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--下载专区”中的《江苏省政府采购数字证书数字证书CA及电子签章办理指南》。</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4</w:t>
      </w:r>
      <w:r>
        <w:rPr>
          <w:rFonts w:hint="eastAsia" w:ascii="宋体" w:hAnsi="宋体" w:eastAsia="宋体" w:cs="宋体"/>
          <w:b w:val="0"/>
          <w:bCs/>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--下载专区，点击进入《江苏省政府采购管理交易系统（苏采云）供应商操作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，进行下载。</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w:t>
      </w:r>
      <w:r>
        <w:rPr>
          <w:rFonts w:hint="eastAsia" w:ascii="宋体" w:hAnsi="宋体" w:eastAsia="宋体" w:cs="宋体"/>
          <w:b w:val="0"/>
          <w:bCs/>
          <w:color w:val="auto"/>
          <w:sz w:val="30"/>
          <w:highlight w:val="none"/>
          <w:lang w:val="en-US" w:eastAsia="zh-CN"/>
        </w:rPr>
        <w:t xml:space="preserve">售价：免费。</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四、投标有关信息</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（一）投标截止时间：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8</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11</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（二）开标时间：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8</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11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（三）开标地点：“苏采云”系统“开标大厅”或进入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供应商进入</w:t>
      </w:r>
      <w:r>
        <w:rPr>
          <w:rFonts w:hint="eastAsia" w:ascii="宋体" w:hAnsi="宋体" w:eastAsia="宋体" w:cs="宋体"/>
          <w:b w:val="0"/>
          <w:bCs/>
          <w:color w:val="auto"/>
          <w:sz w:val="30"/>
          <w:highlight w:val="none"/>
        </w:rPr>
        <w:t xml:space="preserve">，点击“苏采云”进入系统“开标大厅”。</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w:t>
      </w:r>
      <w:r>
        <w:rPr>
          <w:rFonts w:hint="eastAsia" w:ascii="宋体" w:hAnsi="宋体" w:cs="宋体"/>
          <w:b w:val="0"/>
          <w:bCs/>
          <w:color w:val="auto"/>
          <w:sz w:val="30"/>
          <w:highlight w:val="none"/>
          <w:lang w:eastAsia="zh-CN"/>
        </w:rPr>
        <w:t xml:space="preserve">徐州医科大学附属医院</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（二）地址：徐州市淮海西路99号</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陈老师</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eastAsia="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0516-85806002</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六、采购代理机构</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（一）名称：江苏海外集团国际工程咨询有限公司</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（二）地址：江苏省徐州市泉山区金山东路北侧徐州软件园C-11号楼1011室</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韩镇阳、张晴</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：0516-83999</w:t>
      </w:r>
      <w:r>
        <w:rPr>
          <w:rFonts w:hint="eastAsia" w:ascii="宋体" w:hAnsi="宋体" w:cs="宋体"/>
          <w:b w:val="0"/>
          <w:bCs/>
          <w:color w:val="auto"/>
          <w:sz w:val="30"/>
          <w:highlight w:val="none"/>
          <w:lang w:val="en-US" w:eastAsia="zh-CN"/>
        </w:rPr>
        <w:t xml:space="preserve">206</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val="0"/>
          <w:bCs/>
          <w:color w:val="auto"/>
          <w:sz w:val="30"/>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第二章 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一、总则</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（六）投标人的资格条件：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2.投标人授权代表系指法定代表人或受法人委托的受托人。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（八）招标文件应包括以下内容：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第一章，投标邀请；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第二章，投标人须知；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第三章，投标资料表；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第四章，评标标准；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第五章，拟签订的合同文本；</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第六章，采购需求；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第七章，投标文件相关格式。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（九）招标文件澄清或者修改：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2.现场考察以本文件第三章《投标资料表》中的要求为准。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3.开标前答疑会以本文件第三章《投标资料表》中的要求为准。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三、投标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（十二）投标文件的构成：</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1.投标文件的构成以本文件第三章《投标资料表》中的要求为准。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（十三）投标函和价格表、商务条件、交货和提供服务的时间：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2.商务条件以本文件第三章《投标资料表》中的要求为准。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（十四）投标报价要求：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1.投标人应按照招标文件的要求报出分项价格和总价。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3.采购人不支付报价以外的任何费用。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（十五）投标货币。以本文件第三章《投标资料表》中所提要求为准。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（十六）投标有效期：</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（1）投标人应由其法定代表人或法定代表人授权代表在规定的网上投标时间，凭 CA 证书</w:t>
      </w:r>
      <w:r>
        <w:rPr>
          <w:rFonts w:hint="eastAsia" w:ascii="宋体" w:hAnsi="宋体" w:eastAsia="宋体" w:cs="宋体"/>
          <w:b w:val="0"/>
          <w:bCs/>
          <w:color w:val="auto"/>
          <w:sz w:val="30"/>
          <w:highlight w:val="none"/>
          <w:lang w:eastAsia="zh-CN"/>
        </w:rPr>
        <w:t xml:space="preserve">登录</w:t>
      </w:r>
      <w:r>
        <w:rPr>
          <w:rFonts w:hint="eastAsia" w:ascii="宋体" w:hAnsi="宋体" w:eastAsia="宋体" w:cs="宋体"/>
          <w:b w:val="0"/>
          <w:bCs/>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（十八）投标文件的盖章要求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（二十二）本项目不允许分包。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12.不具备招标文件中规定的资格要求的；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14.投标文件含有采购人不能接受的附加条件的；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15.法律、法规和招标文件规定的其他无效情形。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（二十五）开标：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2.投标人不足3家的，不得开标。</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3.开标过程由采购代理机构负责记录。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投标人未参加开标的，视同认可开标结果。</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w:t>
      </w:r>
      <w:r>
        <w:rPr>
          <w:rFonts w:hint="eastAsia" w:ascii="宋体" w:hAnsi="宋体" w:cs="宋体"/>
          <w:b w:val="0"/>
          <w:bCs/>
          <w:color w:val="auto"/>
          <w:sz w:val="30"/>
          <w:highlight w:val="none"/>
          <w:lang w:val="en-US" w:eastAsia="zh-CN"/>
        </w:rPr>
        <w:t xml:space="preserve">.</w:t>
      </w:r>
      <w:r>
        <w:rPr>
          <w:rFonts w:hint="eastAsia" w:ascii="宋体" w:hAnsi="宋体" w:eastAsia="宋体" w:cs="宋体"/>
          <w:b w:val="0"/>
          <w:bCs/>
          <w:color w:val="auto"/>
          <w:sz w:val="30"/>
          <w:highlight w:val="none"/>
        </w:rPr>
        <w:t xml:space="preserve">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1.评标工作由采购代理机构负责组织，并履行下列职责：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w:t>
      </w:r>
      <w:r>
        <w:rPr>
          <w:rFonts w:hint="eastAsia" w:ascii="宋体" w:hAnsi="宋体" w:eastAsia="宋体" w:cs="宋体"/>
          <w:b w:val="0"/>
          <w:bCs/>
          <w:strike w:val="0"/>
          <w:color w:val="auto"/>
          <w:sz w:val="30"/>
          <w:highlight w:val="none"/>
        </w:rPr>
        <w:t xml:space="preserve">核对评审专家身份和采购人代表授权函，</w:t>
      </w:r>
      <w:r>
        <w:rPr>
          <w:rFonts w:hint="eastAsia" w:ascii="宋体" w:hAnsi="宋体" w:eastAsia="宋体" w:cs="宋体"/>
          <w:b w:val="0"/>
          <w:bCs/>
          <w:color w:val="auto"/>
          <w:sz w:val="30"/>
          <w:highlight w:val="none"/>
        </w:rPr>
        <w:t xml:space="preserve">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（2）宣布评标纪律；</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（3）公布投标人名单，告知评审专家应当回避的情形；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（4）组织评标委员会推选评标组长（采购人代表不得担任组长）；</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（6）根据评标委员会的要求介绍政府采购相关政策法规、招标文件；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（8）核对评标结果，对有《</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"http://www.caigou2003.com/" \o "http://www.caigou2003.com/"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政府采购</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（10）处理与评标有关的其他事项。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2.评标委员会负责具体评标事务，并独立履行下列职责：</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（2）要求投标人对投标文件有关事项作出澄清或者说明；</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（3）对投标文件进行比较和评价；</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（4）确定中标候选人名单，以及根据采购人委托直接确定</w:t>
      </w:r>
      <w:r>
        <w:rPr>
          <w:rFonts w:hint="eastAsia" w:ascii="宋体" w:hAnsi="宋体" w:eastAsia="宋体" w:cs="宋体"/>
          <w:b w:val="0"/>
          <w:bCs/>
          <w:color w:val="auto"/>
          <w:sz w:val="30"/>
          <w:highlight w:val="none"/>
          <w:lang w:eastAsia="zh-CN"/>
        </w:rPr>
        <w:t xml:space="preserve">中标供应商</w:t>
      </w:r>
      <w:r>
        <w:rPr>
          <w:rFonts w:hint="eastAsia" w:ascii="宋体" w:hAnsi="宋体" w:eastAsia="宋体" w:cs="宋体"/>
          <w:b w:val="0"/>
          <w:bCs/>
          <w:color w:val="auto"/>
          <w:sz w:val="30"/>
          <w:highlight w:val="none"/>
        </w:rPr>
        <w:t xml:space="preserve">；</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（二十七）</w:t>
      </w:r>
      <w:r>
        <w:rPr>
          <w:rFonts w:hint="eastAsia" w:ascii="宋体" w:hAnsi="宋体" w:cs="宋体"/>
          <w:b w:val="0"/>
          <w:bCs/>
          <w:color w:val="auto"/>
          <w:sz w:val="30"/>
          <w:highlight w:val="none"/>
          <w:lang w:eastAsia="zh-CN"/>
        </w:rPr>
        <w:t xml:space="preserve">本项目</w:t>
      </w:r>
      <w:r>
        <w:rPr>
          <w:rFonts w:hint="eastAsia" w:ascii="宋体" w:hAnsi="宋体" w:eastAsia="宋体" w:cs="宋体"/>
          <w:b w:val="0"/>
          <w:bCs/>
          <w:color w:val="auto"/>
          <w:sz w:val="30"/>
          <w:highlight w:val="none"/>
        </w:rPr>
        <w:t xml:space="preserve">评标方法为综合评分法。</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（二十八）评标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1.评标工作程序：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（1）投标文件初审。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①资格审查。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②符合性审查。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（2）澄清有关问题。</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（3）比较与评价。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（4）推荐中标候选供应商名单。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（5）编写评审报告（评标报告）。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3.采用</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"http://lilun.caigou2003.com/recijiedu/2365667.html" \o "http://lilun.caigou2003.com/recijiedu/2365667.html"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综合评分法</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（二十九）投标文件报价出现前后不一致的，按照下列规定修正：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2.大写金额和小写金额不一致的，以大写金额为准；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过程中出现下列情形之一的，评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委员会应当启动异常低价投标审查程序：</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3.投标报价低于采购项目最高限价65%的，即投标报价&lt;采购项目最高限价×65%；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cs="宋体"/>
          <w:color w:val="auto"/>
          <w:sz w:val="30"/>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（三十二）废标条款：</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出现下列情形之一的，应予废标。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2.出现影响采购公正的违法、违规行为的；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3.投标人的报价均超过了采购预算，采购人不能支付的；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4.因重大变故，采购任务取消的。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六、定标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七、政府采购合同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（三十六）签订政府采购合同（合同签订方式）：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（三十九）腐败和欺诈行为：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（1）腐败和欺诈行为的含义：</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②“欺诈行为”系指为了影响招标、采购和合同执行等过程，隐瞒事实</w:t>
      </w:r>
      <w:r>
        <w:rPr>
          <w:rFonts w:hint="eastAsia" w:ascii="宋体" w:hAnsi="宋体" w:eastAsia="宋体" w:cs="宋体"/>
          <w:b w:val="0"/>
          <w:bCs/>
          <w:color w:val="auto"/>
          <w:sz w:val="30"/>
          <w:highlight w:val="none"/>
          <w:lang w:val="en-US" w:eastAsia="zh-CN"/>
        </w:rPr>
        <w:t xml:space="preserve">真相</w:t>
      </w:r>
      <w:r>
        <w:rPr>
          <w:rFonts w:hint="eastAsia" w:ascii="宋体" w:hAnsi="宋体" w:eastAsia="宋体" w:cs="宋体"/>
          <w:b w:val="0"/>
          <w:bCs/>
          <w:color w:val="auto"/>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b w:val="0"/>
          <w:bCs/>
          <w:color w:val="auto"/>
          <w:sz w:val="30"/>
          <w:highlight w:val="none"/>
          <w:lang w:val="en-US" w:eastAsia="zh-CN"/>
        </w:rPr>
        <w:t xml:space="preserve">撤销</w:t>
      </w:r>
      <w:r>
        <w:rPr>
          <w:rFonts w:hint="eastAsia" w:ascii="宋体" w:hAnsi="宋体" w:eastAsia="宋体" w:cs="宋体"/>
          <w:b w:val="0"/>
          <w:bCs/>
          <w:color w:val="auto"/>
          <w:sz w:val="30"/>
          <w:highlight w:val="none"/>
        </w:rPr>
        <w:t xml:space="preserve">其已签署的合同。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八、询问和质疑</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（四十）询问和质疑</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72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highlight w:val="none"/>
        </w:rPr>
        <w:br w:type="page" w:clear="all"/>
      </w:r>
      <w:r>
        <w:rPr>
          <w:rFonts w:hint="eastAsia" w:ascii="宋体" w:hAnsi="宋体" w:eastAsia="宋体" w:cs="宋体"/>
          <w:b w:val="0"/>
          <w:bCs/>
          <w:color w:val="auto"/>
          <w:sz w:val="30"/>
          <w:highlight w:val="none"/>
        </w:rPr>
        <w:t xml:space="preserve">第三章 投标资料表</w:t>
      </w:r>
      <w:r/>
    </w:p>
    <w:p>
      <w:pPr>
        <w:jc w:val="both"/>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60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本项目采购人：</w:t>
            </w:r>
            <w:r>
              <w:rPr>
                <w:rFonts w:hint="eastAsia" w:ascii="宋体" w:hAnsi="宋体" w:cs="宋体"/>
                <w:b w:val="0"/>
                <w:bCs/>
                <w:color w:val="auto"/>
                <w:sz w:val="28"/>
                <w:szCs w:val="28"/>
                <w:highlight w:val="none"/>
                <w:lang w:eastAsia="zh-CN"/>
              </w:rPr>
              <w:t xml:space="preserve">徐州医科大学附属医院</w:t>
            </w:r>
            <w:r/>
          </w:p>
        </w:tc>
      </w:tr>
      <w:tr>
        <w:trPr>
          <w:jc w:val="center"/>
          <w:trHeight w:val="36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投标人的资格条件：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一、符合《中华人民共和国政府采购法》第二十二条的规定；</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rPr>
              <w:t xml:space="preserve">本项目</w:t>
            </w:r>
            <w:r>
              <w:rPr>
                <w:rFonts w:hint="eastAsia" w:ascii="宋体" w:hAnsi="宋体" w:cs="宋体"/>
                <w:b w:val="0"/>
                <w:bCs/>
                <w:color w:val="auto"/>
                <w:sz w:val="28"/>
                <w:szCs w:val="28"/>
                <w:highlight w:val="none"/>
                <w:lang w:val="en-US" w:eastAsia="zh-CN"/>
              </w:rPr>
              <w:t xml:space="preserve">不</w:t>
            </w:r>
            <w:r>
              <w:rPr>
                <w:rFonts w:hint="eastAsia" w:ascii="宋体" w:hAnsi="宋体" w:eastAsia="宋体" w:cs="宋体"/>
                <w:b w:val="0"/>
                <w:bCs/>
                <w:color w:val="auto"/>
                <w:sz w:val="28"/>
                <w:szCs w:val="28"/>
                <w:highlight w:val="none"/>
              </w:rPr>
              <w:t xml:space="preserve">属于专门面向中小企业采购的项目</w:t>
            </w:r>
            <w:r>
              <w:rPr>
                <w:rFonts w:hint="eastAsia" w:ascii="宋体" w:hAnsi="宋体" w:cs="宋体"/>
                <w:b w:val="0"/>
                <w:bCs/>
                <w:color w:val="auto"/>
                <w:sz w:val="28"/>
                <w:szCs w:val="28"/>
                <w:highlight w:val="none"/>
                <w:lang w:eastAsia="zh-CN"/>
              </w:rPr>
              <w:t xml:space="preserve">；</w:t>
            </w:r>
            <w:r/>
          </w:p>
          <w:p>
            <w:pPr>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w:t>
            </w:r>
            <w:r>
              <w:rPr>
                <w:rFonts w:hint="eastAsia" w:ascii="宋体" w:hAnsi="宋体" w:cs="宋体"/>
                <w:color w:val="auto"/>
                <w:sz w:val="28"/>
                <w:szCs w:val="28"/>
                <w:highlight w:val="none"/>
              </w:rPr>
              <w:t xml:space="preserve">本项目不接受进口产品投标，如为进口产品，作无效投标处理</w:t>
            </w:r>
            <w:r>
              <w:rPr>
                <w:rFonts w:hint="eastAsia" w:ascii="宋体" w:hAnsi="宋体" w:cs="宋体"/>
                <w:color w:val="auto"/>
                <w:sz w:val="28"/>
                <w:szCs w:val="28"/>
                <w:highlight w:val="none"/>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同时明确相关事项如下：</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1、本项目不接受联合体参与采购活动。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四</w:t>
            </w:r>
            <w:r>
              <w:rPr>
                <w:rFonts w:hint="eastAsia" w:ascii="宋体" w:hAnsi="宋体" w:eastAsia="宋体" w:cs="宋体"/>
                <w:b w:val="0"/>
                <w:bCs/>
                <w:color w:val="auto"/>
                <w:sz w:val="28"/>
                <w:szCs w:val="28"/>
                <w:highlight w:val="none"/>
              </w:rPr>
              <w:t xml:space="preserve">、查询及使用供应商信用记录：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(一)由采购人查询信用信息。</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(二)查询渠道包括：</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1、“信用中国”网（www.creditchina.gov.cn）；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2、中国政府采购网（www.ccgp.gov.cn）；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3、“信用江苏”网（http://credit.jiangsu.gov.cn/）；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4、“信用中国(江苏徐州)”网（http://www.xuzhoucredit.gov.cn）；</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(三)截止时点（查询环节）：开标后资格审查结束前。</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(四)信用信息查询记录和证据留存的具体方式：网页截屏打印，与其他采购文件一并保存。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(五)信用信息的使用规则：</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w:t>
            </w:r>
            <w:r/>
          </w:p>
        </w:tc>
      </w:tr>
      <w:tr>
        <w:trPr>
          <w:jc w:val="center"/>
          <w:trHeight w:val="1893"/>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(八)1</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(十二)1</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线上投标文件编制要求：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请按照以下要求（包括但不限于以下要求）制作：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一、基本目录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1、《投标函》。（加盖电子签章，政府采购客户端工具输入报价自动生成）。</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2、《授权委托书》。要求加盖电子签章，格式见本文件第七章《投标文件相关格式》（必须提供，否则在符合性审查时按照投标无效处理）。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3、所投产品的环境标志产品认证证书原件的扫描件（如有）。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（2）环境标志产品认证证书是否符合要求，采购人评标时查询中国政府采购网（www.ccgp.gov.cn）相关内容后确定。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4、所投产品的节能产品认证证书原件的扫描件（如有）。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（2）节能产品认证证书是否符合要求，采购人评标时查询中国政府采购网（www.ccgp.gov.cn）相关内容后确定。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二、资格条件（必须提供，否则投标无效）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(一)投标人合法有效的营业执照扫描件，或事业单位法人证书扫描件，或民办非企业单位登记证书扫描件；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三</w:t>
            </w:r>
            <w:r>
              <w:rPr>
                <w:rFonts w:hint="eastAsia" w:ascii="宋体" w:hAnsi="宋体" w:eastAsia="宋体" w:cs="宋体"/>
                <w:b w:val="0"/>
                <w:bCs/>
                <w:color w:val="auto"/>
                <w:sz w:val="28"/>
                <w:szCs w:val="28"/>
                <w:highlight w:val="none"/>
              </w:rPr>
              <w:t xml:space="preserve">）投标人资格承诺，加盖电子签章，格式见本文件第七章《投标文件相关格式》。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三、符合条件（必须提供，否则投标无效）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(一)报价</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1、《开标一览表》。（加盖电子签章，政府采购客户端工具输入报价自动生成）。</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2、《分项价格表》。加盖电子签章，格式见本文件第七章《投标文件相关格式》（必须提供，否则在符合性审查时按照投标无效处理）。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（二）商务资信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商务</w:t>
            </w:r>
            <w:r>
              <w:rPr>
                <w:rFonts w:hint="eastAsia" w:ascii="宋体" w:hAnsi="宋体" w:eastAsia="宋体" w:cs="宋体"/>
                <w:b w:val="0"/>
                <w:bCs/>
                <w:color w:val="auto"/>
                <w:sz w:val="28"/>
                <w:szCs w:val="28"/>
                <w:highlight w:val="none"/>
              </w:rPr>
              <w:t xml:space="preserve">偏离表》</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、《授权委托书》。加盖电子签章，格式见本文件第七章《投标文件相关格式》（必须提供，否则在符合性审查时按照投标无效处理）。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4、法律、法规和招标文件规定的无效情形。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（三）技术响应</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技术</w:t>
            </w:r>
            <w:r>
              <w:rPr>
                <w:rFonts w:hint="eastAsia" w:ascii="宋体" w:hAnsi="宋体" w:eastAsia="宋体" w:cs="宋体"/>
                <w:b w:val="0"/>
                <w:bCs/>
                <w:color w:val="auto"/>
                <w:sz w:val="28"/>
                <w:szCs w:val="28"/>
                <w:highlight w:val="none"/>
              </w:rPr>
              <w:t xml:space="preserve">偏离表》</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四、综合评审评分项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（一）技术部分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1、所投产品的技术规格（要求见招标文件第六章《采购需求》及第四章《评标标准》中《评分细则》）；</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2、所投产品质量、性能评价</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技术</w:t>
            </w:r>
            <w:r>
              <w:rPr>
                <w:rFonts w:hint="eastAsia" w:ascii="宋体" w:hAnsi="宋体" w:eastAsia="宋体" w:cs="宋体"/>
                <w:b w:val="0"/>
                <w:bCs/>
                <w:color w:val="auto"/>
                <w:sz w:val="28"/>
                <w:szCs w:val="28"/>
                <w:highlight w:val="none"/>
              </w:rPr>
              <w:t xml:space="preserve">实施方案（要求见招标文件第六章《采购需求》及第四章《评标标准》中《评分细则》）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rPr>
              <w:t xml:space="preserve">项目实施方案（要求见招标文件第六章《采购需求》及第四章《评标标准》中《评分细则》）；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5、售后服务方案</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、评分细则中评分得分需提供的相关证明文件扫描件。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（二）商务部分</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1、所投产品为“环境标志产品”</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2、所投产品为“节能产品”</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3、投标人业绩</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28"/>
                <w:szCs w:val="28"/>
                <w:highlight w:val="none"/>
                <w:lang w:eastAsia="zh-CN"/>
              </w:rPr>
              <w:t xml:space="preserve">其他</w:t>
            </w:r>
            <w:r>
              <w:rPr>
                <w:rFonts w:hint="eastAsia" w:ascii="宋体" w:hAnsi="宋体" w:eastAsia="宋体" w:cs="宋体"/>
                <w:b w:val="0"/>
                <w:bCs/>
                <w:color w:val="auto"/>
                <w:sz w:val="28"/>
                <w:szCs w:val="28"/>
                <w:highlight w:val="none"/>
              </w:rPr>
              <w:t xml:space="preserve">证明文件及材料扫描件。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五、其他部分</w:t>
            </w:r>
            <w:r/>
          </w:p>
          <w:p>
            <w:pPr>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一</w:t>
            </w:r>
            <w:r>
              <w:rPr>
                <w:rFonts w:hint="eastAsia" w:ascii="宋体" w:hAnsi="宋体" w:cs="宋体"/>
                <w:b/>
                <w:bCs w:val="0"/>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color w:val="auto"/>
                <w:sz w:val="28"/>
                <w:highlight w:val="none"/>
              </w:rPr>
              <w:t xml:space="preserve">（请填写完整，如不填写完整或未按要求填写的，视为</w:t>
            </w:r>
            <w:r>
              <w:rPr>
                <w:rFonts w:hint="eastAsia" w:ascii="宋体" w:hAnsi="宋体" w:cs="宋体"/>
                <w:color w:val="auto"/>
                <w:sz w:val="28"/>
                <w:highlight w:val="none"/>
                <w:lang w:val="en-US" w:eastAsia="zh-CN"/>
              </w:rPr>
              <w:t xml:space="preserve">非本国产品</w:t>
            </w:r>
            <w:r>
              <w:rPr>
                <w:rFonts w:ascii="宋体" w:hAnsi="宋体" w:eastAsia="宋体" w:cs="宋体"/>
                <w:color w:val="auto"/>
                <w:sz w:val="28"/>
                <w:highlight w:val="none"/>
              </w:rPr>
              <w:t xml:space="preserve">）</w:t>
            </w:r>
            <w:r>
              <w:rPr>
                <w:rFonts w:hint="eastAsia" w:ascii="宋体" w:hAnsi="宋体" w:cs="宋体"/>
                <w:b/>
                <w:bCs w:val="0"/>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注：中国境内生产的组件成本核算基本规则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）企业报价折扣证明：</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本项目不属于专门面向中小微企业采购的项目。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投标人提供的货物全部由符合政策要求的：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1、投标人所投产品全部为小微企业制造，投标文件中提供《中小企业声明函》（加盖电子签章，格式见招标文件第七章《投标文件相关格式》）（如提供请填写完整，如不填写完整或未按要求填写的，视为</w:t>
            </w:r>
            <w:r>
              <w:rPr>
                <w:rFonts w:hint="eastAsia" w:ascii="宋体" w:hAnsi="宋体" w:cs="宋体"/>
                <w:b w:val="0"/>
                <w:bCs/>
                <w:color w:val="auto"/>
                <w:sz w:val="28"/>
                <w:szCs w:val="28"/>
                <w:highlight w:val="none"/>
                <w:lang w:val="en-US" w:eastAsia="zh-CN"/>
              </w:rPr>
              <w:t xml:space="preserve">非小微企业。</w:t>
            </w:r>
            <w:r>
              <w:rPr>
                <w:rFonts w:hint="eastAsia" w:ascii="宋体" w:hAnsi="宋体" w:eastAsia="宋体" w:cs="宋体"/>
                <w:b w:val="0"/>
                <w:bCs/>
                <w:color w:val="auto"/>
                <w:sz w:val="28"/>
                <w:szCs w:val="28"/>
                <w:highlight w:val="none"/>
              </w:rPr>
              <w:t xml:space="preserve">非必须提供）。《中小企业声明函》查询渠道用微信搜索“中小企业规模类型自测小程序”。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2、所投产品全部为监狱企业制造的，提供省级以上监狱管理局、戒毒管理局（含新疆生产建设兵团）出具的属于监狱企业的证明文件原件的扫描件。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注：具体以《财政部 司法部关于政府采购支持监狱企业发展有关问题的通知》（财库〔2014〕68号）的规定为准。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3、所投产品全部为享受政府采购支持政策的残疾人福利性单位制造的，提供《残疾人福利性单位声明函》（加盖电子签章，格式见招标文件第七章《投标文件相关格式》）。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享受政府采购支持政策的残疾人福利性单位应当同时满足以下条件：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①安置的残疾人占本单位在职职工人数的比例不低于25%（含25%），并且安置的残疾人人数不少于10人（含10人）；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②依法与安置的每位残疾人签订了一年以上（含一年）的劳动合同或服务协议；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具体以《三部门联合发布关于促进残疾人就业政府采购政策的通知》（财库〔2017〕141号）规定为准。</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商务条件见：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一、本文件第四章《评标标准》中《评分细则》。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交货和提供服务的时间：见本文件第五章 《拟签订的合同文本》及本文件第六章《采购需求》。</w:t>
            </w:r>
            <w:r/>
          </w:p>
        </w:tc>
      </w:tr>
      <w:tr>
        <w:trPr>
          <w:jc w:val="center"/>
          <w:trHeight w:val="18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本项目预算金额</w:t>
            </w:r>
            <w:r>
              <w:rPr>
                <w:rFonts w:hint="eastAsia" w:ascii="宋体" w:hAnsi="宋体" w:cs="宋体"/>
                <w:b w:val="0"/>
                <w:bCs/>
                <w:color w:val="auto"/>
                <w:sz w:val="28"/>
                <w:szCs w:val="28"/>
                <w:highlight w:val="none"/>
                <w:lang w:val="en-US" w:eastAsia="zh-CN"/>
              </w:rPr>
              <w:t xml:space="preserve">为</w:t>
            </w:r>
            <w:r>
              <w:rPr>
                <w:rFonts w:hint="eastAsia" w:ascii="宋体" w:hAnsi="宋体" w:eastAsia="宋体" w:cs="宋体"/>
                <w:b w:val="0"/>
                <w:bCs/>
                <w:color w:val="auto"/>
                <w:sz w:val="28"/>
                <w:szCs w:val="28"/>
                <w:highlight w:val="none"/>
              </w:rPr>
              <w:t xml:space="preserve">人民币</w:t>
            </w:r>
            <w:r>
              <w:rPr>
                <w:rFonts w:hint="eastAsia" w:ascii="宋体" w:hAnsi="宋体" w:cs="宋体"/>
                <w:b w:val="0"/>
                <w:bCs/>
                <w:color w:val="auto"/>
                <w:sz w:val="28"/>
                <w:szCs w:val="28"/>
                <w:highlight w:val="none"/>
                <w:lang w:val="en-US" w:eastAsia="zh-CN"/>
              </w:rPr>
              <w:t xml:space="preserve">100.00</w:t>
            </w:r>
            <w:r>
              <w:rPr>
                <w:rFonts w:hint="eastAsia" w:ascii="宋体" w:hAnsi="宋体" w:eastAsia="宋体" w:cs="宋体"/>
                <w:b w:val="0"/>
                <w:bCs/>
                <w:color w:val="auto"/>
                <w:sz w:val="28"/>
                <w:szCs w:val="28"/>
                <w:highlight w:val="none"/>
              </w:rPr>
              <w:t xml:space="preserve">万元</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lang w:val="en-US" w:eastAsia="zh-CN"/>
              </w:rPr>
              <w:t xml:space="preserve">最高限价为100.00万元，不接受超过人民币100.00万元的投标报价。</w:t>
            </w:r>
            <w:r/>
          </w:p>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报价包括项目配置所有软件、项目实施过程中的必要指导、现状调研、差旅、利润、税费、运费、安装调试、检验、保险、售后运维、项目服务、技术支持与培训等以及完成该项目过程中所涉及到的不可预见费及其他一切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以人民币报价。</w:t>
            </w:r>
            <w:r/>
          </w:p>
        </w:tc>
      </w:tr>
      <w:tr>
        <w:trPr>
          <w:jc w:val="center"/>
          <w:trHeight w:val="455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w:t>
            </w:r>
            <w:r>
              <w:rPr>
                <w:rFonts w:hint="eastAsia" w:ascii="宋体" w:hAnsi="宋体" w:cs="宋体"/>
                <w:b w:val="0"/>
                <w:bCs/>
                <w:color w:val="auto"/>
                <w:sz w:val="28"/>
                <w:szCs w:val="28"/>
                <w:highlight w:val="none"/>
                <w:lang w:val="en-US" w:eastAsia="zh-CN"/>
              </w:rPr>
              <w:t xml:space="preserve">江苏</w:t>
            </w:r>
            <w:r>
              <w:rPr>
                <w:rFonts w:hint="eastAsia" w:ascii="宋体" w:hAnsi="宋体" w:eastAsia="宋体" w:cs="宋体"/>
                <w:b w:val="0"/>
                <w:bCs/>
                <w:color w:val="auto"/>
                <w:sz w:val="28"/>
                <w:szCs w:val="28"/>
                <w:highlight w:val="none"/>
              </w:rPr>
              <w:t xml:space="preserve">政府采购网--</w:t>
            </w:r>
            <w:r>
              <w:rPr>
                <w:rFonts w:hint="eastAsia" w:ascii="宋体" w:hAnsi="宋体" w:cs="宋体"/>
                <w:b w:val="0"/>
                <w:bCs/>
                <w:color w:val="auto"/>
                <w:sz w:val="28"/>
                <w:szCs w:val="28"/>
                <w:highlight w:val="none"/>
                <w:lang w:val="en-US" w:eastAsia="zh-CN"/>
              </w:rPr>
              <w:t xml:space="preserve">办事指南</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资料下载</w:t>
            </w:r>
            <w:r>
              <w:rPr>
                <w:rFonts w:hint="eastAsia" w:ascii="宋体" w:hAnsi="宋体" w:eastAsia="宋体" w:cs="宋体"/>
                <w:b w:val="0"/>
                <w:bCs/>
                <w:color w:val="auto"/>
                <w:sz w:val="28"/>
                <w:szCs w:val="28"/>
                <w:highlight w:val="none"/>
              </w:rPr>
              <w:t xml:space="preserve">，点击进入《江苏省政府采购管理交易系统（苏采云）供应商操作指南》，进行下载。</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特别说明：政府采购客户端工具需要导出加密的投标文件（后缀名为zip）。投标文件不得超过150M！名为“.kedt”）后，离线编制投标文件。采购文件（后缀名为“.kedt”）。</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投标文件的提交与接收：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1、投标文件提交与接收时间：202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cs="宋体"/>
                <w:b w:val="0"/>
                <w:bCs/>
                <w:color w:val="auto"/>
                <w:sz w:val="28"/>
                <w:szCs w:val="28"/>
                <w:highlight w:val="none"/>
                <w:u w:val="single"/>
                <w:lang w:val="en-US" w:eastAsia="zh-CN"/>
              </w:rPr>
              <w:t xml:space="preserve"> 8</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月</w:t>
            </w:r>
            <w:r>
              <w:rPr>
                <w:rFonts w:hint="eastAsia" w:ascii="宋体" w:hAnsi="宋体" w:cs="宋体"/>
                <w:b w:val="0"/>
                <w:bCs/>
                <w:color w:val="auto"/>
                <w:sz w:val="28"/>
                <w:szCs w:val="28"/>
                <w:highlight w:val="none"/>
                <w:u w:val="single"/>
                <w:lang w:val="en-US" w:eastAsia="zh-CN"/>
              </w:rPr>
              <w:t xml:space="preserve"> 11</w:t>
            </w:r>
            <w:r>
              <w:rPr>
                <w:rFonts w:hint="eastAsia" w:ascii="宋体" w:hAnsi="宋体" w:eastAsia="宋体" w:cs="宋体"/>
                <w:b w:val="0"/>
                <w:bCs/>
                <w:color w:val="auto"/>
                <w:sz w:val="28"/>
                <w:szCs w:val="28"/>
                <w:highlight w:val="none"/>
              </w:rPr>
              <w:t xml:space="preserve">日北京时间09</w:t>
            </w: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30前。</w:t>
            </w:r>
            <w:r/>
          </w:p>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2、投标文件提交与接收地点：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电子投标文件应由其法定代表人或法定代表人授权代表在规定的网上投标时间内，凭 CA 证书</w:t>
            </w:r>
            <w:r>
              <w:rPr>
                <w:rFonts w:hint="eastAsia" w:ascii="宋体" w:hAnsi="宋体" w:eastAsia="宋体" w:cs="宋体"/>
                <w:b w:val="0"/>
                <w:bCs/>
                <w:color w:val="auto"/>
                <w:sz w:val="28"/>
                <w:szCs w:val="28"/>
                <w:highlight w:val="none"/>
                <w:lang w:eastAsia="zh-CN"/>
              </w:rPr>
              <w:t xml:space="preserve">登录</w:t>
            </w:r>
            <w:r>
              <w:rPr>
                <w:rFonts w:hint="eastAsia" w:ascii="宋体" w:hAnsi="宋体" w:eastAsia="宋体" w:cs="宋体"/>
                <w:b w:val="0"/>
                <w:bCs/>
                <w:color w:val="auto"/>
                <w:sz w:val="28"/>
                <w:szCs w:val="28"/>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w:t>
            </w:r>
            <w:r/>
          </w:p>
        </w:tc>
      </w:tr>
      <w:tr>
        <w:trPr>
          <w:jc w:val="center"/>
          <w:trHeight w:val="249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开标时间及地点：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1、开标时间：202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8</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月</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11 </w:t>
            </w:r>
            <w:r>
              <w:rPr>
                <w:rFonts w:hint="eastAsia" w:ascii="宋体" w:hAnsi="宋体" w:eastAsia="宋体" w:cs="宋体"/>
                <w:b w:val="0"/>
                <w:bCs/>
                <w:color w:val="auto"/>
                <w:sz w:val="28"/>
                <w:szCs w:val="28"/>
                <w:highlight w:val="none"/>
              </w:rPr>
              <w:t xml:space="preserve">日09：30（北京时间）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2、开标地点：</w:t>
            </w:r>
            <w:r/>
          </w:p>
          <w:p>
            <w:pPr>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“苏采云”系统（网址： http://jszfcg.jsczt.cn/）“开标大厅”或进入江苏政府采购网--办事指南--供应商--供应商进入，点击“苏采云”进入系统“开标大厅”。</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2</w:t>
            </w:r>
            <w:r/>
          </w:p>
        </w:tc>
        <w:tc>
          <w:tcPr>
            <w:tcMar>
              <w:left w:w="108" w:type="dxa"/>
              <w:top w:w="0" w:type="dxa"/>
              <w:right w:w="108" w:type="dxa"/>
              <w:bottom w:w="0" w:type="dxa"/>
            </w:tcMar>
            <w:tcW w:w="8313" w:type="dxa"/>
            <w:vAlign w:val="center"/>
            <w:textDirection w:val="lrTb"/>
            <w:noWrap w:val="false"/>
          </w:tcPr>
          <w:p>
            <w:pPr>
              <w:ind w:firstLine="480"/>
              <w:jc w:val="left"/>
              <w:widowControl/>
              <w:rPr>
                <w:rFonts w:ascii="宋体" w:hAnsi="宋体" w:cs="宋体"/>
                <w:color w:val="auto"/>
                <w:sz w:val="28"/>
                <w:szCs w:val="28"/>
              </w:rPr>
            </w:pPr>
            <w:r>
              <w:rPr>
                <w:rFonts w:hint="eastAsia" w:ascii="宋体" w:hAnsi="宋体" w:cs="宋体"/>
                <w:color w:val="auto"/>
                <w:sz w:val="28"/>
                <w:szCs w:val="28"/>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8"/>
                <w:szCs w:val="28"/>
              </w:rPr>
              <w:t xml:space="preserve">开标时间后</w:t>
            </w:r>
            <w:r>
              <w:rPr>
                <w:rFonts w:hint="eastAsia" w:ascii="宋体" w:hAnsi="宋体" w:cs="宋体"/>
                <w:color w:val="auto"/>
                <w:sz w:val="28"/>
                <w:szCs w:val="28"/>
              </w:rPr>
              <w:t xml:space="preserve">，通过“苏采云”系统（使用“CA数字证书”）解密。解密时限：进入解密环节后，</w:t>
            </w:r>
            <w:r>
              <w:rPr>
                <w:rFonts w:hint="eastAsia" w:ascii="宋体" w:hAnsi="宋体" w:cs="宋体"/>
                <w:b/>
                <w:bCs/>
                <w:color w:val="auto"/>
                <w:sz w:val="28"/>
                <w:szCs w:val="28"/>
              </w:rPr>
              <w:t xml:space="preserve">30分钟内。</w:t>
            </w:r>
            <w:r/>
          </w:p>
          <w:p>
            <w:pPr>
              <w:ind w:firstLine="480"/>
              <w:jc w:val="left"/>
              <w:widowControl/>
              <w:rPr>
                <w:rFonts w:ascii="宋体" w:hAnsi="宋体" w:cs="宋体"/>
                <w:color w:val="auto"/>
                <w:sz w:val="28"/>
                <w:szCs w:val="28"/>
              </w:rPr>
            </w:pPr>
            <w:r>
              <w:rPr>
                <w:rFonts w:hint="eastAsia" w:ascii="宋体" w:hAnsi="宋体" w:cs="宋体"/>
                <w:color w:val="auto"/>
                <w:sz w:val="28"/>
                <w:szCs w:val="28"/>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rPr>
              <w:t xml:space="preserve">“苏采云”系统生成开标记录并向社会公众公布，但依法应当保密的除外。</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3</w:t>
            </w:r>
            <w:r/>
          </w:p>
        </w:tc>
        <w:tc>
          <w:tcPr>
            <w:tcMar>
              <w:left w:w="108" w:type="dxa"/>
              <w:top w:w="0" w:type="dxa"/>
              <w:right w:w="108" w:type="dxa"/>
              <w:bottom w:w="0" w:type="dxa"/>
            </w:tcMar>
            <w:tcW w:w="8313" w:type="dxa"/>
            <w:vAlign w:val="center"/>
            <w:textDirection w:val="lrTb"/>
            <w:noWrap w:val="false"/>
          </w:tcPr>
          <w:p>
            <w:pPr>
              <w:jc w:val="left"/>
              <w:widowControl/>
              <w:rPr>
                <w:rFonts w:hint="eastAsia" w:ascii="宋体" w:hAnsi="宋体" w:cs="宋体"/>
                <w:bCs/>
                <w:color w:val="auto"/>
                <w:sz w:val="28"/>
                <w:szCs w:val="28"/>
              </w:rPr>
            </w:pPr>
            <w:r>
              <w:rPr>
                <w:rFonts w:hint="eastAsia" w:ascii="宋体" w:hAnsi="宋体" w:cs="宋体"/>
                <w:color w:val="auto"/>
                <w:sz w:val="28"/>
                <w:szCs w:val="28"/>
              </w:rPr>
              <w:t xml:space="preserve">“苏采云”系统生成开标记录并</w:t>
            </w:r>
            <w:r>
              <w:rPr>
                <w:rFonts w:hint="eastAsia" w:ascii="宋体" w:hAnsi="宋体" w:cs="宋体"/>
                <w:b/>
                <w:bCs/>
                <w:color w:val="auto"/>
                <w:sz w:val="28"/>
                <w:szCs w:val="28"/>
              </w:rPr>
              <w:t xml:space="preserve">向社会公众公布后5分钟内</w:t>
            </w:r>
            <w:r>
              <w:rPr>
                <w:rFonts w:hint="eastAsia" w:ascii="宋体" w:hAnsi="宋体" w:cs="宋体"/>
                <w:color w:val="auto"/>
                <w:sz w:val="28"/>
                <w:szCs w:val="28"/>
              </w:rPr>
              <w:t xml:space="preserve">，投标人通过“苏采云”系统（使用“CA数字证书”）</w:t>
            </w:r>
            <w:r>
              <w:rPr>
                <w:rFonts w:hint="eastAsia" w:ascii="宋体" w:hAnsi="宋体" w:cs="宋体"/>
                <w:b/>
                <w:bCs/>
                <w:color w:val="auto"/>
                <w:sz w:val="28"/>
                <w:szCs w:val="28"/>
              </w:rPr>
              <w:t xml:space="preserve">确认开标过程</w:t>
            </w:r>
            <w:r>
              <w:rPr>
                <w:rFonts w:hint="eastAsia" w:ascii="宋体" w:hAnsi="宋体" w:cs="宋体"/>
                <w:color w:val="auto"/>
                <w:sz w:val="28"/>
                <w:szCs w:val="28"/>
              </w:rPr>
              <w:t xml:space="preserve">。在以上时间内投标人没有确认的，视同该投标人认可开标结果。</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4</w:t>
            </w:r>
            <w:r/>
          </w:p>
        </w:tc>
        <w:tc>
          <w:tcPr>
            <w:tcMar>
              <w:left w:w="108" w:type="dxa"/>
              <w:top w:w="0" w:type="dxa"/>
              <w:right w:w="108" w:type="dxa"/>
              <w:bottom w:w="0" w:type="dxa"/>
            </w:tcMar>
            <w:tcW w:w="8313" w:type="dxa"/>
            <w:vAlign w:val="center"/>
            <w:textDirection w:val="lrTb"/>
            <w:noWrap w:val="false"/>
          </w:tcPr>
          <w:p>
            <w:pPr>
              <w:jc w:val="left"/>
              <w:widowControl/>
              <w:rPr>
                <w:rFonts w:hint="eastAsia" w:ascii="宋体" w:hAnsi="宋体" w:cs="宋体"/>
                <w:bCs/>
                <w:color w:val="auto"/>
                <w:sz w:val="28"/>
                <w:szCs w:val="28"/>
              </w:rPr>
            </w:pPr>
            <w:r>
              <w:rPr>
                <w:rFonts w:hint="eastAsia" w:ascii="宋体" w:hAnsi="宋体" w:cs="宋体"/>
                <w:color w:val="auto"/>
                <w:sz w:val="28"/>
                <w:szCs w:val="28"/>
              </w:rPr>
              <w:t xml:space="preserve">因投标人原因造成投标文件未解密的，视为撤销其投标文件</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5</w:t>
            </w:r>
            <w:r/>
          </w:p>
        </w:tc>
        <w:tc>
          <w:tcPr>
            <w:tcMar>
              <w:left w:w="108" w:type="dxa"/>
              <w:top w:w="0" w:type="dxa"/>
              <w:right w:w="108" w:type="dxa"/>
              <w:bottom w:w="0" w:type="dxa"/>
            </w:tcMar>
            <w:tcW w:w="8313" w:type="dxa"/>
            <w:vAlign w:val="center"/>
            <w:textDirection w:val="lrTb"/>
            <w:noWrap w:val="false"/>
          </w:tcPr>
          <w:p>
            <w:pPr>
              <w:pStyle w:val="841"/>
              <w:ind w:left="0" w:right="0"/>
              <w:jc w:val="left"/>
              <w:spacing w:before="0" w:beforeAutospacing="0" w:after="0" w:afterAutospacing="0"/>
              <w:shd w:val="clear" w:color="auto" w:fill="ffffff"/>
              <w:rPr>
                <w:rFonts w:hint="eastAsia" w:ascii="宋体" w:hAnsi="宋体" w:cs="宋体"/>
                <w:bCs/>
                <w:color w:val="auto"/>
                <w:sz w:val="28"/>
                <w:szCs w:val="28"/>
              </w:rPr>
            </w:pPr>
            <w:r>
              <w:rPr>
                <w:rFonts w:hint="eastAsia"/>
                <w:color w:val="auto"/>
                <w:sz w:val="28"/>
                <w:szCs w:val="28"/>
              </w:rPr>
              <w:t xml:space="preserve">投标文件解密失败的补救方案</w:t>
            </w:r>
            <w:r>
              <w:rPr>
                <w:rFonts w:hint="eastAsia"/>
                <w:color w:val="auto"/>
                <w:sz w:val="28"/>
                <w:szCs w:val="28"/>
                <w:lang w:eastAsia="zh-CN"/>
              </w:rPr>
              <w:t xml:space="preserve">：</w:t>
            </w:r>
            <w:r>
              <w:rPr>
                <w:rFonts w:hint="eastAsia"/>
                <w:color w:val="auto"/>
                <w:sz w:val="28"/>
                <w:szCs w:val="28"/>
              </w:rPr>
              <w:t xml:space="preserve">无。</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评标</w:t>
            </w:r>
            <w:r/>
          </w:p>
        </w:tc>
      </w:tr>
      <w:tr>
        <w:trPr>
          <w:jc w:val="center"/>
          <w:trHeight w:val="54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采用综合评分法。</w:t>
            </w:r>
            <w:r/>
          </w:p>
        </w:tc>
      </w:tr>
      <w:tr>
        <w:trPr>
          <w:jc w:val="center"/>
          <w:trHeight w:val="31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(二十八)</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二、采用综合评分法的，按评审后得分由高到低顺序排列。得分相同的，按</w:t>
            </w:r>
            <w:r>
              <w:rPr>
                <w:rFonts w:hint="eastAsia" w:ascii="宋体" w:hAnsi="宋体" w:cs="宋体"/>
                <w:b w:val="0"/>
                <w:bCs/>
                <w:color w:val="auto"/>
                <w:sz w:val="28"/>
                <w:szCs w:val="28"/>
                <w:highlight w:val="none"/>
                <w:lang w:val="en-US" w:eastAsia="zh-CN"/>
              </w:rPr>
              <w:t xml:space="preserve">下列顺序确定:</w:t>
            </w:r>
            <w:r/>
          </w:p>
          <w:p>
            <w:pPr>
              <w:rPr>
                <w:rFonts w:hint="eastAsia" w:ascii="宋体" w:hAnsi="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①</w:t>
            </w:r>
            <w:r>
              <w:rPr>
                <w:rFonts w:hint="eastAsia" w:ascii="宋体" w:hAnsi="宋体" w:cs="宋体"/>
                <w:bCs/>
                <w:color w:val="auto"/>
                <w:sz w:val="28"/>
                <w:szCs w:val="28"/>
                <w:highlight w:val="none"/>
              </w:rPr>
              <w:t xml:space="preserve">按投标报价由低到高顺序排列</w:t>
            </w:r>
            <w:r>
              <w:rPr>
                <w:rFonts w:hint="eastAsia" w:ascii="宋体" w:hAnsi="宋体" w:cs="宋体"/>
                <w:bCs/>
                <w:color w:val="auto"/>
                <w:sz w:val="28"/>
                <w:szCs w:val="28"/>
                <w:highlight w:val="none"/>
                <w:lang w:eastAsia="zh-CN"/>
              </w:rPr>
              <w:t xml:space="preserve">；</w:t>
            </w:r>
            <w:r/>
          </w:p>
          <w:p>
            <w:pPr>
              <w:rPr>
                <w:rFonts w:hint="eastAsia" w:ascii="宋体" w:hAnsi="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②</w:t>
            </w:r>
            <w:r>
              <w:rPr>
                <w:rFonts w:hint="eastAsia" w:ascii="宋体" w:hAnsi="宋体" w:cs="宋体"/>
                <w:bCs/>
                <w:color w:val="auto"/>
                <w:sz w:val="28"/>
                <w:szCs w:val="28"/>
                <w:highlight w:val="none"/>
              </w:rPr>
              <w:t xml:space="preserve">投标报价</w:t>
            </w:r>
            <w:r>
              <w:rPr>
                <w:rFonts w:hint="eastAsia" w:ascii="宋体" w:hAnsi="宋体" w:cs="宋体"/>
                <w:bCs/>
                <w:color w:val="auto"/>
                <w:sz w:val="28"/>
                <w:szCs w:val="28"/>
                <w:highlight w:val="none"/>
                <w:lang w:val="en-US" w:eastAsia="zh-CN"/>
              </w:rPr>
              <w:t xml:space="preserve">也相同的，以</w:t>
            </w:r>
            <w:r>
              <w:rPr>
                <w:rFonts w:hint="eastAsia" w:ascii="宋体" w:hAnsi="宋体" w:cs="宋体"/>
                <w:bCs/>
                <w:color w:val="auto"/>
                <w:sz w:val="28"/>
                <w:szCs w:val="28"/>
                <w:highlight w:val="none"/>
              </w:rPr>
              <w:t xml:space="preserve">投标文件中提供所投产品的节能产品认证证书、所投产品的环境标志产品认证证书和所投产品的绿色产品认证证书，份数最多的，被</w:t>
            </w:r>
            <w:r>
              <w:rPr>
                <w:rFonts w:hint="eastAsia" w:ascii="宋体" w:hAnsi="宋体" w:cs="宋体"/>
                <w:bCs/>
                <w:color w:val="auto"/>
                <w:sz w:val="28"/>
                <w:szCs w:val="28"/>
                <w:highlight w:val="none"/>
                <w:lang w:val="en-US" w:eastAsia="zh-CN"/>
              </w:rPr>
              <w:t xml:space="preserve">优先推荐为中标候选人</w:t>
            </w:r>
            <w:r>
              <w:rPr>
                <w:rFonts w:hint="eastAsia" w:ascii="宋体" w:hAnsi="宋体" w:cs="宋体"/>
                <w:bCs/>
                <w:color w:val="auto"/>
                <w:sz w:val="28"/>
                <w:szCs w:val="28"/>
                <w:highlight w:val="none"/>
                <w:lang w:eastAsia="zh-CN"/>
              </w:rPr>
              <w:t xml:space="preserve">；</w:t>
            </w:r>
            <w:r/>
          </w:p>
          <w:p>
            <w:pPr>
              <w:rPr>
                <w:rFonts w:hint="eastAsia" w:ascii="宋体"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③上述情形均相同的，以</w:t>
            </w:r>
            <w:r>
              <w:rPr>
                <w:rFonts w:hint="eastAsia" w:ascii="宋体" w:hAnsi="宋体" w:eastAsia="宋体" w:cs="宋体"/>
                <w:b w:val="0"/>
                <w:bCs/>
                <w:color w:val="auto"/>
                <w:sz w:val="28"/>
                <w:szCs w:val="28"/>
                <w:highlight w:val="none"/>
              </w:rPr>
              <w:t xml:space="preserve">技术</w:t>
            </w:r>
            <w:r>
              <w:rPr>
                <w:rFonts w:hint="eastAsia" w:ascii="宋体" w:hAnsi="宋体" w:cs="宋体"/>
                <w:b w:val="0"/>
                <w:bCs/>
                <w:color w:val="auto"/>
                <w:sz w:val="28"/>
                <w:szCs w:val="28"/>
                <w:highlight w:val="none"/>
                <w:lang w:val="en-US" w:eastAsia="zh-CN"/>
              </w:rPr>
              <w:t xml:space="preserve">参数</w:t>
            </w:r>
            <w:r>
              <w:rPr>
                <w:rFonts w:hint="eastAsia" w:ascii="宋体" w:hAnsi="宋体" w:eastAsia="宋体" w:cs="宋体"/>
                <w:b w:val="0"/>
                <w:bCs/>
                <w:color w:val="auto"/>
                <w:sz w:val="28"/>
                <w:szCs w:val="28"/>
                <w:highlight w:val="none"/>
              </w:rPr>
              <w:t xml:space="preserve">得分顺序排列</w:t>
            </w:r>
            <w:r>
              <w:rPr>
                <w:rFonts w:hint="eastAsia" w:ascii="宋体" w:hAnsi="宋体" w:cs="宋体"/>
                <w:b w:val="0"/>
                <w:bCs/>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④</w:t>
            </w:r>
            <w:r>
              <w:rPr>
                <w:rFonts w:hint="eastAsia" w:ascii="宋体" w:hAnsi="宋体" w:cs="宋体"/>
                <w:bCs/>
                <w:color w:val="auto"/>
                <w:sz w:val="28"/>
                <w:szCs w:val="28"/>
                <w:highlight w:val="none"/>
                <w:lang w:val="en-US" w:eastAsia="zh-CN"/>
              </w:rPr>
              <w:t xml:space="preserve">上述情形均相同的，</w:t>
            </w:r>
            <w:r>
              <w:rPr>
                <w:rFonts w:hint="eastAsia" w:ascii="宋体" w:hAnsi="宋体" w:cs="宋体"/>
                <w:b w:val="0"/>
                <w:bCs/>
                <w:color w:val="auto"/>
                <w:sz w:val="28"/>
                <w:szCs w:val="28"/>
                <w:highlight w:val="none"/>
                <w:lang w:val="en-US" w:eastAsia="zh-CN"/>
              </w:rPr>
              <w:t xml:space="preserve">以技术</w:t>
            </w:r>
            <w:r>
              <w:rPr>
                <w:rFonts w:hint="eastAsia" w:ascii="宋体" w:hAnsi="宋体" w:eastAsia="宋体" w:cs="宋体"/>
                <w:b w:val="0"/>
                <w:bCs/>
                <w:color w:val="auto"/>
                <w:sz w:val="28"/>
                <w:szCs w:val="28"/>
                <w:highlight w:val="none"/>
              </w:rPr>
              <w:t xml:space="preserve">实施方案得分顺序排列。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二十九</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(三十六)</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履约保证金：</w:t>
            </w:r>
            <w:r>
              <w:rPr>
                <w:rFonts w:hint="eastAsia" w:ascii="宋体" w:hAnsi="宋体" w:cs="宋体"/>
                <w:b w:val="0"/>
                <w:bCs/>
                <w:color w:val="auto"/>
                <w:sz w:val="28"/>
                <w:szCs w:val="28"/>
                <w:highlight w:val="none"/>
                <w:lang w:val="en-US" w:eastAsia="zh-CN"/>
              </w:rPr>
              <w:t xml:space="preserve">本项目不收取履约保证金</w:t>
            </w:r>
            <w:r>
              <w:rPr>
                <w:rFonts w:hint="eastAsia" w:ascii="宋体" w:hAnsi="宋体" w:cs="宋体"/>
                <w:b w:val="0"/>
                <w:bCs/>
                <w:color w:val="auto"/>
                <w:sz w:val="28"/>
                <w:szCs w:val="28"/>
                <w:highlight w:val="none"/>
                <w:lang w:eastAsia="zh-CN"/>
              </w:rPr>
              <w:t xml:space="preserve">。</w:t>
            </w:r>
            <w:r/>
          </w:p>
        </w:tc>
      </w:tr>
      <w:tr>
        <w:trPr>
          <w:jc w:val="center"/>
          <w:trHeight w:val="282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质疑接收人：</w:t>
            </w:r>
            <w:r>
              <w:rPr>
                <w:rFonts w:hint="eastAsia" w:ascii="宋体" w:hAnsi="宋体" w:cs="宋体"/>
                <w:b w:val="0"/>
                <w:bCs/>
                <w:color w:val="auto"/>
                <w:sz w:val="28"/>
                <w:szCs w:val="28"/>
                <w:highlight w:val="none"/>
                <w:lang w:val="en-US" w:eastAsia="zh-CN"/>
              </w:rPr>
              <w:t xml:space="preserve">韩镇阳</w:t>
            </w:r>
            <w:r>
              <w:rPr>
                <w:rFonts w:hint="eastAsia" w:ascii="宋体" w:hAnsi="宋体" w:eastAsia="宋体" w:cs="宋体"/>
                <w:b w:val="0"/>
                <w:bCs/>
                <w:color w:val="auto"/>
                <w:sz w:val="28"/>
                <w:szCs w:val="28"/>
                <w:highlight w:val="none"/>
              </w:rPr>
              <w:t xml:space="preserve">      联系电话：0516-83999055</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地址：江苏省徐州市泉山区金山东路北侧徐州软件园C-11号楼1011室</w:t>
            </w:r>
            <w:r/>
          </w:p>
        </w:tc>
      </w:tr>
      <w:tr>
        <w:trPr>
          <w:jc w:val="center"/>
          <w:trHeight w:val="107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邮箱：jocxz03@jocite.com</w:t>
            </w:r>
            <w:r/>
          </w:p>
        </w:tc>
      </w:tr>
    </w:tbl>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ind w:firstLine="600"/>
        <w:spacing w:line="360" w:lineRule="auto"/>
        <w:rPr>
          <w:rFonts w:hint="eastAsia"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本章附件：招标代理服务收费标准</w:t>
      </w:r>
      <w:r/>
    </w:p>
    <w:tbl>
      <w:tblPr>
        <w:tblStyle w:val="8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0.005%</w:t>
            </w:r>
            <w:r/>
          </w:p>
        </w:tc>
      </w:tr>
    </w:tbl>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说明：</w:t>
      </w:r>
      <w:r/>
    </w:p>
    <w:p>
      <w:pPr>
        <w:numPr>
          <w:ilvl w:val="0"/>
          <w:numId w:val="1"/>
        </w:numPr>
        <w:ind w:left="0" w:right="0" w:firstLine="0"/>
        <w:jc w:val="both"/>
        <w:spacing w:before="0" w:after="0" w:line="240" w:lineRule="auto"/>
        <w:rPr>
          <w:rFonts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按上表计算的收费为代理服务全过程的收费金额。</w:t>
      </w:r>
      <w:r/>
    </w:p>
    <w:p>
      <w:pPr>
        <w:numPr>
          <w:ilvl w:val="0"/>
          <w:numId w:val="0"/>
        </w:numPr>
        <w:ind w:right="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2</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代理服务费按差额定率累进法计算。</w:t>
      </w:r>
      <w:r/>
    </w:p>
    <w:p>
      <w:pPr>
        <w:ind w:left="0" w:right="0" w:firstLine="0"/>
        <w:jc w:val="both"/>
        <w:spacing w:before="0" w:after="0" w:line="240" w:lineRule="auto"/>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3</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代理服务费基准金额(按差额定率累进法计算的)=中标金额(按差额定率累进法计算的)*费率(%)</w:t>
      </w:r>
      <w:r>
        <w:rPr>
          <w:rFonts w:hint="eastAsia" w:ascii="宋体" w:hAnsi="宋体" w:cs="宋体"/>
          <w:b w:val="0"/>
          <w:bCs/>
          <w:color w:val="auto"/>
          <w:sz w:val="28"/>
          <w:szCs w:val="28"/>
          <w:highlight w:val="none"/>
          <w:lang w:val="en-US" w:eastAsia="zh-CN"/>
        </w:rPr>
        <w:t xml:space="preserve">*71%</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4</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代理服务费应收取金额=代理服务费基准金额(按差额定率累进法计算的)的合计数。</w:t>
      </w:r>
      <w:bookmarkStart w:id="15" w:name="_GoBack"/>
      <w:r/>
      <w:bookmarkEnd w:id="15"/>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定点类等无金额或事先不能计算出价格总额的项目，按中标(成交)金额100万元计算。</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上表为自行约定的代理服务费标准。</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rPr>
        <w:t xml:space="preserve">、账户信息：</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账户名：江苏海外集团国际工程咨询有限公司徐州分公司</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开户银行：上海浦东发展银行股份有限公司徐州分行</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账号：11110154740005866</w:t>
      </w:r>
      <w:r/>
    </w:p>
    <w:p>
      <w:pPr>
        <w:pStyle w:val="826"/>
        <w:rPr>
          <w:rFonts w:hint="eastAsia" w:ascii="宋体" w:hAnsi="宋体" w:eastAsia="宋体" w:cs="宋体"/>
          <w:b w:val="0"/>
          <w:bCs/>
          <w:color w:val="auto"/>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highlight w:val="none"/>
          <w:lang w:val="en-US" w:eastAsia="zh-CN"/>
        </w:rPr>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lang w:val="en-US" w:eastAsia="zh-CN"/>
        </w:rPr>
        <w:t xml:space="preserve">第四章 </w:t>
      </w:r>
      <w:r>
        <w:rPr>
          <w:rFonts w:hint="eastAsia" w:ascii="宋体" w:hAnsi="宋体" w:eastAsia="宋体" w:cs="宋体"/>
          <w:b w:val="0"/>
          <w:bCs/>
          <w:color w:val="auto"/>
          <w:sz w:val="30"/>
          <w:highlight w:val="none"/>
        </w:rPr>
        <w:t xml:space="preserve">评标标准</w:t>
      </w:r>
      <w:r/>
    </w:p>
    <w:tbl>
      <w:tblPr>
        <w:tblStyle w:val="808"/>
        <w:tblW w:w="52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7437"/>
      </w:tblGrid>
      <w:tr>
        <w:trPr>
          <w:jc w:val="center"/>
          <w:trHeight w:val="454"/>
        </w:trPr>
        <w:tc>
          <w:tcPr>
            <w:tcW w:w="807" w:type="pct"/>
            <w:vAlign w:val="center"/>
            <w:textDirection w:val="lrTb"/>
            <w:noWrap w:val="false"/>
          </w:tcPr>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评分内容</w:t>
            </w:r>
            <w:r/>
          </w:p>
        </w:tc>
        <w:tc>
          <w:tcPr>
            <w:tcW w:w="4192" w:type="pct"/>
            <w:vAlign w:val="center"/>
            <w:textDirection w:val="lrTb"/>
            <w:noWrap w:val="false"/>
          </w:tcPr>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评分标准</w:t>
            </w:r>
            <w:r/>
          </w:p>
        </w:tc>
      </w:tr>
      <w:tr>
        <w:trPr>
          <w:jc w:val="center"/>
          <w:trHeight w:val="2982"/>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投标报价（30分）</w:t>
            </w:r>
            <w:r/>
          </w:p>
        </w:tc>
        <w:tc>
          <w:tcPr>
            <w:tcW w:w="4192" w:type="pct"/>
            <w:vAlign w:val="center"/>
            <w:textDirection w:val="lrTb"/>
            <w:noWrap w:val="false"/>
          </w:tcPr>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各投标人价格得分=最低报价（投标人的最低评审价格）÷各投标人评审价格×30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该投标人的评审价格=《开标一览表》中的“总价”*（100%-10%）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该投标人的评审价格=《开标一览表》中的“总价”*（100%-20%）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3、上述1、2项评审优惠可同时享受，分别在供应商报价基础上予以扣除，用扣除后的价格参与评审，即该投标人的评审价格=《开标一览表》中的“总价”*（100%-30%）。</w:t>
            </w:r>
            <w:r/>
          </w:p>
          <w:p>
            <w:pPr>
              <w:rPr>
                <w:rFonts w:ascii="宋体" w:hAnsi="宋体" w:cs="宋体"/>
                <w:color w:val="auto"/>
                <w:sz w:val="28"/>
                <w:szCs w:val="28"/>
                <w:highlight w:val="none"/>
              </w:rPr>
            </w:pPr>
            <w:r>
              <w:rPr>
                <w:rFonts w:hint="eastAsia" w:ascii="宋体" w:hAnsi="宋体" w:cs="宋体"/>
                <w:bCs/>
                <w:color w:val="auto"/>
                <w:sz w:val="28"/>
                <w:szCs w:val="28"/>
                <w:highlight w:val="none"/>
              </w:rPr>
              <w:t xml:space="preserve">享受价格评审优惠不改变最终中标、成交价格，政府采购合同仍按照中标、成交供应商的报价签订。</w:t>
            </w:r>
            <w:r/>
          </w:p>
        </w:tc>
      </w:tr>
      <w:tr>
        <w:trPr>
          <w:jc w:val="center"/>
          <w:trHeight w:val="2153"/>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技术参数（20分）</w:t>
            </w:r>
            <w:r/>
          </w:p>
        </w:tc>
        <w:tc>
          <w:tcPr>
            <w:tcW w:w="4192" w:type="pct"/>
            <w:vAlign w:val="center"/>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依据投标文件中偏离表、技术规格说明对招标文件《第六章 采购需求》中“技术参数”满足程度进行评分。</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完全满足招标文件技术要求的得20分，次重要响应指标不满足或负偏离，</w:t>
            </w:r>
            <w:r>
              <w:rPr>
                <w:rFonts w:hint="eastAsia" w:ascii="宋体" w:hAnsi="宋体" w:cs="宋体"/>
                <w:color w:val="auto"/>
                <w:sz w:val="28"/>
                <w:szCs w:val="28"/>
                <w:highlight w:val="none"/>
              </w:rPr>
              <w:t xml:space="preserve">每一项扣</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w:t>
            </w:r>
            <w:r>
              <w:rPr>
                <w:rFonts w:hint="eastAsia" w:ascii="宋体" w:hAnsi="宋体" w:cs="宋体"/>
                <w:color w:val="auto"/>
                <w:sz w:val="28"/>
                <w:szCs w:val="28"/>
                <w:highlight w:val="none"/>
              </w:rPr>
              <w:t xml:space="preserve">，一般响应指标不满足或负偏离，每一项扣0.</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扣完为止，</w:t>
            </w:r>
            <w:r>
              <w:rPr>
                <w:rFonts w:hint="eastAsia" w:ascii="宋体" w:hAnsi="宋体" w:cs="宋体"/>
                <w:color w:val="auto"/>
                <w:sz w:val="28"/>
                <w:szCs w:val="28"/>
                <w:highlight w:val="none"/>
              </w:rPr>
              <w:t xml:space="preserve">本项最高得20分，最低得0分。</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招标文件第六章《采购需求》中，“四、技术参数”中加“▲”的为次重要响应指标，投标文件中须提供系统截图作为证明材料，系统截图证明材料须清晰可辩，否则不予认可；加“★”标志为演示响应指标，需要提供</w:t>
            </w:r>
            <w:r>
              <w:rPr>
                <w:rFonts w:hint="eastAsia" w:ascii="宋体" w:hAnsi="宋体" w:cs="宋体"/>
                <w:color w:val="auto"/>
                <w:sz w:val="28"/>
                <w:szCs w:val="28"/>
                <w:highlight w:val="none"/>
                <w:lang w:val="en-US" w:eastAsia="zh-CN"/>
              </w:rPr>
              <w:t xml:space="preserve">演示录屏</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评分内容见“重点功能演示”</w:t>
            </w:r>
            <w:r>
              <w:rPr>
                <w:rFonts w:hint="eastAsia" w:ascii="宋体" w:hAnsi="宋体" w:cs="宋体"/>
                <w:color w:val="auto"/>
                <w:sz w:val="28"/>
                <w:szCs w:val="28"/>
                <w:highlight w:val="none"/>
              </w:rPr>
              <w:t xml:space="preserve">，其他为一般响应指标，响应指标不满足或负偏离，或未按照招标文件要求提供证明材料或证明材料无法证明满足响应指标的视为负偏离，按扣分处理，响应指标如有偏离，应在偏离表中说明。</w:t>
            </w:r>
            <w:r/>
          </w:p>
        </w:tc>
      </w:tr>
      <w:tr>
        <w:trPr>
          <w:jc w:val="center"/>
          <w:trHeight w:val="90"/>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重点功能演示</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投标人对所投系统进行功能演示（使用所投系统软件实操系统演示录屏，其他方式演示此项不得分），演示时间不超过</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分钟。根据投标人演示的整体效果进行评分，分为</w:t>
            </w: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项演示内容，每完整的演示一项得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分，内容不完整得</w:t>
            </w:r>
            <w:r>
              <w:rPr>
                <w:rFonts w:hint="eastAsia" w:ascii="宋体" w:hAnsi="宋体" w:cs="宋体"/>
                <w:color w:val="auto"/>
                <w:sz w:val="28"/>
                <w:szCs w:val="28"/>
                <w:highlight w:val="none"/>
                <w:lang w:val="en-US" w:eastAsia="zh-CN"/>
              </w:rPr>
              <w:t xml:space="preserve">0.5</w:t>
            </w:r>
            <w:r>
              <w:rPr>
                <w:rFonts w:hint="eastAsia" w:ascii="宋体" w:hAnsi="宋体" w:cs="宋体"/>
                <w:color w:val="auto"/>
                <w:sz w:val="28"/>
                <w:szCs w:val="28"/>
                <w:highlight w:val="none"/>
              </w:rPr>
              <w:t xml:space="preserve">分。</w:t>
            </w:r>
            <w:r>
              <w:rPr>
                <w:rFonts w:hint="eastAsia" w:ascii="宋体" w:hAnsi="宋体" w:cs="宋体"/>
                <w:b w:val="0"/>
                <w:bCs w:val="0"/>
                <w:color w:val="auto"/>
                <w:sz w:val="28"/>
                <w:szCs w:val="28"/>
                <w:highlight w:val="none"/>
              </w:rPr>
              <w:t xml:space="preserve">未演示不得分</w:t>
            </w:r>
            <w:r>
              <w:rPr>
                <w:rFonts w:hint="eastAsia" w:ascii="宋体" w:hAnsi="宋体" w:cs="宋体"/>
                <w:color w:val="auto"/>
                <w:sz w:val="28"/>
                <w:szCs w:val="28"/>
                <w:highlight w:val="none"/>
              </w:rPr>
              <w:t xml:space="preserve">，本项最高得</w:t>
            </w: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分。</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注：投标</w:t>
            </w:r>
            <w:r>
              <w:rPr>
                <w:rFonts w:hint="eastAsia" w:ascii="宋体" w:hAnsi="宋体" w:cs="宋体"/>
                <w:color w:val="auto"/>
                <w:sz w:val="28"/>
                <w:szCs w:val="28"/>
                <w:highlight w:val="none"/>
                <w:lang w:val="en-US" w:eastAsia="zh-CN"/>
              </w:rPr>
              <w:t xml:space="preserve">人</w:t>
            </w:r>
            <w:r>
              <w:rPr>
                <w:rFonts w:hint="eastAsia" w:ascii="宋体" w:hAnsi="宋体" w:cs="宋体"/>
                <w:color w:val="auto"/>
                <w:sz w:val="28"/>
                <w:szCs w:val="28"/>
                <w:highlight w:val="none"/>
              </w:rPr>
              <w:t xml:space="preserve">须自行录制演示视频，自行上传至“苏采云”系统，如因格式或内存大小原因，投标</w:t>
            </w:r>
            <w:r>
              <w:rPr>
                <w:rFonts w:hint="eastAsia" w:ascii="宋体" w:hAnsi="宋体" w:cs="宋体"/>
                <w:color w:val="auto"/>
                <w:sz w:val="28"/>
                <w:szCs w:val="28"/>
                <w:highlight w:val="none"/>
                <w:lang w:val="en-US" w:eastAsia="zh-CN"/>
              </w:rPr>
              <w:t xml:space="preserve">人</w:t>
            </w:r>
            <w:r>
              <w:rPr>
                <w:rFonts w:hint="eastAsia" w:ascii="宋体" w:hAnsi="宋体" w:cs="宋体"/>
                <w:color w:val="auto"/>
                <w:sz w:val="28"/>
                <w:szCs w:val="28"/>
                <w:highlight w:val="none"/>
              </w:rPr>
              <w:t xml:space="preserve">须于</w:t>
            </w:r>
            <w:r>
              <w:rPr>
                <w:rFonts w:hint="eastAsia" w:ascii="宋体" w:hAnsi="宋体" w:cs="宋体"/>
                <w:color w:val="auto"/>
                <w:sz w:val="28"/>
                <w:szCs w:val="28"/>
                <w:highlight w:val="none"/>
                <w:lang w:val="en-US" w:eastAsia="zh-CN"/>
              </w:rPr>
              <w:t xml:space="preserve">投标截止时间</w:t>
            </w:r>
            <w:r>
              <w:rPr>
                <w:rFonts w:hint="eastAsia" w:ascii="宋体" w:hAnsi="宋体" w:cs="宋体"/>
                <w:color w:val="auto"/>
                <w:sz w:val="28"/>
                <w:szCs w:val="28"/>
                <w:highlight w:val="none"/>
              </w:rPr>
              <w:t xml:space="preserve">前将密封的演示视频</w:t>
            </w:r>
            <w:r>
              <w:rPr>
                <w:rFonts w:hint="eastAsia" w:ascii="宋体" w:hAnsi="宋体" w:cs="宋体"/>
                <w:color w:val="auto"/>
                <w:sz w:val="28"/>
                <w:szCs w:val="28"/>
                <w:highlight w:val="none"/>
                <w:lang w:val="en-US" w:eastAsia="zh-CN"/>
              </w:rPr>
              <w:t xml:space="preserve">以</w:t>
            </w:r>
            <w:r>
              <w:rPr>
                <w:rFonts w:hint="eastAsia" w:ascii="宋体" w:hAnsi="宋体" w:cs="宋体"/>
                <w:color w:val="auto"/>
                <w:sz w:val="28"/>
                <w:szCs w:val="28"/>
                <w:highlight w:val="none"/>
              </w:rPr>
              <w:t xml:space="preserve">U盘形式提供，送至采购代理机构。</w:t>
            </w:r>
            <w:r/>
          </w:p>
        </w:tc>
      </w:tr>
      <w:tr>
        <w:trPr>
          <w:jc w:val="center"/>
          <w:trHeight w:val="148"/>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技术实施方案</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jc w:val="left"/>
              <w:widowControl/>
              <w:rPr>
                <w:rFonts w:ascii="宋体" w:hAnsi="宋体" w:cs="宋体"/>
                <w:b/>
                <w:bCs/>
                <w:color w:val="auto"/>
                <w:sz w:val="28"/>
                <w:szCs w:val="28"/>
                <w:highlight w:val="none"/>
              </w:rPr>
            </w:pPr>
            <w:r>
              <w:rPr>
                <w:rFonts w:hint="eastAsia" w:ascii="宋体" w:hAnsi="宋体" w:cs="宋体"/>
                <w:color w:val="auto"/>
                <w:sz w:val="28"/>
                <w:szCs w:val="28"/>
                <w:highlight w:val="none"/>
              </w:rPr>
              <w:t xml:space="preserve">对投标文件中的《技术实施方案》中的需求分析、架构设计（业务、技术架构）、系统功能、部署方案、安全设计（网络安全、保密性等）、关键技术等进行综合评分。</w:t>
            </w:r>
            <w:r>
              <w:rPr>
                <w:rFonts w:hint="eastAsia" w:ascii="宋体" w:hAnsi="宋体" w:cs="宋体"/>
                <w:b/>
                <w:bCs/>
                <w:color w:val="auto"/>
                <w:sz w:val="28"/>
                <w:szCs w:val="28"/>
                <w:highlight w:val="none"/>
              </w:rPr>
              <w:t xml:space="preserve">无方案的不得分。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合理性（4分）：方案合理的得4分，较合理的得3分，合理性欠缺的得1分；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分）：方案可行性强的得</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分，可行性较强的得</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分，可行性欠缺的得1分；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分）:方案针对性强的得</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分，针对性较强的得2分，针对性欠缺的得1分。</w:t>
            </w:r>
            <w:r/>
          </w:p>
        </w:tc>
      </w:tr>
      <w:tr>
        <w:trPr>
          <w:jc w:val="center"/>
          <w:trHeight w:val="454"/>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项目实施方案</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对投标文件中的《项目实施方案》中的项目实施计划、人员安排和时间进度内容、所投产品的技术特点与功能、自行进行深化设计等内容进行综合评分。</w:t>
            </w:r>
            <w:r>
              <w:rPr>
                <w:rFonts w:hint="eastAsia" w:ascii="宋体" w:hAnsi="宋体" w:cs="宋体"/>
                <w:b/>
                <w:bCs/>
                <w:color w:val="auto"/>
                <w:sz w:val="28"/>
                <w:szCs w:val="28"/>
                <w:highlight w:val="none"/>
              </w:rPr>
              <w:t xml:space="preserve">无方案的不得分。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合理性（4分）：方案合理的得4分，较合理的得3分，合理性欠缺的得1分；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分）：方案可行性强的得</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分，可行性较强的得2分，可行性欠缺的得1分；</w:t>
            </w:r>
            <w:r/>
          </w:p>
          <w:p>
            <w:pPr>
              <w:pStyle w:val="811"/>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针对性（3分）:方案针对性强的得3分，针对性较强的得2分，针对性欠缺的得1分。</w:t>
            </w:r>
            <w:r/>
          </w:p>
        </w:tc>
      </w:tr>
      <w:tr>
        <w:trPr>
          <w:jc w:val="center"/>
          <w:trHeight w:val="454"/>
        </w:trPr>
        <w:tc>
          <w:tcPr>
            <w:tcW w:w="807" w:type="pct"/>
            <w:vAlign w:val="center"/>
            <w:vMerge w:val="restart"/>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售后服务方案</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（11分）</w:t>
            </w:r>
            <w:r/>
          </w:p>
        </w:tc>
        <w:tc>
          <w:tcPr>
            <w:tcW w:w="4192" w:type="pct"/>
            <w:vAlign w:val="center"/>
            <w:textDirection w:val="lrTb"/>
            <w:noWrap w:val="false"/>
          </w:tcPr>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1、根据投标人投标文件中《售后服务方案》的服务方式、免费质保期限、响应时间、故障处理等内容进行综合评分。</w:t>
            </w:r>
            <w:r>
              <w:rPr>
                <w:rFonts w:hint="eastAsia" w:ascii="宋体" w:hAnsi="宋体" w:cs="宋体"/>
                <w:b/>
                <w:bCs/>
                <w:color w:val="auto"/>
                <w:sz w:val="28"/>
                <w:szCs w:val="28"/>
                <w:highlight w:val="none"/>
              </w:rPr>
              <w:t xml:space="preserve">无方案的不得分。</w:t>
            </w:r>
            <w:r>
              <w:rPr>
                <w:rFonts w:hint="eastAsia" w:ascii="宋体" w:hAnsi="宋体" w:cs="宋体"/>
                <w:color w:val="auto"/>
                <w:sz w:val="28"/>
                <w:szCs w:val="28"/>
                <w:highlight w:val="none"/>
              </w:rPr>
              <w:t xml:space="preserve"> </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合理性（3分）：方案合理的得3分，较合理的得2分，合理性欠缺的得1分；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可行性（2分）：方案可行性强的得2分，可行性较强的得1分，可行性欠缺的得0.5分；</w:t>
            </w:r>
            <w:r/>
          </w:p>
          <w:p>
            <w:pPr>
              <w:pStyle w:val="811"/>
              <w:rPr>
                <w:rFonts w:ascii="宋体" w:hAnsi="宋体" w:cs="宋体"/>
                <w:color w:val="auto"/>
                <w:sz w:val="28"/>
                <w:szCs w:val="28"/>
                <w:highlight w:val="none"/>
              </w:rPr>
            </w:pPr>
            <w:r>
              <w:rPr>
                <w:rFonts w:hint="eastAsia" w:ascii="宋体" w:hAnsi="宋体" w:cs="宋体"/>
                <w:color w:val="auto"/>
                <w:sz w:val="28"/>
                <w:szCs w:val="28"/>
                <w:highlight w:val="none"/>
              </w:rPr>
              <w:t xml:space="preserve">针对性（3分）:方案针对性强的得3分，针对性较强的得2分，针对性欠缺的得1分。</w:t>
            </w:r>
            <w:r/>
          </w:p>
        </w:tc>
      </w:tr>
      <w:tr>
        <w:trPr>
          <w:jc w:val="center"/>
          <w:trHeight w:val="475"/>
        </w:trPr>
        <w:tc>
          <w:tcPr>
            <w:tcW w:w="807" w:type="pct"/>
            <w:vAlign w:val="center"/>
            <w:vMerge w:val="continue"/>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4192" w:type="pct"/>
            <w:vAlign w:val="center"/>
            <w:textDirection w:val="lrTb"/>
            <w:noWrap w:val="false"/>
          </w:tcPr>
          <w:p>
            <w:pPr>
              <w:pStyle w:val="811"/>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2、免费维保期结束后，项目整体（包含本项目涉及的所有软件系统、硬件设备和配件）维护费用为本次投标总价5%（含）以下的得3分，5%（不含）至8%（含）的得1分，8%（不含）以上的不得分。</w:t>
            </w:r>
            <w:r/>
          </w:p>
          <w:p>
            <w:pPr>
              <w:rPr>
                <w:rFonts w:hint="eastAsia"/>
                <w:color w:val="auto"/>
                <w:highlight w:val="none"/>
              </w:rPr>
            </w:pPr>
            <w:r>
              <w:rPr>
                <w:rFonts w:hint="eastAsia" w:ascii="宋体" w:hAnsi="宋体" w:cs="宋体"/>
                <w:color w:val="auto"/>
                <w:sz w:val="28"/>
                <w:szCs w:val="28"/>
                <w:highlight w:val="none"/>
              </w:rPr>
              <w:t xml:space="preserve">未提供质保期满后每年维保报价的不得分。</w:t>
            </w:r>
            <w:r/>
          </w:p>
        </w:tc>
      </w:tr>
      <w:tr>
        <w:trPr>
          <w:jc w:val="center"/>
          <w:trHeight w:val="932"/>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投标人业绩</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（5分）</w:t>
            </w:r>
            <w:r/>
          </w:p>
        </w:tc>
        <w:tc>
          <w:tcPr>
            <w:tcW w:w="4192" w:type="pct"/>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投标文件中提供投标人为乙方，合同签订日期在2023年1月1日（含）以后，合同标的与本次采购标的同类或相似的合同，每项得1分，最高得5分。</w:t>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投标文件中需提供合同复印件，否则不予认可（内容须清晰可辨，否则不得分）。</w:t>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8"/>
          <w:szCs w:val="28"/>
          <w:highlight w:val="none"/>
        </w:rPr>
        <w:t xml:space="preserve">本章说明：本项目采用综合评分法</w:t>
      </w:r>
      <w:r>
        <w:rPr>
          <w:rFonts w:hint="eastAsia" w:ascii="宋体" w:hAnsi="宋体" w:eastAsia="宋体" w:cs="宋体"/>
          <w:b w:val="0"/>
          <w:bCs/>
          <w:color w:val="auto"/>
          <w:sz w:val="24"/>
          <w:szCs w:val="24"/>
          <w:highlight w:val="none"/>
        </w:rPr>
        <w:t xml:space="preserve">。</w:t>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第五章 拟签订的合同文本</w:t>
      </w:r>
      <w:r/>
    </w:p>
    <w:p>
      <w:pPr>
        <w:pStyle w:val="819"/>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项目名称：</w:t>
      </w:r>
      <w:r/>
    </w:p>
    <w:p>
      <w:pPr>
        <w:pStyle w:val="819"/>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w:t>
      </w:r>
      <w:r/>
    </w:p>
    <w:p>
      <w:pPr>
        <w:pStyle w:val="81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合</w:t>
      </w:r>
      <w:r/>
    </w:p>
    <w:p>
      <w:pPr>
        <w:pStyle w:val="81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19"/>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同</w:t>
      </w:r>
      <w:r/>
    </w:p>
    <w:p>
      <w:pPr>
        <w:pStyle w:val="819"/>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19"/>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19"/>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19"/>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819"/>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采  购  人：</w:t>
      </w:r>
      <w:r/>
    </w:p>
    <w:p>
      <w:pPr>
        <w:pStyle w:val="819"/>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中标人：</w:t>
      </w:r>
      <w:r/>
    </w:p>
    <w:p>
      <w:pPr>
        <w:pStyle w:val="819"/>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合同签订日期： 年 月 日</w:t>
      </w:r>
      <w:r/>
    </w:p>
    <w:p>
      <w:pPr>
        <w:pStyle w:val="811"/>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友情提醒：采购人与中标、成交人应当在中标、成交通知书发出之日起三十日内，按照采购文件确定的事项签订政府采购合同。</w:t>
      </w:r>
      <w:r/>
    </w:p>
    <w:p>
      <w:pPr>
        <w:pStyle w:val="811"/>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11"/>
        <w:ind w:firstLine="48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24"/>
        <w:jc w:val="center"/>
        <w:rPr>
          <w:rFonts w:hint="eastAsia" w:ascii="宋体" w:hAnsi="宋体" w:cs="宋体"/>
          <w:color w:val="auto"/>
          <w:highlight w:val="none"/>
        </w:rPr>
      </w:pPr>
      <w:r>
        <w:rPr>
          <w:rFonts w:hint="eastAsia" w:ascii="宋体" w:hAnsi="宋体" w:cs="宋体"/>
          <w:color w:val="auto"/>
          <w:highlight w:val="none"/>
        </w:rPr>
        <w:br w:type="page" w:clear="all"/>
      </w:r>
      <w:r/>
    </w:p>
    <w:p>
      <w:pPr>
        <w:pStyle w:val="824"/>
        <w:jc w:val="center"/>
        <w:rPr>
          <w:rFonts w:hint="eastAsia" w:ascii="宋体" w:hAnsi="宋体" w:cs="宋体"/>
          <w:color w:val="auto"/>
          <w:highlight w:val="none"/>
        </w:rPr>
      </w:pPr>
      <w:r>
        <w:rPr>
          <w:rFonts w:hint="eastAsia" w:ascii="宋体" w:hAnsi="宋体" w:cs="宋体"/>
          <w:color w:val="auto"/>
          <w:highlight w:val="none"/>
        </w:rPr>
      </w:r>
      <w:r/>
    </w:p>
    <w:p>
      <w:pPr>
        <w:pStyle w:val="824"/>
        <w:jc w:val="center"/>
        <w:rPr>
          <w:rFonts w:hint="eastAsia" w:ascii="宋体" w:hAnsi="宋体" w:cs="宋体"/>
          <w:color w:val="auto"/>
          <w:highlight w:val="none"/>
        </w:rPr>
      </w:pPr>
      <w:r>
        <w:rPr>
          <w:rFonts w:hint="eastAsia" w:ascii="宋体" w:hAnsi="宋体" w:cs="宋体"/>
          <w:color w:val="auto"/>
          <w:highlight w:val="none"/>
        </w:rPr>
      </w:r>
      <w:r/>
    </w:p>
    <w:p>
      <w:pPr>
        <w:pStyle w:val="824"/>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软</w:t>
      </w:r>
      <w:r/>
    </w:p>
    <w:p>
      <w:pPr>
        <w:pStyle w:val="824"/>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件</w:t>
      </w:r>
      <w:r/>
    </w:p>
    <w:p>
      <w:pPr>
        <w:pStyle w:val="824"/>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824"/>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824"/>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824"/>
        <w:jc w:val="center"/>
        <w:rPr>
          <w:rFonts w:hint="eastAsia" w:ascii="宋体" w:hAnsi="宋体" w:cs="宋体"/>
          <w:color w:val="auto"/>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94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4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4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4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40"/>
        <w:rPr>
          <w:rFonts w:hint="eastAsia"/>
          <w:color w:val="auto"/>
          <w:highlight w:val="none"/>
        </w:rPr>
      </w:pPr>
      <w:r>
        <w:rPr>
          <w:rFonts w:hint="eastAsia"/>
          <w:color w:val="auto"/>
          <w:highlight w:val="none"/>
        </w:rPr>
      </w:r>
      <w:r/>
    </w:p>
    <w:p>
      <w:pPr>
        <w:pStyle w:val="940"/>
        <w:rPr>
          <w:rFonts w:hint="eastAsia"/>
          <w:color w:val="auto"/>
          <w:highlight w:val="none"/>
        </w:rPr>
      </w:pPr>
      <w:r>
        <w:rPr>
          <w:rFonts w:hint="eastAsia"/>
          <w:color w:val="auto"/>
          <w:highlight w:val="none"/>
        </w:rPr>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  购  人：徐州医科大学附属医院</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供  应  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811"/>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811"/>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841"/>
        <w:jc w:val="center"/>
        <w:spacing w:beforeAutospacing="0" w:afterAutospacing="0" w:line="480" w:lineRule="auto"/>
        <w:rPr>
          <w:rFonts w:ascii="仿宋" w:hAnsi="仿宋" w:eastAsia="仿宋" w:cs="仿宋"/>
          <w:b/>
          <w:color w:val="auto"/>
          <w:sz w:val="28"/>
          <w:highlight w:val="none"/>
        </w:rPr>
      </w:pPr>
      <w:r>
        <w:rPr>
          <w:rFonts w:ascii="仿宋" w:hAnsi="仿宋" w:eastAsia="仿宋" w:cs="仿宋"/>
          <w:b/>
          <w:color w:val="auto"/>
          <w:sz w:val="28"/>
          <w:highlight w:val="none"/>
        </w:rPr>
      </w:r>
      <w:r/>
    </w:p>
    <w:p>
      <w:pPr>
        <w:pStyle w:val="841"/>
        <w:jc w:val="left"/>
        <w:spacing w:beforeAutospacing="0" w:afterAutospacing="0" w:line="480" w:lineRule="auto"/>
        <w:rPr>
          <w:b/>
          <w:color w:val="auto"/>
          <w:highlight w:val="none"/>
          <w:u w:val="single"/>
        </w:rPr>
      </w:pPr>
      <w:r>
        <w:rPr>
          <w:rFonts w:ascii="仿宋" w:hAnsi="仿宋" w:eastAsia="仿宋" w:cs="仿宋"/>
          <w:b/>
          <w:color w:val="auto"/>
          <w:sz w:val="28"/>
          <w:highlight w:val="none"/>
        </w:rPr>
        <w:t xml:space="preserve"> </w:t>
      </w:r>
      <w:r>
        <w:rPr>
          <w:rFonts w:hint="eastAsia"/>
          <w:b/>
          <w:color w:val="auto"/>
          <w:highlight w:val="none"/>
        </w:rPr>
        <w:t xml:space="preserve">                                       </w:t>
      </w:r>
      <w:r>
        <w:rPr>
          <w:rFonts w:hint="eastAsia"/>
          <w:b/>
          <w:color w:val="auto"/>
          <w:sz w:val="22"/>
          <w:szCs w:val="22"/>
          <w:highlight w:val="none"/>
        </w:rPr>
        <w:t xml:space="preserve"> </w:t>
      </w:r>
      <w:r>
        <w:rPr>
          <w:rFonts w:hint="eastAsia"/>
          <w:b/>
          <w:color w:val="auto"/>
          <w:highlight w:val="none"/>
        </w:rPr>
        <w:t xml:space="preserve">合同编号：</w:t>
      </w:r>
      <w:r>
        <w:rPr>
          <w:rFonts w:hint="eastAsia"/>
          <w:b/>
          <w:color w:val="auto"/>
          <w:sz w:val="22"/>
          <w:szCs w:val="22"/>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买方（甲方）：</w:t>
      </w:r>
      <w:r>
        <w:rPr>
          <w:rFonts w:hint="eastAsia" w:ascii="宋体" w:hAnsi="宋体" w:cs="宋体"/>
          <w:bCs/>
          <w:color w:val="auto"/>
          <w:sz w:val="24"/>
          <w:highlight w:val="none"/>
          <w:u w:val="single"/>
        </w:rPr>
        <w:t xml:space="preserve">徐州医科大学附属医院          </w:t>
      </w:r>
      <w:r/>
    </w:p>
    <w:p>
      <w:pPr>
        <w:spacing w:line="360" w:lineRule="auto"/>
        <w:tabs>
          <w:tab w:val="center" w:pos="4512"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卖方（乙方）：</w:t>
      </w:r>
      <w:r>
        <w:rPr>
          <w:rFonts w:hint="eastAsia" w:ascii="宋体" w:hAnsi="宋体" w:cs="宋体"/>
          <w:bCs/>
          <w:color w:val="auto"/>
          <w:sz w:val="24"/>
          <w:highlight w:val="none"/>
          <w:u w:val="single"/>
        </w:rPr>
        <w:t xml:space="preserve">                    </w:t>
      </w:r>
      <w:r/>
    </w:p>
    <w:p>
      <w:pPr>
        <w:pStyle w:val="814"/>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依据《中华人民共和国民法典》和有关法律、法规，甲乙双方本着诚实信用、平等互利的原则，并通过友好协商，就_______________采购事宜，签订本合同。</w:t>
      </w:r>
      <w:r/>
    </w:p>
    <w:p>
      <w:pPr>
        <w:pStyle w:val="835"/>
        <w:numPr>
          <w:ilvl w:val="0"/>
          <w:numId w:val="2"/>
        </w:numPr>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合同标的</w:t>
      </w:r>
      <w:r/>
    </w:p>
    <w:p>
      <w:pPr>
        <w:ind w:firstLine="480"/>
        <w:spacing w:line="360" w:lineRule="auto"/>
        <w:rPr>
          <w:rFonts w:hint="eastAsia"/>
          <w:color w:val="auto"/>
          <w:highlight w:val="none"/>
        </w:rPr>
        <w:outlineLvl w:val="2"/>
      </w:pPr>
      <w:r>
        <w:rPr>
          <w:rFonts w:hint="eastAsia" w:ascii="宋体" w:hAnsi="宋体" w:cs="宋体"/>
          <w:bCs/>
          <w:color w:val="auto"/>
          <w:sz w:val="24"/>
          <w:highlight w:val="none"/>
        </w:rPr>
        <w:t xml:space="preserve">1.1本合同的标的为甲方向乙方采购，如下清单中的服务：</w:t>
      </w:r>
      <w:r/>
    </w:p>
    <w:tbl>
      <w:tblPr>
        <w:tblStyle w:val="808"/>
        <w:tblW w:w="4996" w:type="pct"/>
        <w:jc w:val="righ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57"/>
        <w:gridCol w:w="1024"/>
        <w:gridCol w:w="1742"/>
        <w:gridCol w:w="1294"/>
        <w:gridCol w:w="357"/>
        <w:gridCol w:w="633"/>
        <w:gridCol w:w="1059"/>
        <w:gridCol w:w="1047"/>
      </w:tblGrid>
      <w:tr>
        <w:trPr>
          <w:jc w:val="right"/>
          <w:tblCellSpacing w:w="0" w:type="dxa"/>
          <w:trHeight w:val="1085"/>
        </w:trPr>
        <w:tc>
          <w:tcPr>
            <w:tcW w:w="69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产品名称</w:t>
            </w:r>
            <w:r/>
          </w:p>
        </w:tc>
        <w:tc>
          <w:tcPr>
            <w:tcW w:w="61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品牌名称</w:t>
            </w:r>
            <w:r/>
          </w:p>
        </w:tc>
        <w:tc>
          <w:tcPr>
            <w:tcW w:w="104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规格/型号</w:t>
            </w:r>
            <w:r/>
          </w:p>
        </w:tc>
        <w:tc>
          <w:tcPr>
            <w:tcW w:w="77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生产厂家</w:t>
            </w:r>
            <w:r/>
          </w:p>
        </w:tc>
        <w:tc>
          <w:tcPr>
            <w:tcW w:w="215"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单位</w:t>
            </w:r>
            <w:r/>
          </w:p>
        </w:tc>
        <w:tc>
          <w:tcPr>
            <w:tcW w:w="381"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633"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单价</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(元)</w:t>
            </w:r>
            <w:r/>
          </w:p>
        </w:tc>
        <w:tc>
          <w:tcPr>
            <w:tcW w:w="62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小计(￥元)</w:t>
            </w:r>
            <w:r/>
          </w:p>
        </w:tc>
      </w:tr>
      <w:tr>
        <w:trPr>
          <w:jc w:val="right"/>
          <w:tblCellSpacing w:w="0" w:type="dxa"/>
          <w:trHeight w:val="618"/>
        </w:trPr>
        <w:tc>
          <w:tcPr>
            <w:tcW w:w="696" w:type="pct"/>
            <w:vAlign w:val="center"/>
            <w:textDirection w:val="lrTb"/>
            <w:noWrap w:val="false"/>
          </w:tcPr>
          <w:p>
            <w:pPr>
              <w:spacing w:line="360" w:lineRule="auto"/>
              <w:rPr>
                <w:rFonts w:ascii="宋体" w:hAnsi="宋体" w:cs="宋体"/>
                <w:bCs/>
                <w:i/>
                <w:iCs/>
                <w:color w:val="auto"/>
                <w:sz w:val="24"/>
                <w:highlight w:val="none"/>
              </w:rPr>
            </w:pPr>
            <w:r>
              <w:rPr>
                <w:rFonts w:hint="eastAsia" w:ascii="宋体" w:hAnsi="宋体" w:cs="宋体"/>
                <w:bCs/>
                <w:i/>
                <w:iCs/>
                <w:color w:val="auto"/>
                <w:sz w:val="24"/>
                <w:highlight w:val="none"/>
              </w:rPr>
              <w:t xml:space="preserve">   </w:t>
            </w:r>
            <w:r/>
          </w:p>
        </w:tc>
        <w:tc>
          <w:tcPr>
            <w:tcW w:w="616" w:type="pct"/>
            <w:vAlign w:val="center"/>
            <w:textDirection w:val="lrTb"/>
            <w:noWrap w:val="false"/>
          </w:tcPr>
          <w:p>
            <w:pPr>
              <w:ind w:left="480" w:hanging="480"/>
              <w:spacing w:line="360" w:lineRule="auto"/>
              <w:rPr>
                <w:rFonts w:ascii="宋体" w:hAnsi="宋体" w:cs="宋体"/>
                <w:bCs/>
                <w:i/>
                <w:iCs/>
                <w:color w:val="auto"/>
                <w:sz w:val="24"/>
                <w:highlight w:val="none"/>
              </w:rPr>
            </w:pPr>
            <w:r>
              <w:rPr>
                <w:rFonts w:hint="eastAsia" w:ascii="宋体" w:hAnsi="宋体" w:cs="宋体"/>
                <w:bCs/>
                <w:i/>
                <w:iCs/>
                <w:color w:val="auto"/>
                <w:sz w:val="24"/>
                <w:highlight w:val="none"/>
              </w:rPr>
              <w:t xml:space="preserve"> </w:t>
            </w:r>
            <w:r/>
          </w:p>
        </w:tc>
        <w:tc>
          <w:tcPr>
            <w:tcW w:w="1048" w:type="pct"/>
            <w:vAlign w:val="center"/>
            <w:textDirection w:val="lrTb"/>
            <w:noWrap w:val="false"/>
          </w:tcPr>
          <w:p>
            <w:pPr>
              <w:ind w:left="480" w:hanging="480"/>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778" w:type="pct"/>
            <w:vAlign w:val="center"/>
            <w:textDirection w:val="lrTb"/>
            <w:noWrap w:val="false"/>
          </w:tcPr>
          <w:p>
            <w:pP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215" w:type="pct"/>
            <w:vAlign w:val="center"/>
            <w:textDirection w:val="lrTb"/>
            <w:noWrap w:val="false"/>
          </w:tcPr>
          <w:p>
            <w:pPr>
              <w:ind w:left="480" w:hanging="480"/>
              <w:jc w:val="center"/>
              <w:spacing w:line="360" w:lineRule="auto"/>
              <w:rPr>
                <w:rFonts w:hint="eastAsia" w:ascii="宋体" w:hAnsi="宋体" w:cs="宋体"/>
                <w:bCs/>
                <w:i/>
                <w:iCs/>
                <w:color w:val="auto"/>
                <w:sz w:val="24"/>
                <w:highlight w:val="none"/>
              </w:rPr>
            </w:pPr>
            <w:r>
              <w:rPr>
                <w:rFonts w:hint="eastAsia" w:ascii="宋体" w:hAnsi="宋体" w:cs="宋体"/>
                <w:bCs/>
                <w:i/>
                <w:iCs/>
                <w:color w:val="auto"/>
                <w:sz w:val="24"/>
                <w:highlight w:val="none"/>
              </w:rPr>
            </w:r>
            <w:r/>
          </w:p>
        </w:tc>
        <w:tc>
          <w:tcPr>
            <w:tcW w:w="381" w:type="pct"/>
            <w:vAlign w:val="center"/>
            <w:textDirection w:val="lrTb"/>
            <w:noWrap w:val="false"/>
          </w:tcPr>
          <w:p>
            <w:pPr>
              <w:ind w:left="480" w:hanging="480"/>
              <w:jc w:val="cente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633" w:type="pct"/>
            <w:vAlign w:val="center"/>
            <w:textDirection w:val="lrTb"/>
            <w:noWrap w:val="false"/>
          </w:tcPr>
          <w:p>
            <w:pPr>
              <w:ind w:left="480" w:hanging="480"/>
              <w:jc w:val="cente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628" w:type="pct"/>
            <w:vAlign w:val="center"/>
            <w:textDirection w:val="lrTb"/>
            <w:noWrap w:val="false"/>
          </w:tcPr>
          <w:p>
            <w:pPr>
              <w:ind w:left="480" w:hanging="480"/>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r>
      <w:tr>
        <w:trPr>
          <w:jc w:val="right"/>
          <w:tblCellSpacing w:w="0" w:type="dxa"/>
          <w:trHeight w:val="641"/>
        </w:trPr>
        <w:tc>
          <w:tcPr>
            <w:tcW w:w="69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16"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04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77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15"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381"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33"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2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right"/>
          <w:tblCellSpacing w:w="0" w:type="dxa"/>
          <w:trHeight w:val="680"/>
        </w:trPr>
        <w:tc>
          <w:tcPr>
            <w:gridSpan w:val="7"/>
            <w:tcW w:w="4371" w:type="pct"/>
            <w:vAlign w:val="center"/>
            <w:textDirection w:val="lrTb"/>
            <w:noWrap w:val="false"/>
          </w:tcPr>
          <w:p>
            <w:pPr>
              <w:ind w:left="480" w:hanging="48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合计（小写）</w:t>
            </w:r>
            <w:r/>
          </w:p>
        </w:tc>
        <w:tc>
          <w:tcPr>
            <w:tcW w:w="62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right"/>
          <w:tblCellSpacing w:w="0" w:type="dxa"/>
          <w:trHeight w:val="690"/>
        </w:trPr>
        <w:tc>
          <w:tcPr>
            <w:gridSpan w:val="8"/>
            <w:tcW w:w="5000" w:type="pct"/>
            <w:vAlign w:val="center"/>
            <w:textDirection w:val="lrTb"/>
            <w:noWrap w:val="false"/>
          </w:tcPr>
          <w:p>
            <w:pPr>
              <w:ind w:left="480" w:hanging="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总计人民币金额（大写）：人民币</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元整</w:t>
            </w:r>
            <w:r/>
          </w:p>
        </w:tc>
      </w:tr>
      <w:tr>
        <w:trPr>
          <w:jc w:val="right"/>
          <w:tblCellSpacing w:w="0" w:type="dxa"/>
          <w:trHeight w:val="700"/>
        </w:trPr>
        <w:tc>
          <w:tcPr>
            <w:gridSpan w:val="8"/>
            <w:tcW w:w="5000" w:type="pct"/>
            <w:vAlign w:val="center"/>
            <w:textDirection w:val="lrTb"/>
            <w:noWrap w:val="false"/>
          </w:tcPr>
          <w:p>
            <w:pPr>
              <w:ind w:left="480" w:hanging="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产品详细配置清单等见附件，附件与本合同有同等法律效力。</w:t>
            </w:r>
            <w:r/>
          </w:p>
        </w:tc>
      </w:tr>
    </w:tbl>
    <w:p>
      <w:pPr>
        <w:spacing w:line="360" w:lineRule="auto"/>
        <w:rPr>
          <w:rFonts w:hint="eastAsia"/>
          <w:color w:val="auto"/>
          <w:highlight w:val="none"/>
        </w:rPr>
      </w:pPr>
      <w:r>
        <w:rPr>
          <w:rFonts w:hint="eastAsia"/>
          <w:color w:val="auto"/>
          <w:highlight w:val="none"/>
        </w:rPr>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第二条 合同价格</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2.1本合同总金额为人民币</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元整）。</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2.2本合同价格包括技术支持与培训费、售后服务及相关劳务支出、提供符合甲方财务要求的正规发票等工作所发生的全部费用以及供应商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2.3合同价格形式：</w:t>
      </w:r>
      <w:r>
        <w:rPr>
          <w:rFonts w:hint="eastAsia" w:ascii="宋体" w:hAnsi="宋体" w:cs="宋体"/>
          <w:bCs/>
          <w:color w:val="auto"/>
          <w:sz w:val="24"/>
          <w:highlight w:val="none"/>
          <w:u w:val="single"/>
        </w:rPr>
        <w:t xml:space="preserve"> 固定总价  </w:t>
      </w:r>
      <w:r>
        <w:rPr>
          <w:rFonts w:hint="eastAsia" w:ascii="宋体" w:hAnsi="宋体" w:cs="宋体"/>
          <w:bCs/>
          <w:color w:val="auto"/>
          <w:sz w:val="24"/>
          <w:highlight w:val="none"/>
        </w:rPr>
        <w:t xml:space="preserve">，合同期内单价不作调整，以实际交付量结算。</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2.4 产品安装地点：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第三条 付款方式和付款比例</w:t>
      </w:r>
      <w:r/>
    </w:p>
    <w:p>
      <w:pPr>
        <w:ind w:firstLine="484"/>
        <w:spacing w:line="360" w:lineRule="auto"/>
        <w:rPr>
          <w:rFonts w:hint="eastAsia"/>
          <w:color w:val="auto"/>
          <w:highlight w:val="none"/>
        </w:rPr>
        <w:outlineLvl w:val="2"/>
      </w:pPr>
      <w:r>
        <w:rPr>
          <w:rFonts w:hint="eastAsia" w:ascii="宋体" w:hAnsi="宋体" w:cs="宋体"/>
          <w:bCs/>
          <w:color w:val="auto"/>
          <w:sz w:val="24"/>
          <w:highlight w:val="none"/>
        </w:rPr>
        <w:t xml:space="preserve">3.1付款方式：</w:t>
      </w:r>
      <w:r/>
    </w:p>
    <w:p>
      <w:pPr>
        <w:ind w:firstLine="484"/>
        <w:spacing w:line="360" w:lineRule="auto"/>
        <w:rPr>
          <w:color w:val="auto"/>
          <w:highlight w:val="none"/>
        </w:rPr>
      </w:pPr>
      <w:r>
        <w:rPr>
          <w:rFonts w:hint="eastAsia" w:ascii="宋体" w:hAnsi="宋体" w:cs="宋体"/>
          <w:bCs/>
          <w:color w:val="auto"/>
          <w:sz w:val="24"/>
          <w:highlight w:val="none"/>
        </w:rPr>
        <w:t xml:space="preserve">合同付款方式：按项目实施进度节点进行付款。</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（1）合同签定完成后30日内支付合同总价的30%；</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（2）项目实施验收后，乙方按要求提供发票，甲方查验合格后30日内支付合同总价的60%；</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（3）其余10％部分作为项目尾款，项目验收合格后，按免费维保期的年数平均进行支付。</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3.2乙方提供的发票、产品、系统功能、规格等内容必须与合同完全一致，乙方未提供合规发票前，甲方有权拒绝付款，并不视为违约。</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3.3 甲方开票信息：</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名  称：</w:t>
      </w:r>
      <w:r>
        <w:rPr>
          <w:rFonts w:hint="eastAsia" w:ascii="宋体" w:hAnsi="宋体" w:cs="宋体"/>
          <w:bCs/>
          <w:color w:val="auto"/>
          <w:sz w:val="24"/>
          <w:highlight w:val="none"/>
          <w:u w:val="single"/>
        </w:rPr>
        <w:t xml:space="preserve">徐州医科大学附属医院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税  号：12320000466002657F</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开户行：中国农业银行徐州淮海路支行</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账  号：10230101040002600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电  话：0516-85802338、85802011(传真) </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地  址：江苏省徐州市淮海西路99号</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3.4乙方收付款信息：</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名  称：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税  号：</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开户行：</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账  号：</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联行号：</w:t>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第四条 产品交付</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4.1 产品交付期：乙方</w:t>
      </w:r>
      <w:r>
        <w:rPr>
          <w:rFonts w:hint="eastAsia" w:ascii="宋体" w:hAnsi="宋体" w:cs="宋体"/>
          <w:bCs/>
          <w:color w:val="auto"/>
          <w:sz w:val="24"/>
          <w:highlight w:val="none"/>
          <w:lang w:eastAsia="zh-Hans"/>
        </w:rPr>
        <w:t xml:space="preserve">应</w:t>
      </w:r>
      <w:r>
        <w:rPr>
          <w:rFonts w:hint="eastAsia" w:ascii="宋体" w:hAnsi="宋体" w:cs="宋体"/>
          <w:bCs/>
          <w:color w:val="auto"/>
          <w:sz w:val="24"/>
          <w:highlight w:val="none"/>
        </w:rPr>
        <w:t xml:space="preserve">于</w:t>
      </w:r>
      <w:r>
        <w:rPr>
          <w:rFonts w:hint="eastAsia" w:ascii="宋体" w:hAnsi="宋体" w:cs="宋体"/>
          <w:bCs/>
          <w:color w:val="auto"/>
          <w:sz w:val="24"/>
          <w:highlight w:val="none"/>
          <w:lang w:val="en-US" w:eastAsia="zh-CN"/>
        </w:rPr>
        <w:t xml:space="preserve">合同签署后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90</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日</w:t>
      </w:r>
      <w:r>
        <w:rPr>
          <w:rFonts w:hint="eastAsia" w:ascii="宋体" w:hAnsi="宋体" w:cs="宋体"/>
          <w:bCs/>
          <w:color w:val="auto"/>
          <w:sz w:val="24"/>
          <w:highlight w:val="none"/>
          <w:lang w:val="en-US" w:eastAsia="zh-CN"/>
        </w:rPr>
        <w:t xml:space="preserve">内</w:t>
      </w:r>
      <w:r>
        <w:rPr>
          <w:rFonts w:hint="eastAsia" w:ascii="宋体" w:hAnsi="宋体" w:cs="宋体"/>
          <w:bCs/>
          <w:color w:val="auto"/>
          <w:sz w:val="24"/>
          <w:highlight w:val="none"/>
        </w:rPr>
        <w:t xml:space="preserve">向甲方交付产品。</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4.2 产品交付单位及地点: </w:t>
      </w:r>
      <w:r>
        <w:rPr>
          <w:rFonts w:hint="eastAsia" w:ascii="宋体" w:hAnsi="宋体" w:cs="宋体"/>
          <w:bCs/>
          <w:color w:val="auto"/>
          <w:sz w:val="24"/>
          <w:highlight w:val="none"/>
          <w:u w:val="single"/>
        </w:rPr>
        <w:t xml:space="preserve">                                      </w:t>
      </w:r>
      <w:r/>
    </w:p>
    <w:p>
      <w:pPr>
        <w:pStyle w:val="814"/>
        <w:ind w:firstLine="48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4.3 交付的产品须符合卫生主管部门对于网络安全三同步要求，符合网络安全等级保护3级测评要求。</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4.4 交付产品应支持全信创化部署安装。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4.5 乙方产品对接院内信息系统应首选通过集成平台对接，如因乙方原因无法通过集成平台对接，需要通过应用系统厂家进行对接服务的，相关费用由乙方承担。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4.6乙方应派身体、心理健康、有经验和能力、具有相应资质的技术人员，负责产品的调试和安装。乙方人员应充分评估工作所具备的可能危害性，甲方不承担因工作造成的任何乙方技术人员意外伤害。</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4.7 乙方技术人员要严格遵守甲方相关网络安全，施工规范要求，如应此而造成的甲方损失，均由乙方承担，且甲方有权解除合同、追回预付款且不承担任何责任。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4.8乙方需提供本项目信息技术应用创新部署所需的所有软件（包括但不限于操作系统、数据库、中间件、应用软件等）的终身永久授权及其终身技术支持服务。（认证费用和授权费用包含在投标报价中，需由投标人承担，被授权单位为甲方。</w:t>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第五条 技术、质量要求</w:t>
      </w:r>
      <w:r/>
    </w:p>
    <w:p>
      <w:pPr>
        <w:ind w:firstLine="480"/>
        <w:spacing w:line="360" w:lineRule="auto"/>
        <w:rPr>
          <w:rFonts w:hint="eastAsia" w:ascii="宋体" w:hAnsi="宋体" w:cs="宋体"/>
          <w:bCs/>
          <w:color w:val="auto"/>
          <w:sz w:val="24"/>
          <w:highlight w:val="none"/>
          <w:lang w:eastAsia="zh-Hans"/>
        </w:rPr>
      </w:pPr>
      <w:r>
        <w:rPr>
          <w:rFonts w:hint="eastAsia" w:ascii="宋体" w:hAnsi="宋体" w:cs="宋体"/>
          <w:bCs/>
          <w:color w:val="auto"/>
          <w:sz w:val="24"/>
          <w:highlight w:val="none"/>
        </w:rPr>
        <w:t xml:space="preserve">5</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Hans"/>
        </w:rPr>
        <w:t xml:space="preserve">产品的</w:t>
      </w:r>
      <w:r>
        <w:rPr>
          <w:rFonts w:hint="eastAsia" w:ascii="宋体" w:hAnsi="宋体" w:cs="宋体"/>
          <w:bCs/>
          <w:color w:val="auto"/>
          <w:sz w:val="24"/>
          <w:highlight w:val="none"/>
        </w:rPr>
        <w:t xml:space="preserve">维保期</w:t>
      </w:r>
      <w:r>
        <w:rPr>
          <w:rFonts w:hint="eastAsia" w:ascii="宋体" w:hAnsi="宋体" w:cs="宋体"/>
          <w:bCs/>
          <w:color w:val="auto"/>
          <w:sz w:val="24"/>
          <w:highlight w:val="none"/>
          <w:lang w:eastAsia="zh-Hans"/>
        </w:rPr>
        <w:t xml:space="preserve">（以验收合格日算起）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lang w:eastAsia="zh-Hans"/>
        </w:rPr>
        <w:t xml:space="preserve"> 年，维保期内免费</w:t>
      </w:r>
      <w:r>
        <w:rPr>
          <w:rFonts w:hint="eastAsia" w:ascii="宋体" w:hAnsi="宋体" w:cs="宋体"/>
          <w:bCs/>
          <w:color w:val="auto"/>
          <w:sz w:val="24"/>
          <w:highlight w:val="none"/>
        </w:rPr>
        <w:t xml:space="preserve">维护</w:t>
      </w:r>
      <w:r>
        <w:rPr>
          <w:rFonts w:hint="eastAsia" w:ascii="宋体" w:hAnsi="宋体" w:cs="宋体"/>
          <w:bCs/>
          <w:color w:val="auto"/>
          <w:sz w:val="24"/>
          <w:highlight w:val="none"/>
          <w:lang w:eastAsia="zh-Hans"/>
        </w:rPr>
        <w:t xml:space="preserve">。</w:t>
      </w:r>
      <w:r/>
    </w:p>
    <w:p>
      <w:pPr>
        <w:ind w:firstLine="480"/>
        <w:spacing w:line="360" w:lineRule="auto"/>
        <w:rPr>
          <w:rFonts w:hint="eastAsia" w:ascii="宋体" w:hAnsi="宋体" w:cs="宋体"/>
          <w:bCs/>
          <w:color w:val="auto"/>
          <w:sz w:val="24"/>
          <w:highlight w:val="none"/>
          <w:lang w:eastAsia="zh-Hans"/>
        </w:rPr>
        <w:outlineLvl w:val="2"/>
      </w:pPr>
      <w:r>
        <w:rPr>
          <w:rFonts w:hint="eastAsia" w:ascii="宋体" w:hAnsi="宋体" w:cs="宋体"/>
          <w:bCs/>
          <w:color w:val="auto"/>
          <w:sz w:val="24"/>
          <w:highlight w:val="none"/>
          <w:lang w:eastAsia="zh-Hans"/>
        </w:rPr>
        <w:t xml:space="preserve">5.</w:t>
      </w: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Hans"/>
        </w:rPr>
        <w:t xml:space="preserve">服务响应时间：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lang w:eastAsia="zh-Hans"/>
        </w:rPr>
        <w:t xml:space="preserve">小时</w:t>
      </w:r>
      <w:r/>
    </w:p>
    <w:p>
      <w:pPr>
        <w:ind w:firstLine="480"/>
        <w:spacing w:line="360" w:lineRule="auto"/>
        <w:rPr>
          <w:rFonts w:ascii="宋体" w:hAnsi="宋体" w:cs="宋体"/>
          <w:i/>
          <w:iCs/>
          <w:color w:val="auto"/>
          <w:sz w:val="24"/>
          <w:highlight w:val="none"/>
        </w:rPr>
      </w:pPr>
      <w:r>
        <w:rPr>
          <w:rFonts w:hint="eastAsia" w:ascii="宋体" w:hAnsi="宋体" w:cs="宋体"/>
          <w:bCs/>
          <w:color w:val="auto"/>
          <w:sz w:val="24"/>
          <w:highlight w:val="none"/>
        </w:rPr>
        <w:t xml:space="preserve">5.3项目实施期间，乙方应派驻资深（在本公司3年以上）项目经理1名，且有三甲医院独立现场实施经验；软件开发工程师不少于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名驻场工程师。</w:t>
      </w:r>
      <w:r/>
    </w:p>
    <w:p>
      <w:pPr>
        <w:pStyle w:val="814"/>
        <w:ind w:firstLine="48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5.4免费维护期结束后，每年的维护费用为本合同总额的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第六条 实施、验收及技术文档</w:t>
      </w:r>
      <w:r/>
    </w:p>
    <w:p>
      <w:pPr>
        <w:pStyle w:val="823"/>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6.1</w:t>
      </w:r>
      <w:bookmarkStart w:id="0" w:name="OLE_LINK10"/>
      <w:r>
        <w:rPr>
          <w:rFonts w:hint="eastAsia" w:ascii="宋体" w:hAnsi="宋体" w:cs="宋体"/>
          <w:bCs/>
          <w:color w:val="auto"/>
          <w:sz w:val="24"/>
          <w:highlight w:val="none"/>
        </w:rPr>
        <w:t xml:space="preserve">在项目安装、调试、上线、客户化修改等</w:t>
      </w:r>
      <w:bookmarkStart w:id="1" w:name="OLE_LINK6"/>
      <w:r>
        <w:rPr>
          <w:rFonts w:hint="eastAsia" w:ascii="宋体" w:hAnsi="宋体" w:cs="宋体"/>
          <w:bCs/>
          <w:color w:val="auto"/>
          <w:sz w:val="24"/>
          <w:highlight w:val="none"/>
        </w:rPr>
        <w:t xml:space="preserve">实施</w:t>
      </w:r>
      <w:bookmarkEnd w:id="1"/>
      <w:r>
        <w:rPr>
          <w:rFonts w:hint="eastAsia" w:ascii="宋体" w:hAnsi="宋体" w:cs="宋体"/>
          <w:bCs/>
          <w:color w:val="auto"/>
          <w:sz w:val="24"/>
          <w:highlight w:val="none"/>
        </w:rPr>
        <w:t xml:space="preserve">结束后，甲乙双方确认系</w:t>
      </w:r>
      <w:bookmarkStart w:id="2" w:name="OLE_LINK15"/>
      <w:r>
        <w:rPr>
          <w:rFonts w:hint="eastAsia" w:ascii="宋体" w:hAnsi="宋体" w:cs="宋体"/>
          <w:bCs/>
          <w:color w:val="auto"/>
          <w:sz w:val="24"/>
          <w:highlight w:val="none"/>
        </w:rPr>
        <w:t xml:space="preserve">统运行</w:t>
      </w:r>
      <w:bookmarkEnd w:id="2"/>
      <w:r>
        <w:rPr>
          <w:rFonts w:hint="eastAsia" w:ascii="宋体" w:hAnsi="宋体" w:cs="宋体"/>
          <w:bCs/>
          <w:color w:val="auto"/>
          <w:sz w:val="24"/>
          <w:highlight w:val="none"/>
        </w:rPr>
        <w:t xml:space="preserve">正常并完成各功能要</w:t>
      </w:r>
      <w:bookmarkEnd w:id="0"/>
      <w:r>
        <w:rPr>
          <w:rFonts w:hint="eastAsia" w:ascii="宋体" w:hAnsi="宋体" w:cs="宋体"/>
          <w:bCs/>
          <w:color w:val="auto"/>
          <w:sz w:val="24"/>
          <w:highlight w:val="none"/>
        </w:rPr>
        <w:t xml:space="preserve">求后，由乙方提出申请，甲方的归口管理部门组织相关科室部门与乙方进行交付验收，并出具验收报告。</w:t>
      </w:r>
      <w:bookmarkStart w:id="3" w:name="OLE_LINK1"/>
      <w:r>
        <w:rPr>
          <w:rFonts w:hint="eastAsia" w:ascii="宋体" w:hAnsi="宋体" w:cs="宋体"/>
          <w:bCs/>
          <w:color w:val="auto"/>
          <w:sz w:val="24"/>
          <w:highlight w:val="none"/>
        </w:rPr>
        <w:t xml:space="preserve">需要安装的平台，由乙方负责安装和调试工作</w:t>
      </w:r>
      <w:bookmarkEnd w:id="3"/>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6.2验收标准：（1）乙方应根据甲方验收部门的要求提供必要的技术资料：包括但不限于《数据库表结构说明文档》、《软件功能技术文档》、《软件功能操作手册》、《数据交换接口技术文档》、《数据库服务器地址配置清单及密码》等文档资料。（2）系统正常运行后由甲方归口管理部门组织相关科室、部门会同乙方共同验收。</w:t>
      </w:r>
      <w:r/>
    </w:p>
    <w:p>
      <w:pPr>
        <w:pStyle w:val="823"/>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第七条 售后服务</w:t>
      </w:r>
      <w:r/>
    </w:p>
    <w:p>
      <w:pPr>
        <w:pStyle w:val="823"/>
        <w:spacing w:line="360" w:lineRule="auto"/>
        <w:rPr>
          <w:rFonts w:hint="eastAsia" w:ascii="宋体" w:hAnsi="宋体"/>
          <w:color w:val="auto"/>
          <w:sz w:val="24"/>
          <w:highlight w:val="none"/>
        </w:rPr>
      </w:pPr>
      <w:r>
        <w:rPr>
          <w:rFonts w:hint="eastAsia" w:ascii="宋体" w:hAnsi="宋体" w:cs="宋体"/>
          <w:bCs/>
          <w:i/>
          <w:iCs/>
          <w:color w:val="auto"/>
          <w:sz w:val="24"/>
          <w:highlight w:val="none"/>
        </w:rPr>
        <w:t xml:space="preserve"> </w:t>
      </w:r>
      <w:r>
        <w:rPr>
          <w:rFonts w:hint="eastAsia" w:ascii="宋体" w:hAnsi="宋体" w:cs="宋体"/>
          <w:bCs/>
          <w:color w:val="auto"/>
          <w:sz w:val="24"/>
          <w:highlight w:val="none"/>
        </w:rPr>
        <w:t xml:space="preserve">   7.1 乙方</w:t>
      </w:r>
      <w:r>
        <w:rPr>
          <w:rFonts w:hint="eastAsia" w:ascii="宋体" w:hAnsi="宋体"/>
          <w:color w:val="auto"/>
          <w:sz w:val="24"/>
          <w:highlight w:val="none"/>
        </w:rPr>
        <w:t xml:space="preserve">应提供自验收合格后不少于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年免费维护,所有软件产品的免费维保期自本项目终验合格书签订之日起开始计算。免费维保期内应定期</w:t>
      </w:r>
      <w:r>
        <w:rPr>
          <w:rFonts w:ascii="宋体" w:hAnsi="宋体"/>
          <w:color w:val="auto"/>
          <w:sz w:val="24"/>
          <w:highlight w:val="none"/>
        </w:rPr>
        <w:t xml:space="preserve">对系统进行巡检，保证系统在最优化的状态下稳定运行</w:t>
      </w:r>
      <w:r>
        <w:rPr>
          <w:rFonts w:hint="eastAsia" w:ascii="宋体" w:hAnsi="宋体"/>
          <w:color w:val="auto"/>
          <w:sz w:val="24"/>
          <w:highlight w:val="none"/>
        </w:rPr>
        <w:t xml:space="preserve">。</w:t>
      </w:r>
      <w:r/>
    </w:p>
    <w:p>
      <w:pPr>
        <w:pStyle w:val="861"/>
        <w:contextualSpacing/>
        <w:ind w:left="0"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7.2 售后服务期间的所有软件维护、软件升级等所产生的费用均由乙方承担。</w:t>
      </w:r>
      <w:r/>
    </w:p>
    <w:p>
      <w:pPr>
        <w:pStyle w:val="823"/>
        <w:ind w:firstLine="480"/>
        <w:spacing w:line="360" w:lineRule="auto"/>
        <w:rPr>
          <w:rFonts w:ascii="宋体" w:hAnsi="宋体"/>
          <w:color w:val="auto"/>
          <w:sz w:val="24"/>
          <w:highlight w:val="none"/>
        </w:rPr>
      </w:pPr>
      <w:r>
        <w:rPr>
          <w:rFonts w:hint="eastAsia" w:ascii="宋体" w:hAnsi="宋体"/>
          <w:color w:val="auto"/>
          <w:sz w:val="24"/>
          <w:highlight w:val="none"/>
        </w:rPr>
        <w:t xml:space="preserve">7.3 因卫生主管部门管理要求，原有政策的文书格式、内容、要求变动的，乙方应及时安排技术力量进行系统升级调整，保障我院系统及时完成调整。</w:t>
      </w:r>
      <w:r/>
    </w:p>
    <w:p>
      <w:pPr>
        <w:ind w:firstLine="420"/>
        <w:spacing w:line="360" w:lineRule="auto"/>
        <w:rPr>
          <w:rFonts w:hint="eastAsia" w:ascii="宋体" w:hAnsi="宋体"/>
          <w:color w:val="auto"/>
          <w:sz w:val="24"/>
          <w:highlight w:val="none"/>
        </w:rPr>
        <w:outlineLvl w:val="2"/>
      </w:pPr>
      <w:r>
        <w:rPr>
          <w:rFonts w:hint="eastAsia" w:ascii="宋体" w:hAnsi="宋体"/>
          <w:color w:val="auto"/>
          <w:sz w:val="24"/>
          <w:highlight w:val="none"/>
        </w:rPr>
        <w:t xml:space="preserve">7.4 售后质量考核</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7.4.1 甲方反馈问题后，乙方超过2小时未响应则扣项目尾款500元；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7.4.2 针对全院级故障（非网络、服务器、存储），乙方在接到甲方通知后超过1小时未解决的扣尾款5000 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7.4.3 针对部门级故障（非网络、服务器、存储），乙方在接到甲方通知后超过1小时未解决扣尾款500元。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7.4.4乙方在接到甲方提出的软件完善需求后，应积极主动配合甲方进行需求确认与需求实现。如果需求是按照主管部门要求提出的，并且限时整改，必须在截止日期前实现需求，超期一次扣尾款5000元。常规甲方提出的完善需求应在接到通知后7个工作日内完成，超期一次扣尾款1000元。</w:t>
      </w:r>
      <w:r/>
    </w:p>
    <w:p>
      <w:pPr>
        <w:pStyle w:val="814"/>
        <w:spacing w:after="0" w:line="360" w:lineRule="auto"/>
        <w:rPr>
          <w:rFonts w:hint="eastAsia" w:ascii="宋体" w:hAnsi="宋体"/>
          <w:color w:val="auto"/>
          <w:sz w:val="24"/>
          <w:highlight w:val="none"/>
        </w:rPr>
      </w:pPr>
      <w:r>
        <w:rPr>
          <w:rFonts w:hint="eastAsia" w:ascii="宋体" w:hAnsi="宋体"/>
          <w:color w:val="auto"/>
          <w:sz w:val="24"/>
          <w:highlight w:val="none"/>
        </w:rPr>
        <w:t xml:space="preserve">      7.4.5 乙方驻场售后服务人员应按照甲方作息时间开展工作，迟到、早退1次扣尾款500元，无故缺席1次扣尾款1000元。</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以上均按问题发生次数计算，尾款扣完为止。</w:t>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第八条 权利和义务</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8.1甲方权利义务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8.1.1甲方有按照本合同约定按时支付给乙方服务费的义务。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8.1.2甲方有义务协调组织系统的验收。</w:t>
      </w:r>
      <w:r/>
    </w:p>
    <w:p>
      <w:pPr>
        <w:pStyle w:val="940"/>
        <w:spacing w:line="360" w:lineRule="auto"/>
        <w:rPr>
          <w:rFonts w:hint="eastAsia"/>
          <w:color w:val="auto"/>
          <w:highlight w:val="none"/>
        </w:rPr>
      </w:pPr>
      <w:r>
        <w:rPr>
          <w:rFonts w:hint="eastAsia" w:ascii="宋体" w:hAnsi="宋体" w:cs="宋体"/>
          <w:bCs/>
          <w:color w:val="auto"/>
          <w:sz w:val="24"/>
          <w:highlight w:val="none"/>
        </w:rPr>
        <w:t xml:space="preserve">    8.1.3 在本项目验收前，甲方有权力按照合同协议内容要求乙方进行全部功能、技术、服务的提供，如核查发现乙方无法提供协议约定的内容，可以通过书面的形式通知乙方；如乙方在收到通知后30个工作日仍无法满足，则甲方有权利终止合同，并要求乙方返还全部预付款。</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8.2 乙方权利义务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8.2.1乙方应按甲方提出的交付期限要求，根据国家标准和有关规定，组织开发，做到保质保量，不得无故拖延。</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8.2.2乙方交付的产品应符合国家相关规定等法律法规，产品质量合格，无任何知识产权争议问题，人员进入现场后，应服从甲方指定人员合理的统一指挥调度，积极配合甲方，提供优质服务。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8.2.3因服务质量问题或未在规定时间内实现产品上线运行导致</w:t>
      </w:r>
      <w:r>
        <w:rPr>
          <w:rFonts w:hint="eastAsia" w:ascii="宋体" w:hAnsi="宋体" w:cs="宋体"/>
          <w:bCs/>
          <w:color w:val="auto"/>
          <w:sz w:val="24"/>
          <w:highlight w:val="none"/>
          <w:lang w:eastAsia="zh-Hans"/>
        </w:rPr>
        <w:t xml:space="preserve">甲方遭受</w:t>
      </w:r>
      <w:r>
        <w:rPr>
          <w:rFonts w:hint="eastAsia" w:ascii="宋体" w:hAnsi="宋体" w:cs="宋体"/>
          <w:bCs/>
          <w:color w:val="auto"/>
          <w:sz w:val="24"/>
          <w:highlight w:val="none"/>
        </w:rPr>
        <w:t xml:space="preserve">的损失应按实赔偿给甲方。</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8.2.4乙方因不能提供合规发票给甲方带来税务风险时，乙方应承担由此带来的补缴税款、滞纳金等赔偿责任。</w:t>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第九条 合同解除</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9</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1合同有效期间，可通过书面协议解除本合同；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9.3甲方违约解除合同：在甲方违反本合同条款、债务或保证的情况下，乙方有权直接向甲方发出书面违约的通知书，提出解除部分或全部合同，通知到达甲方时发生解除的效力。同时，甲方应继续履行合同中未解除的部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9.4一方丧失或可能丧失履行能力解除合同：如果一方进入或者可能进入清算程序、一方经营状况严重恶化、无清偿能力、歇业、破产、转移财产、抽逃资金、逃避债务、发生罢工、被提起重大诉讼等的，另一方可在任何时候以书面方式通知一方，提出解除合同。该解除合同将不损害或影响甲方已采取或将要采取的任何行动或补救措施的权利；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9.5不可抗力解除合同：如发生不可抗力事故的，任何一方有权解除合同。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9.6如甲方根据法律法规的规定及本合同的约定解除合同的，相关的产品由乙方自费回收，所需要的费用乙方自行承担。若乙方未在甲方发出通知后30日历天内回收，则甲方可自行处理该合同产品，乙方应承担因此产生的所有费用与损失。</w:t>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第十条 不可抗力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第十一条 违约责任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11.1.如乙方逾期交付产品，每逾期1日历天，乙方按合同价款的万分之三向甲方支付违约金，并承担甲方因此所受的直接损失。</w:t>
      </w:r>
      <w:bookmarkStart w:id="4" w:name="OLE_LINK2"/>
      <w:r>
        <w:rPr>
          <w:rFonts w:hint="eastAsia" w:ascii="宋体" w:hAnsi="宋体" w:cs="宋体"/>
          <w:bCs/>
          <w:color w:val="auto"/>
          <w:sz w:val="24"/>
          <w:highlight w:val="none"/>
        </w:rPr>
        <w:t xml:space="preserve">逾期超过30天，甲方有权解除合同并要求乙方支付合同价款10%的违约金。</w:t>
      </w:r>
      <w:bookmarkEnd w:id="4"/>
      <w:r/>
      <w:r/>
    </w:p>
    <w:p>
      <w:pPr>
        <w:pStyle w:val="824"/>
        <w:ind w:firstLine="480"/>
        <w:spacing w:after="0" w:line="360" w:lineRule="auto"/>
        <w:rPr>
          <w:rFonts w:hint="eastAsia" w:ascii="宋体" w:hAnsi="宋体" w:cs="宋体"/>
          <w:color w:val="auto"/>
          <w:sz w:val="24"/>
          <w:highlight w:val="none"/>
        </w:rPr>
      </w:pPr>
      <w:r>
        <w:rPr>
          <w:rFonts w:hint="eastAsia" w:ascii="宋体" w:hAnsi="宋体" w:cs="宋体"/>
          <w:bCs/>
          <w:color w:val="auto"/>
          <w:position w:val="-10"/>
          <w:sz w:val="24"/>
          <w:highlight w:val="none"/>
        </w:rPr>
        <w:t xml:space="preserve">11.2.甲方应当按照合同约定的期限付款，每逾期1日历天，应当向乙方支付应付合同价款万分之三的违约金。</w:t>
      </w:r>
      <w:bookmarkStart w:id="5" w:name="OLE_LINK3"/>
      <w:r>
        <w:rPr>
          <w:rFonts w:hint="eastAsia" w:ascii="宋体" w:hAnsi="宋体" w:cs="宋体"/>
          <w:bCs/>
          <w:color w:val="auto"/>
          <w:position w:val="-10"/>
          <w:sz w:val="24"/>
          <w:highlight w:val="none"/>
        </w:rPr>
        <w:t xml:space="preserve">逾期超过30天，乙方有权解除合同并要求甲方支付合同价款10%的违约金。</w:t>
      </w:r>
      <w:bookmarkEnd w:id="5"/>
      <w:r>
        <w:rPr>
          <w:rFonts w:hint="eastAsia" w:ascii="宋体" w:hAnsi="宋体" w:cs="宋体"/>
          <w:bCs/>
          <w:color w:val="auto"/>
          <w:position w:val="-10"/>
          <w:sz w:val="24"/>
          <w:highlight w:val="none"/>
        </w:rPr>
        <w:t xml:space="preserve">因甲方迟延支付合同款，乙方有权中止服务，由此导致的延期交付，乙方不承担迟延交付的违约责任。</w:t>
      </w:r>
      <w:r/>
    </w:p>
    <w:p>
      <w:pPr>
        <w:ind w:firstLine="480"/>
        <w:spacing w:line="360" w:lineRule="auto"/>
        <w:rPr>
          <w:rFonts w:hint="eastAsia" w:ascii="宋体" w:hAnsi="宋体" w:cs="宋体"/>
          <w:bCs/>
          <w:color w:val="auto"/>
          <w:sz w:val="24"/>
          <w:highlight w:val="none"/>
          <w:lang w:eastAsia="zh-Hans"/>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eastAsia="zh-Hans"/>
        </w:rPr>
        <w:t xml:space="preserve">乙方所提供产品必须满足第5条技术和质量条款的要求，否则由此引起的一切责任由乙方负责。</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4.甲方未按合同规定的时间和要求提供相应的场地技术资料等，产品交付日期经双方协商可相应顺延。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5.乙方所交产品由于系统功能、规格、质量或其他问题不符合合同规定、验收不合格的，乙方应根据验收结论及甲方要求在限期内及时整改，因此所发生的一切费用损失，由乙方负责。</w:t>
      </w:r>
      <w:r/>
    </w:p>
    <w:p>
      <w:pPr>
        <w:ind w:firstLine="480"/>
        <w:spacing w:line="360" w:lineRule="auto"/>
        <w:rPr>
          <w:rFonts w:hint="eastAsia"/>
          <w:color w:val="auto"/>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6.如因一方违反本合同约定给守约方造成损失的，应当依法赔偿，赔偿的金额应包括但不限于守约方因维权需要所支付的律师费、鉴定费、诉讼费、诉讼担保费、交通费等。</w:t>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第十二条 通知和送达</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1双方收件人、通讯（送达）地址、联系方式</w:t>
      </w:r>
      <w:r/>
    </w:p>
    <w:p>
      <w:pPr>
        <w:ind w:firstLine="480"/>
        <w:jc w:val="left"/>
        <w:spacing w:line="360" w:lineRule="auto"/>
        <w:rPr>
          <w:rFonts w:hint="eastAsia" w:ascii="宋体" w:hAnsi="宋体" w:cs="宋体"/>
          <w:bCs/>
          <w:color w:val="auto"/>
          <w:sz w:val="24"/>
          <w:highlight w:val="none"/>
        </w:rPr>
      </w:pPr>
      <w:r/>
      <w:bookmarkStart w:id="6" w:name="_Hlk83559552"/>
      <w:r>
        <w:rPr>
          <w:rFonts w:hint="eastAsia" w:ascii="宋体" w:hAnsi="宋体" w:cs="宋体"/>
          <w:bCs/>
          <w:color w:val="auto"/>
          <w:sz w:val="24"/>
          <w:highlight w:val="none"/>
        </w:rPr>
        <w:t xml:space="preserve">甲方项目负责人：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bookmarkEnd w:id="6"/>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乙方项目负责人：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12.2.1采用面呈传递时，被通知人(含其法定代表人、约定收件人、雇员或代理人，下同)签收视为送达。若被通知人拒绝签收的，通知留置被通知人通讯地址处视为送达。</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3上述通讯地址和联系方式适用至本合同履行完毕或争议经过一审、二审至案件执行终结时止，除非双方依下款告知变更。</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第十三条 保密义务与权利</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13.1 保密信息内容：</w:t>
      </w:r>
      <w:r>
        <w:rPr>
          <w:rFonts w:hint="eastAsia" w:ascii="宋体" w:hAnsi="宋体" w:cs="宋体"/>
          <w:bCs/>
          <w:color w:val="auto"/>
          <w:sz w:val="24"/>
          <w:highlight w:val="none"/>
        </w:rPr>
        <w:t xml:space="preserve">保密信息包括但不限于以下内容甲方提供的OA、HIS、LIS、PACS、EMR、HRP、SPD、综合绩效和集成平台与数据中心等系统提供给乙方的所有数据</w:t>
      </w:r>
      <w:r>
        <w:rPr>
          <w:rFonts w:hint="eastAsia" w:ascii="宋体" w:hAnsi="宋体" w:cs="宋体"/>
          <w:bCs/>
          <w:color w:val="auto"/>
          <w:sz w:val="24"/>
          <w:highlight w:val="none"/>
        </w:rPr>
        <w:t xml:space="preserve">，注册到软件中的甲方用户信息，组织架构及人员任命信息，涉及到甲方各个平台技术信息和网络拓扑信息，合作协议信息。上述保密信息可以以数据、文字及记载上述内容的文档、光盘、软件、图书等有形介质体现，也可通过口头等视听方式传递。</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13.2保密义务与权利：（1）乙方保证该保密信息仅用于与项目有关的用途。乙方不得将保密信息用于项目以外的任何用途，除为执行项目目的外，乙方不得将保密信息保存到乙方的服务器上，不得在任何时候任何场合自行或允许第三方以任何方式使用该保密信息，不能向任何第三方透露该保密信息。未经甲方书面同意，乙方也不得利用保密信息进行新的研究或开发。（2）乙方保证对保密信息予以妥善保管，并对保密信息在乙方期间发生的因乙方员工导致的以下事项承担全部责任：</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①保密信息被盗、泄露，或者其他方式的泄露及/或毁损、灭失。</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②任何根据本协议有权从乙方获得保密信息的雇员（包括但不限于现有雇员及从前雇员）、股东、顾问和/或咨询人员等对保密信息未经授权的披露。</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③乙方对保密信息不正当披露对甲方造成损失的，乙方将负责赔偿，赔偿金额以实际造成的损失为准。</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④乙方对保密信息不正当披露对甲方造成负面影响的，应该及时积极处理并挽回甲方名誉，期间因为处理事件和挽回甲方名誉而发生的任何费用由乙方承担。</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⑤乙方保证仅为执行项目的目的向确有知悉必要的雇员、股东、董事、顾问和/或咨询人员披露保密信息，需要对保密信息的披露及利用符合甲方的利益。乙方如发现保密信息泄露，应采取有效措施防止泄密进一步扩大，并及时告知甲方。</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⑥项目终止后，乙方应及时将承载保密信息的介质原件及复制件全部返还甲方，最迟不得超过医院发出交还通知之日起30个自然日。</w:t>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第十四条 解决争议方式</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如果本合同发生纠纷，协商解决。不愿协商或通过协商仍未能解决的，则任何一方可向</w:t>
      </w:r>
      <w:r>
        <w:rPr>
          <w:rFonts w:hint="eastAsia" w:ascii="宋体" w:hAnsi="宋体" w:cs="宋体"/>
          <w:bCs/>
          <w:color w:val="auto"/>
          <w:sz w:val="24"/>
          <w:highlight w:val="none"/>
          <w:lang w:eastAsia="zh-Hans"/>
        </w:rPr>
        <w:t xml:space="preserve">甲方所在地</w:t>
      </w:r>
      <w:r>
        <w:rPr>
          <w:rFonts w:hint="eastAsia" w:ascii="宋体" w:hAnsi="宋体" w:cs="宋体"/>
          <w:bCs/>
          <w:color w:val="auto"/>
          <w:sz w:val="24"/>
          <w:highlight w:val="none"/>
        </w:rPr>
        <w:t xml:space="preserve">人民法院提起诉讼。</w:t>
      </w:r>
      <w:r/>
    </w:p>
    <w:p>
      <w:pPr>
        <w:pStyle w:val="835"/>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第十四条 其他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1本合同一式陆份，甲方肆份、乙方贰份，每份均具同等法律效力。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14.2本合同经双方法定代表人或授权代表签字盖章（公章或合同专用章）后即行生效，至双方合同权利义务履行完成后终止。</w:t>
      </w:r>
      <w:r/>
    </w:p>
    <w:p>
      <w:pPr>
        <w:pStyle w:val="814"/>
        <w:ind w:firstLine="480"/>
        <w:spacing w:after="0" w:line="360" w:lineRule="auto"/>
        <w:rPr>
          <w:color w:val="auto"/>
          <w:highlight w:val="none"/>
        </w:rPr>
      </w:pPr>
      <w:r>
        <w:rPr>
          <w:rFonts w:hint="eastAsia" w:ascii="宋体" w:hAnsi="宋体" w:cs="宋体"/>
          <w:bCs/>
          <w:color w:val="auto"/>
          <w:sz w:val="24"/>
          <w:highlight w:val="none"/>
        </w:rPr>
        <w:t xml:space="preserve">14.3 投标文书与本合同同样具备法律效力，约定内容不一致的以本合同为准；本合同未尽事宜，但投标文书有承诺的，以投标文书为准。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14.3本合同未尽事宜，经双方共同协商后可作出补充说明，补充说明与本合同有同等法律效力。</w:t>
      </w:r>
      <w:r/>
    </w:p>
    <w:p>
      <w:pPr>
        <w:spacing w:line="360" w:lineRule="auto"/>
        <w:rPr>
          <w:color w:val="auto"/>
          <w:highlight w:val="none"/>
        </w:rPr>
      </w:pPr>
      <w:r>
        <w:rPr>
          <w:color w:val="auto"/>
          <w:highlight w:val="none"/>
        </w:rPr>
      </w:r>
      <w:r/>
    </w:p>
    <w:p>
      <w:pPr>
        <w:jc w:val="left"/>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甲方：</w:t>
      </w:r>
      <w:r>
        <w:rPr>
          <w:rFonts w:hint="eastAsia" w:ascii="宋体" w:hAnsi="宋体" w:cs="宋体"/>
          <w:b/>
          <w:color w:val="auto"/>
          <w:sz w:val="24"/>
          <w:highlight w:val="none"/>
          <w:u w:val="single"/>
        </w:rPr>
        <w:t xml:space="preserve"> 徐州医科大学附属医院 </w:t>
      </w:r>
      <w:r>
        <w:rPr>
          <w:rFonts w:hint="eastAsia" w:ascii="宋体" w:hAnsi="宋体" w:cs="宋体"/>
          <w:b/>
          <w:color w:val="auto"/>
          <w:sz w:val="24"/>
          <w:highlight w:val="none"/>
        </w:rPr>
        <w:t xml:space="preserve">（盖章） 乙方：</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（盖章）</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委托代表人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委托代表人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开户银行</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开户银行</w:t>
      </w:r>
      <w:r>
        <w:rPr>
          <w:rFonts w:hint="eastAsia" w:ascii="宋体" w:hAnsi="宋体" w:cs="宋体"/>
          <w:color w:val="auto"/>
          <w:sz w:val="24"/>
          <w:highlight w:val="none"/>
        </w:rPr>
        <w:t xml:space="preserve">：</w:t>
      </w:r>
      <w:r>
        <w:rPr>
          <w:rFonts w:hint="eastAsia" w:ascii="宋体" w:hAnsi="宋体" w:cs="宋体"/>
          <w:b/>
          <w:bCs/>
          <w:color w:val="auto"/>
          <w:sz w:val="16"/>
          <w:szCs w:val="16"/>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16"/>
          <w:szCs w:val="16"/>
          <w:highlight w:val="none"/>
          <w:u w:val="single"/>
        </w:rPr>
        <w:t xml:space="preserve">                       </w:t>
      </w:r>
      <w:r>
        <w:rPr>
          <w:rFonts w:hint="eastAsia" w:ascii="宋体" w:hAnsi="宋体" w:cs="宋体"/>
          <w:color w:val="auto"/>
          <w:sz w:val="16"/>
          <w:szCs w:val="16"/>
          <w:highlight w:val="none"/>
          <w:u w:val="single"/>
        </w:rPr>
        <w:t xml:space="preserve"> </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帐    号</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帐    号</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日    期</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rFonts w:hint="eastAsia" w:ascii="宋体" w:hAnsi="宋体" w:cs="宋体"/>
          <w:b/>
          <w:color w:val="auto"/>
          <w:sz w:val="24"/>
          <w:highlight w:val="none"/>
        </w:rPr>
        <w:t xml:space="preserve">日    期</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833"/>
        <w:spacing w:line="360" w:lineRule="auto"/>
        <w:rPr>
          <w:color w:val="auto"/>
          <w:highlight w:val="none"/>
        </w:rPr>
      </w:pPr>
      <w:r>
        <w:rPr>
          <w:color w:val="auto"/>
          <w:highlight w:val="none"/>
        </w:rPr>
      </w:r>
      <w:r/>
    </w:p>
    <w:p>
      <w:pPr>
        <w:rPr>
          <w:rFonts w:hint="eastAsia" w:ascii="宋体" w:hAnsi="宋体" w:cs="宋体"/>
          <w:b/>
          <w:color w:val="auto"/>
          <w:sz w:val="24"/>
          <w:highlight w:val="none"/>
          <w:u w:val="single"/>
        </w:rPr>
      </w:pPr>
      <w:r>
        <w:rPr>
          <w:rFonts w:hint="eastAsia" w:ascii="宋体" w:hAnsi="宋体" w:cs="宋体"/>
          <w:b/>
          <w:color w:val="auto"/>
          <w:sz w:val="24"/>
          <w:highlight w:val="none"/>
        </w:rPr>
        <w:t xml:space="preserve">合同签署地点：</w:t>
      </w:r>
      <w:r>
        <w:rPr>
          <w:rFonts w:hint="eastAsia" w:ascii="宋体" w:hAnsi="宋体" w:cs="宋体"/>
          <w:b/>
          <w:color w:val="auto"/>
          <w:sz w:val="24"/>
          <w:highlight w:val="none"/>
          <w:u w:val="single"/>
        </w:rPr>
        <w:t xml:space="preserve">江苏省徐州市泉山区 </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24"/>
          <w:highlight w:val="none"/>
        </w:rPr>
      </w:pPr>
      <w:r>
        <w:rPr>
          <w:rFonts w:hint="eastAsia" w:ascii="宋体" w:hAnsi="宋体" w:cs="宋体"/>
          <w:b/>
          <w:color w:val="auto"/>
          <w:sz w:val="24"/>
          <w:highlight w:val="none"/>
        </w:rPr>
        <w:t xml:space="preserve">合同附件：</w:t>
      </w:r>
      <w:r/>
    </w:p>
    <w:p>
      <w:pPr>
        <w:ind w:left="1200" w:hanging="1200"/>
        <w:rPr>
          <w:rFonts w:ascii="宋体" w:hAnsi="宋体" w:cs="宋体"/>
          <w:color w:val="auto"/>
          <w:sz w:val="24"/>
          <w:highlight w:val="none"/>
        </w:rPr>
      </w:pPr>
      <w:r>
        <w:rPr>
          <w:rFonts w:hint="eastAsia" w:ascii="宋体" w:hAnsi="宋体" w:cs="宋体"/>
          <w:color w:val="auto"/>
          <w:sz w:val="24"/>
          <w:highlight w:val="none"/>
        </w:rPr>
        <w:t xml:space="preserve">合同附件1 供货范围和价格清单(见招标文件《开标一览表》和《分项价格表》及投标文件)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合同附件2 技术规格和性能指标(见招标文件《采购需求》及投标文件)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合同附件3 售后服务和技术培训(见招标文件《采购需求》及投标文件)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合同附件4 医疗卫生机构廉洁购销合同</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附件4：</w:t>
      </w:r>
      <w:r/>
    </w:p>
    <w:p>
      <w:pPr>
        <w:pStyle w:val="841"/>
        <w:jc w:val="center"/>
        <w:spacing w:before="0" w:beforeAutospacing="0" w:after="0" w:afterAutospacing="0"/>
        <w:rPr>
          <w:b/>
          <w:bCs/>
          <w:color w:val="auto"/>
          <w:sz w:val="44"/>
          <w:szCs w:val="44"/>
          <w:highlight w:val="none"/>
        </w:rPr>
      </w:pPr>
      <w:r>
        <w:rPr>
          <w:rFonts w:hint="eastAsia"/>
          <w:b/>
          <w:bCs/>
          <w:color w:val="auto"/>
          <w:sz w:val="44"/>
          <w:szCs w:val="44"/>
          <w:highlight w:val="none"/>
        </w:rPr>
        <w:t xml:space="preserve">医疗卫生机构廉洁购销合同</w:t>
      </w:r>
      <w:r>
        <w:rPr>
          <w:rStyle w:val="924"/>
          <w:rFonts w:hint="eastAsia"/>
          <w:b/>
          <w:color w:val="auto"/>
          <w:highlight w:val="none"/>
        </w:rPr>
        <w:t xml:space="preserve">：</w:t>
      </w:r>
      <w:r/>
    </w:p>
    <w:p>
      <w:pPr>
        <w:pStyle w:val="841"/>
        <w:ind w:firstLine="482"/>
        <w:spacing w:before="0" w:beforeAutospacing="0" w:after="0" w:afterAutospacing="0" w:line="360" w:lineRule="auto"/>
        <w:rPr>
          <w:b/>
          <w:color w:val="auto"/>
          <w:highlight w:val="none"/>
        </w:rPr>
      </w:pPr>
      <w:r>
        <w:rPr>
          <w:b/>
          <w:color w:val="auto"/>
          <w:highlight w:val="none"/>
        </w:rPr>
      </w:r>
      <w:r/>
    </w:p>
    <w:p>
      <w:pPr>
        <w:pStyle w:val="841"/>
        <w:ind w:firstLine="482"/>
        <w:spacing w:before="0" w:beforeAutospacing="0" w:after="0" w:afterAutospacing="0" w:line="360" w:lineRule="auto"/>
        <w:rPr>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徐州医科大学附属医院  </w:t>
      </w:r>
      <w:r>
        <w:rPr>
          <w:rFonts w:hint="eastAsia"/>
          <w:color w:val="auto"/>
          <w:highlight w:val="none"/>
        </w:rPr>
        <w:t xml:space="preserve">（以下简称甲方）</w:t>
      </w:r>
      <w:r/>
    </w:p>
    <w:p>
      <w:pPr>
        <w:pStyle w:val="841"/>
        <w:ind w:firstLine="482"/>
        <w:spacing w:before="0" w:beforeAutospacing="0" w:after="0" w:afterAutospacing="0" w:line="360" w:lineRule="auto"/>
        <w:rPr>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rPr>
        <w:t xml:space="preserve">（以下简称乙方）</w:t>
      </w:r>
      <w:r/>
    </w:p>
    <w:p>
      <w:pPr>
        <w:pStyle w:val="841"/>
        <w:ind w:firstLine="482"/>
        <w:spacing w:before="0" w:beforeAutospacing="0" w:after="0" w:afterAutospacing="0" w:line="360" w:lineRule="auto"/>
        <w:rPr>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20"/>
        <w:spacing w:line="320" w:lineRule="exact"/>
        <w:rPr>
          <w:rFonts w:ascii="宋体" w:hAnsi="宋体" w:cs="宋体"/>
          <w:color w:val="auto"/>
          <w:highlight w:val="none"/>
        </w:rPr>
      </w:pPr>
      <w:r>
        <w:rPr>
          <w:rFonts w:hint="eastAsia" w:ascii="宋体" w:hAnsi="宋体" w:cs="宋体"/>
          <w:color w:val="auto"/>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一、</w:t>
      </w:r>
      <w:r>
        <w:rPr>
          <w:rFonts w:hint="eastAsia" w:ascii="宋体" w:hAnsi="宋体" w:cs="宋体"/>
          <w:color w:val="auto"/>
          <w:highlight w:val="none"/>
        </w:rPr>
        <w:t xml:space="preserve">甲乙双方按照《民法典》及购销合同约定购销药品、医用设备、医用耗材、检验检测试剂等货物、服务、工程类项目。</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二、</w:t>
      </w:r>
      <w:r>
        <w:rPr>
          <w:rFonts w:hint="eastAsia" w:ascii="宋体" w:hAnsi="宋体" w:cs="宋体"/>
          <w:color w:val="auto"/>
          <w:highlight w:val="none"/>
        </w:rPr>
        <w:t xml:space="preserve">甲方应当严格执行购销合同验收、入库制度，对采购项目及发票进行查验，不得违反有关规定合同外采购、违价采购或从非规定渠道采购。</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三、</w:t>
      </w:r>
      <w:r>
        <w:rPr>
          <w:rFonts w:hint="eastAsia" w:ascii="宋体" w:hAnsi="宋体" w:cs="宋体"/>
          <w:color w:val="auto"/>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四、</w:t>
      </w:r>
      <w:r>
        <w:rPr>
          <w:rFonts w:hint="eastAsia" w:ascii="宋体" w:hAnsi="宋体" w:cs="宋体"/>
          <w:color w:val="auto"/>
          <w:highlight w:val="none"/>
        </w:rPr>
        <w:t xml:space="preserve">严禁甲方工作人员利用任何途径和方式，为乙方统计医师个人及临床科室有关医药产品用量信息，或为乙方统计提供便利。</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五、</w:t>
      </w:r>
      <w:r>
        <w:rPr>
          <w:rFonts w:hint="eastAsia" w:ascii="宋体" w:hAnsi="宋体" w:cs="宋体"/>
          <w:color w:val="auto"/>
          <w:highlight w:val="none"/>
        </w:rPr>
        <w:t xml:space="preserve">乙方不得以回扣、宴请等方式影响甲方工作人员采购或使用医药产品的选择权，不得在学术活动中提供旅游、超标准支付食宿费用。</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六、乙方指定作为销售代表洽谈业务。销售代表必须在工作时间到甲方指定地点联系商谈，不</w:t>
      </w:r>
      <w:r>
        <w:rPr>
          <w:rFonts w:hint="eastAsia" w:ascii="宋体" w:hAnsi="宋体" w:cs="宋体"/>
          <w:color w:val="auto"/>
          <w:highlight w:val="none"/>
        </w:rPr>
        <w:t xml:space="preserve">得到住院部、门诊部、医技科室等推销医药产品，不得借故到甲方相关领导、部门负责人及相关工作人员家中访谈并提供任何好处费。</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七、乙方如违反本合同，一经发现，甲方有权终止购销合同，并向有关卫生计生行政部门报告</w:t>
      </w:r>
      <w:r>
        <w:rPr>
          <w:rFonts w:hint="eastAsia" w:ascii="宋体" w:hAnsi="宋体" w:cs="宋体"/>
          <w:color w:val="auto"/>
          <w:highlight w:val="none"/>
        </w:rPr>
        <w:t xml:space="preserve">。如乙方被列入商业贿赂不良记录则严格按照《国家卫生计生委关于建立医药购销领域商业贿赂不良记录的规定》（国卫法制发〔2013〕50号）相关规定处理。</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八、</w:t>
      </w:r>
      <w:r>
        <w:rPr>
          <w:rFonts w:hint="eastAsia" w:ascii="宋体" w:hAnsi="宋体" w:cs="宋体"/>
          <w:color w:val="auto"/>
          <w:highlight w:val="none"/>
        </w:rPr>
        <w:t xml:space="preserve">本合同作为医药产品购销合同的重要组成部分，与购销合同一并执行，具有同等的法律效力。</w:t>
      </w:r>
      <w:r/>
    </w:p>
    <w:p>
      <w:pPr>
        <w:ind w:firstLine="420"/>
        <w:spacing w:after="120" w:line="360" w:lineRule="exact"/>
        <w:rPr>
          <w:rFonts w:ascii="宋体" w:hAnsi="宋体" w:cs="宋体"/>
          <w:color w:val="auto"/>
          <w:highlight w:val="none"/>
        </w:rPr>
        <w:outlineLvl w:val="2"/>
      </w:pPr>
      <w:r>
        <w:rPr>
          <w:rFonts w:hint="eastAsia" w:ascii="宋体" w:hAnsi="宋体" w:cs="宋体"/>
          <w:bCs/>
          <w:color w:val="auto"/>
          <w:highlight w:val="none"/>
        </w:rPr>
        <w:t xml:space="preserve">九、本合同一式陆份，甲方肆份、乙方贰份</w:t>
      </w:r>
      <w:r>
        <w:rPr>
          <w:rFonts w:hint="eastAsia" w:ascii="宋体" w:hAnsi="宋体" w:cs="宋体"/>
          <w:color w:val="auto"/>
          <w:highlight w:val="none"/>
        </w:rPr>
        <w:t xml:space="preserve">，并从签订之日起生效。</w:t>
      </w:r>
      <w:r/>
    </w:p>
    <w:p>
      <w:pPr>
        <w:spacing w:after="120" w:line="360" w:lineRule="exact"/>
        <w:rPr>
          <w:rFonts w:ascii="宋体" w:hAnsi="宋体" w:cs="宋体"/>
          <w:b/>
          <w:color w:val="auto"/>
          <w:highlight w:val="none"/>
        </w:rPr>
      </w:pPr>
      <w:r>
        <w:rPr>
          <w:rFonts w:ascii="宋体" w:hAnsi="宋体" w:cs="宋体"/>
          <w:b/>
          <w:color w:val="auto"/>
          <w:highlight w:val="none"/>
        </w:rPr>
      </w:r>
      <w:r/>
    </w:p>
    <w:p>
      <w:pPr>
        <w:spacing w:after="120" w:line="360" w:lineRule="exact"/>
        <w:rPr>
          <w:rFonts w:ascii="宋体" w:hAnsi="宋体" w:cs="宋体"/>
          <w:b/>
          <w:color w:val="auto"/>
          <w:highlight w:val="none"/>
        </w:rPr>
      </w:pPr>
      <w:r>
        <w:rPr>
          <w:rFonts w:hint="eastAsia" w:ascii="宋体" w:hAnsi="宋体" w:cs="宋体"/>
          <w:b/>
          <w:color w:val="auto"/>
          <w:highlight w:val="none"/>
        </w:rPr>
        <w:t xml:space="preserve">甲方：</w:t>
      </w:r>
      <w:r>
        <w:rPr>
          <w:rFonts w:hint="eastAsia" w:ascii="宋体" w:hAnsi="宋体" w:cs="宋体"/>
          <w:b/>
          <w:color w:val="auto"/>
          <w:highlight w:val="none"/>
          <w:u w:val="single"/>
        </w:rPr>
        <w:t xml:space="preserve"> 徐州医科大学附属医院 </w:t>
      </w:r>
      <w:r>
        <w:rPr>
          <w:rFonts w:hint="eastAsia" w:ascii="宋体" w:hAnsi="宋体" w:cs="宋体"/>
          <w:b/>
          <w:color w:val="auto"/>
          <w:highlight w:val="none"/>
        </w:rPr>
        <w:t xml:space="preserve">（盖章）   乙方：（盖章）</w:t>
      </w:r>
      <w:r/>
    </w:p>
    <w:p>
      <w:pPr>
        <w:spacing w:line="360" w:lineRule="auto"/>
        <w:rPr>
          <w:rFonts w:ascii="宋体" w:hAnsi="宋体" w:cs="宋体"/>
          <w:color w:val="auto"/>
          <w:sz w:val="10"/>
          <w:szCs w:val="10"/>
          <w:highlight w:val="none"/>
        </w:rPr>
      </w:pPr>
      <w:r>
        <w:rPr>
          <w:rFonts w:ascii="宋体" w:hAnsi="宋体" w:cs="宋体"/>
          <w:color w:val="auto"/>
          <w:sz w:val="10"/>
          <w:szCs w:val="10"/>
          <w:highlight w:val="none"/>
        </w:rPr>
      </w:r>
      <w:r/>
    </w:p>
    <w:p>
      <w:pPr>
        <w:spacing w:line="360" w:lineRule="auto"/>
        <w:rPr>
          <w:rFonts w:ascii="宋体" w:hAnsi="宋体" w:cs="宋体"/>
          <w:color w:val="auto"/>
          <w:szCs w:val="21"/>
          <w:highlight w:val="none"/>
          <w:u w:val="single"/>
        </w:rPr>
      </w:pP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w:t>
      </w:r>
      <w:r/>
    </w:p>
    <w:p>
      <w:pPr>
        <w:spacing w:after="120" w:line="360" w:lineRule="auto"/>
        <w:rPr>
          <w:rFonts w:ascii="宋体" w:hAnsi="宋体" w:cs="宋体"/>
          <w:color w:val="auto"/>
          <w:sz w:val="10"/>
          <w:szCs w:val="10"/>
          <w:highlight w:val="none"/>
        </w:rPr>
      </w:pPr>
      <w:r>
        <w:rPr>
          <w:rFonts w:ascii="宋体" w:hAnsi="宋体" w:cs="宋体"/>
          <w:color w:val="auto"/>
          <w:sz w:val="10"/>
          <w:szCs w:val="10"/>
          <w:highlight w:val="none"/>
        </w:rPr>
      </w:r>
      <w:r/>
    </w:p>
    <w:p>
      <w:pPr>
        <w:spacing w:line="360" w:lineRule="auto"/>
        <w:rPr>
          <w:rFonts w:ascii="宋体" w:hAnsi="宋体" w:cs="宋体"/>
          <w:color w:val="auto"/>
          <w:szCs w:val="21"/>
          <w:highlight w:val="none"/>
          <w:u w:val="single"/>
        </w:rPr>
      </w:pP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w:t>
      </w:r>
      <w:r/>
    </w:p>
    <w:p>
      <w:pPr>
        <w:rPr>
          <w:rFonts w:ascii="宋体" w:hAnsi="宋体" w:cs="宋体"/>
          <w:b/>
          <w:color w:val="auto"/>
          <w:sz w:val="10"/>
          <w:szCs w:val="10"/>
          <w:highlight w:val="none"/>
        </w:rPr>
      </w:pPr>
      <w:r>
        <w:rPr>
          <w:rFonts w:ascii="宋体" w:hAnsi="宋体" w:cs="宋体"/>
          <w:b/>
          <w:color w:val="auto"/>
          <w:sz w:val="10"/>
          <w:szCs w:val="10"/>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日    期：  年  月  日                 日    期：  年  月  日</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0"/>
          <w:szCs w:val="32"/>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2"/>
          <w:highlight w:val="none"/>
        </w:rPr>
      </w:r>
      <w:r/>
    </w:p>
    <w:p>
      <w:pPr>
        <w:jc w:val="center"/>
        <w:spacing w:line="360" w:lineRule="auto"/>
        <w:rPr>
          <w:rStyle w:val="1093"/>
          <w:rFonts w:hint="eastAsia" w:ascii="宋体" w:hAnsi="宋体" w:eastAsia="宋体" w:cs="宋体"/>
          <w:b w:val="0"/>
          <w:bCs/>
          <w:color w:val="auto"/>
          <w:szCs w:val="28"/>
          <w:highlight w:val="none"/>
        </w:rPr>
      </w:pPr>
      <w:r>
        <w:rPr>
          <w:rFonts w:hint="eastAsia" w:ascii="宋体" w:hAnsi="宋体" w:eastAsia="宋体" w:cs="宋体"/>
          <w:b w:val="0"/>
          <w:bCs/>
          <w:color w:val="auto"/>
          <w:sz w:val="32"/>
          <w:szCs w:val="32"/>
          <w:highlight w:val="none"/>
        </w:rPr>
        <w:t xml:space="preserve">第六章 采购需求</w:t>
      </w:r>
      <w:bookmarkStart w:id="7" w:name="_Toc322457054"/>
      <w:r/>
      <w:bookmarkEnd w:id="7"/>
      <w:r/>
      <w:bookmarkStart w:id="8" w:name="_Toc324452802"/>
      <w:r/>
      <w:bookmarkEnd w:id="8"/>
      <w:r/>
      <w:r/>
    </w:p>
    <w:p>
      <w:pPr>
        <w:keepLines w:val="0"/>
        <w:keepNext w:val="0"/>
        <w:pageBreakBefore w:val="0"/>
        <w:spacing w:line="360" w:lineRule="auto"/>
        <w:widowControl w:val="off"/>
        <w:rPr>
          <w:rStyle w:val="1093"/>
          <w:rFonts w:hint="eastAsia" w:ascii="宋体" w:hAnsi="宋体" w:eastAsia="宋体" w:cs="宋体"/>
          <w:b/>
          <w:bCs/>
          <w:color w:val="auto"/>
          <w:sz w:val="24"/>
          <w:szCs w:val="24"/>
          <w:highlight w:val="none"/>
        </w:rPr>
      </w:pPr>
      <w:r>
        <w:rPr>
          <w:rStyle w:val="1093"/>
          <w:rFonts w:hint="eastAsia" w:ascii="宋体" w:hAnsi="宋体" w:eastAsia="宋体" w:cs="宋体"/>
          <w:b/>
          <w:bCs/>
          <w:color w:val="auto"/>
          <w:sz w:val="24"/>
          <w:szCs w:val="24"/>
          <w:highlight w:val="none"/>
        </w:rPr>
        <w:t xml:space="preserve">一、本项目不属于专门面向中小微企业采购的项目。</w:t>
      </w:r>
      <w:r/>
    </w:p>
    <w:p>
      <w:pPr>
        <w:keepLines w:val="0"/>
        <w:keepNext w:val="0"/>
        <w:pageBreakBefore w:val="0"/>
        <w:spacing w:line="360" w:lineRule="auto"/>
        <w:widowControl w:val="off"/>
        <w:rPr>
          <w:rStyle w:val="1093"/>
          <w:rFonts w:hint="eastAsia" w:ascii="宋体" w:hAnsi="宋体" w:eastAsia="宋体" w:cs="宋体"/>
          <w:b/>
          <w:bCs/>
          <w:color w:val="auto"/>
          <w:sz w:val="24"/>
          <w:szCs w:val="24"/>
          <w:highlight w:val="none"/>
        </w:rPr>
      </w:pPr>
      <w:r>
        <w:rPr>
          <w:rStyle w:val="1093"/>
          <w:rFonts w:hint="eastAsia" w:ascii="宋体" w:hAnsi="宋体" w:eastAsia="宋体" w:cs="宋体"/>
          <w:b/>
          <w:bCs/>
          <w:color w:val="auto"/>
          <w:sz w:val="24"/>
          <w:szCs w:val="24"/>
          <w:highlight w:val="none"/>
        </w:rPr>
        <w:t xml:space="preserve">二、本项目不接受超过</w:t>
      </w:r>
      <w:r>
        <w:rPr>
          <w:rStyle w:val="1093"/>
          <w:rFonts w:hint="eastAsia" w:ascii="宋体" w:hAnsi="宋体" w:cs="宋体"/>
          <w:b/>
          <w:bCs/>
          <w:color w:val="auto"/>
          <w:sz w:val="24"/>
          <w:szCs w:val="24"/>
          <w:highlight w:val="none"/>
          <w:lang w:val="en-US"/>
        </w:rPr>
        <w:t xml:space="preserve">10</w:t>
      </w:r>
      <w:r>
        <w:rPr>
          <w:rStyle w:val="1093"/>
          <w:rFonts w:hint="eastAsia" w:ascii="宋体" w:hAnsi="宋体" w:eastAsia="宋体" w:cs="宋体"/>
          <w:b/>
          <w:bCs/>
          <w:color w:val="auto"/>
          <w:sz w:val="24"/>
          <w:szCs w:val="24"/>
          <w:highlight w:val="none"/>
        </w:rPr>
        <w:t xml:space="preserve">0.00万元人民币（采购项目预算金额）的投标报价。</w:t>
      </w:r>
      <w:r/>
    </w:p>
    <w:p>
      <w:pPr>
        <w:keepLines w:val="0"/>
        <w:keepNext w:val="0"/>
        <w:pageBreakBefore w:val="0"/>
        <w:spacing w:line="360" w:lineRule="auto"/>
        <w:widowControl w:val="off"/>
        <w:rPr>
          <w:rStyle w:val="1093"/>
          <w:rFonts w:hint="eastAsia" w:ascii="宋体" w:hAnsi="宋体" w:cs="宋体"/>
          <w:b/>
          <w:bCs/>
          <w:color w:val="auto"/>
          <w:sz w:val="24"/>
          <w:szCs w:val="24"/>
          <w:highlight w:val="none"/>
        </w:rPr>
        <w:outlineLvl w:val="1"/>
      </w:pPr>
      <w:r>
        <w:rPr>
          <w:rStyle w:val="1093"/>
          <w:rFonts w:hint="eastAsia" w:ascii="宋体" w:hAnsi="宋体" w:cs="宋体"/>
          <w:b/>
          <w:bCs/>
          <w:color w:val="auto"/>
          <w:sz w:val="24"/>
          <w:szCs w:val="24"/>
          <w:highlight w:val="none"/>
        </w:rPr>
        <w:t xml:space="preserve">三、项目说明：</w:t>
      </w:r>
      <w:r/>
    </w:p>
    <w:p>
      <w:pPr>
        <w:keepLines w:val="0"/>
        <w:keepNext w:val="0"/>
        <w:pageBreakBefore w:val="0"/>
        <w:spacing w:line="360" w:lineRule="auto"/>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rPr>
        <w:t xml:space="preserve">1、项目名称：徐医附院基于人工智能的慢性病管理系统采购项目。</w:t>
      </w:r>
      <w:r/>
    </w:p>
    <w:p>
      <w:pPr>
        <w:keepLines w:val="0"/>
        <w:keepNext w:val="0"/>
        <w:pageBreakBefore w:val="0"/>
        <w:spacing w:line="360" w:lineRule="auto"/>
        <w:widowControl w:val="off"/>
        <w:rPr>
          <w:rStyle w:val="1093"/>
          <w:rFonts w:ascii="宋体" w:hAnsi="宋体" w:cs="宋体"/>
          <w:color w:val="auto"/>
          <w:sz w:val="24"/>
          <w:szCs w:val="24"/>
          <w:highlight w:val="none"/>
        </w:rPr>
      </w:pPr>
      <w:r>
        <w:rPr>
          <w:rStyle w:val="1093"/>
          <w:rFonts w:hint="eastAsia" w:ascii="宋体" w:hAnsi="宋体" w:cs="宋体"/>
          <w:color w:val="auto"/>
          <w:sz w:val="24"/>
          <w:szCs w:val="24"/>
          <w:highlight w:val="none"/>
        </w:rPr>
        <w:t xml:space="preserve">2、项目内容：1套基于人工智能的慢性病管理系统。</w:t>
      </w:r>
      <w:r/>
    </w:p>
    <w:p>
      <w:pPr>
        <w:keepLines w:val="0"/>
        <w:keepNext w:val="0"/>
        <w:pageBreakBefore w:val="0"/>
        <w:spacing w:line="360" w:lineRule="auto"/>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rPr>
        <w:t xml:space="preserve">3、投标人应当在获取招标文件后自行对项目现场和周围环境进行实地踏勘，以了解现场的环境、范围、技术要求及相关服务，获取有所需的各项资料。投标人应承担现场踏勘的责任和风险，费用由投标人自己承担。成交后不得以未踏勘现场或不了解现场为由提出任何增加费用的要求。</w:t>
      </w:r>
      <w:r/>
    </w:p>
    <w:p>
      <w:pPr>
        <w:keepLines w:val="0"/>
        <w:keepNext w:val="0"/>
        <w:pageBreakBefore w:val="0"/>
        <w:spacing w:line="360" w:lineRule="auto"/>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rPr>
        <w:t xml:space="preserve">4、本项目不接受赠品或者与采购无关的其他商品、服务，投标人亦不得应采购人要求实施前述馈赠、回扣等行为。</w:t>
      </w:r>
      <w:r/>
    </w:p>
    <w:p>
      <w:pPr>
        <w:keepLines w:val="0"/>
        <w:keepNext w:val="0"/>
        <w:pageBreakBefore w:val="0"/>
        <w:spacing w:line="360" w:lineRule="auto"/>
        <w:widowControl w:val="off"/>
        <w:rPr>
          <w:rStyle w:val="1093"/>
          <w:rFonts w:ascii="宋体" w:hAnsi="宋体" w:cs="宋体"/>
          <w:b/>
          <w:bCs/>
          <w:color w:val="auto"/>
          <w:sz w:val="24"/>
          <w:szCs w:val="24"/>
          <w:highlight w:val="none"/>
        </w:rPr>
      </w:pPr>
      <w:r>
        <w:rPr>
          <w:rStyle w:val="1093"/>
          <w:rFonts w:hint="eastAsia" w:ascii="宋体" w:hAnsi="宋体" w:cs="宋体"/>
          <w:b/>
          <w:bCs/>
          <w:color w:val="auto"/>
          <w:sz w:val="24"/>
          <w:szCs w:val="24"/>
          <w:highlight w:val="none"/>
        </w:rPr>
        <w:t xml:space="preserve">四、技术参数（以下加“▲”标志为次重要响应指标，投标文件中须提供系统截图作为证明材料，系统截图证明材料须清晰可辩</w:t>
      </w:r>
      <w:r>
        <w:rPr>
          <w:rStyle w:val="1093"/>
          <w:rFonts w:ascii="宋体" w:hAnsi="宋体" w:cs="宋体"/>
          <w:b/>
          <w:bCs/>
          <w:color w:val="auto"/>
          <w:sz w:val="24"/>
          <w:szCs w:val="24"/>
          <w:highlight w:val="none"/>
        </w:rPr>
        <w:t xml:space="preserve">，否则不予认可</w:t>
      </w:r>
      <w:r>
        <w:rPr>
          <w:rStyle w:val="1093"/>
          <w:rFonts w:hint="eastAsia" w:ascii="宋体" w:hAnsi="宋体" w:cs="宋体"/>
          <w:b/>
          <w:bCs/>
          <w:color w:val="auto"/>
          <w:sz w:val="24"/>
          <w:szCs w:val="24"/>
          <w:highlight w:val="none"/>
        </w:rPr>
        <w:t xml:space="preserve">；以下加“★”标志为演示响应指标，需要提供演示录屏，评分内容见“重点功能演示”，其他为一般响应指标。未按照招标文件要求提供证明材料或证明材料无法证明满足响应指标的视为负偏离）</w:t>
      </w:r>
      <w:r>
        <w:rPr>
          <w:rStyle w:val="1093"/>
          <w:rFonts w:ascii="宋体" w:hAnsi="宋体" w:cs="宋体"/>
          <w:b/>
          <w:bCs/>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1、功能要求</w:t>
      </w:r>
      <w:r/>
    </w:p>
    <w:tbl>
      <w:tblPr>
        <w:tblStyle w:val="80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1312"/>
        <w:gridCol w:w="5962"/>
      </w:tblGrid>
      <w:tr>
        <w:trPr>
          <w:jc w:val="center"/>
        </w:trPr>
        <w:tc>
          <w:tcPr>
            <w:tcW w:w="72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系统名称</w:t>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系统功能</w:t>
            </w:r>
            <w:r/>
          </w:p>
        </w:tc>
        <w:tc>
          <w:tcPr>
            <w:tcW w:w="35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功能描述及要求</w:t>
            </w:r>
            <w:r/>
          </w:p>
        </w:tc>
      </w:tr>
      <w:tr>
        <w:trPr>
          <w:jc w:val="center"/>
        </w:trPr>
        <w:tc>
          <w:tcPr>
            <w:tcW w:w="728" w:type="pct"/>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全院统一的慢性病患者中心</w:t>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患者智能识别与注册</w:t>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1.与医院主索引系统（EMPI）及HIS深度集成，确保患者身份唯一性。</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2.自动识别本院门诊、住院及体检发现的慢性病确诊/高危患者，支持医生一键纳入管理。</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3.支持患者通过官方微信公众号/小程序扫码或线上自主注册建档，并与院内档案自动匹配。</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4.支持医联体或协作社区医疗机构转入患者的档案接收与整合。</w:t>
            </w:r>
            <w:r/>
          </w:p>
        </w:tc>
      </w:tr>
      <w:tr>
        <w:trPr>
          <w:jc w:val="center"/>
        </w:trPr>
        <w:tc>
          <w:tcPr>
            <w:tcW w:w="728" w:type="pct"/>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360全景健康档案</w:t>
            </w:r>
            <w:r/>
          </w:p>
        </w:tc>
        <w:tc>
          <w:tcPr>
            <w:tcW w:w="3500"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1.自动实时/定时整合来自HIS、EMR、LIS、PACS、体检、手麻、移动护理等系统的结构化与非结构化数据。</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2.★关键数据包括：诊断、医嘱、检验检查报告（含图文）、用药史（院内+院外）、手术史、过敏史、评估量表等。</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3.★形成以时间轴为核心的统一、动态更新的健康档案视图，并支持关键事件标签化检索。</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4.明确数据接入标准（如HL7、FHIR），并提供数据质量监控与人工校准工具。</w:t>
            </w:r>
            <w:r/>
          </w:p>
        </w:tc>
      </w:tr>
      <w:tr>
        <w:trPr>
          <w:cantSplit/>
          <w:jc w:val="center"/>
        </w:trPr>
        <w:tc>
          <w:tcPr>
            <w:tcW w:w="728" w:type="pct"/>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慢病专项档案</w:t>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定制化档案模板：支持为不同慢性病病种（如糖尿病、高血压、冠心病等）定义专属的档案视图模板。管理员可配置该病种需突出显示的核心数据项（如：本次就诊诊断、近期关键指标趋势、当前用药方案、近期就医计划等）。</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信息智能聚合：从全景档案中自动提取、归集与本病种管理最相关的信息。例如，自动计算并展示近3/6/12个月的平均血糖、血压值；自动提取当前治疗方案；自动关联最近的眼底检查、尿微量白蛋白等并发症筛查结果。</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动态时间轴与预警集成：在专项档案中呈现本病种相关的重要事件时间轴（如诊断日期、方案调整、指标达标、并发症发生）。同时，将本病种的智能预警信息（如血糖超标、复查逾期）直接嵌入档案首页显著位置。</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4.一键切换与快速入口：医生在患者列表中可直接进入该患者的“慢病专项档案”视图。同时，在专项档案中可提供快速链接，以便在需要时跳转至完整的“360°全景健康档案”进行深度查阅。</w:t>
            </w:r>
            <w:r/>
          </w:p>
        </w:tc>
      </w:tr>
      <w:tr>
        <w:trPr>
          <w:jc w:val="center"/>
        </w:trPr>
        <w:tc>
          <w:tcPr>
            <w:tcW w:w="728" w:type="pct"/>
            <w:vAlign w:val="center"/>
            <w:vMerge w:val="restart"/>
            <w:textDirection w:val="lrTb"/>
            <w:noWrap w:val="false"/>
          </w:tcPr>
          <w:p>
            <w:pPr>
              <w:ind w:right="0"/>
              <w:jc w:val="center"/>
              <w:keepLines w:val="0"/>
              <w:keepNext w:val="0"/>
              <w:pageBreakBefore w:val="0"/>
              <w:spacing w:beforeAutospacing="0" w:afterAutospacing="0"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rPr>
              <w:t xml:space="preserve">临床诊疗辅助与决策支持模块</w:t>
            </w:r>
            <w:r/>
          </w:p>
        </w:tc>
        <w:tc>
          <w:tcPr>
            <w:tcW w:w="770" w:type="pct"/>
            <w:vAlign w:val="center"/>
            <w:textDirection w:val="lrTb"/>
            <w:noWrap w:val="false"/>
          </w:tcPr>
          <w:p>
            <w:pPr>
              <w:pStyle w:val="1104"/>
              <w:jc w:val="center"/>
              <w:keepLines w:val="0"/>
              <w:keepNext w:val="0"/>
              <w:pageBreakBefore w:val="0"/>
              <w:spacing w:line="300" w:lineRule="auto"/>
              <w:rPr>
                <w:rFonts w:hint="eastAsia" w:ascii="宋体" w:hAnsi="宋体" w:eastAsia="宋体" w:cs="宋体"/>
                <w:i w:val="0"/>
                <w:iCs w:val="0"/>
                <w:caps w:val="0"/>
                <w:color w:val="auto"/>
                <w:spacing w:val="0"/>
                <w:sz w:val="24"/>
                <w:szCs w:val="24"/>
                <w:u w:val="none"/>
                <w:lang w:val="en-US" w:eastAsia="zh-CN" w:bidi="ar"/>
              </w:rPr>
            </w:pPr>
            <w:r>
              <w:rPr>
                <w:rFonts w:hint="eastAsia" w:ascii="宋体" w:hAnsi="宋体" w:eastAsia="宋体" w:cs="宋体"/>
                <w:i w:val="0"/>
                <w:iCs w:val="0"/>
                <w:caps w:val="0"/>
                <w:color w:val="auto"/>
                <w:spacing w:val="0"/>
                <w:sz w:val="24"/>
                <w:szCs w:val="24"/>
                <w:u w:val="none"/>
                <w:lang w:val="en-US" w:eastAsia="zh-CN" w:bidi="ar"/>
              </w:rPr>
              <w:t xml:space="preserve">标准化诊疗路径嵌入</w:t>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支持为医生提供标准化评估表单、复诊/复查提醒，并支持医院个性化定制路径。</w:t>
            </w:r>
            <w:r/>
          </w:p>
        </w:tc>
      </w:tr>
      <w:tr>
        <w:trPr>
          <w:jc w:val="center"/>
          <w:trHeight w:val="2960"/>
        </w:trPr>
        <w:tc>
          <w:tcPr>
            <w:tcW w:w="728" w:type="pct"/>
            <w:vAlign w:val="center"/>
            <w:vMerge w:val="continue"/>
            <w:textDirection w:val="lrTb"/>
            <w:noWrap w:val="false"/>
          </w:tcPr>
          <w:p>
            <w:pPr>
              <w:ind w:right="0"/>
              <w:jc w:val="both"/>
              <w:keepLines w:val="0"/>
              <w:keepNext w:val="0"/>
              <w:pageBreakBefore w:val="0"/>
              <w:spacing w:beforeAutospacing="0" w:afterAutospacing="0"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rPr>
            </w:r>
            <w:r/>
          </w:p>
        </w:tc>
        <w:tc>
          <w:tcPr>
            <w:tcW w:w="770" w:type="pct"/>
            <w:vAlign w:val="center"/>
            <w:textDirection w:val="lrTb"/>
            <w:noWrap w:val="false"/>
          </w:tcPr>
          <w:p>
            <w:pPr>
              <w:pStyle w:val="801"/>
              <w:numPr>
                <w:ilvl w:val="3"/>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智能风险评估与预警</w:t>
            </w:r>
            <w:r/>
          </w:p>
          <w:p>
            <w:pPr>
              <w:pStyle w:val="1104"/>
              <w:jc w:val="center"/>
              <w:keepLines w:val="0"/>
              <w:keepNext w:val="0"/>
              <w:pageBreakBefore w:val="0"/>
              <w:spacing w:line="300" w:lineRule="auto"/>
              <w:rPr>
                <w:rFonts w:hint="eastAsia" w:ascii="宋体" w:hAnsi="宋体" w:eastAsia="宋体" w:cs="宋体"/>
                <w:b w:val="0"/>
                <w:bCs w:val="0"/>
                <w:i w:val="0"/>
                <w:iCs w:val="0"/>
                <w:caps w:val="0"/>
                <w:color w:val="auto"/>
                <w:spacing w:val="0"/>
                <w:sz w:val="24"/>
                <w:szCs w:val="24"/>
                <w:u w:val="none"/>
                <w:lang w:val="en-US" w:eastAsia="zh-CN" w:bidi="ar"/>
              </w:rPr>
            </w:pPr>
            <w:r>
              <w:rPr>
                <w:rFonts w:hint="eastAsia" w:ascii="宋体" w:hAnsi="宋体" w:eastAsia="宋体" w:cs="宋体"/>
                <w:b w:val="0"/>
                <w:bCs w:val="0"/>
                <w:i w:val="0"/>
                <w:iCs w:val="0"/>
                <w:caps w:val="0"/>
                <w:color w:val="auto"/>
                <w:spacing w:val="0"/>
                <w:sz w:val="24"/>
                <w:szCs w:val="24"/>
                <w:u w:val="none"/>
                <w:lang w:val="en-US" w:eastAsia="zh-CN" w:bidi="ar"/>
              </w:rPr>
            </w:r>
            <w:r/>
          </w:p>
        </w:tc>
        <w:tc>
          <w:tcPr>
            <w:tcW w:w="3500" w:type="pct"/>
            <w:vAlign w:val="center"/>
            <w:textDirection w:val="lrTb"/>
            <w:noWrap w:val="false"/>
          </w:tcPr>
          <w:p>
            <w:pPr>
              <w:ind w:right="0"/>
              <w:jc w:val="both"/>
              <w:keepLines w:val="0"/>
              <w:keepNext w:val="0"/>
              <w:pageBreakBefore w:val="0"/>
              <w:spacing w:beforeAutospacing="0" w:afterAutospacing="0"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1.★基于患者档案，自动计算多种风险评估模型得分（如ASCVD、心衰、糖尿病并发症等），展示评估量表得分情况，得分历史记录</w:t>
            </w:r>
            <w:r/>
          </w:p>
          <w:p>
            <w:pPr>
              <w:ind w:right="0"/>
              <w:jc w:val="both"/>
              <w:keepLines w:val="0"/>
              <w:keepNext w:val="0"/>
              <w:pageBreakBefore w:val="0"/>
              <w:spacing w:beforeAutospacing="0" w:afterAutospacing="0"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2.★对异常生命体征（血压、血糖等持续超标）、复查逾期、用药依从性差等风险点，建立有标识（如颜色标记）的分级预警机制</w:t>
            </w:r>
            <w:r/>
          </w:p>
          <w:p>
            <w:pPr>
              <w:pStyle w:val="1104"/>
              <w:keepLines w:val="0"/>
              <w:keepNext w:val="0"/>
              <w:pageBreakBefore w:val="0"/>
              <w:spacing w:line="300" w:lineRule="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u w:val="none"/>
                <w:lang w:val="en-US" w:eastAsia="zh-CN" w:bidi="ar"/>
              </w:rPr>
              <w:t xml:space="preserve">3.预警信息推送至医生、护士工作站（需要与his对接消息提醒模块）或移动端。并支持预警处理反馈与闭环管理记录</w:t>
            </w:r>
            <w:r/>
          </w:p>
        </w:tc>
      </w:tr>
      <w:tr>
        <w:trPr>
          <w:jc w:val="center"/>
        </w:trPr>
        <w:tc>
          <w:tcPr>
            <w:tcW w:w="728" w:type="pct"/>
            <w:vAlign w:val="center"/>
            <w:vMerge w:val="restart"/>
            <w:textDirection w:val="lrTb"/>
            <w:noWrap w:val="false"/>
          </w:tcPr>
          <w:p>
            <w:pPr>
              <w:ind w:right="0"/>
              <w:jc w:val="center"/>
              <w:keepLines w:val="0"/>
              <w:keepNext w:val="0"/>
              <w:pageBreakBefore w:val="0"/>
              <w:spacing w:beforeAutospacing="0" w:afterAutospacing="0"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rPr>
              <w:t xml:space="preserve">全流程随访与院外管理模块</w:t>
            </w:r>
            <w:r/>
          </w:p>
        </w:tc>
        <w:tc>
          <w:tcPr>
            <w:tcW w:w="770" w:type="pct"/>
            <w:vAlign w:val="center"/>
            <w:textDirection w:val="lrTb"/>
            <w:noWrap w:val="false"/>
          </w:tcPr>
          <w:p>
            <w:pPr>
              <w:pStyle w:val="1104"/>
              <w:jc w:val="center"/>
              <w:keepLines w:val="0"/>
              <w:keepNext w:val="0"/>
              <w:pageBreakBefore w:val="0"/>
              <w:spacing w:line="300" w:lineRule="auto"/>
              <w:rPr>
                <w:rFonts w:hint="eastAsia" w:ascii="宋体" w:hAnsi="宋体" w:eastAsia="宋体" w:cs="宋体"/>
                <w:i w:val="0"/>
                <w:iCs w:val="0"/>
                <w:caps w:val="0"/>
                <w:color w:val="auto"/>
                <w:spacing w:val="0"/>
                <w:sz w:val="24"/>
                <w:szCs w:val="24"/>
                <w:u w:val="none"/>
                <w:lang w:val="en-US" w:eastAsia="zh-CN" w:bidi="ar"/>
              </w:rPr>
            </w:pPr>
            <w:r>
              <w:rPr>
                <w:rFonts w:hint="eastAsia" w:ascii="宋体" w:hAnsi="宋体" w:eastAsia="宋体" w:cs="宋体"/>
                <w:i w:val="0"/>
                <w:iCs w:val="0"/>
                <w:caps w:val="0"/>
                <w:color w:val="auto"/>
                <w:spacing w:val="0"/>
                <w:sz w:val="24"/>
                <w:szCs w:val="24"/>
                <w:u w:val="none"/>
                <w:lang w:val="en-US" w:eastAsia="zh-CN" w:bidi="ar"/>
              </w:rPr>
              <w:t xml:space="preserve">多元化随访计划引擎</w:t>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1.★支持基于时间规则（固定周期）和基于事件规则（如指标异常）创建慢病专病随访任务。</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2.能够将生成的随访任务（包括任务类型、患者信息、执行时间、所需收集的问卷或数据项、健康教育内容链接等）通过标准接口，实时下派至医院现有随访信息系统执行。</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3.能同步接收并展示随访系统返回的任务执行状态（如待执行、执行中、已完成、已失败）及最终执行结果数据。</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4.提供对慢病随访计划总体执行率、完成率的统计与质控看板。</w:t>
            </w:r>
            <w:r/>
          </w:p>
        </w:tc>
      </w:tr>
      <w:tr>
        <w:trPr>
          <w:jc w:val="center"/>
        </w:trPr>
        <w:tc>
          <w:tcPr>
            <w:tcW w:w="728" w:type="pct"/>
            <w:vAlign w:val="center"/>
            <w:vMerge w:val="continue"/>
            <w:textDirection w:val="lrTb"/>
            <w:noWrap w:val="false"/>
          </w:tcPr>
          <w:p>
            <w:pPr>
              <w:pStyle w:val="1104"/>
              <w:keepLines w:val="0"/>
              <w:keepNext w:val="0"/>
              <w:pageBreakBefore w:val="0"/>
              <w:spacing w:line="300" w:lineRule="auto"/>
              <w:rPr>
                <w:rStyle w:val="846"/>
                <w:rFonts w:hint="eastAsia" w:ascii="宋体" w:hAnsi="宋体" w:eastAsia="宋体" w:cs="宋体"/>
                <w:b/>
                <w:i w:val="0"/>
                <w:iCs w:val="0"/>
                <w:caps w:val="0"/>
                <w:color w:val="auto"/>
                <w:spacing w:val="0"/>
                <w:sz w:val="24"/>
                <w:szCs w:val="24"/>
                <w:u w:val="none"/>
              </w:rPr>
            </w:pPr>
            <w:r>
              <w:rPr>
                <w:rFonts w:hint="eastAsia" w:ascii="宋体" w:hAnsi="宋体" w:eastAsia="宋体" w:cs="宋体"/>
                <w:b/>
                <w:i w:val="0"/>
                <w:iCs w:val="0"/>
                <w:caps w:val="0"/>
                <w:color w:val="auto"/>
                <w:spacing w:val="0"/>
                <w:sz w:val="24"/>
                <w:szCs w:val="24"/>
                <w:u w:val="none"/>
              </w:rPr>
            </w:r>
            <w:r/>
          </w:p>
        </w:tc>
        <w:tc>
          <w:tcPr>
            <w:tcW w:w="770" w:type="pct"/>
            <w:vAlign w:val="center"/>
            <w:textDirection w:val="lrTb"/>
            <w:noWrap w:val="false"/>
          </w:tcPr>
          <w:p>
            <w:pPr>
              <w:pStyle w:val="801"/>
              <w:numPr>
                <w:ilvl w:val="3"/>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患者数据自主上报</w:t>
            </w:r>
            <w:r/>
          </w:p>
          <w:p>
            <w:pPr>
              <w:pStyle w:val="801"/>
              <w:numPr>
                <w:ilvl w:val="3"/>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r>
            <w:r/>
          </w:p>
        </w:tc>
        <w:tc>
          <w:tcPr>
            <w:tcW w:w="3500" w:type="pct"/>
            <w:vAlign w:val="center"/>
            <w:textDirection w:val="lrTb"/>
            <w:noWrap w:val="false"/>
          </w:tcPr>
          <w:p>
            <w:pPr>
              <w:ind w:right="0"/>
              <w:jc w:val="both"/>
              <w:keepLines w:val="0"/>
              <w:keepNext w:val="0"/>
              <w:pageBreakBefore w:val="0"/>
              <w:spacing w:beforeAutospacing="0" w:afterAutospacing="0"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1.患者可通过移动端便捷上报居家监测数据（血压、血糖、体重、血氧等）、服药情况、饮食运动日志。</w:t>
            </w:r>
            <w:r/>
          </w:p>
          <w:p>
            <w:pPr>
              <w:ind w:right="0"/>
              <w:jc w:val="both"/>
              <w:keepLines w:val="0"/>
              <w:keepNext w:val="0"/>
              <w:pageBreakBefore w:val="0"/>
              <w:spacing w:beforeAutospacing="0" w:afterAutospacing="0"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2.支持主流品牌蓝牙智能设备数据自动上传，便于医院对患者居家监测数据进行管理。</w:t>
            </w:r>
            <w:r/>
          </w:p>
          <w:p>
            <w:pPr>
              <w:ind w:right="0"/>
              <w:jc w:val="both"/>
              <w:keepLines w:val="0"/>
              <w:keepNext w:val="0"/>
              <w:pageBreakBefore w:val="0"/>
              <w:spacing w:beforeAutospacing="0" w:afterAutospacing="0"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3.支持蓝牙设备数据自动上传至本系统。</w:t>
            </w:r>
            <w:r/>
          </w:p>
          <w:p>
            <w:pPr>
              <w:ind w:right="0"/>
              <w:jc w:val="both"/>
              <w:keepLines w:val="0"/>
              <w:keepNext w:val="0"/>
              <w:pageBreakBefore w:val="0"/>
              <w:spacing w:beforeAutospacing="0" w:afterAutospacing="0"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4.本系统作为慢病患者数据的统一汇集点，也需支持通过接口，接收并整合来自现有随访系统在执行任务过程中收集的患者上报数据，形成完整的院外数据流。</w:t>
            </w:r>
            <w:r/>
          </w:p>
        </w:tc>
      </w:tr>
      <w:tr>
        <w:trPr>
          <w:jc w:val="center"/>
        </w:trPr>
        <w:tc>
          <w:tcPr>
            <w:tcW w:w="728" w:type="pct"/>
            <w:vAlign w:val="center"/>
            <w:vMerge w:val="continue"/>
            <w:textDirection w:val="lrTb"/>
            <w:noWrap w:val="false"/>
          </w:tcPr>
          <w:p>
            <w:pPr>
              <w:pStyle w:val="1104"/>
              <w:keepLines w:val="0"/>
              <w:keepNext w:val="0"/>
              <w:pageBreakBefore w:val="0"/>
              <w:spacing w:line="300" w:lineRule="auto"/>
              <w:rPr>
                <w:rStyle w:val="846"/>
                <w:rFonts w:hint="eastAsia" w:ascii="宋体" w:hAnsi="宋体" w:eastAsia="宋体" w:cs="宋体"/>
                <w:b/>
                <w:i w:val="0"/>
                <w:iCs w:val="0"/>
                <w:caps w:val="0"/>
                <w:color w:val="auto"/>
                <w:spacing w:val="0"/>
                <w:sz w:val="24"/>
                <w:szCs w:val="24"/>
                <w:u w:val="none"/>
              </w:rPr>
            </w:pPr>
            <w:r>
              <w:rPr>
                <w:rFonts w:hint="eastAsia" w:ascii="宋体" w:hAnsi="宋体" w:eastAsia="宋体" w:cs="宋体"/>
                <w:b/>
                <w:i w:val="0"/>
                <w:iCs w:val="0"/>
                <w:caps w:val="0"/>
                <w:color w:val="auto"/>
                <w:spacing w:val="0"/>
                <w:sz w:val="24"/>
                <w:szCs w:val="24"/>
                <w:u w:val="none"/>
              </w:rPr>
            </w:r>
            <w:r/>
          </w:p>
        </w:tc>
        <w:tc>
          <w:tcPr>
            <w:tcW w:w="770" w:type="pct"/>
            <w:vAlign w:val="center"/>
            <w:textDirection w:val="lrTb"/>
            <w:noWrap w:val="false"/>
          </w:tcPr>
          <w:p>
            <w:pPr>
              <w:pStyle w:val="801"/>
              <w:numPr>
                <w:ilvl w:val="3"/>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智能健康教育库</w:t>
            </w:r>
            <w:r/>
          </w:p>
          <w:p>
            <w:pPr>
              <w:pStyle w:val="801"/>
              <w:numPr>
                <w:ilvl w:val="3"/>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1.提供图文等多媒体健康教育资源库。</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2.系统可根据患者疾病类型、所处阶段、近期异常指标，自动推送个性化教育内容，并将推送内容与指令通过接口发送至随访系统，由随访系统负责具体触达患者。</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3.支持医院自有健康教育内容的自主上传与管理。</w:t>
            </w:r>
            <w:r>
              <w:rPr>
                <w:rFonts w:hint="eastAsia" w:ascii="宋体" w:hAnsi="宋体" w:eastAsia="宋体" w:cs="宋体"/>
                <w:i w:val="0"/>
                <w:iCs w:val="0"/>
                <w:caps w:val="0"/>
                <w:color w:val="auto"/>
                <w:spacing w:val="0"/>
                <w:sz w:val="24"/>
                <w:szCs w:val="24"/>
                <w:u w:val="none"/>
                <w:lang w:val="en-US" w:eastAsia="zh-CN" w:bidi="ar"/>
              </w:rPr>
              <w:br/>
            </w:r>
            <w:r>
              <w:rPr>
                <w:rFonts w:hint="eastAsia" w:ascii="宋体" w:hAnsi="宋体" w:eastAsia="宋体" w:cs="宋体"/>
                <w:i w:val="0"/>
                <w:iCs w:val="0"/>
                <w:caps w:val="0"/>
                <w:color w:val="auto"/>
                <w:spacing w:val="0"/>
                <w:sz w:val="24"/>
                <w:szCs w:val="24"/>
                <w:u w:val="none"/>
                <w:lang w:val="en-US" w:eastAsia="zh-CN" w:bidi="ar"/>
              </w:rPr>
              <w:t xml:space="preserve">4.▲提供不少于3万条宣教知识库模版。</w:t>
            </w:r>
            <w:r/>
          </w:p>
        </w:tc>
      </w:tr>
      <w:tr>
        <w:trPr>
          <w:jc w:val="center"/>
        </w:trPr>
        <w:tc>
          <w:tcPr>
            <w:tcW w:w="728" w:type="pct"/>
            <w:vAlign w:val="center"/>
            <w:vMerge w:val="continue"/>
            <w:textDirection w:val="lrTb"/>
            <w:noWrap w:val="false"/>
          </w:tcPr>
          <w:p>
            <w:pPr>
              <w:pStyle w:val="1104"/>
              <w:keepLines w:val="0"/>
              <w:keepNext w:val="0"/>
              <w:pageBreakBefore w:val="0"/>
              <w:spacing w:line="300" w:lineRule="auto"/>
              <w:rPr>
                <w:rStyle w:val="846"/>
                <w:rFonts w:hint="eastAsia" w:ascii="宋体" w:hAnsi="宋体" w:eastAsia="宋体" w:cs="宋体"/>
                <w:b/>
                <w:i w:val="0"/>
                <w:iCs w:val="0"/>
                <w:caps w:val="0"/>
                <w:color w:val="auto"/>
                <w:spacing w:val="0"/>
                <w:sz w:val="24"/>
                <w:szCs w:val="24"/>
                <w:u w:val="none"/>
              </w:rPr>
            </w:pPr>
            <w:r>
              <w:rPr>
                <w:rFonts w:hint="eastAsia" w:ascii="宋体" w:hAnsi="宋体" w:eastAsia="宋体" w:cs="宋体"/>
                <w:b/>
                <w:i w:val="0"/>
                <w:iCs w:val="0"/>
                <w:caps w:val="0"/>
                <w:color w:val="auto"/>
                <w:spacing w:val="0"/>
                <w:sz w:val="24"/>
                <w:szCs w:val="24"/>
                <w:u w:val="none"/>
              </w:rPr>
            </w:r>
            <w:r/>
          </w:p>
        </w:tc>
        <w:tc>
          <w:tcPr>
            <w:tcW w:w="770" w:type="pct"/>
            <w:vAlign w:val="center"/>
            <w:textDirection w:val="lrTb"/>
            <w:noWrap w:val="false"/>
          </w:tcPr>
          <w:p>
            <w:pPr>
              <w:pStyle w:val="1104"/>
              <w:jc w:val="center"/>
              <w:keepLines w:val="0"/>
              <w:keepNext w:val="0"/>
              <w:pageBreakBefore w:val="0"/>
              <w:spacing w:line="300" w:lineRule="auto"/>
              <w:tabs>
                <w:tab w:val="left" w:pos="427" w:leader="none"/>
              </w:tabs>
              <w:rPr>
                <w:rFonts w:hint="eastAsia" w:ascii="宋体" w:hAnsi="宋体" w:eastAsia="宋体" w:cs="宋体"/>
                <w:b w:val="0"/>
                <w:bCs w:val="0"/>
                <w:i w:val="0"/>
                <w:iCs w:val="0"/>
                <w:caps w:val="0"/>
                <w:color w:val="auto"/>
                <w:spacing w:val="0"/>
                <w:sz w:val="24"/>
                <w:szCs w:val="24"/>
                <w:u w:val="none"/>
                <w:lang w:val="en-US" w:eastAsia="zh-CN" w:bidi="ar"/>
              </w:rPr>
            </w:pPr>
            <w:r>
              <w:rPr>
                <w:rFonts w:hint="eastAsia" w:ascii="宋体" w:hAnsi="宋体" w:eastAsia="宋体" w:cs="宋体"/>
                <w:b w:val="0"/>
                <w:bCs w:val="0"/>
                <w:i w:val="0"/>
                <w:iCs w:val="0"/>
                <w:caps w:val="0"/>
                <w:color w:val="auto"/>
                <w:spacing w:val="0"/>
                <w:sz w:val="24"/>
                <w:szCs w:val="24"/>
                <w:u w:val="none"/>
                <w:lang w:val="en-US" w:eastAsia="zh-CN" w:bidi="ar"/>
              </w:rPr>
              <w:t xml:space="preserve">医患互动沟通平台</w:t>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1.提供安全的在线图文/语音咨询功能，支持咨询按预设规则在管理团队成员间分派与协作回复。</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2.建立明确的医患沟通边界与响应时限管理机制，保障医疗安全与医生工作效率。</w:t>
            </w:r>
            <w:r/>
          </w:p>
        </w:tc>
      </w:tr>
      <w:tr>
        <w:trPr>
          <w:jc w:val="center"/>
        </w:trPr>
        <w:tc>
          <w:tcPr>
            <w:tcW w:w="728" w:type="pct"/>
            <w:vAlign w:val="center"/>
            <w:vMerge w:val="continue"/>
            <w:textDirection w:val="lrTb"/>
            <w:noWrap w:val="false"/>
          </w:tcPr>
          <w:p>
            <w:pPr>
              <w:pStyle w:val="1104"/>
              <w:keepLines w:val="0"/>
              <w:keepNext w:val="0"/>
              <w:pageBreakBefore w:val="0"/>
              <w:spacing w:line="300" w:lineRule="auto"/>
              <w:rPr>
                <w:rStyle w:val="846"/>
                <w:rFonts w:hint="eastAsia" w:ascii="宋体" w:hAnsi="宋体" w:eastAsia="宋体" w:cs="宋体"/>
                <w:b/>
                <w:i w:val="0"/>
                <w:iCs w:val="0"/>
                <w:caps w:val="0"/>
                <w:color w:val="auto"/>
                <w:spacing w:val="0"/>
                <w:sz w:val="24"/>
                <w:szCs w:val="24"/>
                <w:u w:val="none"/>
              </w:rPr>
            </w:pPr>
            <w:r>
              <w:rPr>
                <w:rFonts w:hint="eastAsia" w:ascii="宋体" w:hAnsi="宋体" w:eastAsia="宋体" w:cs="宋体"/>
                <w:b/>
                <w:i w:val="0"/>
                <w:iCs w:val="0"/>
                <w:caps w:val="0"/>
                <w:color w:val="auto"/>
                <w:spacing w:val="0"/>
                <w:sz w:val="24"/>
                <w:szCs w:val="24"/>
                <w:u w:val="none"/>
              </w:rPr>
            </w:r>
            <w:r/>
          </w:p>
        </w:tc>
        <w:tc>
          <w:tcPr>
            <w:tcW w:w="770" w:type="pct"/>
            <w:vAlign w:val="center"/>
            <w:textDirection w:val="lrTb"/>
            <w:noWrap w:val="false"/>
          </w:tcPr>
          <w:p>
            <w:pPr>
              <w:pStyle w:val="801"/>
              <w:numPr>
                <w:ilvl w:val="3"/>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互联网</w:t>
            </w:r>
            <w:r/>
          </w:p>
          <w:p>
            <w:pPr>
              <w:pStyle w:val="801"/>
              <w:numPr>
                <w:ilvl w:val="3"/>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医院协同服务</w:t>
            </w:r>
            <w:r/>
          </w:p>
          <w:p>
            <w:pPr>
              <w:pStyle w:val="1104"/>
              <w:jc w:val="center"/>
              <w:keepLines w:val="0"/>
              <w:keepNext w:val="0"/>
              <w:pageBreakBefore w:val="0"/>
              <w:spacing w:line="300" w:lineRule="auto"/>
              <w:tabs>
                <w:tab w:val="left" w:pos="427" w:leader="none"/>
              </w:tabs>
              <w:rPr>
                <w:rFonts w:hint="eastAsia" w:ascii="宋体" w:hAnsi="宋体" w:eastAsia="宋体" w:cs="宋体"/>
                <w:b w:val="0"/>
                <w:bCs w:val="0"/>
                <w:i w:val="0"/>
                <w:iCs w:val="0"/>
                <w:caps w:val="0"/>
                <w:color w:val="auto"/>
                <w:spacing w:val="0"/>
                <w:sz w:val="24"/>
                <w:szCs w:val="24"/>
                <w:u w:val="none"/>
                <w:lang w:val="en-US" w:eastAsia="zh-CN" w:bidi="ar"/>
              </w:rPr>
            </w:pPr>
            <w:r>
              <w:rPr>
                <w:rFonts w:hint="eastAsia" w:ascii="宋体" w:hAnsi="宋体" w:eastAsia="宋体" w:cs="宋体"/>
                <w:b w:val="0"/>
                <w:bCs w:val="0"/>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系统应支持与本院互联网医院平台的无缝对接。在随访过程中，可根据预设规则（如指标异常、续方需求）或患者主动发起，智能生成向互联网医院转介的建议，并在患者移动端提供一键跳转入口。转介过程应实现患者身份与关键健康数据的自动传递，并能跟踪转介成效，形成线上线下一体化的服务闭环。</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患者移动端集成互联网医院入口：在患者使用的微信小程序中，当系统提醒患者需要复诊时（如复查逾期、指标异常需医生干预），应提供便捷的按钮，直接跳转至医院互联网医院对应科室或医生的线上问诊页面，实现从慢病管理到线上复诊的无缝衔接。</w:t>
            </w:r>
            <w:r/>
          </w:p>
        </w:tc>
      </w:tr>
      <w:tr>
        <w:trPr>
          <w:jc w:val="center"/>
        </w:trPr>
        <w:tc>
          <w:tcPr>
            <w:tcW w:w="728" w:type="pct"/>
            <w:vAlign w:val="center"/>
            <w:vMerge w:val="restart"/>
            <w:textDirection w:val="lrTb"/>
            <w:noWrap w:val="false"/>
          </w:tcPr>
          <w:p>
            <w:pPr>
              <w:pStyle w:val="800"/>
              <w:numPr>
                <w:ilvl w:val="2"/>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i w:val="0"/>
                <w:iCs w:val="0"/>
                <w:caps w:val="0"/>
                <w:color w:val="auto"/>
                <w:spacing w:val="0"/>
                <w:sz w:val="24"/>
                <w:szCs w:val="24"/>
                <w:u w:val="none"/>
                <w:lang w:val="en-US" w:eastAsia="zh-CN" w:bidi="ar"/>
              </w:rPr>
              <w:suppressLineNumbers w:val="0"/>
            </w:pPr>
            <w:r>
              <w:rPr>
                <w:rFonts w:hint="eastAsia" w:ascii="宋体" w:hAnsi="宋体" w:eastAsia="宋体" w:cs="宋体"/>
                <w:b w:val="0"/>
                <w:i w:val="0"/>
                <w:iCs w:val="0"/>
                <w:caps w:val="0"/>
                <w:color w:val="auto"/>
                <w:spacing w:val="0"/>
                <w:sz w:val="24"/>
                <w:szCs w:val="24"/>
                <w:u w:val="none"/>
                <w:lang w:val="en-US" w:eastAsia="zh-CN" w:bidi="ar"/>
              </w:rPr>
              <w:t xml:space="preserve">多学科协作与团队管理模块</w:t>
            </w:r>
            <w:r/>
          </w:p>
          <w:p>
            <w:pPr>
              <w:pStyle w:val="1104"/>
              <w:jc w:val="center"/>
              <w:keepLines w:val="0"/>
              <w:keepNext w:val="0"/>
              <w:pageBreakBefore w:val="0"/>
              <w:spacing w:line="300" w:lineRule="auto"/>
              <w:rPr>
                <w:rStyle w:val="846"/>
                <w:rFonts w:hint="eastAsia" w:ascii="宋体" w:hAnsi="宋体" w:eastAsia="宋体" w:cs="宋体"/>
                <w:b/>
                <w:i w:val="0"/>
                <w:iCs w:val="0"/>
                <w:caps w:val="0"/>
                <w:color w:val="auto"/>
                <w:spacing w:val="0"/>
                <w:sz w:val="24"/>
                <w:szCs w:val="24"/>
                <w:u w:val="none"/>
              </w:rPr>
            </w:pPr>
            <w:r>
              <w:rPr>
                <w:rFonts w:hint="eastAsia" w:ascii="宋体" w:hAnsi="宋体" w:eastAsia="宋体" w:cs="宋体"/>
                <w:b/>
                <w:i w:val="0"/>
                <w:iCs w:val="0"/>
                <w:caps w:val="0"/>
                <w:color w:val="auto"/>
                <w:spacing w:val="0"/>
                <w:sz w:val="24"/>
                <w:szCs w:val="24"/>
                <w:u w:val="none"/>
              </w:rPr>
            </w:r>
            <w:r/>
          </w:p>
        </w:tc>
        <w:tc>
          <w:tcPr>
            <w:tcW w:w="770" w:type="pct"/>
            <w:vAlign w:val="center"/>
            <w:textDirection w:val="lrTb"/>
            <w:noWrap w:val="false"/>
          </w:tcPr>
          <w:p>
            <w:pPr>
              <w:pStyle w:val="801"/>
              <w:numPr>
                <w:ilvl w:val="3"/>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虚拟科室/团队构建</w:t>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1.★支持跨临床科室、跨院区灵活组建慢性病管理团队，如“高血压管理团队”、“糖尿病足MDT团队”等。</w:t>
            </w:r>
            <w:r/>
          </w:p>
        </w:tc>
      </w:tr>
      <w:tr>
        <w:trPr>
          <w:jc w:val="center"/>
        </w:trPr>
        <w:tc>
          <w:tcPr>
            <w:tcW w:w="728" w:type="pct"/>
            <w:vAlign w:val="center"/>
            <w:vMerge w:val="continue"/>
            <w:textDirection w:val="lrTb"/>
            <w:noWrap w:val="false"/>
          </w:tcPr>
          <w:p>
            <w:pPr>
              <w:pStyle w:val="1104"/>
              <w:keepLines w:val="0"/>
              <w:keepNext w:val="0"/>
              <w:pageBreakBefore w:val="0"/>
              <w:spacing w:line="300" w:lineRule="auto"/>
              <w:rPr>
                <w:rStyle w:val="846"/>
                <w:rFonts w:hint="eastAsia" w:ascii="宋体" w:hAnsi="宋体" w:eastAsia="宋体" w:cs="宋体"/>
                <w:b/>
                <w:i w:val="0"/>
                <w:iCs w:val="0"/>
                <w:caps w:val="0"/>
                <w:color w:val="auto"/>
                <w:spacing w:val="0"/>
                <w:sz w:val="24"/>
                <w:szCs w:val="24"/>
                <w:u w:val="none"/>
              </w:rPr>
            </w:pPr>
            <w:r>
              <w:rPr>
                <w:rFonts w:hint="eastAsia" w:ascii="宋体" w:hAnsi="宋体" w:eastAsia="宋体" w:cs="宋体"/>
                <w:b/>
                <w:i w:val="0"/>
                <w:iCs w:val="0"/>
                <w:caps w:val="0"/>
                <w:color w:val="auto"/>
                <w:spacing w:val="0"/>
                <w:sz w:val="24"/>
                <w:szCs w:val="24"/>
                <w:u w:val="none"/>
              </w:rPr>
            </w:r>
            <w:r/>
          </w:p>
        </w:tc>
        <w:tc>
          <w:tcPr>
            <w:tcW w:w="770" w:type="pct"/>
            <w:vAlign w:val="center"/>
            <w:textDirection w:val="lrTb"/>
            <w:noWrap w:val="false"/>
          </w:tcPr>
          <w:p>
            <w:pPr>
              <w:pStyle w:val="801"/>
              <w:numPr>
                <w:ilvl w:val="3"/>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业务协同与转诊</w:t>
            </w:r>
            <w:r/>
          </w:p>
          <w:p>
            <w:pPr>
              <w:pStyle w:val="1104"/>
              <w:jc w:val="center"/>
              <w:keepLines w:val="0"/>
              <w:keepNext w:val="0"/>
              <w:pageBreakBefore w:val="0"/>
              <w:spacing w:line="300" w:lineRule="auto"/>
              <w:tabs>
                <w:tab w:val="left" w:pos="427" w:leader="none"/>
              </w:tabs>
              <w:rPr>
                <w:rFonts w:hint="eastAsia" w:ascii="宋体" w:hAnsi="宋体" w:eastAsia="宋体" w:cs="宋体"/>
                <w:b w:val="0"/>
                <w:bCs w:val="0"/>
                <w:i w:val="0"/>
                <w:iCs w:val="0"/>
                <w:caps w:val="0"/>
                <w:color w:val="auto"/>
                <w:spacing w:val="0"/>
                <w:sz w:val="24"/>
                <w:szCs w:val="24"/>
                <w:u w:val="none"/>
                <w:lang w:val="en-US" w:eastAsia="zh-CN" w:bidi="ar"/>
              </w:rPr>
            </w:pPr>
            <w:r>
              <w:rPr>
                <w:rFonts w:hint="eastAsia" w:ascii="宋体" w:hAnsi="宋体" w:eastAsia="宋体" w:cs="宋体"/>
                <w:b w:val="0"/>
                <w:bCs w:val="0"/>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1.团队内可创建、分配、跟踪管理任务（如营养评估、心理疏导、康复指导）。</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2.支持线上发起院内跨科室或向合作社区的转诊，流程可追溯。</w:t>
            </w:r>
            <w:r/>
          </w:p>
        </w:tc>
      </w:tr>
      <w:tr>
        <w:trPr>
          <w:jc w:val="center"/>
        </w:trPr>
        <w:tc>
          <w:tcPr>
            <w:tcW w:w="728" w:type="pct"/>
            <w:vAlign w:val="center"/>
            <w:vMerge w:val="continue"/>
            <w:textDirection w:val="lrTb"/>
            <w:noWrap w:val="false"/>
          </w:tcPr>
          <w:p>
            <w:pPr>
              <w:pStyle w:val="1104"/>
              <w:keepLines w:val="0"/>
              <w:keepNext w:val="0"/>
              <w:pageBreakBefore w:val="0"/>
              <w:spacing w:line="300" w:lineRule="auto"/>
              <w:rPr>
                <w:rStyle w:val="846"/>
                <w:rFonts w:hint="eastAsia" w:ascii="宋体" w:hAnsi="宋体" w:eastAsia="宋体" w:cs="宋体"/>
                <w:b/>
                <w:i w:val="0"/>
                <w:iCs w:val="0"/>
                <w:caps w:val="0"/>
                <w:color w:val="auto"/>
                <w:spacing w:val="0"/>
                <w:sz w:val="24"/>
                <w:szCs w:val="24"/>
                <w:u w:val="none"/>
              </w:rPr>
            </w:pPr>
            <w:r>
              <w:rPr>
                <w:rFonts w:hint="eastAsia" w:ascii="宋体" w:hAnsi="宋体" w:eastAsia="宋体" w:cs="宋体"/>
                <w:b/>
                <w:i w:val="0"/>
                <w:iCs w:val="0"/>
                <w:caps w:val="0"/>
                <w:color w:val="auto"/>
                <w:spacing w:val="0"/>
                <w:sz w:val="24"/>
                <w:szCs w:val="24"/>
                <w:u w:val="none"/>
              </w:rPr>
            </w:r>
            <w:r/>
          </w:p>
        </w:tc>
        <w:tc>
          <w:tcPr>
            <w:tcW w:w="770" w:type="pct"/>
            <w:vAlign w:val="center"/>
            <w:textDirection w:val="lrTb"/>
            <w:noWrap w:val="false"/>
          </w:tcPr>
          <w:p>
            <w:pPr>
              <w:pStyle w:val="801"/>
              <w:numPr>
                <w:ilvl w:val="3"/>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分级诊疗与上下级任务协同</w:t>
            </w:r>
            <w:r/>
          </w:p>
          <w:p>
            <w:pPr>
              <w:pStyle w:val="1104"/>
              <w:jc w:val="center"/>
              <w:keepLines w:val="0"/>
              <w:keepNext w:val="0"/>
              <w:pageBreakBefore w:val="0"/>
              <w:spacing w:line="300" w:lineRule="auto"/>
              <w:tabs>
                <w:tab w:val="left" w:pos="427" w:leader="none"/>
              </w:tabs>
              <w:rPr>
                <w:rFonts w:hint="eastAsia" w:ascii="宋体" w:hAnsi="宋体" w:eastAsia="宋体" w:cs="宋体"/>
                <w:b w:val="0"/>
                <w:bCs w:val="0"/>
                <w:i w:val="0"/>
                <w:iCs w:val="0"/>
                <w:caps w:val="0"/>
                <w:color w:val="auto"/>
                <w:spacing w:val="0"/>
                <w:sz w:val="24"/>
                <w:szCs w:val="24"/>
                <w:u w:val="none"/>
                <w:lang w:val="en-US" w:eastAsia="zh-CN" w:bidi="ar"/>
              </w:rPr>
            </w:pPr>
            <w:r>
              <w:rPr>
                <w:rFonts w:hint="eastAsia" w:ascii="宋体" w:hAnsi="宋体" w:eastAsia="宋体" w:cs="宋体"/>
                <w:b w:val="0"/>
                <w:bCs w:val="0"/>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1.基于医联体场景，实现上级医院与基层医疗机构之间的管理任务智能流转与闭环。</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2.上下级医院间的任务匹配与交接</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2.1任务派发：上级医院（如心内科）医生在患者出院时，可创建或选择预设的随访任务清单（包含用药指导、检查提醒、康复计划等），并指定执行机构或具体执行医生。</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2.2 接收方匹配：</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基础版：提供可选的基层机构与医生列表，上级医生手动搜索并选择目标机构/医生。</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智能版：根据患者补充的常驻地信息，自动推荐患者所属的基层医疗机构，上级医生可一键确认派发（地址信息可能不准确，初期以手动选择为主，在特定区域试点）。</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2.3 任务形式：派发的任务应包含核心信息、明确的待办事项清单、执行要求与周期。</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2.4 任务接收与反馈：基层医生可接收任务通知，点击“接收”并处理。处理完成后（如督促患者完成检查），在线反馈处理结果（如上传检查报告），形成任务闭环，上级医生可查看。</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 ▲基于任务分级的转诊与协同机制</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3.1 任务分级：系统支持对任务进行分级（高危、中危、低危），不同等级触发不同流程。</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3.2 自动上报：高危任务（如系统监测到危机值）可自动上报给上级医院，无需基层医生手动操作。</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3.3 人工请求协助：中、低危任务由基层医生处理。若处理中遇到困难，基层医生可手动发起“请求协助”，将任务上转给上级医生。</w:t>
            </w:r>
            <w:r/>
          </w:p>
        </w:tc>
      </w:tr>
      <w:tr>
        <w:trPr>
          <w:jc w:val="center"/>
        </w:trPr>
        <w:tc>
          <w:tcPr>
            <w:tcW w:w="728" w:type="pct"/>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医生工作台</w:t>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任务管理</w:t>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1.任务列表：展示所有待处理、进行中、已完成的随访任务、管理任务、转诊/会诊任务。支持按任务类型（随访、用药调整、检查督促、健康宣教）、优先级（高/中/低）、患者姓名等维度筛选。</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2.任务详情：展示任务派发方、患者基本信息、任务要求描述、执行周期、关联的评估表单或需收集的数据项。</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3.任务接收/拒绝：医生可一键“接收任务”；如因故无法执行，可填写原因后“拒绝”，并自动通知派发方。</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4.任务反馈与闭环：任务完成后，可上传执行结果（如督促患者完成检查后上传报告图片、填写血压记录表、录入随访问卷结果等），形成闭环。派发方实时查看反馈状态。</w:t>
            </w:r>
            <w:r/>
          </w:p>
        </w:tc>
      </w:tr>
      <w:tr>
        <w:trPr>
          <w:jc w:val="center"/>
        </w:trPr>
        <w:tc>
          <w:tcPr>
            <w:tcW w:w="728" w:type="pct"/>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患者健康数据录入</w:t>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1.手动录入：支持录入患者居家监测数据（血压、血糖、体重、心率等）、用药情况、饮食运动日志、症状变化等。</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2.拍照上传：支持拍摄病历、检查报告、患者伤口照片等，并自动关联至患者档案。</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3.量表填写：内置各类慢病评估量表（如PHQ-9、GAD-7、MNA、跌倒风险等），医生可随时为患者完成评估。</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cs="宋体"/>
                <w:i w:val="0"/>
                <w:iCs w:val="0"/>
                <w:caps w:val="0"/>
                <w:color w:val="auto"/>
                <w:spacing w:val="0"/>
                <w:sz w:val="24"/>
                <w:szCs w:val="24"/>
                <w:u w:val="none"/>
                <w:lang w:val="en-US" w:eastAsia="zh-CN" w:bidi="ar"/>
              </w:rPr>
              <w:t xml:space="preserve">4. </w:t>
            </w:r>
            <w:r>
              <w:rPr>
                <w:rFonts w:hint="eastAsia" w:ascii="宋体" w:hAnsi="宋体" w:eastAsia="宋体" w:cs="宋体"/>
                <w:i w:val="0"/>
                <w:iCs w:val="0"/>
                <w:caps w:val="0"/>
                <w:color w:val="auto"/>
                <w:spacing w:val="0"/>
                <w:sz w:val="24"/>
                <w:szCs w:val="24"/>
                <w:u w:val="none"/>
                <w:lang w:val="en-US" w:eastAsia="zh-CN" w:bidi="ar"/>
              </w:rPr>
              <w:t xml:space="preserve">语音转文字（患者移动端）：在移动端支持语音输入后自动转文字。</w:t>
            </w:r>
            <w:r/>
          </w:p>
        </w:tc>
      </w:tr>
      <w:tr>
        <w:trPr>
          <w:jc w:val="center"/>
        </w:trPr>
        <w:tc>
          <w:tcPr>
            <w:tcW w:w="728" w:type="pct"/>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请求上级医生协助</w:t>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1.发起协助：在处理患者过程中，遇到需要上级医生指导的情况（如指标异常、治疗方案不确定），可发起“请求协助”。</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2.协助内容：描述具体问题、上传相关检查图片或检验结果，并指定请求的科室或具体上级医生。</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3.紧急/普通分级：支持标记为“紧急”或“普通”，紧急请求触发强提醒。</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4.对话与反馈：上级医生收到请求后可在线回复、给出处理建议，请求方可继续追问，形成闭环记录。</w:t>
            </w:r>
            <w:r/>
          </w:p>
        </w:tc>
      </w:tr>
      <w:tr>
        <w:trPr>
          <w:jc w:val="center"/>
        </w:trPr>
        <w:tc>
          <w:tcPr>
            <w:tcW w:w="728" w:type="pct"/>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预警与待办处理</w:t>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1.▲实时预警接收：接收系统发出分级预警（如血糖持续超标、复查逾期），并显示预警详情。</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2.▲预警处理：填写处理意见（如“已电话指导用药”“建议转诊”），完成预警闭环。</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3.待办中心：聚合今日需完成的随访任务、需回访的患者、需审核的数据等。</w:t>
            </w:r>
            <w:r/>
          </w:p>
        </w:tc>
      </w:tr>
      <w:tr>
        <w:trPr>
          <w:jc w:val="center"/>
        </w:trPr>
        <w:tc>
          <w:tcPr>
            <w:tcW w:w="728" w:type="pct"/>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患者管理与检索</w:t>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1.我的患者列表：显示医生管辖的所有慢病患者（按绑定关系或团队分配），支持按姓名、就诊卡号、疾病类型搜索。</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2.患者健康画像预览：点击患者可查看精简版健康画像（关键指标趋势、未处理预警、近期任务）。</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3.患者档案查看：授权范围内查看患者的诊疗记录、检查报告、居家数据、随访历史。</w:t>
            </w:r>
            <w:r/>
          </w:p>
        </w:tc>
      </w:tr>
      <w:tr>
        <w:trPr>
          <w:jc w:val="center"/>
        </w:trPr>
        <w:tc>
          <w:tcPr>
            <w:tcW w:w="728" w:type="pct"/>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both"/>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医患互动</w:t>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1.咨询回复：接收患者发起的图文/语音咨询，在规定时限内回复。</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2.主动推送：向患者发送健康提醒、用药指导、复诊提醒等。</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3.患者健康数据查看：随时查阅患者自报或设备上传的居家数据。</w:t>
            </w:r>
            <w:r/>
          </w:p>
        </w:tc>
      </w:tr>
      <w:tr>
        <w:trPr>
          <w:jc w:val="center"/>
        </w:trPr>
        <w:tc>
          <w:tcPr>
            <w:tcW w:w="728" w:type="pct"/>
            <w:vAlign w:val="center"/>
            <w:textDirection w:val="lrTb"/>
            <w:noWrap w:val="false"/>
          </w:tcPr>
          <w:p>
            <w:pPr>
              <w:pStyle w:val="800"/>
              <w:ind w:firstLine="48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工作量与绩效统计</w:t>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1.自动统计各团队成员的管理患者数、随访任务完成量、医患互动次数、患者指标改善率等关键指标。</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2.支持精细化角色权限管理（如团队管理员、专科医生、健康管理师等），不同角色数据视图与操作权限不同。</w:t>
            </w:r>
            <w:r/>
          </w:p>
        </w:tc>
      </w:tr>
      <w:tr>
        <w:trPr>
          <w:jc w:val="center"/>
        </w:trPr>
        <w:tc>
          <w:tcPr>
            <w:tcW w:w="728" w:type="pct"/>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数据分析</w:t>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标准化数据仓库</w:t>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1.建立符合OMOP等通用数据模型的慢性病专项数据仓库，实现数据的高质量存储与标准化治理。</w:t>
            </w:r>
            <w:r/>
          </w:p>
        </w:tc>
      </w:tr>
      <w:tr>
        <w:trPr>
          <w:jc w:val="center"/>
        </w:trPr>
        <w:tc>
          <w:tcPr>
            <w:tcW w:w="728" w:type="pct"/>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多维度统计报表</w:t>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1.预设覆盖患者人群特征、各项指标（如血压、血糖、血脂）达标率、并发症发生率、再住院率等主题的管理报表。</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2.支持对选定数据进行脱敏，并导出为多种结构化格式，用于深度分析。</w:t>
            </w:r>
            <w:r/>
          </w:p>
        </w:tc>
      </w:tr>
      <w:tr>
        <w:trPr>
          <w:jc w:val="center"/>
        </w:trPr>
        <w:tc>
          <w:tcPr>
            <w:tcW w:w="728" w:type="pct"/>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慢病管理仪表盘</w:t>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 管理情况统计</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1.1★支持展示患者从AI筛查到结案的全流程各节点当前人数，包括筛查发现、待入组、待建档、已建档、管理中、已结案等节点。</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1.2按病种维度展示患者管理详情，每个病种展示高危/中危/低危/未评估的人数和占比。采用水平叠条形图展示，配合图例说明。同一患者多病种独立统计，不去重。</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1.3支持按自然人去重展示当前建档患者的人口学特征，包括性别分布、年龄分布等。支持按病种维度切换查看。</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2.慢病工作统计</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2.1支持展示筛查入组完成率、筛查更新完成率、首次建档完成率、档案更新完成率、管理方案配置率等核心指标。</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2.2支持按医生维度展示工作量明细，包括各项任务的处理数量、完成率等。支持表格展示和Excel导出。</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2.3支持点击完成率指标卡片下钻查看明细数据。例如点击首次建档完成率可查看具体任务列表、处理人、处理时间等详细信息。</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2.4★支持自定义统计报表与统计图表。</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3.重点指标统计</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3.1支持高血压、糖尿病、高脂血症等核心指标的统计分析。展示指标均值、超标率、低标率、控制达标率四格统计区。</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3.2支持指标结果分布的水平进度条展示，三段颜色（蓝色偏低/绿色达标/红色超标）直观呈现患者指标分布情况。</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3.3支持基于有效记录的统计口径：每位患者在统计周期内取最近一次有效记录参与计算。有效记录为数值在合理医学范围内的数据进行统计。</w:t>
            </w:r>
            <w:r/>
          </w:p>
        </w:tc>
      </w:tr>
      <w:tr>
        <w:trPr>
          <w:jc w:val="center"/>
        </w:trPr>
        <w:tc>
          <w:tcPr>
            <w:tcW w:w="72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患者移动端服务</w:t>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1.我的健康档案：查看个人就诊记录、检查报告、健康评估。</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2.我的任务：接收随访提醒、填写问卷、记录健康数据。</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3.健康指导：接收个性化健康资讯、查看教育材料。</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4.在线咨询与医患互动：与管理团队进行安全沟通。</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5.预约与提醒：门诊预约、检查预约、用药提醒。</w:t>
            </w:r>
            <w:r/>
          </w:p>
        </w:tc>
      </w:tr>
      <w:tr>
        <w:trPr>
          <w:jc w:val="center"/>
        </w:trPr>
        <w:tc>
          <w:tcPr>
            <w:tcW w:w="728" w:type="pct"/>
            <w:vAlign w:val="center"/>
            <w:vMerge w:val="restart"/>
            <w:textDirection w:val="lrTb"/>
            <w:noWrap w:val="false"/>
          </w:tcPr>
          <w:p>
            <w:pPr>
              <w:pStyle w:val="800"/>
              <w:numPr>
                <w:ilvl w:val="2"/>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i w:val="0"/>
                <w:iCs w:val="0"/>
                <w:caps w:val="0"/>
                <w:color w:val="auto"/>
                <w:spacing w:val="0"/>
                <w:sz w:val="24"/>
                <w:szCs w:val="24"/>
                <w:u w:val="none"/>
                <w:lang w:val="en-US" w:eastAsia="zh-CN" w:bidi="ar"/>
              </w:rPr>
              <w:suppressLineNumbers w:val="0"/>
            </w:pPr>
            <w:r>
              <w:rPr>
                <w:rFonts w:hint="eastAsia" w:ascii="宋体" w:hAnsi="宋体" w:eastAsia="宋体" w:cs="宋体"/>
                <w:b w:val="0"/>
                <w:i w:val="0"/>
                <w:iCs w:val="0"/>
                <w:caps w:val="0"/>
                <w:color w:val="auto"/>
                <w:spacing w:val="0"/>
                <w:sz w:val="24"/>
                <w:szCs w:val="24"/>
                <w:u w:val="none"/>
                <w:lang w:val="en-US" w:eastAsia="zh-CN" w:bidi="ar"/>
              </w:rPr>
              <w:t xml:space="preserve">智能体组件</w:t>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pStyle w:val="801"/>
              <w:numPr>
                <w:ilvl w:val="3"/>
                <w:numId w:val="0"/>
              </w:numPr>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多模态医疗文本数据治理智能体</w:t>
            </w:r>
            <w:r/>
          </w:p>
          <w:p>
            <w:pPr>
              <w:jc w:val="center"/>
              <w:keepLines w:val="0"/>
              <w:keepNext w:val="0"/>
              <w:pageBreakBefore w:val="0"/>
              <w:spacing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1.应用场景：利用大模型技术，自动从非结构化病历文本（入院记录、病程记录、出院小结等）中精准提取诊断、手术、用药、病史等关键信息，为上层应用提供高质量数据燃料。</w:t>
            </w:r>
            <w:r/>
          </w:p>
          <w:p>
            <w:pPr>
              <w:jc w:val="left"/>
              <w:keepLines w:val="0"/>
              <w:keepNext w:val="0"/>
              <w:pageBreakBefore w:val="0"/>
              <w:spacing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2.关键技术指标</w:t>
            </w:r>
            <w:r/>
          </w:p>
          <w:p>
            <w:pPr>
              <w:jc w:val="left"/>
              <w:keepLines w:val="0"/>
              <w:keepNext w:val="0"/>
              <w:pageBreakBefore w:val="0"/>
              <w:spacing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2.1 混合提取模式：支持规则、正则、大模型、KIE（关键信息抽取）多种模式混合编排，适应不同数据质量。</w:t>
            </w:r>
            <w:r/>
          </w:p>
          <w:p>
            <w:pPr>
              <w:jc w:val="left"/>
              <w:keepLines w:val="0"/>
              <w:keepNext w:val="0"/>
              <w:pageBreakBefore w:val="0"/>
              <w:spacing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2.2可视化快修：对AI提取结果提供可视化校对界面，支持人工自定义修正。</w:t>
            </w:r>
            <w:r/>
          </w:p>
          <w:p>
            <w:pPr>
              <w:jc w:val="left"/>
              <w:keepLines w:val="0"/>
              <w:keepNext w:val="0"/>
              <w:pageBreakBefore w:val="0"/>
              <w:spacing w:line="440" w:lineRule="exact"/>
              <w:widowControl/>
              <w:rPr>
                <w:rFonts w:hint="eastAsia" w:ascii="宋体" w:hAnsi="宋体" w:eastAsia="宋体" w:cs="宋体"/>
                <w:b w:val="0"/>
                <w:bCs w:val="0"/>
                <w:i w:val="0"/>
                <w:iCs w:val="0"/>
                <w:caps w:val="0"/>
                <w:color w:val="auto"/>
                <w:spacing w:val="0"/>
                <w:sz w:val="24"/>
                <w:szCs w:val="24"/>
                <w:u w:val="none"/>
                <w:lang w:val="en-US" w:eastAsia="zh-CN" w:bidi="ar"/>
              </w:rPr>
              <w:suppressLineNumbers w:val="0"/>
            </w:pPr>
            <w:r>
              <w:rPr>
                <w:rFonts w:hint="eastAsia" w:ascii="宋体" w:hAnsi="宋体" w:eastAsia="宋体" w:cs="宋体"/>
                <w:b w:val="0"/>
                <w:bCs w:val="0"/>
                <w:i w:val="0"/>
                <w:iCs w:val="0"/>
                <w:caps w:val="0"/>
                <w:color w:val="auto"/>
                <w:spacing w:val="0"/>
                <w:sz w:val="24"/>
                <w:szCs w:val="24"/>
                <w:u w:val="none"/>
                <w:lang w:val="en-US" w:eastAsia="zh-CN" w:bidi="ar"/>
              </w:rPr>
              <w:t xml:space="preserve">2.3 分段处理：针对病历文本复杂段落，支持分段配置不同提取策略。</w:t>
            </w:r>
            <w:r/>
          </w:p>
        </w:tc>
      </w:tr>
      <w:tr>
        <w:trPr>
          <w:jc w:val="center"/>
        </w:trPr>
        <w:tc>
          <w:tcPr>
            <w:tcW w:w="728" w:type="pct"/>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▲全景健康画像智能体</w:t>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应用场景：为每位患者构建动态、可视、可交互的“数字健康画像”，改变传统以表单和列表为主的病历浏览方式。通过深度整合并智能分析患者在区域内全生命周期的诊疗、体检、居家监测等多源数据，将抽象的疾病与数据映射于患者画像，实现健康风险的全局掌控。</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Style w:val="846"/>
                <w:rFonts w:hint="eastAsia" w:ascii="宋体" w:hAnsi="宋体" w:eastAsia="宋体" w:cs="宋体"/>
                <w:b w:val="0"/>
                <w:bCs/>
                <w:i w:val="0"/>
                <w:iCs w:val="0"/>
                <w:caps w:val="0"/>
                <w:color w:val="auto"/>
                <w:spacing w:val="0"/>
                <w:sz w:val="24"/>
                <w:szCs w:val="24"/>
                <w:u w:val="none"/>
                <w:lang w:val="en-US" w:eastAsia="zh-CN" w:bidi="ar"/>
              </w:rPr>
              <w:t xml:space="preserve">2</w:t>
            </w:r>
            <w:r>
              <w:rPr>
                <w:rFonts w:hint="eastAsia" w:ascii="宋体" w:hAnsi="宋体" w:eastAsia="宋体" w:cs="宋体"/>
                <w:b w:val="0"/>
                <w:bCs/>
                <w:i w:val="0"/>
                <w:iCs w:val="0"/>
                <w:caps w:val="0"/>
                <w:color w:val="auto"/>
                <w:spacing w:val="0"/>
                <w:sz w:val="24"/>
                <w:szCs w:val="24"/>
                <w:u w:val="none"/>
                <w:lang w:val="en-US" w:eastAsia="zh-CN" w:bidi="ar"/>
              </w:rPr>
              <w:t xml:space="preserve">.</w:t>
            </w:r>
            <w:r>
              <w:rPr>
                <w:rFonts w:hint="eastAsia" w:ascii="宋体" w:hAnsi="宋体" w:eastAsia="宋体" w:cs="宋体"/>
                <w:i w:val="0"/>
                <w:iCs w:val="0"/>
                <w:caps w:val="0"/>
                <w:color w:val="auto"/>
                <w:spacing w:val="0"/>
                <w:sz w:val="24"/>
                <w:szCs w:val="24"/>
                <w:u w:val="none"/>
                <w:lang w:val="en-US" w:eastAsia="zh-CN" w:bidi="ar"/>
              </w:rPr>
              <w:t xml:space="preserve">关键技术指标</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2.1患者画像可视化：为医生提供精准人群定位和患者健康画像整体概览。</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2.2全科全景整合：不局限于单一慢病，融合既往史、家族史、生活习惯、近期就诊、检验趋势、用药记录等多维度信息，形成统一画像。</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2.3动态与实时更新：画像随新产生的病历、检查、居家数据自动更新，生命体征、异常指标近实时刷新。</w:t>
            </w:r>
            <w:r/>
          </w:p>
        </w:tc>
      </w:tr>
      <w:tr>
        <w:trPr>
          <w:jc w:val="center"/>
        </w:trPr>
        <w:tc>
          <w:tcPr>
            <w:tcW w:w="728" w:type="pct"/>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慢病饮食运动方案干预智能体</w:t>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1.应用场景：深度融合医疗大模型与患者全景健康画像，理解患者个体化健康状况与生活习惯，自动生成个性化的饮食方案与运动方案。</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2.关键技术指标：</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2.1 AI生成，非模板套用：由医疗大模型动态生成文本描述与结构化方案，非固定模板填充。</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2.2患者端同步：生成的方案可同步至患者移动端，形成每日任务，并提供食材推荐、运动视频等富媒体指导。</w:t>
            </w:r>
            <w:r/>
          </w:p>
        </w:tc>
      </w:tr>
      <w:tr>
        <w:trPr>
          <w:jc w:val="center"/>
        </w:trPr>
        <w:tc>
          <w:tcPr>
            <w:tcW w:w="728"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精细化数据与功能权限控制</w:t>
            </w:r>
            <w:r/>
          </w:p>
          <w:p>
            <w:pPr>
              <w:pStyle w:val="800"/>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Style w:val="846"/>
                <w:rFonts w:hint="eastAsia" w:ascii="宋体" w:hAnsi="宋体" w:eastAsia="宋体" w:cs="宋体"/>
                <w:b w:val="0"/>
                <w:bCs/>
                <w:i w:val="0"/>
                <w:iCs w:val="0"/>
                <w:caps w:val="0"/>
                <w:color w:val="auto"/>
                <w:spacing w:val="0"/>
                <w:sz w:val="24"/>
                <w:szCs w:val="24"/>
                <w:u w:val="none"/>
              </w:rPr>
              <w:t xml:space="preserve">制</w:t>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1.数据权限：为不同角色的医生（如本院专科医生、基层全科医生、健康管理师、科室管理者等）设置差异化的数据浏览权限。例如，基层医生只能查看其管辖患者的必要健康数据，不能跨机构查看。</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2.功能权限：支持基于角色的功能权限管理，精细控制不同医生可进行的操作（如创建任务、修改治疗方案、查看统计报表、导出科研数据等）。</w:t>
            </w:r>
            <w:r/>
          </w:p>
        </w:tc>
      </w:tr>
      <w:tr>
        <w:trPr>
          <w:jc w:val="center"/>
        </w:trPr>
        <w:tc>
          <w:tcPr>
            <w:tcW w:w="728" w:type="pct"/>
            <w:vAlign w:val="center"/>
            <w:textDirection w:val="lrTb"/>
            <w:noWrap w:val="false"/>
          </w:tcPr>
          <w:p>
            <w:pPr>
              <w:pStyle w:val="800"/>
              <w:numPr>
                <w:ilvl w:val="2"/>
                <w:numId w:val="0"/>
              </w:numPr>
              <w:jc w:val="left"/>
              <w:keepLines w:val="0"/>
              <w:keepNext w:val="0"/>
              <w:pageBreakBefore w:val="0"/>
              <w:spacing w:before="0" w:beforeAutospacing="0" w:after="0" w:afterAutospacing="0" w:line="440" w:lineRule="exact"/>
              <w:widowControl/>
              <w:rPr>
                <w:rFonts w:hint="eastAsia" w:ascii="宋体" w:hAnsi="宋体" w:eastAsia="宋体" w:cs="宋体"/>
                <w:b w:val="0"/>
                <w:i w:val="0"/>
                <w:iCs w:val="0"/>
                <w:caps w:val="0"/>
                <w:color w:val="auto"/>
                <w:spacing w:val="0"/>
                <w:sz w:val="24"/>
                <w:szCs w:val="24"/>
                <w:u w:val="none"/>
                <w:lang w:val="en-US" w:eastAsia="zh-CN" w:bidi="ar"/>
              </w:rPr>
              <w:suppressLineNumbers w:val="0"/>
            </w:pPr>
            <w:r>
              <w:rPr>
                <w:rFonts w:hint="eastAsia" w:ascii="宋体" w:hAnsi="宋体" w:eastAsia="宋体" w:cs="宋体"/>
                <w:b w:val="0"/>
                <w:i w:val="0"/>
                <w:iCs w:val="0"/>
                <w:caps w:val="0"/>
                <w:color w:val="auto"/>
                <w:spacing w:val="0"/>
                <w:sz w:val="24"/>
                <w:szCs w:val="24"/>
                <w:u w:val="none"/>
                <w:lang w:val="en-US" w:eastAsia="zh-CN" w:bidi="ar"/>
              </w:rPr>
              <w:t xml:space="preserve">运营管理与持续改进支持</w:t>
            </w:r>
            <w:r/>
          </w:p>
          <w:p>
            <w:pPr>
              <w:pStyle w:val="800"/>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77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r>
            <w:r/>
          </w:p>
        </w:tc>
        <w:tc>
          <w:tcPr>
            <w:tcW w:w="3500"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1.运营管理后台：提供强大的后台配置功能，包括业务流程配置、用户角色与权限管理、健康教育内容管理、消息模板管理、问卷库管理等。</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2.日志与审计：完整记录所有用户操作日志、数据访问日志、系统运行日志，支持安全审计与问题溯源。</w:t>
            </w:r>
            <w:r/>
          </w:p>
          <w:p>
            <w:pPr>
              <w:jc w:val="left"/>
              <w:keepLines w:val="0"/>
              <w:keepNext w:val="0"/>
              <w:pageBreakBefore w:val="0"/>
              <w:spacing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3.持续服务支持：供应商需提供详细的系统培训材料、日常运维手册、定期运营分析报告模板及可持续的系统优化服务计划。</w:t>
            </w:r>
            <w:r/>
          </w:p>
        </w:tc>
      </w:tr>
      <w:tr>
        <w:trPr>
          <w:jc w:val="center"/>
        </w:trPr>
        <w:tc>
          <w:tcPr>
            <w:tcW w:w="728"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医生移动端</w:t>
            </w:r>
            <w:r/>
          </w:p>
        </w:tc>
        <w:tc>
          <w:tcPr>
            <w:tcW w:w="770" w:type="pct"/>
            <w:vAlign w:val="center"/>
            <w:textDirection w:val="lrTb"/>
            <w:noWrap w:val="false"/>
          </w:tcPr>
          <w:p>
            <w:pP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具体功能</w:t>
            </w:r>
            <w:r/>
          </w:p>
        </w:tc>
        <w:tc>
          <w:tcPr>
            <w:tcW w:w="3500" w:type="pct"/>
            <w:vAlign w:val="center"/>
            <w:textDirection w:val="lrTb"/>
            <w:noWrap w:val="false"/>
          </w:tcPr>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支持移动医生端授权登录。</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支持展示患者咨询、患者预约等快捷入口。</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支持展示服务中患者数、累计管理患者数。</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支持展示近6个月的服务患者数趋势图、近6个月的随访覆盖率折线图。</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支持绑定患者根据出入院状态等标签进行筛选。</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支持输入患者姓名、诊断，快速检索目标患者。</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支持查看患者的姓名、年龄、诊断等基本信息。</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支持查看患者的就诊记录。</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支持查看患者的康复计划。</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支持查看发送给患者的健康宣教文章。</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支持咨询列表根据时间、病区、就诊类型、会话状态等进行筛选。</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支持根据患者咨询催促次数以及等待回复时间进行排序。</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支持在咨询回复页面展示患者的入院资料、出院资料等。</w:t>
            </w:r>
            <w:r/>
          </w:p>
          <w:p>
            <w:pP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14.支持拍摄病历、检查报告、患者伤口照片等，并即时关联至患者档案，无需先保存到相册。</w:t>
            </w:r>
            <w:r/>
          </w:p>
          <w:p>
            <w:pP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15.支持医生待办任务列表展示提醒。</w:t>
            </w:r>
            <w:r/>
          </w:p>
        </w:tc>
      </w:tr>
      <w:tr>
        <w:trPr>
          <w:jc w:val="center"/>
        </w:trPr>
        <w:tc>
          <w:tcPr>
            <w:tcW w:w="728" w:type="pct"/>
            <w:vAlign w:val="center"/>
            <w:vMerge w:val="continue"/>
            <w:textDirection w:val="lrTb"/>
            <w:noWrap w:val="false"/>
          </w:tcPr>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7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技术及集成要求</w:t>
            </w:r>
            <w:r/>
          </w:p>
        </w:tc>
        <w:tc>
          <w:tcPr>
            <w:tcW w:w="3500" w:type="pct"/>
            <w:vAlign w:val="center"/>
            <w:textDirection w:val="lrTb"/>
            <w:noWrap w:val="false"/>
          </w:tcPr>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1.与PC端实时同步：医生在移动端的任何操作均需实时同步至PC端及后台，确保多端数据一致。</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2.权限继承：移动端权限严格遵循精细化权限控制（角色、机构、数据范围）。</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3.消息推送：对接微信小程序订阅消息能力，实现任务通知、预警、协助请求、转诊提醒等的即时推送。</w:t>
            </w:r>
            <w:r/>
          </w:p>
          <w:p>
            <w:pP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4.接口开放：移动端应与医院现有随访系统、互联网医院、患者端小程序保持数据互通能力。</w:t>
            </w:r>
            <w:r/>
          </w:p>
        </w:tc>
      </w:tr>
    </w:tbl>
    <w:p>
      <w:pPr>
        <w:pStyle w:val="824"/>
        <w:numPr>
          <w:ilvl w:val="0"/>
          <w:numId w:val="0"/>
        </w:numPr>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 xml:space="preserve">2、项目技术要求</w:t>
      </w:r>
      <w:r/>
    </w:p>
    <w:tbl>
      <w:tblPr>
        <w:tblStyle w:val="8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277"/>
        <w:gridCol w:w="5979"/>
      </w:tblGrid>
      <w:tr>
        <w:trPr/>
        <w:tc>
          <w:tcPr>
            <w:tcW w:w="738" w:type="pct"/>
            <w:vAlign w:val="center"/>
            <w:textDirection w:val="lrTb"/>
            <w:noWrap w:val="false"/>
          </w:tcPr>
          <w:p>
            <w:pPr>
              <w:jc w:val="center"/>
              <w:keepLines w:val="0"/>
              <w:keepNext w:val="0"/>
              <w:spacing w:after="0"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系统名称</w:t>
            </w:r>
            <w:r/>
          </w:p>
        </w:tc>
        <w:tc>
          <w:tcPr>
            <w:tcW w:w="750" w:type="pct"/>
            <w:vAlign w:val="center"/>
            <w:textDirection w:val="lrTb"/>
            <w:noWrap w:val="false"/>
          </w:tcPr>
          <w:p>
            <w:pPr>
              <w:jc w:val="center"/>
              <w:keepLines w:val="0"/>
              <w:keepNext w:val="0"/>
              <w:spacing w:after="0"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系统功能</w:t>
            </w:r>
            <w:r/>
          </w:p>
        </w:tc>
        <w:tc>
          <w:tcPr>
            <w:tcW w:w="3510" w:type="pct"/>
            <w:vAlign w:val="center"/>
            <w:textDirection w:val="lrTb"/>
            <w:noWrap w:val="false"/>
          </w:tcPr>
          <w:p>
            <w:pPr>
              <w:jc w:val="center"/>
              <w:keepLines w:val="0"/>
              <w:keepNext w:val="0"/>
              <w:spacing w:after="0" w:line="440" w:lineRule="exact"/>
              <w:widowControl/>
              <w:rPr>
                <w:rFonts w:hint="eastAsia" w:ascii="宋体" w:hAnsi="宋体" w:eastAsia="宋体" w:cs="宋体"/>
                <w:i w:val="0"/>
                <w:iCs w:val="0"/>
                <w:caps w:val="0"/>
                <w:color w:val="auto"/>
                <w:spacing w:val="0"/>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u w:val="none"/>
                <w:lang w:val="en-US" w:eastAsia="zh-CN" w:bidi="ar"/>
              </w:rPr>
              <w:t xml:space="preserve">功能描述及要求</w:t>
            </w:r>
            <w:r/>
          </w:p>
        </w:tc>
      </w:tr>
      <w:tr>
        <w:trPr/>
        <w:tc>
          <w:tcPr>
            <w:tcW w:w="738" w:type="pct"/>
            <w:vAlign w:val="center"/>
            <w:vMerge w:val="restart"/>
            <w:textDirection w:val="lrTb"/>
            <w:noWrap w:val="false"/>
          </w:tcPr>
          <w:p>
            <w:pPr>
              <w:jc w:val="cente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系统技术要求</w:t>
            </w:r>
            <w:r/>
          </w:p>
        </w:tc>
        <w:tc>
          <w:tcPr>
            <w:tcW w:w="750" w:type="pct"/>
            <w:vAlign w:val="center"/>
            <w:textDirection w:val="lrTb"/>
            <w:noWrap w:val="false"/>
          </w:tcPr>
          <w:p>
            <w:pPr>
              <w:jc w:val="cente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系统架构</w:t>
            </w:r>
            <w:r/>
          </w:p>
        </w:tc>
        <w:tc>
          <w:tcPr>
            <w:tcW w:w="3510" w:type="pct"/>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系统需采用B/S架构一体化设计，至少分应用层、服务层、数据层三层及以上；支持容器化部署与弹性扩展，适配多院区分布式管理；支持Web端、移动端等多平台访问，且支持多科室、多院区等多种复杂环境下稳定运行，支持离线模式</w:t>
            </w:r>
            <w:r>
              <w:rPr>
                <w:rFonts w:hint="eastAsia" w:ascii="宋体" w:hAnsi="宋体" w:eastAsia="宋体" w:cs="宋体"/>
                <w:color w:val="auto"/>
                <w:sz w:val="24"/>
                <w:szCs w:val="24"/>
                <w:lang w:val="en-US" w:eastAsia="zh-CN"/>
              </w:rPr>
              <w:t xml:space="preserve">（Service Worker</w:t>
            </w:r>
            <w:r>
              <w:rPr>
                <w:rFonts w:hint="eastAsia" w:ascii="宋体" w:hAnsi="宋体" w:eastAsia="宋体" w:cs="宋体"/>
                <w:color w:val="auto"/>
                <w:sz w:val="24"/>
                <w:szCs w:val="24"/>
                <w:lang w:val="en-US" w:eastAsia="zh-CN"/>
              </w:rPr>
              <w:t xml:space="preserve">缓存（≥500MB业务数据），断网时可本地暂存数据，网络恢复后自动同步）；</w:t>
            </w:r>
            <w:r/>
          </w:p>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2.系统需为原生一体化的平台，确保数据天然共享，流程无缝衔接，避免形成信息孤岛。</w:t>
            </w:r>
            <w:r/>
          </w:p>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3.系统提供数据映射、清洗、转换（ETL）工具，具备数据质量校验规则与异常数据预警功能。</w:t>
            </w:r>
            <w:r/>
          </w:p>
        </w:tc>
      </w:tr>
      <w:tr>
        <w:trPr/>
        <w:tc>
          <w:tcPr>
            <w:tcW w:w="738" w:type="pct"/>
            <w:vAlign w:val="center"/>
            <w:vMerge w:val="continue"/>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750" w:type="pct"/>
            <w:vAlign w:val="center"/>
            <w:textDirection w:val="lrTb"/>
            <w:noWrap w:val="false"/>
          </w:tcPr>
          <w:p>
            <w:pPr>
              <w:jc w:val="cente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安全管理</w:t>
            </w:r>
            <w:r/>
          </w:p>
        </w:tc>
        <w:tc>
          <w:tcPr>
            <w:tcW w:w="3510" w:type="pct"/>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1.系统需支持与医院统一身份认证平台集成，实现单点登录。</w:t>
            </w:r>
            <w:r/>
          </w:p>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2.系统需支持多种二次认证方式，如短信验证码、邮箱验证、动态令牌、生物识别（指纹/面部识别）等，并对关键操作强制进行MFA认证。</w:t>
            </w:r>
            <w:r/>
          </w:p>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3.系统应支持强制密码策略（长度、复杂度、有效期、历史密码检查）；支持账户锁定策略（多次失败登录后自动锁定）；支持会话超时策略全局配置。</w:t>
            </w:r>
            <w:r/>
          </w:p>
        </w:tc>
      </w:tr>
      <w:tr>
        <w:trPr/>
        <w:tc>
          <w:tcPr>
            <w:tcW w:w="738" w:type="pct"/>
            <w:vAlign w:val="center"/>
            <w:vMerge w:val="continue"/>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750" w:type="pct"/>
            <w:vAlign w:val="center"/>
            <w:textDirection w:val="lrTb"/>
            <w:noWrap w:val="false"/>
          </w:tcPr>
          <w:p>
            <w:pPr>
              <w:jc w:val="cente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兼容性</w:t>
            </w:r>
            <w:r/>
          </w:p>
        </w:tc>
        <w:tc>
          <w:tcPr>
            <w:tcW w:w="3510" w:type="pct"/>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i w:val="0"/>
                <w:iCs w:val="0"/>
                <w:caps w:val="0"/>
                <w:color w:val="auto"/>
                <w:spacing w:val="0"/>
                <w:sz w:val="24"/>
                <w:szCs w:val="24"/>
                <w:u w:val="none"/>
                <w:lang w:val="en-US" w:eastAsia="zh-CN" w:bidi="ar"/>
              </w:rPr>
              <w:t xml:space="preserve">▲</w:t>
            </w:r>
            <w:r>
              <w:rPr>
                <w:rFonts w:hint="eastAsia" w:ascii="宋体" w:hAnsi="宋体" w:eastAsia="宋体" w:cs="宋体"/>
                <w:color w:val="auto"/>
                <w:sz w:val="24"/>
                <w:szCs w:val="24"/>
                <w:lang w:val="en-US" w:eastAsia="zh-CN"/>
              </w:rPr>
              <w:t xml:space="preserve">系统需进行全信息技术应用创新部署，拥有主流国产芯片、数据库、操作系统、中间件适配认证或兼容性认证经验，需提供本项目信息技术应用创新部署所需的所有软件（包括但不限于操作系统、数据库、中间件、应用软件等）的终身永久授权及其终身技术支持服务。（认证费用和授权费用包含在投标报价中，需由投标人承担，被授权单位为徐州医科大学附属医院）</w:t>
            </w:r>
            <w:r/>
          </w:p>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2.系统应支持Chrome</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IE</w:t>
            </w:r>
            <w:r>
              <w:rPr>
                <w:rFonts w:hint="eastAsia" w:ascii="宋体" w:hAnsi="宋体" w:cs="宋体"/>
                <w:color w:val="auto"/>
                <w:sz w:val="24"/>
                <w:szCs w:val="24"/>
                <w:lang w:val="en-US" w:eastAsia="zh-CN"/>
              </w:rPr>
              <w:t xml:space="preserve">等</w:t>
            </w:r>
            <w:r>
              <w:rPr>
                <w:rFonts w:hint="eastAsia" w:ascii="宋体" w:hAnsi="宋体" w:eastAsia="宋体" w:cs="宋体"/>
                <w:color w:val="auto"/>
                <w:sz w:val="24"/>
                <w:szCs w:val="24"/>
                <w:lang w:val="en-US" w:eastAsia="zh-CN"/>
              </w:rPr>
              <w:t xml:space="preserve">主流版本浏览器，兼容采购人现有设备系统版本。</w:t>
            </w:r>
            <w:r/>
          </w:p>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系统应全面兼容医院内现有设备的操作系统及国产正版操作系统，支持信息技术应用创新。移动端应支持现行常规鸿蒙、安卓、IOS系统，支持兼容采购人现有设备系统版本。支持热更新、增量更新，数据库变更飞线升级等。移动端程序启动时间≤800ms。</w:t>
            </w:r>
            <w:r/>
          </w:p>
        </w:tc>
      </w:tr>
      <w:tr>
        <w:trPr/>
        <w:tc>
          <w:tcPr>
            <w:tcW w:w="738" w:type="pct"/>
            <w:vAlign w:val="center"/>
            <w:vMerge w:val="continue"/>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750" w:type="pct"/>
            <w:vAlign w:val="center"/>
            <w:textDirection w:val="lrTb"/>
            <w:noWrap w:val="false"/>
          </w:tcPr>
          <w:p>
            <w:pPr>
              <w:jc w:val="cente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系统并发</w:t>
            </w:r>
            <w:r/>
          </w:p>
        </w:tc>
        <w:tc>
          <w:tcPr>
            <w:tcW w:w="3510" w:type="pct"/>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1.系统应支持并发用户数≥1500，移动端并发用户数≥1000，不出现卡顿、故障等问题。</w:t>
            </w:r>
            <w:r/>
          </w:p>
        </w:tc>
      </w:tr>
      <w:tr>
        <w:trPr/>
        <w:tc>
          <w:tcPr>
            <w:tcW w:w="738" w:type="pct"/>
            <w:vAlign w:val="center"/>
            <w:vMerge w:val="continue"/>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750" w:type="pct"/>
            <w:vAlign w:val="center"/>
            <w:textDirection w:val="lrTb"/>
            <w:noWrap w:val="false"/>
          </w:tcPr>
          <w:p>
            <w:pPr>
              <w:jc w:val="cente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系统对接</w:t>
            </w:r>
            <w:r/>
          </w:p>
        </w:tc>
        <w:tc>
          <w:tcPr>
            <w:tcW w:w="3510" w:type="pct"/>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1.系统应支持接入医院数据集成平台，支持与LIS、HIS、EMR、PACS等系统对接，实现患者信息、临床资料、影像数据等自动关联，数据互联互通。如需第三方配合改造，费用由中标人承担。</w:t>
            </w:r>
            <w:r/>
          </w:p>
        </w:tc>
      </w:tr>
      <w:tr>
        <w:trPr>
          <w:trHeight w:val="7039"/>
        </w:trPr>
        <w:tc>
          <w:tcPr>
            <w:tcW w:w="738" w:type="pct"/>
            <w:vAlign w:val="center"/>
            <w:vMerge w:val="continue"/>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750" w:type="pct"/>
            <w:vAlign w:val="center"/>
            <w:textDirection w:val="lrTb"/>
            <w:noWrap w:val="false"/>
          </w:tcPr>
          <w:p>
            <w:pPr>
              <w:jc w:val="cente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系统部署</w:t>
            </w:r>
            <w:r/>
          </w:p>
        </w:tc>
        <w:tc>
          <w:tcPr>
            <w:tcW w:w="3510" w:type="pct"/>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1.系统应支持院内本地化部署或混合云部署，所有数据存储于医院内部服务器，做到数据不出院。采用高性能、高可靠的关系型数据库，确保在大并发访问和海量数据存储下的稳定运行与快速查询；</w:t>
            </w:r>
            <w:r/>
          </w:p>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2.系统需符合《个人信息保护法》等相关</w:t>
            </w:r>
            <w:r>
              <w:rPr>
                <w:rFonts w:hint="eastAsia" w:ascii="宋体" w:hAnsi="宋体" w:eastAsia="宋体" w:cs="宋体"/>
                <w:color w:val="auto"/>
                <w:sz w:val="24"/>
                <w:szCs w:val="24"/>
                <w:lang w:val="en-US" w:eastAsia="zh-CN"/>
              </w:rPr>
              <w:t xml:space="preserve">法律法规的要求，对静态文件及交互数据实行加密。支持患者敏感信息自动脱敏，满足科研教学场景需求。在网络传输过程中，关键数据也需进行加密，严防内部非授权访问和数据泄露。所有操作行为需有不可篡改的完整审计日志，满足医疗数据合规性要求系统支持文档数据安全管控，内外网文档交换过程的系统日志提供区块链上链存证服务，完整记录所有用户操作日志（操作时间、IP、操作内容、操作结果），日志保存≥5年，确保文档数据可溯源、防篡改，同时支持基于USB-Key和数字证书的数据加密，针对勒索病毒具备专项防范机制，全面保障知识资源安全。</w:t>
            </w:r>
            <w:r/>
          </w:p>
        </w:tc>
      </w:tr>
      <w:tr>
        <w:trPr/>
        <w:tc>
          <w:tcPr>
            <w:tcW w:w="738" w:type="pct"/>
            <w:vAlign w:val="center"/>
            <w:vMerge w:val="continue"/>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750" w:type="pct"/>
            <w:vAlign w:val="center"/>
            <w:textDirection w:val="lrTb"/>
            <w:noWrap w:val="false"/>
          </w:tcPr>
          <w:p>
            <w:pPr>
              <w:jc w:val="cente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权限管理</w:t>
            </w:r>
            <w:r/>
          </w:p>
        </w:tc>
        <w:tc>
          <w:tcPr>
            <w:tcW w:w="3510" w:type="pct"/>
            <w:textDirection w:val="lrTb"/>
            <w:noWrap w:val="false"/>
          </w:tcPr>
          <w:p>
            <w:pPr>
              <w:spacing w:after="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i w:val="0"/>
                <w:iCs w:val="0"/>
                <w:caps w:val="0"/>
                <w:color w:val="auto"/>
                <w:spacing w:val="0"/>
                <w:sz w:val="24"/>
                <w:szCs w:val="24"/>
                <w:u w:val="none"/>
                <w:lang w:val="en-US" w:eastAsia="zh-CN" w:bidi="ar"/>
              </w:rPr>
              <w:t xml:space="preserve">▲</w:t>
            </w:r>
            <w:r>
              <w:rPr>
                <w:rFonts w:hint="eastAsia" w:ascii="宋体" w:hAnsi="宋体" w:eastAsia="宋体" w:cs="宋体"/>
                <w:color w:val="auto"/>
                <w:sz w:val="24"/>
                <w:szCs w:val="24"/>
                <w:lang w:val="en-US" w:eastAsia="zh-CN"/>
              </w:rPr>
              <w:t xml:space="preserve">系统应实现用户角度的精细化权限管理。基于角色的访问控制，支持菜单级、数据级、操作级权限设置。严格区分医生、管理人员、科研人员等不同角色权限，每个角色对不同的模块、表单、字段甚至站点数据拥有不同的读、写、编辑、删除权限。支持自动同步人员入职、离职、转岗信息，并据此自动触发或关闭角色任务，支持电子签名配置，确保关键操作的合规性，确保数据防止越权访问，有效保护患者隐私。</w:t>
            </w:r>
            <w:r/>
          </w:p>
        </w:tc>
      </w:tr>
    </w:tbl>
    <w:p>
      <w:pPr>
        <w:ind w:left="0"/>
        <w:keepLines w:val="0"/>
        <w:keepNext w:val="0"/>
        <w:pageBreakBefore w:val="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、项目实施要求</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lang w:val="zh-CN"/>
        </w:rPr>
      </w:pPr>
      <w:r/>
      <w:bookmarkStart w:id="9" w:name="_Toc323201209"/>
      <w:r/>
      <w:bookmarkStart w:id="10" w:name="_Toc512200702"/>
      <w:r/>
      <w:bookmarkStart w:id="11" w:name="_Toc227122394"/>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rPr>
        <w:t xml:space="preserve">成立项目小组,</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有权指定选择项目</w:t>
      </w:r>
      <w:r>
        <w:rPr>
          <w:rFonts w:hint="eastAsia" w:ascii="宋体" w:hAnsi="宋体" w:eastAsia="宋体" w:cs="宋体"/>
          <w:color w:val="auto"/>
          <w:sz w:val="24"/>
          <w:szCs w:val="24"/>
        </w:rPr>
        <w:t xml:space="preserve">负责人</w:t>
      </w:r>
      <w:r>
        <w:rPr>
          <w:rFonts w:hint="eastAsia" w:ascii="宋体" w:hAnsi="宋体" w:eastAsia="宋体" w:cs="宋体"/>
          <w:color w:val="auto"/>
          <w:sz w:val="24"/>
          <w:szCs w:val="24"/>
        </w:rPr>
        <w:t xml:space="preserve">人选</w:t>
      </w:r>
      <w:r>
        <w:rPr>
          <w:rFonts w:hint="eastAsia" w:ascii="宋体" w:hAnsi="宋体" w:eastAsia="宋体" w:cs="宋体"/>
          <w:color w:val="auto"/>
          <w:sz w:val="24"/>
          <w:szCs w:val="24"/>
        </w:rPr>
        <w:t xml:space="preserve">，派驻现场进行项目实施及服务。项目组成员中，必须有负责三甲医院独立现场实施经验，且在公司任职三年以上的资深技术开发人员1名，资深项目经理1名，实施期间负责</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客户化修改工作，并提供简历。</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2、项目实施期间（包含免费质保期间）可能由于用户的需要及政策的变化而对系统进行相应的客户化修改，中标人必须无条件满足。</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3、中标人</w:t>
      </w:r>
      <w:r>
        <w:rPr>
          <w:rFonts w:hint="eastAsia" w:ascii="宋体" w:hAnsi="宋体" w:eastAsia="宋体" w:cs="宋体"/>
          <w:color w:val="auto"/>
          <w:sz w:val="24"/>
          <w:szCs w:val="24"/>
        </w:rPr>
        <w:t xml:space="preserve">须按照</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的</w:t>
      </w:r>
      <w:r>
        <w:rPr>
          <w:rFonts w:hint="eastAsia" w:ascii="宋体" w:hAnsi="宋体" w:eastAsia="宋体" w:cs="宋体"/>
          <w:strike w:val="0"/>
          <w:color w:val="auto"/>
          <w:sz w:val="24"/>
          <w:szCs w:val="24"/>
          <w:lang w:val="en-US" w:eastAsia="zh-CN"/>
        </w:rPr>
        <w:t xml:space="preserve">工作</w:t>
      </w:r>
      <w:r>
        <w:rPr>
          <w:rFonts w:hint="eastAsia" w:ascii="宋体" w:hAnsi="宋体" w:eastAsia="宋体" w:cs="宋体"/>
          <w:strike w:val="0"/>
          <w:color w:val="auto"/>
          <w:sz w:val="24"/>
          <w:szCs w:val="24"/>
        </w:rPr>
        <w:t xml:space="preserve">作息</w:t>
      </w:r>
      <w:r>
        <w:rPr>
          <w:rFonts w:hint="eastAsia" w:ascii="宋体" w:hAnsi="宋体" w:eastAsia="宋体" w:cs="宋体"/>
          <w:color w:val="auto"/>
          <w:sz w:val="24"/>
          <w:szCs w:val="24"/>
        </w:rPr>
        <w:t xml:space="preserve">制度执行。</w:t>
      </w:r>
      <w:r/>
    </w:p>
    <w:p>
      <w:pPr>
        <w:pStyle w:val="861"/>
        <w:numPr>
          <w:ilvl w:val="0"/>
          <w:numId w:val="0"/>
        </w:numPr>
        <w:contextualSpacing/>
        <w:jc w:val="left"/>
        <w:spacing w:line="360" w:lineRule="auto"/>
        <w:widowControl/>
        <w:rPr>
          <w:rFonts w:hint="eastAsia" w:ascii="宋体" w:hAnsi="宋体" w:cs="宋体"/>
          <w:color w:val="auto"/>
          <w:sz w:val="24"/>
        </w:rPr>
      </w:pPr>
      <w:r>
        <w:rPr>
          <w:rFonts w:hint="eastAsia" w:ascii="宋体" w:hAnsi="宋体" w:cs="宋体"/>
          <w:color w:val="auto"/>
          <w:sz w:val="24"/>
          <w:lang w:val="en-US"/>
        </w:rPr>
        <w:t xml:space="preserve">4</w:t>
      </w:r>
      <w:r>
        <w:rPr>
          <w:rFonts w:hint="eastAsia" w:ascii="宋体" w:hAnsi="宋体" w:cs="宋体"/>
          <w:color w:val="auto"/>
          <w:sz w:val="24"/>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861"/>
        <w:numPr>
          <w:ilvl w:val="0"/>
          <w:numId w:val="0"/>
        </w:numPr>
        <w:contextualSpacing/>
        <w:jc w:val="left"/>
        <w:spacing w:line="360" w:lineRule="auto"/>
        <w:widowControl/>
        <w:rPr>
          <w:rFonts w:hint="eastAsia" w:ascii="宋体" w:hAnsi="宋体" w:cs="宋体"/>
          <w:color w:val="auto"/>
          <w:sz w:val="24"/>
        </w:rPr>
      </w:pPr>
      <w:r>
        <w:rPr>
          <w:rFonts w:hint="eastAsia" w:ascii="宋体" w:hAnsi="宋体" w:cs="宋体"/>
          <w:color w:val="auto"/>
          <w:sz w:val="24"/>
          <w:lang w:val="en-US"/>
        </w:rPr>
        <w:t xml:space="preserve">5</w:t>
      </w:r>
      <w:r>
        <w:rPr>
          <w:rFonts w:hint="eastAsia" w:ascii="宋体" w:hAnsi="宋体" w:cs="宋体"/>
          <w:color w:val="auto"/>
          <w:sz w:val="24"/>
        </w:rPr>
        <w:t xml:space="preserve">、为保证本项目的顺利实施，投标人应基于其投标产品的技术特点与功能，自行进行深化设计，编制详尽、可行、专属的《项目实施方案》。投标人必须在实施方案中明确列出为满足项目所有功能及性能要求所必须使用的一切硬件设备，并对其兼容性、可靠性及性能负责。投标人应足质足量提供上述全部硬件设备，确保其型号、规格、数量及性能完全满足项目长期、稳定、高效运行的需求，并保证所有设备均为原装正品、全新未使用。实施人员须按照采购人的作息制度执行。</w:t>
      </w:r>
      <w:r/>
    </w:p>
    <w:p>
      <w:pPr>
        <w:pStyle w:val="861"/>
        <w:numPr>
          <w:ilvl w:val="0"/>
          <w:numId w:val="0"/>
        </w:numPr>
        <w:contextualSpacing/>
        <w:jc w:val="left"/>
        <w:spacing w:line="360" w:lineRule="auto"/>
        <w:widowControl/>
        <w:rPr>
          <w:rFonts w:hint="eastAsia" w:ascii="宋体" w:hAnsi="宋体" w:cs="宋体"/>
          <w:b w:val="0"/>
          <w:bCs w:val="0"/>
          <w:color w:val="auto"/>
          <w:sz w:val="24"/>
        </w:rPr>
      </w:pPr>
      <w:r>
        <w:rPr>
          <w:rFonts w:hint="eastAsia" w:ascii="宋体" w:hAnsi="宋体" w:cs="宋体"/>
          <w:color w:val="auto"/>
          <w:sz w:val="24"/>
          <w:lang w:val="en-US"/>
        </w:rPr>
        <w:t xml:space="preserve">6</w:t>
      </w:r>
      <w:r>
        <w:rPr>
          <w:rFonts w:hint="eastAsia" w:ascii="宋体" w:hAnsi="宋体" w:cs="宋体"/>
          <w:color w:val="auto"/>
          <w:sz w:val="24"/>
        </w:rPr>
        <w:t xml:space="preserve">、</w:t>
      </w:r>
      <w:r>
        <w:rPr>
          <w:rFonts w:hint="eastAsia" w:ascii="宋体" w:hAnsi="宋体" w:cs="宋体"/>
          <w:b w:val="0"/>
          <w:bCs w:val="0"/>
          <w:color w:val="auto"/>
          <w:sz w:val="24"/>
        </w:rPr>
        <w:t xml:space="preserve">项目实施期限：投标人须在接到采购人要求进场实施之日起7日</w:t>
      </w:r>
      <w:r>
        <w:rPr>
          <w:rFonts w:hint="eastAsia" w:ascii="宋体" w:hAnsi="宋体" w:cs="宋体"/>
          <w:b w:val="0"/>
          <w:bCs w:val="0"/>
          <w:color w:val="auto"/>
          <w:sz w:val="24"/>
          <w:lang w:val="en-US"/>
        </w:rPr>
        <w:t xml:space="preserve">历天</w:t>
      </w:r>
      <w:r>
        <w:rPr>
          <w:rFonts w:hint="eastAsia" w:ascii="宋体" w:hAnsi="宋体" w:cs="宋体"/>
          <w:b w:val="0"/>
          <w:bCs w:val="0"/>
          <w:color w:val="auto"/>
          <w:sz w:val="24"/>
        </w:rPr>
        <w:t xml:space="preserve">内完成项目组人员调配工作并进场实施，自合同签订起，30日</w:t>
      </w:r>
      <w:r>
        <w:rPr>
          <w:rFonts w:hint="eastAsia" w:ascii="宋体" w:hAnsi="宋体" w:cs="宋体"/>
          <w:b w:val="0"/>
          <w:bCs w:val="0"/>
          <w:color w:val="auto"/>
          <w:sz w:val="24"/>
          <w:lang w:val="en-US"/>
        </w:rPr>
        <w:t xml:space="preserve">历天</w:t>
      </w:r>
      <w:r>
        <w:rPr>
          <w:rFonts w:hint="eastAsia" w:ascii="宋体" w:hAnsi="宋体" w:cs="宋体"/>
          <w:b w:val="0"/>
          <w:bCs w:val="0"/>
          <w:color w:val="auto"/>
          <w:sz w:val="24"/>
        </w:rPr>
        <w:t xml:space="preserve">内完成所需硬件配备安装，90</w:t>
      </w:r>
      <w:r>
        <w:rPr>
          <w:rFonts w:hint="eastAsia" w:ascii="宋体" w:hAnsi="宋体" w:cs="宋体"/>
          <w:b w:val="0"/>
          <w:bCs w:val="0"/>
          <w:strike w:val="0"/>
          <w:color w:val="auto"/>
          <w:sz w:val="24"/>
          <w:lang w:val="en-US"/>
        </w:rPr>
        <w:t xml:space="preserve">个</w:t>
      </w:r>
      <w:r>
        <w:rPr>
          <w:rFonts w:hint="eastAsia" w:ascii="宋体" w:hAnsi="宋体" w:cs="宋体"/>
          <w:b w:val="0"/>
          <w:bCs w:val="0"/>
          <w:color w:val="auto"/>
          <w:sz w:val="24"/>
          <w:lang w:val="en-US"/>
        </w:rPr>
        <w:t xml:space="preserve">工作日</w:t>
      </w:r>
      <w:r>
        <w:rPr>
          <w:rFonts w:hint="eastAsia" w:ascii="宋体" w:hAnsi="宋体" w:cs="宋体"/>
          <w:b w:val="0"/>
          <w:bCs w:val="0"/>
          <w:color w:val="auto"/>
          <w:sz w:val="24"/>
        </w:rPr>
        <w:t xml:space="preserve">内完成整体项目功能交付上线工作。</w:t>
      </w:r>
      <w:r/>
    </w:p>
    <w:p>
      <w:pPr>
        <w:pStyle w:val="861"/>
        <w:numPr>
          <w:ilvl w:val="0"/>
          <w:numId w:val="0"/>
        </w:numPr>
        <w:contextualSpacing/>
        <w:jc w:val="left"/>
        <w:spacing w:line="360" w:lineRule="auto"/>
        <w:widowControl/>
        <w:rPr>
          <w:rFonts w:hint="eastAsia" w:ascii="宋体" w:hAnsi="宋体" w:cs="宋体"/>
          <w:color w:val="auto"/>
          <w:sz w:val="24"/>
        </w:rPr>
      </w:pPr>
      <w:r>
        <w:rPr>
          <w:rFonts w:hint="eastAsia" w:ascii="宋体" w:hAnsi="宋体" w:cs="宋体"/>
          <w:color w:val="auto"/>
          <w:sz w:val="24"/>
          <w:lang w:val="en-US"/>
        </w:rPr>
        <w:t xml:space="preserve">7</w:t>
      </w:r>
      <w:r>
        <w:rPr>
          <w:rFonts w:hint="eastAsia" w:ascii="宋体" w:hAnsi="宋体" w:cs="宋体"/>
          <w:color w:val="auto"/>
          <w:sz w:val="24"/>
        </w:rPr>
        <w:t xml:space="preserve">、项目实施过程中投标人需提供完整的测试环境，所有改动必须先在测试环境进行测试，测试通过后方可进行升级行上述操作时需尽可能不影响正式业务系统的正常运行，如必须进行虚拟机的关机重启迁移等操作，要提前与相关负责人沟通，评估操作影响，择机进行；操作前必须确保数据安全，执行风险操作前必须进行数据备份，如出现数据损坏丢失等情况，采购人有权要求赔偿损失；项目实施和运行期间，投标人工程师全程驻场，及时解决问题，并对采购人的工作人员及运维人员进行专业的使用操作培训直至所有参与培训人员可独立完成操作为止。</w:t>
      </w:r>
      <w:r/>
    </w:p>
    <w:p>
      <w:pPr>
        <w:pStyle w:val="861"/>
        <w:numPr>
          <w:ilvl w:val="0"/>
          <w:numId w:val="0"/>
        </w:numPr>
        <w:contextualSpacing/>
        <w:jc w:val="left"/>
        <w:spacing w:line="360" w:lineRule="auto"/>
        <w:widowControl/>
        <w:rPr>
          <w:rFonts w:hint="eastAsia" w:ascii="宋体" w:hAnsi="宋体" w:cs="宋体"/>
          <w:color w:val="auto"/>
          <w:sz w:val="24"/>
        </w:rPr>
      </w:pPr>
      <w:r>
        <w:rPr>
          <w:rFonts w:hint="eastAsia" w:ascii="宋体" w:hAnsi="宋体" w:cs="宋体"/>
          <w:color w:val="auto"/>
          <w:sz w:val="24"/>
          <w:lang w:val="en-US"/>
        </w:rPr>
        <w:t xml:space="preserve">8</w:t>
      </w:r>
      <w:r>
        <w:rPr>
          <w:rFonts w:hint="eastAsia" w:ascii="宋体" w:hAnsi="宋体" w:cs="宋体"/>
          <w:color w:val="auto"/>
          <w:sz w:val="24"/>
        </w:rPr>
        <w:t xml:space="preserve">、投标人应列出详细项目安装调试方案，包括人员姓名、工作经验和在本项目中的职责分工以及项目管理方法、项目实施管理策略、项目进度控制、项目应急措施等。投标人在中标后，应允许采购人的工作人员及运维人员自实施工作开始即参与本项目的详细设计、测试、安装调试等工作并在实施方案中提出协同工作计划。</w:t>
      </w:r>
      <w:r/>
    </w:p>
    <w:p>
      <w:pPr>
        <w:pStyle w:val="861"/>
        <w:numPr>
          <w:ilvl w:val="0"/>
          <w:numId w:val="0"/>
        </w:numPr>
        <w:contextualSpacing/>
        <w:jc w:val="left"/>
        <w:spacing w:line="360" w:lineRule="auto"/>
        <w:widowControl/>
        <w:rPr>
          <w:rFonts w:hint="eastAsia" w:ascii="宋体" w:hAnsi="宋体" w:cs="宋体"/>
          <w:color w:val="auto"/>
          <w:sz w:val="24"/>
        </w:rPr>
      </w:pPr>
      <w:r>
        <w:rPr>
          <w:rFonts w:hint="eastAsia" w:ascii="宋体" w:hAnsi="宋体" w:cs="宋体"/>
          <w:color w:val="auto"/>
          <w:sz w:val="24"/>
          <w:lang w:val="en-US"/>
        </w:rPr>
        <w:t xml:space="preserve">9</w:t>
      </w:r>
      <w:r>
        <w:rPr>
          <w:rFonts w:hint="eastAsia" w:ascii="宋体" w:hAnsi="宋体" w:cs="宋体"/>
          <w:color w:val="auto"/>
          <w:sz w:val="24"/>
        </w:rPr>
        <w:t xml:space="preserve">、所有软件授权费用、接口费用（包括涉及到的前端接口，如需第三方改动额外产生的费用）、硬件设备费用及相关税费均已包含在成交总价中，由投标人承担，采购人不再支付任何额外费用。</w:t>
      </w:r>
      <w:r/>
    </w:p>
    <w:p>
      <w:pPr>
        <w:pStyle w:val="861"/>
        <w:numPr>
          <w:ilvl w:val="0"/>
          <w:numId w:val="0"/>
        </w:numPr>
        <w:contextualSpacing/>
        <w:jc w:val="left"/>
        <w:spacing w:line="360" w:lineRule="auto"/>
        <w:widowControl/>
        <w:rPr>
          <w:rFonts w:hint="eastAsia" w:ascii="宋体" w:hAnsi="宋体" w:cs="宋体"/>
          <w:color w:val="auto"/>
          <w:sz w:val="24"/>
        </w:rPr>
      </w:pPr>
      <w:r>
        <w:rPr>
          <w:rFonts w:hint="eastAsia" w:ascii="宋体" w:hAnsi="宋体" w:cs="宋体"/>
          <w:color w:val="auto"/>
          <w:sz w:val="24"/>
        </w:rPr>
        <w:t xml:space="preserve">10、</w:t>
      </w:r>
      <w:r>
        <w:rPr>
          <w:rFonts w:hint="eastAsia" w:ascii="宋体" w:hAnsi="宋体" w:cs="宋体"/>
          <w:color w:val="auto"/>
          <w:sz w:val="24"/>
          <w:lang w:val="en-US"/>
        </w:rPr>
        <w:t xml:space="preserve">投标</w:t>
      </w:r>
      <w:r>
        <w:rPr>
          <w:rFonts w:hint="eastAsia" w:ascii="宋体" w:hAnsi="宋体" w:cs="宋体"/>
          <w:color w:val="auto"/>
          <w:sz w:val="24"/>
        </w:rPr>
        <w:t xml:space="preserve">文件中需提供针对维保期满后的售后服务方式与价格说明函（以所占合同金额比例的方式报价）。</w:t>
      </w:r>
      <w:r/>
    </w:p>
    <w:p>
      <w:pPr>
        <w:pStyle w:val="861"/>
        <w:numPr>
          <w:ilvl w:val="0"/>
          <w:numId w:val="0"/>
        </w:numPr>
        <w:contextualSpacing/>
        <w:jc w:val="left"/>
        <w:spacing w:line="360" w:lineRule="auto"/>
        <w:widowControl/>
        <w:rPr>
          <w:rFonts w:hint="eastAsia" w:ascii="宋体" w:hAnsi="宋体" w:cs="宋体"/>
          <w:color w:val="auto"/>
          <w:sz w:val="24"/>
        </w:rPr>
      </w:pPr>
      <w:r>
        <w:rPr>
          <w:rFonts w:hint="eastAsia" w:ascii="宋体" w:hAnsi="宋体" w:cs="宋体"/>
          <w:color w:val="auto"/>
          <w:sz w:val="24"/>
        </w:rPr>
        <w:t xml:space="preserve">11、系统建设期间所有对外接口按照采购人的要求提供免费对接。 </w:t>
      </w:r>
      <w:r/>
    </w:p>
    <w:p>
      <w:pPr>
        <w:pStyle w:val="861"/>
        <w:numPr>
          <w:ilvl w:val="0"/>
          <w:numId w:val="0"/>
        </w:numPr>
        <w:contextualSpacing/>
        <w:jc w:val="left"/>
        <w:spacing w:line="360" w:lineRule="auto"/>
        <w:widowControl/>
        <w:rPr>
          <w:rFonts w:hint="eastAsia" w:ascii="宋体" w:hAnsi="宋体" w:cs="宋体"/>
          <w:color w:val="auto"/>
          <w:sz w:val="24"/>
        </w:rPr>
      </w:pPr>
      <w:r>
        <w:rPr>
          <w:rFonts w:hint="eastAsia" w:ascii="宋体" w:hAnsi="宋体" w:cs="宋体"/>
          <w:color w:val="auto"/>
          <w:sz w:val="24"/>
        </w:rPr>
        <w:t xml:space="preserve">12、系统建设期间的所有售后服务，包括软件维护、软件升级等所产生的费用均由投标人承担。</w:t>
      </w:r>
      <w:r/>
    </w:p>
    <w:p>
      <w:pPr>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13、投标人必须对采购人所提出的维护需求作出实质性响应，提供各种突发情况的应急策略及备选方案（包括具体响应时间等），服务完成后，必须得到采购人对服务情况的检查和文字确认。</w:t>
      </w:r>
      <w:r/>
    </w:p>
    <w:p>
      <w:pPr>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14、投标人必须为所有被培训人员进行现场培训，提供文字资料等相关用品。所有的资料必须是中文书写，相关费用包含在响应报价中，培训工作应在项目验收之前完成。</w:t>
      </w:r>
      <w:r/>
    </w:p>
    <w:p>
      <w:pPr>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15、投标人应承诺在项目验收时移交所有的技术文档（包含但不限于数据结构与流程、数据字典、操作说明书、系统维护手册等），承诺采购人拥有整个系统的永久所有权（使用权和修改权）。</w:t>
      </w:r>
      <w:r/>
    </w:p>
    <w:p>
      <w:pPr>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16、投标人需协助采购人进行本项目相关的科研工作，为科研人员完成高质量学术期刊的论文发表提供支持；协助采购人完成有关该项目技术创新相关的发明专利的申报工作；协助采购人进行有关该项目的示范工程、创新奖项的申报工作。</w:t>
      </w:r>
      <w:r/>
    </w:p>
    <w:p>
      <w:pPr>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17、建立用户专项档案，实行质量跟踪服务。终身免费进行软件维护与升级。提供系统终身扩展、升级方面的技术支持服务。</w:t>
      </w:r>
      <w:r/>
    </w:p>
    <w:p>
      <w:pPr>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18、良好的售后技术支持，投标人需提供临床系统运行时的相关工程师的现场指导。</w:t>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六、</w:t>
      </w:r>
      <w:r>
        <w:rPr>
          <w:rFonts w:hint="eastAsia" w:ascii="宋体" w:hAnsi="宋体" w:eastAsia="宋体" w:cs="宋体"/>
          <w:b/>
          <w:bCs/>
          <w:color w:val="auto"/>
          <w:sz w:val="24"/>
          <w:szCs w:val="24"/>
        </w:rPr>
        <w:t xml:space="preserve">培训要求</w:t>
      </w:r>
      <w:bookmarkEnd w:id="9"/>
      <w:r/>
      <w:bookmarkEnd w:id="10"/>
      <w:r/>
      <w:bookmarkEnd w:id="11"/>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投标人必须向</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提供免费培训，应针对系统使用人员、系统运行维护管理人员等不同对象制定有针对性的培训计划；提供主要面向医院信息管理技术人员的系统日常维护培训，使其具备独立进行系统日常维护、故障的诊断与处理等方面的能力。</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投标人派出的培训教员应具备丰富的相同课程教学经验。</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投标人应按</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约定合理地安排培训时间。</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投标人须为</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培养资深系统管理人员不少于2名。</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投标人须在采购人指定的地点提供操作及维护培训，投标人须在投标文件中提供详细的培训计划，内容包括但不限于培训内容、培训方式、讲师资质、培训教材、培训时间；培训地点场所由采购人提供。</w:t>
      </w:r>
      <w:r/>
    </w:p>
    <w:p>
      <w:pPr>
        <w:ind w:left="0"/>
        <w:keepLines w:val="0"/>
        <w:keepNext w:val="0"/>
        <w:pageBreakBefore w:val="0"/>
        <w:spacing w:line="360" w:lineRule="auto"/>
        <w:rPr>
          <w:rFonts w:hint="eastAsia" w:ascii="宋体" w:hAnsi="宋体" w:eastAsia="宋体" w:cs="宋体"/>
          <w:b/>
          <w:bCs/>
          <w:color w:val="auto"/>
          <w:sz w:val="24"/>
          <w:szCs w:val="24"/>
        </w:rPr>
      </w:pPr>
      <w:r/>
      <w:bookmarkStart w:id="12" w:name="_Toc227122396"/>
      <w:r/>
      <w:bookmarkStart w:id="13" w:name="_Toc512200704"/>
      <w:r/>
      <w:bookmarkStart w:id="14" w:name="_Toc323201211"/>
      <w:r>
        <w:rPr>
          <w:rFonts w:hint="eastAsia" w:ascii="宋体" w:hAnsi="宋体" w:eastAsia="宋体" w:cs="宋体"/>
          <w:b/>
          <w:bCs/>
          <w:color w:val="auto"/>
          <w:sz w:val="24"/>
          <w:szCs w:val="24"/>
          <w:lang w:val="en-US" w:eastAsia="zh-CN"/>
        </w:rPr>
        <w:t xml:space="preserve">七</w:t>
      </w:r>
      <w:r>
        <w:rPr>
          <w:rFonts w:hint="eastAsia" w:ascii="宋体" w:hAnsi="宋体" w:eastAsia="宋体" w:cs="宋体"/>
          <w:b/>
          <w:bCs/>
          <w:color w:val="auto"/>
          <w:sz w:val="24"/>
          <w:szCs w:val="24"/>
        </w:rPr>
        <w:t xml:space="preserve">、售后服务</w:t>
      </w:r>
      <w:r>
        <w:rPr>
          <w:rFonts w:hint="eastAsia" w:ascii="宋体" w:hAnsi="宋体" w:eastAsia="宋体" w:cs="宋体"/>
          <w:b/>
          <w:bCs/>
          <w:color w:val="auto"/>
          <w:sz w:val="24"/>
          <w:szCs w:val="24"/>
          <w:lang w:val="en-US" w:eastAsia="zh-CN"/>
        </w:rPr>
        <w:t xml:space="preserve">及</w:t>
      </w:r>
      <w:r>
        <w:rPr>
          <w:rFonts w:hint="eastAsia" w:ascii="宋体" w:hAnsi="宋体" w:eastAsia="宋体" w:cs="宋体"/>
          <w:b/>
          <w:bCs/>
          <w:color w:val="auto"/>
          <w:sz w:val="24"/>
          <w:szCs w:val="24"/>
        </w:rPr>
        <w:t xml:space="preserve">要求</w:t>
      </w:r>
      <w:bookmarkEnd w:id="12"/>
      <w:r/>
      <w:bookmarkEnd w:id="13"/>
      <w:r/>
      <w:bookmarkEnd w:id="14"/>
      <w:r/>
      <w:r/>
    </w:p>
    <w:p>
      <w:pPr>
        <w:pStyle w:val="861"/>
        <w:numPr>
          <w:ilvl w:val="0"/>
          <w:numId w:val="0"/>
        </w:numPr>
        <w:contextualSpacing/>
        <w:ind w:left="0"/>
        <w:jc w:val="left"/>
        <w:keepLines w:val="0"/>
        <w:keepNext w:val="0"/>
        <w:pageBreakBefore w:val="0"/>
        <w:spacing w:line="360" w:lineRule="auto"/>
        <w:widowControl/>
        <w:rPr>
          <w:rStyle w:val="1093"/>
          <w:rFonts w:hint="eastAsia" w:ascii="宋体" w:hAnsi="宋体" w:cs="宋体"/>
          <w:color w:val="auto"/>
          <w:sz w:val="24"/>
          <w:highlight w:val="none"/>
        </w:rPr>
      </w:pPr>
      <w:r>
        <w:rPr>
          <w:rFonts w:hint="eastAsia" w:ascii="宋体" w:hAnsi="宋体" w:eastAsia="宋体" w:cs="宋体"/>
          <w:color w:val="auto"/>
          <w:sz w:val="24"/>
          <w:szCs w:val="24"/>
          <w:lang w:val="en-US" w:eastAsia="zh-CN"/>
        </w:rPr>
        <w:t xml:space="preserve">1、</w:t>
      </w:r>
      <w:r>
        <w:rPr>
          <w:rStyle w:val="1093"/>
          <w:rFonts w:hint="eastAsia" w:ascii="宋体" w:hAnsi="宋体" w:cs="宋体"/>
          <w:color w:val="auto"/>
          <w:sz w:val="24"/>
          <w:highlight w:val="none"/>
        </w:rPr>
        <w:t xml:space="preserve">投标人</w:t>
      </w:r>
      <w:r>
        <w:rPr>
          <w:rStyle w:val="1093"/>
          <w:rFonts w:hint="eastAsia" w:ascii="宋体" w:hAnsi="宋体" w:cs="宋体"/>
          <w:b/>
          <w:bCs/>
          <w:color w:val="auto"/>
          <w:sz w:val="24"/>
          <w:highlight w:val="none"/>
        </w:rPr>
        <w:t xml:space="preserve">全套设备及软件至少提供原厂家不少于</w:t>
      </w:r>
      <w:r>
        <w:rPr>
          <w:rStyle w:val="1093"/>
          <w:rFonts w:hint="eastAsia" w:ascii="宋体" w:hAnsi="宋体" w:cs="宋体"/>
          <w:b/>
          <w:bCs/>
          <w:color w:val="auto"/>
          <w:sz w:val="24"/>
          <w:highlight w:val="none"/>
          <w:lang w:val="en-US"/>
        </w:rPr>
        <w:t xml:space="preserve">3</w:t>
      </w:r>
      <w:r>
        <w:rPr>
          <w:rStyle w:val="1093"/>
          <w:rFonts w:hint="eastAsia" w:ascii="宋体" w:hAnsi="宋体" w:cs="宋体"/>
          <w:b/>
          <w:bCs/>
          <w:color w:val="auto"/>
          <w:sz w:val="24"/>
          <w:highlight w:val="none"/>
        </w:rPr>
        <w:t xml:space="preserve">年的免费质保</w:t>
      </w:r>
      <w:r>
        <w:rPr>
          <w:rStyle w:val="1093"/>
          <w:rFonts w:hint="eastAsia" w:ascii="宋体" w:hAnsi="宋体" w:cs="宋体"/>
          <w:color w:val="auto"/>
          <w:sz w:val="24"/>
          <w:highlight w:val="none"/>
        </w:rPr>
        <w:t xml:space="preserve">，所有软件产品的免费维保期自本项目终验合格书签订之日起开始计算，保修期内所有软硬件设备的维修均为免费（人为故意损坏除外）。免费维保期内应定期对系统进行巡检，保证系统在最优化的状态下稳定运行，部门级故障应在2小时内排除，全院级故障应在1小时内响应解决，需提供全年7天24小时响应服务。重大系统问题及软件升级需中标人至现场解决的，中标人需在接到采购人通知后12小时内到达现场处理。</w:t>
      </w:r>
      <w:r>
        <w:rPr>
          <w:rStyle w:val="1093"/>
          <w:rFonts w:hint="eastAsia" w:ascii="宋体" w:hAnsi="宋体" w:cs="宋体"/>
          <w:color w:val="auto"/>
          <w:sz w:val="24"/>
          <w:highlight w:val="none"/>
        </w:rPr>
        <w:t xml:space="preserve">维保范围包括软件、硬件设备及数据故障维护，对外数据接口，因国家、省、市各级管理部门政策要求，设备更换、升级等情况需要作出的软件客户化需求修改。涉及其他应用系统的整合、系统的升级或替换、集成平台和数据中心的建设等所涉及的接口。中标人不得再另行收取费用。</w:t>
      </w:r>
      <w:r>
        <w:rPr>
          <w:rStyle w:val="1093"/>
          <w:rFonts w:hint="eastAsia" w:ascii="宋体" w:hAnsi="宋体" w:cs="宋体"/>
          <w:color w:val="auto"/>
          <w:sz w:val="24"/>
          <w:highlight w:val="none"/>
        </w:rPr>
        <w:t xml:space="preserve">项目验收合格后，中标人需按照采购人相关规定，</w:t>
      </w:r>
      <w:r>
        <w:rPr>
          <w:rFonts w:hint="eastAsia" w:ascii="宋体" w:hAnsi="宋体" w:eastAsia="宋体" w:cs="宋体"/>
          <w:color w:val="auto"/>
          <w:sz w:val="24"/>
          <w:szCs w:val="24"/>
        </w:rPr>
        <w:t xml:space="preserve">每年不低于2次的</w:t>
      </w:r>
      <w:r>
        <w:rPr>
          <w:rStyle w:val="1093"/>
          <w:rFonts w:hint="eastAsia" w:ascii="宋体" w:hAnsi="宋体" w:cs="宋体"/>
          <w:color w:val="auto"/>
          <w:sz w:val="24"/>
          <w:highlight w:val="none"/>
        </w:rPr>
        <w:t xml:space="preserve">系统</w:t>
      </w:r>
      <w:r>
        <w:rPr>
          <w:rFonts w:hint="eastAsia" w:ascii="宋体" w:hAnsi="宋体" w:eastAsia="宋体" w:cs="宋体"/>
          <w:color w:val="auto"/>
          <w:sz w:val="24"/>
          <w:szCs w:val="24"/>
        </w:rPr>
        <w:t xml:space="preserve">例行维护及巡检</w:t>
      </w:r>
      <w:r>
        <w:rPr>
          <w:rStyle w:val="1093"/>
          <w:rFonts w:hint="eastAsia" w:ascii="宋体" w:hAnsi="宋体" w:cs="宋体"/>
          <w:color w:val="auto"/>
          <w:sz w:val="24"/>
          <w:highlight w:val="none"/>
        </w:rPr>
        <w:t xml:space="preserve">。例行维护内容包括：软件的功能增强性维护等应用软件系统扩充升级（其中包括系统维护、跟踪检测），保证投标方所开发的软件正常运行；软件系统运行情况的现场巡检、数据库性能调整优化，并提交维护报告等。</w:t>
      </w:r>
      <w:r/>
    </w:p>
    <w:p>
      <w:pPr>
        <w:pStyle w:val="861"/>
        <w:numPr>
          <w:ilvl w:val="0"/>
          <w:numId w:val="0"/>
        </w:numPr>
        <w:contextualSpacing/>
        <w:ind w:left="0"/>
        <w:jc w:val="left"/>
        <w:keepLines w:val="0"/>
        <w:keepNext w:val="0"/>
        <w:pageBreakBefore w:val="0"/>
        <w:spacing w:line="360" w:lineRule="auto"/>
        <w:widowControl/>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2、维保期后服务：为保障采购人系统实现长期、持续、稳定的运行，在免费维护期满后，在同等条件下采购人可优先选择中标人继续负责本项目的维护、更新、扩展等后续服务工作，</w:t>
      </w:r>
      <w:r>
        <w:rPr>
          <w:rStyle w:val="1093"/>
          <w:rFonts w:hint="eastAsia" w:ascii="宋体" w:hAnsi="宋体" w:cs="宋体"/>
          <w:color w:val="auto"/>
          <w:sz w:val="24"/>
          <w:highlight w:val="none"/>
          <w:lang w:val="en-US"/>
        </w:rPr>
        <w:t xml:space="preserve">维保费用不高于投标文件中投标人承诺的比例</w:t>
      </w:r>
      <w:r>
        <w:rPr>
          <w:rStyle w:val="1093"/>
          <w:rFonts w:hint="eastAsia" w:ascii="宋体" w:hAnsi="宋体" w:cs="宋体"/>
          <w:color w:val="auto"/>
          <w:sz w:val="24"/>
          <w:highlight w:val="none"/>
        </w:rPr>
        <w:t xml:space="preserve">。</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3、项目</w:t>
      </w:r>
      <w:r>
        <w:rPr>
          <w:rFonts w:hint="eastAsia" w:ascii="宋体" w:hAnsi="宋体" w:eastAsia="宋体" w:cs="宋体"/>
          <w:color w:val="auto"/>
          <w:sz w:val="24"/>
          <w:szCs w:val="24"/>
        </w:rPr>
        <w:t xml:space="preserve">建设</w:t>
      </w:r>
      <w:r>
        <w:rPr>
          <w:rFonts w:hint="eastAsia" w:ascii="宋体" w:hAnsi="宋体" w:cs="宋体"/>
          <w:color w:val="auto"/>
          <w:sz w:val="24"/>
          <w:szCs w:val="24"/>
          <w:lang w:val="en-US" w:eastAsia="zh-CN"/>
        </w:rPr>
        <w:t xml:space="preserve">和</w:t>
      </w:r>
      <w:r>
        <w:rPr>
          <w:rFonts w:hint="eastAsia" w:ascii="宋体" w:hAnsi="宋体" w:cs="宋体"/>
          <w:color w:val="auto"/>
          <w:sz w:val="24"/>
          <w:szCs w:val="24"/>
          <w:lang w:val="en-US" w:eastAsia="zh-CN"/>
        </w:rPr>
        <w:t xml:space="preserve">维保期间</w:t>
      </w:r>
      <w:r>
        <w:rPr>
          <w:rFonts w:hint="eastAsia" w:ascii="宋体" w:hAnsi="宋体" w:eastAsia="宋体" w:cs="宋体"/>
          <w:color w:val="auto"/>
          <w:sz w:val="24"/>
          <w:szCs w:val="24"/>
        </w:rPr>
        <w:t xml:space="preserve">所有对外接口按照</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要求提供免费对接。</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4、项目</w:t>
      </w:r>
      <w:r>
        <w:rPr>
          <w:rFonts w:hint="eastAsia" w:ascii="宋体" w:hAnsi="宋体" w:eastAsia="宋体" w:cs="宋体"/>
          <w:color w:val="auto"/>
          <w:sz w:val="24"/>
          <w:szCs w:val="24"/>
        </w:rPr>
        <w:t xml:space="preserve">建设期间的所有售后服务，包括软件维护、软件升级等所产生的费用均由中标人承担。</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项目实施完成，并同步按照《</w:t>
      </w:r>
      <w:r>
        <w:rPr>
          <w:rFonts w:hint="eastAsia" w:ascii="宋体" w:hAnsi="宋体" w:eastAsia="宋体" w:cs="宋体"/>
          <w:color w:val="auto"/>
          <w:sz w:val="24"/>
          <w:szCs w:val="24"/>
          <w:lang w:eastAsia="zh-CN"/>
        </w:rPr>
        <w:t xml:space="preserve">徐医附院</w:t>
      </w:r>
      <w:r>
        <w:rPr>
          <w:rFonts w:hint="eastAsia" w:ascii="宋体" w:hAnsi="宋体" w:eastAsia="宋体" w:cs="宋体"/>
          <w:color w:val="auto"/>
          <w:sz w:val="24"/>
          <w:szCs w:val="24"/>
        </w:rPr>
        <w:t xml:space="preserve">信息处软件项目开发和管理规范》的要求提供整个实施过程的</w:t>
      </w:r>
      <w:r>
        <w:rPr>
          <w:rFonts w:hint="eastAsia" w:ascii="宋体" w:hAnsi="宋体" w:eastAsia="宋体" w:cs="宋体"/>
          <w:color w:val="auto"/>
          <w:sz w:val="24"/>
          <w:szCs w:val="24"/>
        </w:rPr>
        <w:t xml:space="preserve">所有实施技术文档</w:t>
      </w:r>
      <w:r>
        <w:rPr>
          <w:rFonts w:hint="eastAsia" w:ascii="宋体" w:hAnsi="宋体" w:eastAsia="宋体" w:cs="宋体"/>
          <w:color w:val="auto"/>
          <w:sz w:val="24"/>
          <w:szCs w:val="24"/>
        </w:rPr>
        <w:t xml:space="preserve">及实施照片, 才能启动验收。</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投标人协助</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完成省级以上技术改造升级工程或重大信息化建设项目的立项申报工作。</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投标人协助</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完成该项目的技术创新相关发明专利的申报工作。</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投标人协助</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进行相关的科研工作，为科研人员完成高质量学术期刊的论文发表提供相应的支持。</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投标人协助</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进行有关该项目的示范工程、创新奖项的申报工作。</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投标人应建立故障应急响应机制，分级落实责任人，按照国家及行业标准对故障进行及时处理，确保系统正常运行。如系统出现故障不能正常运行，应在接到</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的请求后，应立即安排相应技术人员进行故障分析及原因查找，提供合理有效的解决方案与建议，待双方沟通确定后排除故障。</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因卫生主管部门管理要求，原有政策的文书格式、内容、要求变动的，中标人应及时安排技术力量进行系统升级调整，保障</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系统及时完成调整。</w:t>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、技术文档要求</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投标人必须提供完整的软件安装、操作、使用、测试、数据库表结构说明文档、控制和维护手册。中标人必须保存实施过程中的方案、计划、实施过程、各类设置等书面文档。</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技术文档：包括但不限于：系统的体系架构及描述。提供的其它技术手册，包括：需求分析报告（含软件功能需求与数据要求）；系统实施确认书；软件培训资料；程序安装维护手册；软件使用操作手册；系统运维管理手册；数据库表结构说明文档；项目验收报告。</w:t>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九</w:t>
      </w:r>
      <w:r>
        <w:rPr>
          <w:rFonts w:hint="eastAsia" w:ascii="宋体" w:hAnsi="宋体" w:eastAsia="宋体" w:cs="宋体"/>
          <w:b/>
          <w:bCs/>
          <w:color w:val="auto"/>
          <w:sz w:val="24"/>
          <w:szCs w:val="24"/>
        </w:rPr>
        <w:t xml:space="preserve">、验收要求</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验收方法：验收将按模块上线情况和维护服务情况综合验收，按招标文件要求所有系统完成后，进行项目总验收。验收工作由中标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提出，</w:t>
      </w:r>
      <w:r>
        <w:rPr>
          <w:rFonts w:hint="eastAsia" w:ascii="宋体" w:hAnsi="宋体" w:eastAsia="宋体" w:cs="宋体"/>
          <w:bCs/>
          <w:color w:val="auto"/>
          <w:sz w:val="24"/>
          <w:szCs w:val="24"/>
          <w:lang w:val="en-US" w:eastAsia="zh-CN"/>
        </w:rPr>
        <w:t xml:space="preserve">采购人</w:t>
      </w:r>
      <w:r>
        <w:rPr>
          <w:rFonts w:hint="eastAsia" w:ascii="宋体" w:hAnsi="宋体" w:eastAsia="宋体" w:cs="宋体"/>
          <w:bCs/>
          <w:color w:val="auto"/>
          <w:sz w:val="24"/>
          <w:szCs w:val="24"/>
        </w:rPr>
        <w:t xml:space="preserve">组织相关人员组成评审组进行验收。</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验收时间：配套系统软件安装、调试完毕，并稳定运行后，由中标</w:t>
      </w:r>
      <w:r>
        <w:rPr>
          <w:rFonts w:hint="eastAsia" w:ascii="宋体" w:hAnsi="宋体" w:eastAsia="宋体" w:cs="宋体"/>
          <w:bCs/>
          <w:color w:val="auto"/>
          <w:sz w:val="24"/>
          <w:szCs w:val="24"/>
          <w:lang w:eastAsia="zh-CN"/>
        </w:rPr>
        <w:t xml:space="preserve">人</w:t>
      </w:r>
      <w:r>
        <w:rPr>
          <w:rFonts w:hint="eastAsia" w:ascii="宋体" w:hAnsi="宋体" w:eastAsia="宋体" w:cs="宋体"/>
          <w:bCs/>
          <w:color w:val="auto"/>
          <w:sz w:val="24"/>
          <w:szCs w:val="24"/>
        </w:rPr>
        <w:t xml:space="preserve">提出验收申请。</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项目实施过程中，按照《</w:t>
      </w:r>
      <w:r>
        <w:rPr>
          <w:rFonts w:hint="eastAsia" w:ascii="宋体" w:hAnsi="宋体" w:eastAsia="宋体" w:cs="宋体"/>
          <w:bCs/>
          <w:color w:val="auto"/>
          <w:sz w:val="24"/>
          <w:szCs w:val="24"/>
          <w:lang w:eastAsia="zh-CN"/>
        </w:rPr>
        <w:t xml:space="preserve">徐医附院</w:t>
      </w:r>
      <w:r>
        <w:rPr>
          <w:rFonts w:hint="eastAsia" w:ascii="宋体" w:hAnsi="宋体" w:eastAsia="宋体" w:cs="宋体"/>
          <w:bCs/>
          <w:color w:val="auto"/>
          <w:sz w:val="24"/>
          <w:szCs w:val="24"/>
        </w:rPr>
        <w:t xml:space="preserve">项目实施管理规范》书写整个项目实施过程管理文档，重大议题的PDCA处理文档，组织验收前对文档进行交付。</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验收内容：按照招标文件、</w:t>
      </w:r>
      <w:r>
        <w:rPr>
          <w:rFonts w:hint="eastAsia" w:ascii="宋体" w:hAnsi="宋体" w:eastAsia="宋体" w:cs="宋体"/>
          <w:bCs/>
          <w:color w:val="auto"/>
          <w:sz w:val="24"/>
          <w:szCs w:val="24"/>
          <w:lang w:val="en-US" w:eastAsia="zh-CN"/>
        </w:rPr>
        <w:t xml:space="preserve">投标</w:t>
      </w:r>
      <w:r>
        <w:rPr>
          <w:rFonts w:hint="eastAsia" w:ascii="宋体" w:hAnsi="宋体" w:eastAsia="宋体" w:cs="宋体"/>
          <w:bCs/>
          <w:color w:val="auto"/>
          <w:sz w:val="24"/>
          <w:szCs w:val="24"/>
        </w:rPr>
        <w:t xml:space="preserve">文件、合同、相关承诺和相关补充文件的内容进行。</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验收标准：</w:t>
      </w:r>
      <w:r>
        <w:rPr>
          <w:rFonts w:hint="eastAsia" w:ascii="宋体" w:hAnsi="宋体" w:eastAsia="宋体" w:cs="宋体"/>
          <w:color w:val="auto"/>
          <w:sz w:val="24"/>
          <w:szCs w:val="24"/>
        </w:rPr>
        <w:t xml:space="preserve">①产品</w:t>
      </w:r>
      <w:r>
        <w:rPr>
          <w:rFonts w:hint="eastAsia" w:ascii="宋体" w:hAnsi="宋体" w:eastAsia="宋体" w:cs="宋体"/>
          <w:color w:val="auto"/>
          <w:sz w:val="24"/>
          <w:szCs w:val="24"/>
        </w:rPr>
        <w:t xml:space="preserve">所有技术性能规格及参数：应符合</w:t>
      </w:r>
      <w:r>
        <w:rPr>
          <w:rFonts w:hint="eastAsia" w:ascii="宋体" w:hAnsi="宋体" w:eastAsia="宋体" w:cs="宋体"/>
          <w:color w:val="auto"/>
          <w:sz w:val="24"/>
          <w:szCs w:val="24"/>
        </w:rPr>
        <w:t xml:space="preserve">招标文件和中标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投标文件所要求的技术标准及服务标准。系统运行稳定，无故障，数据无错误。②验收工作由</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和中标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共同进行。在验收时，中标</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应向</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提供货物的相关资料，按</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提出的方式验收。由</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对货物的质量、规格和数量其他进行检验。如发现质量、规格和数量等任何一项与采购要求规定不符，</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有权拒绝接受。</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验收文件的签署：由中标</w:t>
      </w:r>
      <w:r>
        <w:rPr>
          <w:rFonts w:hint="eastAsia" w:ascii="宋体" w:hAnsi="宋体" w:eastAsia="宋体" w:cs="宋体"/>
          <w:bCs/>
          <w:color w:val="auto"/>
          <w:sz w:val="24"/>
          <w:szCs w:val="24"/>
          <w:lang w:eastAsia="zh-CN"/>
        </w:rPr>
        <w:t xml:space="preserve">人</w:t>
      </w:r>
      <w:r>
        <w:rPr>
          <w:rFonts w:hint="eastAsia" w:ascii="宋体" w:hAnsi="宋体" w:eastAsia="宋体" w:cs="宋体"/>
          <w:bCs/>
          <w:color w:val="auto"/>
          <w:sz w:val="24"/>
          <w:szCs w:val="24"/>
        </w:rPr>
        <w:t xml:space="preserve">撰写服务完成报告，由</w:t>
      </w:r>
      <w:r>
        <w:rPr>
          <w:rFonts w:hint="eastAsia" w:ascii="宋体" w:hAnsi="宋体" w:eastAsia="宋体" w:cs="宋体"/>
          <w:bCs/>
          <w:color w:val="auto"/>
          <w:sz w:val="24"/>
          <w:szCs w:val="24"/>
          <w:lang w:val="en-US" w:eastAsia="zh-CN"/>
        </w:rPr>
        <w:t xml:space="preserve">采购人</w:t>
      </w:r>
      <w:r>
        <w:rPr>
          <w:rFonts w:hint="eastAsia" w:ascii="宋体" w:hAnsi="宋体" w:eastAsia="宋体" w:cs="宋体"/>
          <w:bCs/>
          <w:color w:val="auto"/>
          <w:sz w:val="24"/>
          <w:szCs w:val="24"/>
        </w:rPr>
        <w:t xml:space="preserve">委派的负责人在审核后签署。</w:t>
      </w:r>
      <w:r/>
    </w:p>
    <w:p>
      <w:pPr>
        <w:keepLines w:val="0"/>
        <w:keepNext w:val="0"/>
        <w:pageBreakBefore w:val="0"/>
        <w:spacing w:line="360" w:lineRule="auto"/>
        <w:rPr>
          <w:rStyle w:val="1093"/>
          <w:rFonts w:hint="eastAsia" w:ascii="宋体" w:hAnsi="宋体" w:cs="宋体"/>
          <w:b/>
          <w:bCs/>
          <w:color w:val="auto"/>
          <w:sz w:val="24"/>
          <w:highlight w:val="none"/>
        </w:rPr>
        <w:outlineLvl w:val="1"/>
      </w:pPr>
      <w:r>
        <w:rPr>
          <w:rStyle w:val="1093"/>
          <w:rFonts w:hint="eastAsia" w:ascii="宋体" w:hAnsi="宋体" w:cs="宋体"/>
          <w:b/>
          <w:bCs/>
          <w:color w:val="auto"/>
          <w:sz w:val="24"/>
          <w:highlight w:val="none"/>
        </w:rPr>
        <w:t xml:space="preserve">十、相关知识产权要求</w:t>
      </w:r>
      <w:r/>
    </w:p>
    <w:p>
      <w:pPr>
        <w:ind w:firstLine="480"/>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本项目开发的产品、系统，采购人永久拥其所有权（使用权、修改权），该所有权不受合同执行状态影响。中标人具备产品的生产许可或版权证书，产品中使用的第三方的产品及插件合规合法，不需要采购人支付相关费用，使用的第三方产品如需费用，费用由中标人承担。保证采购人不收到相关方的侵犯专利权和专有技术等指控，任何第三方如提出相关指控，中标人应与第三方交涉，并承担可能发生的一切法律责任、费用和后果，并赔偿采购人的损失。</w:t>
      </w:r>
      <w:r/>
    </w:p>
    <w:p>
      <w:pPr>
        <w:keepLines w:val="0"/>
        <w:keepNext w:val="0"/>
        <w:pageBreakBefore w:val="0"/>
        <w:spacing w:line="360" w:lineRule="auto"/>
        <w:rPr>
          <w:rStyle w:val="1093"/>
          <w:rFonts w:hint="eastAsia" w:ascii="宋体" w:hAnsi="宋体" w:cs="宋体"/>
          <w:b/>
          <w:bCs/>
          <w:color w:val="auto"/>
          <w:sz w:val="24"/>
          <w:highlight w:val="none"/>
        </w:rPr>
        <w:outlineLvl w:val="1"/>
      </w:pPr>
      <w:r>
        <w:rPr>
          <w:rStyle w:val="1093"/>
          <w:rFonts w:hint="eastAsia" w:ascii="宋体" w:hAnsi="宋体" w:cs="宋体"/>
          <w:b/>
          <w:bCs/>
          <w:color w:val="auto"/>
          <w:sz w:val="24"/>
          <w:highlight w:val="none"/>
        </w:rPr>
        <w:t xml:space="preserve">十</w:t>
      </w:r>
      <w:r>
        <w:rPr>
          <w:rStyle w:val="1093"/>
          <w:rFonts w:hint="eastAsia" w:ascii="宋体" w:hAnsi="宋体" w:cs="宋体"/>
          <w:b/>
          <w:bCs/>
          <w:color w:val="auto"/>
          <w:sz w:val="24"/>
          <w:highlight w:val="none"/>
          <w:lang w:val="en-US"/>
        </w:rPr>
        <w:t xml:space="preserve">一</w:t>
      </w:r>
      <w:r>
        <w:rPr>
          <w:rStyle w:val="1093"/>
          <w:rFonts w:hint="eastAsia" w:ascii="宋体" w:hAnsi="宋体" w:cs="宋体"/>
          <w:b/>
          <w:bCs/>
          <w:color w:val="auto"/>
          <w:sz w:val="24"/>
          <w:highlight w:val="none"/>
        </w:rPr>
        <w:t xml:space="preserve">、演示要求</w:t>
      </w:r>
      <w:r/>
    </w:p>
    <w:p>
      <w:pPr>
        <w:keepLines w:val="0"/>
        <w:keepNext w:val="0"/>
        <w:pageBreakBefore w:val="0"/>
        <w:spacing w:line="360" w:lineRule="auto"/>
        <w:widowControl w:val="off"/>
        <w:rPr>
          <w:rStyle w:val="1093"/>
          <w:rFonts w:hint="eastAsia" w:ascii="宋体" w:hAnsi="宋体" w:cs="宋体"/>
          <w:color w:val="auto"/>
          <w:sz w:val="24"/>
          <w:highlight w:val="none"/>
        </w:rPr>
      </w:pPr>
      <w:r>
        <w:rPr>
          <w:rStyle w:val="1093"/>
          <w:rFonts w:hint="eastAsia" w:ascii="宋体" w:hAnsi="宋体" w:cs="宋体"/>
          <w:color w:val="auto"/>
          <w:sz w:val="24"/>
          <w:highlight w:val="none"/>
          <w:lang w:val="en-US"/>
        </w:rPr>
        <w:t xml:space="preserve">1、</w:t>
      </w:r>
      <w:r>
        <w:rPr>
          <w:rStyle w:val="1093"/>
          <w:rFonts w:hint="eastAsia" w:ascii="宋体" w:hAnsi="宋体" w:cs="宋体"/>
          <w:color w:val="auto"/>
          <w:sz w:val="24"/>
          <w:highlight w:val="none"/>
        </w:rPr>
        <w:t xml:space="preserve">投标</w:t>
      </w:r>
      <w:r>
        <w:rPr>
          <w:rStyle w:val="1093"/>
          <w:rFonts w:hint="eastAsia" w:ascii="宋体" w:hAnsi="宋体" w:cs="宋体"/>
          <w:color w:val="auto"/>
          <w:sz w:val="24"/>
          <w:highlight w:val="none"/>
          <w:lang w:val="en-US"/>
        </w:rPr>
        <w:t xml:space="preserve">人</w:t>
      </w:r>
      <w:r>
        <w:rPr>
          <w:rStyle w:val="1093"/>
          <w:rFonts w:hint="eastAsia" w:ascii="宋体" w:hAnsi="宋体" w:cs="宋体"/>
          <w:color w:val="auto"/>
          <w:sz w:val="24"/>
          <w:highlight w:val="none"/>
        </w:rPr>
        <w:t xml:space="preserve">需提供一个完整的</w:t>
      </w:r>
      <w:r>
        <w:rPr>
          <w:rStyle w:val="1093"/>
          <w:rFonts w:hint="eastAsia" w:ascii="宋体" w:hAnsi="宋体" w:cs="宋体"/>
          <w:color w:val="auto"/>
          <w:sz w:val="24"/>
          <w:highlight w:val="none"/>
          <w:lang w:val="en-US"/>
        </w:rPr>
        <w:t xml:space="preserve">系统</w:t>
      </w:r>
      <w:r>
        <w:rPr>
          <w:rStyle w:val="1093"/>
          <w:rFonts w:hint="eastAsia" w:ascii="宋体" w:hAnsi="宋体" w:cs="宋体"/>
          <w:color w:val="auto"/>
          <w:sz w:val="24"/>
          <w:highlight w:val="none"/>
        </w:rPr>
        <w:t xml:space="preserve">演示视频。</w:t>
      </w:r>
      <w:r/>
    </w:p>
    <w:p>
      <w:pPr>
        <w:keepLines w:val="0"/>
        <w:keepNext w:val="0"/>
        <w:pageBreakBefore w:val="0"/>
        <w:spacing w:line="360" w:lineRule="auto"/>
        <w:widowControl w:val="off"/>
        <w:rPr>
          <w:rStyle w:val="1093"/>
          <w:rFonts w:hint="eastAsia" w:ascii="宋体" w:hAnsi="宋体" w:cs="宋体"/>
          <w:color w:val="auto"/>
          <w:sz w:val="24"/>
          <w:highlight w:val="none"/>
        </w:rPr>
      </w:pPr>
      <w:r>
        <w:rPr>
          <w:rStyle w:val="1093"/>
          <w:rFonts w:hint="eastAsia" w:ascii="宋体" w:hAnsi="宋体" w:cs="宋体"/>
          <w:color w:val="auto"/>
          <w:sz w:val="24"/>
          <w:highlight w:val="none"/>
          <w:lang w:val="en-US"/>
        </w:rPr>
        <w:t xml:space="preserve">2、</w:t>
      </w:r>
      <w:r>
        <w:rPr>
          <w:rStyle w:val="1093"/>
          <w:rFonts w:hint="eastAsia" w:ascii="宋体" w:hAnsi="宋体" w:cs="宋体"/>
          <w:color w:val="auto"/>
          <w:sz w:val="24"/>
          <w:highlight w:val="none"/>
        </w:rPr>
        <w:t xml:space="preserve">视频技术要求：为保证视频来源的合法性、真实性及时效性，11项演示内容需放在同一个系统内逐个拍摄，镜头一镜到底进行连续拍摄为一个完整视频，不接受剪辑或拼接（拍摄全程需同一解说人跟随镜头依次解说），视频时长不超过</w:t>
      </w:r>
      <w:r>
        <w:rPr>
          <w:rStyle w:val="1093"/>
          <w:rFonts w:hint="eastAsia" w:ascii="宋体" w:hAnsi="宋体" w:cs="宋体"/>
          <w:color w:val="auto"/>
          <w:sz w:val="24"/>
          <w:highlight w:val="none"/>
          <w:lang w:val="en-US"/>
        </w:rPr>
        <w:t xml:space="preserve">15</w:t>
      </w:r>
      <w:r>
        <w:rPr>
          <w:rStyle w:val="1093"/>
          <w:rFonts w:hint="eastAsia" w:ascii="宋体" w:hAnsi="宋体" w:cs="宋体"/>
          <w:color w:val="auto"/>
          <w:sz w:val="24"/>
          <w:highlight w:val="none"/>
        </w:rPr>
        <w:t xml:space="preserve">分钟，不满足以上条件不得分。</w:t>
      </w:r>
      <w:r/>
    </w:p>
    <w:p>
      <w:pPr>
        <w:keepLines w:val="0"/>
        <w:keepNext w:val="0"/>
        <w:pageBreakBefore w:val="0"/>
        <w:spacing w:line="360" w:lineRule="auto"/>
        <w:widowControl w:val="off"/>
        <w:rPr>
          <w:rStyle w:val="1093"/>
          <w:rFonts w:hint="eastAsia" w:ascii="宋体" w:hAnsi="宋体" w:cs="宋体"/>
          <w:b/>
          <w:bCs/>
          <w:color w:val="auto"/>
          <w:sz w:val="24"/>
          <w:szCs w:val="24"/>
          <w:highlight w:val="none"/>
          <w:lang w:val="en-US"/>
        </w:rPr>
      </w:pPr>
      <w:r>
        <w:rPr>
          <w:rStyle w:val="1093"/>
          <w:rFonts w:hint="eastAsia" w:ascii="宋体" w:hAnsi="宋体" w:cs="宋体"/>
          <w:color w:val="auto"/>
          <w:sz w:val="24"/>
          <w:szCs w:val="24"/>
          <w:highlight w:val="none"/>
          <w:lang w:val="en-US"/>
        </w:rPr>
        <w:t xml:space="preserve">3</w:t>
      </w:r>
      <w:r>
        <w:rPr>
          <w:rStyle w:val="1093"/>
          <w:rFonts w:hint="eastAsia" w:ascii="宋体" w:hAnsi="宋体" w:cs="宋体"/>
          <w:color w:val="auto"/>
          <w:sz w:val="24"/>
          <w:szCs w:val="24"/>
          <w:highlight w:val="none"/>
        </w:rPr>
        <w:t xml:space="preserve">、讲解演示具体内容见评标标准。</w:t>
      </w:r>
      <w:r/>
    </w:p>
    <w:p>
      <w:pPr>
        <w:keepLines w:val="0"/>
        <w:keepNext w:val="0"/>
        <w:pageBreakBefore w:val="0"/>
        <w:spacing w:line="360" w:lineRule="auto"/>
        <w:rPr>
          <w:rStyle w:val="925"/>
          <w:rFonts w:hint="eastAsia" w:ascii="宋体" w:hAnsi="宋体" w:eastAsia="宋体" w:cs="宋体"/>
          <w:b w:val="0"/>
          <w:bCs/>
          <w:color w:val="auto"/>
          <w:sz w:val="24"/>
          <w:szCs w:val="24"/>
          <w:highlight w:val="none"/>
        </w:rPr>
      </w:pPr>
      <w:r>
        <w:rPr>
          <w:rStyle w:val="1093"/>
          <w:rFonts w:hint="eastAsia" w:ascii="宋体" w:hAnsi="宋体" w:cs="宋体"/>
          <w:b/>
          <w:bCs/>
          <w:color w:val="auto"/>
          <w:sz w:val="24"/>
          <w:szCs w:val="24"/>
          <w:highlight w:val="none"/>
          <w:lang w:val="en-US"/>
        </w:rPr>
        <w:t xml:space="preserve">十二</w:t>
      </w:r>
      <w:r>
        <w:rPr>
          <w:rStyle w:val="1093"/>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其他要求见招标文件第五章《拟签订的合同文本》。</w:t>
      </w:r>
      <w:r/>
    </w:p>
    <w:p>
      <w:pPr>
        <w:jc w:val="center"/>
        <w:spacing w:line="239"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w:t>
      </w:r>
      <w:r>
        <w:rPr>
          <w:rFonts w:hint="eastAsia" w:ascii="宋体" w:hAnsi="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投标文件相关格式</w:t>
      </w:r>
      <w:r/>
    </w:p>
    <w:p>
      <w:pPr>
        <w:ind w:firstLine="64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一、投标函格式</w:t>
      </w:r>
      <w:r/>
    </w:p>
    <w:p>
      <w:pPr>
        <w:spacing w:line="23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致：</w:t>
      </w:r>
      <w:r>
        <w:rPr>
          <w:rFonts w:hint="eastAsia" w:ascii="宋体" w:hAnsi="宋体" w:cs="宋体"/>
          <w:b w:val="0"/>
          <w:bCs/>
          <w:color w:val="auto"/>
          <w:sz w:val="30"/>
          <w:highlight w:val="none"/>
          <w:u w:val="single"/>
          <w:lang w:eastAsia="zh-CN"/>
        </w:rPr>
        <w:t xml:space="preserve">徐州医科大学附属医院</w:t>
      </w:r>
      <w:r/>
    </w:p>
    <w:p>
      <w:pPr>
        <w:ind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根据</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]招标文件，</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(姓名)代表我方</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（投标人的名称）全权处理本次投标的有关事宜。</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据此函，投标人承诺并同意如下：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 投标人唯一投标报价见《开标一览表》。</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 投标人将按招标文件的规定履行合同责任和义务。</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 投标有效期为开标之日后90天。</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 投标人在投标初始有效期内撤回投标，其投标保证金将不退还。</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 投标人同意在授予合同后，按照有关规定支付公证费(如有)。</w:t>
      </w:r>
      <w:r/>
    </w:p>
    <w:p>
      <w:pPr>
        <w:ind w:right="29"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 与本投标有关的一切正式往来信函请寄：</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 </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电话： </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二、开标一览表格式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项目编号：</w:t>
      </w:r>
      <w:r/>
    </w:p>
    <w:p>
      <w:pPr>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项目名称：</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ind w:firstLine="723"/>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三、分项价格表格式</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项目名称：</w:t>
      </w:r>
      <w:r/>
    </w:p>
    <w:p>
      <w:pPr>
        <w:jc w:val="righ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货币单位：人民币元</w:t>
      </w:r>
      <w:r/>
    </w:p>
    <w:tbl>
      <w:tblPr>
        <w:tblStyle w:val="80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0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28"/>
          <w:szCs w:val="28"/>
          <w:highlight w:val="none"/>
        </w:rPr>
        <w:t xml:space="preserve">（电子签章）</w:t>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ind w:firstLine="562"/>
        <w:jc w:val="left"/>
        <w:widowControl/>
        <w:rPr>
          <w:rFonts w:ascii="宋体" w:hAnsi="宋体" w:cs="宋体"/>
          <w:color w:val="auto"/>
          <w:sz w:val="28"/>
          <w:szCs w:val="28"/>
          <w:highlight w:val="none"/>
        </w:rPr>
      </w:pPr>
      <w:r>
        <w:rPr>
          <w:rFonts w:hint="eastAsia" w:ascii="宋体" w:hAnsi="宋体" w:cs="宋体"/>
          <w:b/>
          <w:bCs/>
          <w:color w:val="auto"/>
          <w:sz w:val="28"/>
          <w:szCs w:val="28"/>
          <w:highlight w:val="none"/>
        </w:rPr>
        <w:t xml:space="preserve">1、本表中“产品制造企业的划分”以《政府采购促进中小企业发展管理办法》（财库[2020]046号）</w:t>
      </w:r>
      <w:r>
        <w:rPr>
          <w:rFonts w:hint="eastAsia" w:ascii="宋体" w:hAnsi="宋体" w:cs="宋体"/>
          <w:color w:val="auto"/>
          <w:sz w:val="28"/>
          <w:szCs w:val="28"/>
          <w:highlight w:val="none"/>
        </w:rPr>
        <w:t xml:space="preserve">和《工业和信息化部、国家统计局、国家发展和改革委员会、财政部关于印发中小企业划型标准规定的通知》（工信部联企业[2011]300号）的规定为准。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4、投标报价须包含本项目要求的所有产品及相关服务，即完成本项目的全部费用，采购人不再另行支付任何费用。分项价格表中须详尽的列出本项目要求的各项产品。</w:t>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注：1、如果不提供详细分项报价将视为没有实质性响应招标文件。</w:t>
      </w:r>
      <w:r/>
    </w:p>
    <w:p>
      <w:pPr>
        <w:ind w:firstLine="56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2、投标人对以上数据的真实性负责。</w:t>
      </w:r>
      <w:r/>
    </w:p>
    <w:p>
      <w:pPr>
        <w:jc w:val="left"/>
        <w:widowControl/>
        <w:rPr>
          <w:rFonts w:hint="eastAsia" w:ascii="宋体" w:hAnsi="宋体" w:eastAsia="宋体" w:cs="宋体"/>
          <w:b w:val="0"/>
          <w:bCs/>
          <w:color w:val="auto"/>
          <w:sz w:val="28"/>
          <w:szCs w:val="28"/>
          <w:highlight w:val="none"/>
        </w:rPr>
      </w:pPr>
      <w:r>
        <w:rPr>
          <w:rFonts w:hint="eastAsia" w:ascii="宋体" w:hAnsi="宋体" w:cs="宋体"/>
          <w:b/>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四</w:t>
      </w:r>
      <w:r>
        <w:rPr>
          <w:rFonts w:hint="eastAsia" w:ascii="宋体" w:hAnsi="宋体" w:eastAsia="宋体" w:cs="宋体"/>
          <w:b w:val="0"/>
          <w:bCs/>
          <w:color w:val="auto"/>
          <w:sz w:val="32"/>
          <w:szCs w:val="32"/>
          <w:highlight w:val="none"/>
        </w:rPr>
        <w:t xml:space="preserve">、授权委托书格式</w:t>
      </w: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               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统一社会信用代码：</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        性别：男（女）</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年龄：  岁      民族：  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身份证号：</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兹委托（</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）全权代表我企业（公司）参与（</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）的招、投标活动及签订合同。（</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）以我企业（公司）名义所为的法律行为及签署的文件，我企业（公司）均予以认可。有关法律责任均由我企业（公司）承担。（</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）无转委托权。</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委托期限自</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日起至</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日止。</w:t>
      </w:r>
      <w:r/>
    </w:p>
    <w:p>
      <w:pPr>
        <w:ind w:firstLine="63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特此授权委托。</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委托人（电子签章）：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法定代表人（签字或盖章）： </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受托人（签字或盖章）：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pStyle w:val="826"/>
        <w:ind w:left="0" w:firstLine="602"/>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受托人联系方式：</w:t>
      </w:r>
      <w:r>
        <w:rPr>
          <w:rFonts w:hint="eastAsia" w:ascii="宋体" w:hAnsi="宋体" w:eastAsia="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邮箱：</w:t>
      </w:r>
      <w:r/>
    </w:p>
    <w:p>
      <w:pPr>
        <w:ind w:right="600" w:firstLine="615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  月 日 </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(受托人身份证扫描件附后)</w:t>
      </w:r>
      <w:r/>
    </w:p>
    <w:p>
      <w:pPr>
        <w:ind w:firstLine="447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highlight w:val="none"/>
        </w:rPr>
        <w:t xml:space="preserve"> </w:t>
      </w:r>
      <w:r/>
    </w:p>
    <w:p>
      <w:pPr>
        <w:ind w:firstLine="600"/>
        <w:jc w:val="center"/>
        <w:spacing w:before="100" w:after="100"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auto"/>
          <w:sz w:val="32"/>
          <w:szCs w:val="32"/>
          <w:highlight w:val="none"/>
        </w:rPr>
      </w:r>
      <w:r/>
    </w:p>
    <w:p>
      <w:pPr>
        <w:jc w:val="center"/>
        <w:rPr>
          <w:rFonts w:hint="eastAsia" w:ascii="宋体" w:hAnsi="宋体" w:cs="宋体"/>
          <w:color w:val="auto"/>
          <w:szCs w:val="24"/>
          <w:highlight w:val="none"/>
        </w:rPr>
      </w:pPr>
      <w:r>
        <w:rPr>
          <w:rFonts w:hint="eastAsia" w:ascii="宋体" w:hAnsi="宋体" w:cs="宋体"/>
          <w:color w:val="auto"/>
          <w:szCs w:val="24"/>
          <w:highlight w:val="none"/>
        </w:rPr>
      </w:r>
      <w:r/>
    </w:p>
    <w:p>
      <w:pPr>
        <w:jc w:val="center"/>
        <w:spacing w:line="479" w:lineRule="atLeast"/>
        <w:rPr>
          <w:rFonts w:ascii="宋体" w:hAnsi="宋体" w:cs="宋体"/>
          <w:b w:val="0"/>
          <w:bCs w:val="0"/>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val="0"/>
          <w:bCs w:val="0"/>
          <w:color w:val="auto"/>
          <w:sz w:val="32"/>
          <w:szCs w:val="32"/>
          <w:highlight w:val="none"/>
        </w:rPr>
        <w:t xml:space="preserve">五、技术偏离表格式</w:t>
      </w:r>
      <w:r/>
    </w:p>
    <w:p>
      <w:pPr>
        <w:ind w:firstLine="600"/>
        <w:spacing w:line="479" w:lineRule="atLeast"/>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rPr>
        <w:t xml:space="preserve"> </w:t>
      </w:r>
      <w:r/>
    </w:p>
    <w:p>
      <w:pP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项目编号：</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w:t>
      </w:r>
      <w:r/>
    </w:p>
    <w:tbl>
      <w:tblPr>
        <w:tblStyle w:val="80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bl>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注</w:t>
      </w:r>
      <w:r>
        <w:rPr>
          <w:rFonts w:hint="eastAsia" w:ascii="宋体" w:hAnsi="宋体" w:cs="宋体"/>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spacing w:line="71"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（投标人公章）</w:t>
      </w:r>
      <w:r/>
    </w:p>
    <w:p>
      <w:pPr>
        <w:ind w:firstLine="390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highlight w:val="none"/>
        </w:rPr>
        <w:t xml:space="preserve"> </w:t>
      </w:r>
      <w:r/>
    </w:p>
    <w:p>
      <w:pPr>
        <w:jc w:val="center"/>
        <w:spacing w:line="479" w:lineRule="atLeast"/>
        <w:rPr>
          <w:rFonts w:ascii="宋体" w:hAnsi="宋体" w:cs="宋体"/>
          <w:b w:val="0"/>
          <w:bCs w:val="0"/>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val="0"/>
          <w:bCs w:val="0"/>
          <w:color w:val="auto"/>
          <w:sz w:val="32"/>
          <w:szCs w:val="32"/>
          <w:highlight w:val="none"/>
        </w:rPr>
        <w:t xml:space="preserve">六、商务偏离表格式</w:t>
      </w:r>
      <w:r/>
    </w:p>
    <w:p>
      <w:pPr>
        <w:ind w:firstLine="600"/>
        <w:spacing w:line="479" w:lineRule="atLeast"/>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rPr>
        <w:t xml:space="preserve"> </w:t>
      </w:r>
      <w:r/>
    </w:p>
    <w:p>
      <w:pP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项目编号：</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w:t>
      </w:r>
      <w:r/>
    </w:p>
    <w:tbl>
      <w:tblPr>
        <w:tblStyle w:val="80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bl>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注</w:t>
      </w:r>
      <w:r>
        <w:rPr>
          <w:rFonts w:hint="eastAsia" w:ascii="宋体" w:hAnsi="宋体" w:cs="宋体"/>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spacing w:line="71"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（投标人公章）</w:t>
      </w:r>
      <w:r/>
    </w:p>
    <w:p>
      <w:pPr>
        <w:ind w:firstLine="390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pStyle w:val="800"/>
        <w:rPr>
          <w:color w:val="auto"/>
          <w:highlight w:val="none"/>
        </w:rPr>
      </w:pPr>
      <w:r>
        <w:rPr>
          <w:rFonts w:hint="eastAsia" w:ascii="宋体" w:hAnsi="宋体" w:cs="宋体"/>
          <w:color w:val="auto"/>
          <w:sz w:val="30"/>
          <w:highlight w:val="none"/>
        </w:rPr>
        <w:t xml:space="preserve">日期：  年  月  日</w:t>
      </w:r>
      <w:r/>
    </w:p>
    <w:p>
      <w:pPr>
        <w:pStyle w:val="1101"/>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01"/>
        <w:ind w:firstLine="0"/>
        <w:jc w:val="both"/>
        <w:rPr>
          <w:rFonts w:hint="eastAsia" w:ascii="宋体" w:hAnsi="宋体" w:cs="宋体"/>
          <w:b/>
          <w:color w:val="auto"/>
          <w:szCs w:val="24"/>
          <w:highlight w:val="none"/>
        </w:rPr>
      </w:pPr>
      <w:r>
        <w:rPr>
          <w:rFonts w:hint="eastAsia" w:ascii="宋体" w:hAnsi="宋体" w:cs="宋体"/>
          <w:b/>
          <w:color w:val="auto"/>
          <w:szCs w:val="24"/>
          <w:highlight w:val="none"/>
        </w:rPr>
        <w:br w:type="page" w:clear="all"/>
      </w:r>
      <w:r/>
    </w:p>
    <w:p>
      <w:pPr>
        <w:ind w:firstLine="1600"/>
        <w:spacing w:line="479" w:lineRule="atLeast"/>
        <w:rPr>
          <w:rFonts w:hint="eastAsia" w:ascii="宋体" w:hAnsi="宋体" w:cs="宋体"/>
          <w:b w:val="0"/>
          <w:bCs w:val="0"/>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val="0"/>
          <w:bCs w:val="0"/>
          <w:color w:val="auto"/>
          <w:sz w:val="32"/>
          <w:szCs w:val="32"/>
          <w:highlight w:val="none"/>
          <w:lang w:val="en-US" w:eastAsia="zh-CN"/>
        </w:rPr>
        <w:t xml:space="preserve">七</w:t>
      </w:r>
      <w:r>
        <w:rPr>
          <w:rFonts w:hint="eastAsia" w:ascii="宋体" w:hAnsi="宋体" w:cs="宋体"/>
          <w:b w:val="0"/>
          <w:bCs w:val="0"/>
          <w:color w:val="auto"/>
          <w:sz w:val="32"/>
          <w:szCs w:val="32"/>
          <w:highlight w:val="none"/>
        </w:rPr>
        <w:t xml:space="preserve">、质保期满后每年维保方案及报价</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line="40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徐医附院基于人工智能的慢性病管理系统采购项目</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投标人承诺方案应包括但不限于以下内容：</w:t>
      </w:r>
      <w:r/>
    </w:p>
    <w:p>
      <w:pPr>
        <w:pStyle w:val="821"/>
        <w:ind w:firstLine="480"/>
        <w:spacing w:line="480" w:lineRule="exact"/>
        <w:tabs>
          <w:tab w:val="left" w:pos="11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免费维保期后的维保服务期间，投标人应根据招标人使用中实际工作需要，按照招标人确认过的需求，对系统自身的修改，包括但不限于程序功能的增减及变更、流程增减及变更、报表增减及变更、按医院要求进行的系统调整等，投标人必须及时响应，按照招标人要求的时间完成对系统的修改，费用包含在免费维保期满后售后服务费用中，招标人不另外支付任何费用。</w:t>
      </w:r>
      <w:r/>
    </w:p>
    <w:p>
      <w:pPr>
        <w:pStyle w:val="821"/>
        <w:ind w:firstLine="480"/>
        <w:spacing w:line="480" w:lineRule="exact"/>
        <w:tabs>
          <w:tab w:val="left" w:pos="11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2.免费维护期结束后，每年以本次投标总价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%的价格提供有偿维护，维护水平不得低于免费维护期的维护标准。</w:t>
      </w:r>
      <w:r/>
    </w:p>
    <w:p>
      <w:pPr>
        <w:pStyle w:val="821"/>
        <w:ind w:firstLine="480"/>
        <w:spacing w:line="480" w:lineRule="exact"/>
        <w:tabs>
          <w:tab w:val="left" w:pos="1180" w:leader="none"/>
        </w:tabs>
        <w:rPr>
          <w:rFonts w:ascii="宋体" w:hAnsi="宋体" w:cs="宋体"/>
          <w:color w:val="auto"/>
          <w:sz w:val="24"/>
          <w:highlight w:val="none"/>
        </w:rPr>
      </w:pPr>
      <w:r>
        <w:rPr>
          <w:rFonts w:hint="eastAsia" w:ascii="宋体" w:hAnsi="宋体" w:cs="宋体"/>
          <w:color w:val="auto"/>
          <w:sz w:val="24"/>
          <w:highlight w:val="none"/>
        </w:rPr>
        <w:t xml:space="preserve">3.免费维保期满后的维保服务期间，涉及系统改动的代码、文档等重要资料，中标人需及时更新，并将全面、规范的文档资料交付给招标人，并提供明确的交付清单。</w:t>
      </w:r>
      <w:r/>
    </w:p>
    <w:p>
      <w:pPr>
        <w:pStyle w:val="821"/>
        <w:ind w:firstLine="0"/>
        <w:spacing w:line="360" w:lineRule="auto"/>
        <w:tabs>
          <w:tab w:val="left" w:pos="1180" w:leader="none"/>
        </w:tabs>
        <w:rPr>
          <w:rFonts w:hint="eastAsia" w:ascii="宋体" w:hAnsi="宋体" w:cs="宋体"/>
          <w:color w:val="auto"/>
          <w:highlight w:val="none"/>
        </w:rPr>
      </w:pPr>
      <w:r>
        <w:rPr>
          <w:rFonts w:hint="eastAsia" w:ascii="宋体" w:hAnsi="宋体" w:cs="宋体"/>
          <w:color w:val="auto"/>
          <w:highlight w:val="none"/>
        </w:rPr>
      </w:r>
      <w:r/>
    </w:p>
    <w:p>
      <w:pPr>
        <w:pStyle w:val="821"/>
        <w:ind w:firstLine="0"/>
        <w:spacing w:line="360" w:lineRule="auto"/>
        <w:tabs>
          <w:tab w:val="left" w:pos="1180" w:leader="none"/>
        </w:tabs>
        <w:rPr>
          <w:rFonts w:hint="eastAsia" w:ascii="宋体" w:hAnsi="宋体" w:cs="宋体"/>
          <w:color w:val="auto"/>
          <w:highlight w:val="none"/>
        </w:rPr>
      </w:pPr>
      <w:r>
        <w:rPr>
          <w:rFonts w:hint="eastAsia" w:ascii="宋体" w:hAnsi="宋体" w:cs="宋体"/>
          <w:color w:val="auto"/>
          <w:highlight w:val="none"/>
        </w:rPr>
      </w:r>
      <w:r/>
    </w:p>
    <w:p>
      <w:pPr>
        <w:pStyle w:val="821"/>
        <w:ind w:left="-187" w:firstLine="234"/>
        <w:spacing w:line="360" w:lineRule="auto"/>
        <w:tabs>
          <w:tab w:val="left" w:pos="1180" w:leader="none"/>
        </w:tabs>
        <w:rPr>
          <w:rFonts w:hint="eastAsia" w:ascii="宋体" w:hAnsi="宋体" w:cs="宋体"/>
          <w:color w:val="auto"/>
          <w:highlight w:val="none"/>
        </w:rPr>
      </w:pPr>
      <w:r>
        <w:rPr>
          <w:rFonts w:hint="eastAsia" w:ascii="宋体" w:hAnsi="宋体" w:cs="宋体"/>
          <w:color w:val="auto"/>
          <w:highlight w:val="none"/>
        </w:rPr>
      </w:r>
      <w:r/>
    </w:p>
    <w:p>
      <w:pPr>
        <w:pStyle w:val="821"/>
        <w:ind w:left="-187" w:firstLine="234"/>
        <w:spacing w:line="360" w:lineRule="auto"/>
        <w:tabs>
          <w:tab w:val="left" w:pos="1180" w:leader="none"/>
        </w:tabs>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bCs/>
          <w:color w:val="auto"/>
          <w:sz w:val="24"/>
          <w:highlight w:val="none"/>
        </w:rPr>
        <w:t xml:space="preserve">投标人根据各自情况自行编写并报价，报价包含人员、差旅、系统升级等所有费用，以所占合同金额比例的方式报价。</w:t>
      </w:r>
      <w:r/>
    </w:p>
    <w:p>
      <w:pPr>
        <w:pStyle w:val="821"/>
        <w:ind w:left="-187" w:firstLine="234"/>
        <w:spacing w:line="360" w:lineRule="auto"/>
        <w:tabs>
          <w:tab w:val="left" w:pos="1180" w:leader="none"/>
        </w:tabs>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2.本表中所报价格不计入投标总价，仅供招标人在质保期满后维保参考使用。</w:t>
      </w:r>
      <w:r/>
    </w:p>
    <w:p>
      <w:pPr>
        <w:pStyle w:val="821"/>
        <w:ind w:left="-187" w:firstLine="234"/>
        <w:spacing w:line="360" w:lineRule="auto"/>
        <w:tabs>
          <w:tab w:val="left" w:pos="1180" w:leader="none"/>
        </w:tabs>
        <w:rPr>
          <w:rFonts w:hint="eastAsia" w:ascii="宋体" w:hAnsi="宋体" w:cs="宋体"/>
          <w:color w:val="auto"/>
          <w:highlight w:val="none"/>
        </w:rPr>
      </w:pPr>
      <w:r>
        <w:rPr>
          <w:rFonts w:hint="eastAsia" w:ascii="宋体" w:hAnsi="宋体" w:cs="宋体"/>
          <w:color w:val="auto"/>
          <w:highlight w:val="none"/>
        </w:rPr>
      </w:r>
      <w:r/>
    </w:p>
    <w:p>
      <w:pPr>
        <w:spacing w:line="480" w:lineRule="auto"/>
        <w:rPr>
          <w:rFonts w:hint="eastAsia" w:ascii="宋体" w:hAnsi="宋体" w:cs="宋体"/>
          <w:color w:val="auto"/>
          <w:highlight w:val="none"/>
        </w:rPr>
      </w:pPr>
      <w:r>
        <w:rPr>
          <w:rFonts w:hint="eastAsia" w:ascii="宋体" w:hAnsi="宋体" w:cs="宋体"/>
          <w:color w:val="auto"/>
          <w:highlight w:val="none"/>
        </w:rPr>
      </w:r>
      <w:r/>
    </w:p>
    <w:p>
      <w:pPr>
        <w:jc w:val="right"/>
        <w:spacing w:line="71"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（投标人公章）</w:t>
      </w:r>
      <w:r/>
    </w:p>
    <w:p>
      <w:pPr>
        <w:ind w:firstLine="390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jc w:val="right"/>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ind w:firstLine="4470"/>
        <w:rPr>
          <w:rFonts w:hint="eastAsia" w:ascii="宋体" w:hAnsi="宋体" w:cs="宋体"/>
          <w:color w:val="auto"/>
          <w:sz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8"/>
          <w:highlight w:val="none"/>
        </w:rPr>
      </w:r>
      <w:r/>
    </w:p>
    <w:p>
      <w:pPr>
        <w:jc w:val="center"/>
        <w:spacing w:before="100" w:after="100"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八</w:t>
      </w:r>
      <w:r>
        <w:rPr>
          <w:rFonts w:hint="eastAsia" w:ascii="宋体" w:hAnsi="宋体" w:eastAsia="宋体" w:cs="宋体"/>
          <w:b w:val="0"/>
          <w:bCs/>
          <w:color w:val="auto"/>
          <w:sz w:val="32"/>
          <w:szCs w:val="32"/>
          <w:highlight w:val="none"/>
        </w:rPr>
        <w:t xml:space="preserve">、中小企业声明函格式</w:t>
      </w:r>
      <w:r/>
    </w:p>
    <w:p>
      <w:pPr>
        <w:spacing w:before="100" w:after="100" w:line="288"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spacing w:before="100" w:after="10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项目编号：</w:t>
      </w:r>
      <w:r/>
    </w:p>
    <w:p>
      <w:pPr>
        <w:spacing w:before="100" w:after="10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本公司郑重声明，根据《政府采购促进中小企业发展管理办法》（财库[2020]46号）的规定，本公司参加（</w:t>
      </w:r>
      <w:r>
        <w:rPr>
          <w:rFonts w:hint="eastAsia" w:ascii="宋体" w:hAnsi="宋体" w:cs="宋体"/>
          <w:b w:val="0"/>
          <w:bCs/>
          <w:color w:val="auto"/>
          <w:sz w:val="28"/>
          <w:szCs w:val="28"/>
          <w:highlight w:val="none"/>
          <w:u w:val="single"/>
          <w:lang w:eastAsia="zh-CN"/>
        </w:rPr>
        <w:t xml:space="preserve">徐州医科大学附属医院</w:t>
      </w:r>
      <w:r>
        <w:rPr>
          <w:rFonts w:hint="eastAsia" w:ascii="宋体" w:hAnsi="宋体" w:eastAsia="宋体" w:cs="宋体"/>
          <w:b w:val="0"/>
          <w:bCs/>
          <w:color w:val="auto"/>
          <w:sz w:val="28"/>
          <w:szCs w:val="28"/>
          <w:highlight w:val="none"/>
        </w:rPr>
        <w:t xml:space="preserve">）的（</w:t>
      </w:r>
      <w:r>
        <w:rPr>
          <w:rFonts w:hint="eastAsia" w:ascii="宋体" w:hAnsi="宋体" w:cs="宋体"/>
          <w:b w:val="0"/>
          <w:bCs/>
          <w:color w:val="auto"/>
          <w:sz w:val="28"/>
          <w:szCs w:val="28"/>
          <w:highlight w:val="none"/>
          <w:u w:val="single"/>
          <w:lang w:eastAsia="zh-CN"/>
        </w:rPr>
        <w:t xml:space="preserve">徐医附院基于人工智能的慢性病管理系统采购项目</w:t>
      </w:r>
      <w:r>
        <w:rPr>
          <w:rFonts w:hint="eastAsia" w:ascii="宋体" w:hAnsi="宋体" w:eastAsia="宋体" w:cs="宋体"/>
          <w:b w:val="0"/>
          <w:bCs/>
          <w:color w:val="auto"/>
          <w:sz w:val="28"/>
          <w:szCs w:val="28"/>
          <w:highlight w:val="none"/>
        </w:rPr>
        <w:t xml:space="preserve">）采购活动，提供的货物全部由符合政策要求的中小企业制造。相关企业的具体情况如下：</w:t>
      </w:r>
      <w:r/>
    </w:p>
    <w:p>
      <w:pPr>
        <w:pStyle w:val="95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基于人工智能的慢性病管理系统</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本企业对上述声明内容的真实性负责。如有虚假，将依法承担相应责任。</w:t>
      </w:r>
      <w:r/>
    </w:p>
    <w:p>
      <w:pPr>
        <w:pStyle w:val="95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5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企业名称（电子签章）：</w:t>
      </w:r>
      <w:r/>
    </w:p>
    <w:p>
      <w:pPr>
        <w:pStyle w:val="95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pStyle w:val="950"/>
        <w:ind w:left="0"/>
        <w:jc w:val="left"/>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50"/>
        <w:ind w:left="0"/>
        <w:jc w:val="left"/>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p>
    <w:p>
      <w:pPr>
        <w:pStyle w:val="95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5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2、从业人员、营业收入、资产总额填报上一年度数据，无上一年度数据的新成立企业可不填报。</w:t>
      </w:r>
      <w:r/>
    </w:p>
    <w:p>
      <w:pPr>
        <w:pStyle w:val="95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3、中标、成交供应商</w:t>
      </w:r>
      <w:r>
        <w:rPr>
          <w:rFonts w:hint="eastAsia" w:ascii="宋体" w:hAnsi="宋体" w:cs="宋体"/>
          <w:b w:val="0"/>
          <w:bCs/>
          <w:color w:val="auto"/>
          <w:sz w:val="28"/>
          <w:szCs w:val="28"/>
          <w:highlight w:val="none"/>
          <w:lang w:val="en-US" w:eastAsia="zh-CN"/>
        </w:rPr>
        <w:t xml:space="preserve">所投产品</w:t>
      </w:r>
      <w:r>
        <w:rPr>
          <w:rFonts w:hint="eastAsia" w:ascii="宋体" w:hAnsi="宋体" w:eastAsia="宋体" w:cs="宋体"/>
          <w:b w:val="0"/>
          <w:bCs/>
          <w:color w:val="auto"/>
          <w:sz w:val="28"/>
          <w:szCs w:val="28"/>
          <w:highlight w:val="none"/>
        </w:rPr>
        <w:t xml:space="preserve">为小型、微型企业</w:t>
      </w:r>
      <w:r>
        <w:rPr>
          <w:rFonts w:hint="eastAsia" w:ascii="宋体" w:hAnsi="宋体" w:cs="宋体"/>
          <w:b w:val="0"/>
          <w:bCs/>
          <w:color w:val="auto"/>
          <w:sz w:val="28"/>
          <w:szCs w:val="28"/>
          <w:highlight w:val="none"/>
          <w:lang w:val="en-US" w:eastAsia="zh-CN"/>
        </w:rPr>
        <w:t xml:space="preserve">制造</w:t>
      </w:r>
      <w:r>
        <w:rPr>
          <w:rFonts w:hint="eastAsia" w:ascii="宋体" w:hAnsi="宋体" w:eastAsia="宋体" w:cs="宋体"/>
          <w:b w:val="0"/>
          <w:bCs/>
          <w:color w:val="auto"/>
          <w:sz w:val="28"/>
          <w:szCs w:val="28"/>
          <w:highlight w:val="none"/>
        </w:rPr>
        <w:t xml:space="preserve">的，采购人或者其委托的采购代理机构有权随中标、成交结果同时公告其《中小企业声明函》，接受社会监督。</w:t>
      </w:r>
      <w:r/>
    </w:p>
    <w:p>
      <w:pPr>
        <w:pStyle w:val="95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4、执行江苏省财政厅关于进一步加大政府采购支持中小企业力度的通知（苏财购〔2022〕45号）的规定。</w:t>
      </w:r>
      <w:r/>
    </w:p>
    <w:p>
      <w:pPr>
        <w:pStyle w:val="95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5、供应商提供的《中小企业声明函》与事实不符的，依照《</w:t>
      </w:r>
      <w:r>
        <w:rPr>
          <w:rFonts w:hint="eastAsia" w:ascii="宋体" w:hAnsi="宋体" w:cs="宋体"/>
          <w:b w:val="0"/>
          <w:bCs/>
          <w:color w:val="auto"/>
          <w:sz w:val="28"/>
          <w:szCs w:val="28"/>
          <w:highlight w:val="none"/>
          <w:lang w:eastAsia="zh-CN"/>
        </w:rPr>
        <w:t xml:space="preserve">中华人民共和国政府采购法</w:t>
      </w:r>
      <w:r>
        <w:rPr>
          <w:rFonts w:hint="eastAsia" w:ascii="宋体" w:hAnsi="宋体" w:eastAsia="宋体" w:cs="宋体"/>
          <w:b w:val="0"/>
          <w:bCs/>
          <w:color w:val="auto"/>
          <w:sz w:val="28"/>
          <w:szCs w:val="28"/>
          <w:highlight w:val="none"/>
        </w:rPr>
        <w:t xml:space="preserve">》第七十七条第一款的规定追究法律责任。</w:t>
      </w:r>
      <w:r/>
    </w:p>
    <w:p>
      <w:pPr>
        <w:jc w:val="left"/>
        <w:keepLines w:val="0"/>
        <w:keepNext w:val="0"/>
        <w:pageBreakBefore w:val="0"/>
        <w:spacing w:line="288" w:lineRule="auto"/>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1888490" cy="3731895"/>
                <wp:effectExtent l="0" t="0" r="16510"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8"/>
                        <a:stretch/>
                      </pic:blipFill>
                      <pic:spPr bwMode="auto">
                        <a:xfrm>
                          <a:off x="0" y="0"/>
                          <a:ext cx="1888490" cy="3731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8.7pt;height:293.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九</w:t>
      </w:r>
      <w:r>
        <w:rPr>
          <w:rFonts w:hint="eastAsia" w:ascii="宋体" w:hAnsi="宋体" w:eastAsia="宋体" w:cs="宋体"/>
          <w:b w:val="0"/>
          <w:bCs/>
          <w:color w:val="auto"/>
          <w:sz w:val="32"/>
          <w:szCs w:val="32"/>
          <w:highlight w:val="none"/>
        </w:rPr>
        <w:t xml:space="preserve">、残疾人福利性单位声明函格式</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（如投标人不属于残疾人福利性单位不需要提供此声明函）</w:t>
      </w:r>
      <w:r/>
    </w:p>
    <w:p>
      <w:pPr>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项目编号：</w:t>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项目名称：</w:t>
      </w:r>
      <w:r/>
    </w:p>
    <w:p>
      <w:pPr>
        <w:ind w:firstLine="624"/>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本单位郑重声明，根据《财政部 民政部 中国残疾人联合会关于促进残疾人就业政府采购政策的通知》（财库</w:t>
      </w:r>
      <w:r>
        <w:rPr>
          <w:rFonts w:hint="eastAsia" w:ascii="宋体" w:hAnsi="宋体" w:eastAsia="宋体" w:cs="宋体"/>
          <w:b w:val="0"/>
          <w:bCs/>
          <w:color w:val="auto"/>
          <w:sz w:val="30"/>
          <w:highlight w:val="none"/>
        </w:rPr>
        <w:t xml:space="preserve">〔2017〕 141</w:t>
      </w:r>
      <w:r>
        <w:rPr>
          <w:rFonts w:hint="eastAsia" w:ascii="宋体" w:hAnsi="宋体" w:eastAsia="宋体" w:cs="宋体"/>
          <w:b w:val="0"/>
          <w:bCs/>
          <w:color w:val="auto"/>
          <w:spacing w:val="6"/>
          <w:sz w:val="30"/>
          <w:highlight w:val="none"/>
        </w:rPr>
        <w:t xml:space="preserve">号）的规定，本单位为符合条件的残疾人福利性单位，且本单位参加</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单位的</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本单位对上述声明的真实性负责。如有虚假，将依法承担相应责任。</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255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45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726"/>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45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t xml:space="preserve">十、投标人资格承诺</w:t>
      </w:r>
      <w:r/>
    </w:p>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致(采购人、采购代理机构)：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按照《中华人民共和国政府采购法》第二十二条和招标文件的规定，我单位郑重声明如下：</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一、我单位是按照中华人民共和国法律规定登记注册的，注册地点为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，全称为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，统一社会信用代码为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，法定代表人（</w:t>
      </w:r>
      <w:r>
        <w:rPr>
          <w:rFonts w:hint="eastAsia" w:ascii="宋体" w:hAnsi="宋体" w:cs="宋体"/>
          <w:color w:val="auto"/>
          <w:spacing w:val="-2"/>
          <w:sz w:val="24"/>
          <w:szCs w:val="24"/>
          <w:highlight w:val="none"/>
        </w:rPr>
        <w:t xml:space="preserve">单</w:t>
      </w:r>
      <w:r>
        <w:rPr>
          <w:rFonts w:hint="eastAsia" w:ascii="宋体" w:hAnsi="宋体" w:cs="宋体"/>
          <w:color w:val="auto"/>
          <w:sz w:val="24"/>
          <w:szCs w:val="24"/>
          <w:highlight w:val="none"/>
        </w:rPr>
        <w:t xml:space="preserve">位</w:t>
      </w:r>
      <w:r>
        <w:rPr>
          <w:rFonts w:hint="eastAsia" w:ascii="宋体" w:hAnsi="宋体" w:cs="宋体"/>
          <w:color w:val="auto"/>
          <w:spacing w:val="-2"/>
          <w:sz w:val="24"/>
          <w:szCs w:val="24"/>
          <w:highlight w:val="none"/>
        </w:rPr>
        <w:t xml:space="preserve">负</w:t>
      </w:r>
      <w:r>
        <w:rPr>
          <w:rFonts w:hint="eastAsia" w:ascii="宋体" w:hAnsi="宋体" w:cs="宋体"/>
          <w:color w:val="auto"/>
          <w:sz w:val="24"/>
          <w:szCs w:val="24"/>
          <w:highlight w:val="none"/>
        </w:rPr>
        <w:t xml:space="preserve">责人</w:t>
      </w:r>
      <w:r>
        <w:rPr>
          <w:rFonts w:hint="eastAsia" w:ascii="宋体" w:hAnsi="宋体" w:cs="宋体"/>
          <w:color w:val="auto"/>
          <w:spacing w:val="-2"/>
          <w:sz w:val="24"/>
          <w:szCs w:val="24"/>
          <w:highlight w:val="none"/>
        </w:rPr>
        <w:t xml:space="preserve">）</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，具有独立承担民事责任的能力。</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二、我单位未被“国家企业信用信息系统”列入经营异常名录或者严重违法企业名单。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三、我单位具有良好的商业信誉和健全的财务会计制度。</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注：“良好的商业信誉”是指投标人经营状况良好，无本资格声明第十条情形。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四、我单位依法进行纳税和社会保险申报并实际履行了义务。</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五、我单位具有履行本项目采购合同所必需的设备和专业技术能力，并具有履行合同的良好记录。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投标人在参加政府采购活动前3年内因违法经营被禁止在一定期限内参加政府采购活动，期限届满的，可以参加政府采购活动。</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七、我单位具备法律、行政法规规定的其他条件。</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八、与我单位存在“单位负责人为同一人或者存在直接控股、管理关系”的其他单位信息如下（如无，填写“无”）：</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1、与我单位的法定代表人（单位负责人）为同一人的其他单位如下：</w:t>
      </w:r>
      <w:r>
        <w:rPr>
          <w:rFonts w:hint="eastAsia" w:ascii="宋体" w:hAnsi="宋体" w:cs="宋体"/>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我单位直接控股的其他单位如下：</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与我单位存在管理关系的其他单位如下：</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九、我单位不属于为本项目提供整体设计、规范编制或者项目管理、监理、检测等服务的投标人。</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十、我单位无以下不良信用记录情形：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1、在“信用中国”网站被列入失信被执行人和重大税收违法案件当事人名单；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2、在“中国政府采购网”网站被列入政府采购严重违法失信行为记录名单；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3、不符合《政府采购法》第二十二条规定的条件。</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我单位保证上述声明的事项都是真实的，如有虚假，我单位愿意承担相应的法律责任，并承担因此所造成的一切损失。</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十一、因本项目不收取保证金，我公司承诺，如有下列情形之一的，愿意承担相关的法律责任，并接受财政部门的相关处罚。</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中标、成交后无正当理由不与采购人签订合同的；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未经采购人同意，将中标、成交项目分包方式履行合同的；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在提交投标文件截止时间后撤回投标文件的；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（四）在投标文件中提供虚假材料的；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（五）与采购人、其他投标人或者采购代理机构恶意串通的；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（六）法律法规或者采购文件规定的其他情形。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特此承诺！</w:t>
      </w:r>
      <w:r/>
    </w:p>
    <w:p>
      <w:pPr>
        <w:jc w:val="right"/>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jc w:val="right"/>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电子签章</w:t>
      </w:r>
      <w:r>
        <w:rPr>
          <w:rFonts w:hint="eastAsia" w:ascii="宋体" w:hAnsi="宋体" w:cs="宋体"/>
          <w:color w:val="auto"/>
          <w:sz w:val="24"/>
          <w:szCs w:val="24"/>
          <w:highlight w:val="none"/>
        </w:rPr>
        <w:t xml:space="preserve">）</w:t>
      </w:r>
      <w:r/>
    </w:p>
    <w:p>
      <w:pPr>
        <w:ind w:firstLine="3900"/>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ind w:firstLine="3667"/>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color w:val="auto"/>
          <w:sz w:val="24"/>
          <w:szCs w:val="24"/>
          <w:highlight w:val="none"/>
        </w:rPr>
        <w:t xml:space="preserve">日期：  年  月  日</w:t>
      </w:r>
      <w:r/>
    </w:p>
    <w:p>
      <w:pPr>
        <w:ind w:firstLine="30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br w:type="page" w:clear="all"/>
      </w:r>
      <w:r/>
    </w:p>
    <w:p>
      <w:pPr>
        <w:jc w:val="center"/>
        <w:spacing w:line="479" w:lineRule="atLeast"/>
        <w:rPr>
          <w:rFonts w:ascii="宋体" w:hAnsi="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十一</w:t>
      </w:r>
      <w:r>
        <w:rPr>
          <w:rFonts w:hint="eastAsia" w:ascii="宋体" w:hAnsi="宋体" w:cs="宋体"/>
          <w:b w:val="0"/>
          <w:bCs/>
          <w:color w:val="auto"/>
          <w:sz w:val="32"/>
          <w:szCs w:val="32"/>
          <w:highlight w:val="none"/>
        </w:rPr>
        <w:t xml:space="preserve">、具备履行合同所必需的设备和专业技术能力的书面声明（附证明材料扫描件）格式（投标人可自行拟定）</w:t>
      </w:r>
      <w:r/>
    </w:p>
    <w:p>
      <w:pPr>
        <w:spacing w:line="360" w:lineRule="auto"/>
        <w:rPr>
          <w:rFonts w:ascii="宋体" w:hAnsi="宋体" w:cs="宋体"/>
          <w:b w:val="0"/>
          <w:bCs/>
          <w:color w:val="auto"/>
          <w:sz w:val="24"/>
          <w:highlight w:val="none"/>
        </w:rPr>
      </w:pPr>
      <w:r>
        <w:rPr>
          <w:rFonts w:ascii="宋体" w:hAnsi="宋体" w:cs="宋体"/>
          <w:b w:val="0"/>
          <w:bCs/>
          <w:color w:val="auto"/>
          <w:sz w:val="24"/>
          <w:highlight w:val="none"/>
        </w:rPr>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项目编号：</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项目名称：</w:t>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firstLine="560"/>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供应商郑重声明：投标人具备履行合同（项目名称：，项目编号： 所必需的设备和专业技术能力，具体为：</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设备：</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专业技术能力：</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 特此声明。</w:t>
      </w:r>
      <w:r/>
    </w:p>
    <w:p>
      <w:pPr>
        <w:spacing w:line="360" w:lineRule="auto"/>
        <w:rPr>
          <w:rFonts w:ascii="宋体" w:hAnsi="宋体" w:cs="宋体"/>
          <w:b w:val="0"/>
          <w:bCs/>
          <w:color w:val="auto"/>
          <w:spacing w:val="6"/>
          <w:sz w:val="28"/>
          <w:szCs w:val="28"/>
          <w:highlight w:val="none"/>
        </w:rPr>
      </w:pPr>
      <w:r>
        <w:rPr>
          <w:rFonts w:hint="eastAsia" w:ascii="宋体" w:hAnsi="宋体" w:cs="宋体"/>
          <w:b w:val="0"/>
          <w:bCs/>
          <w:color w:val="auto"/>
          <w:sz w:val="28"/>
          <w:szCs w:val="28"/>
          <w:highlight w:val="none"/>
        </w:rPr>
        <w:t xml:space="preserve">供应商对上述声明的真实性负责。如有虚假，将依法承担相应责任。</w:t>
      </w:r>
      <w:r/>
    </w:p>
    <w:p>
      <w:pPr>
        <w:jc w:val="left"/>
        <w:spacing w:line="380" w:lineRule="exact"/>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pStyle w:val="814"/>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投标人（电子签章）：</w:t>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日期：  年  月  日</w:t>
      </w:r>
      <w:r/>
    </w:p>
    <w:p>
      <w:pP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br w:type="page" w:clear="all"/>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十二、关于符合本国产品标准的声明函</w:t>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r>
      <w:r/>
    </w:p>
    <w:p>
      <w:pPr>
        <w:ind w:left="0" w:right="0" w:firstLine="0"/>
        <w:jc w:val="center"/>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keepLines w:val="0"/>
        <w:keepNext w:val="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rPr>
        <w:t xml:space="preserve">基于人工智能的慢性病管理系统</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jc w:val="right"/>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before="30" w:after="30" w:line="360" w:lineRule="auto"/>
        <w:shd w:val="clear" w:color="ffffff"/>
        <w:widowControl w:val="off"/>
        <w:rPr>
          <w:rFonts w:hint="eastAsia" w:ascii="宋体" w:hAnsi="宋体" w:eastAsia="宋体" w:cs="宋体"/>
          <w:b w:val="0"/>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楷体_GB2312">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pBdr>
        <w:bottom w:val="single" w:color="000000" w:sz="4" w:space="0"/>
      </w:pBdr>
    </w:pPr>
    <w:r>
      <w:rPr>
        <w:rFonts w:hint="eastAsia"/>
        <w:lang w:eastAsia="zh-CN"/>
      </w:rPr>
      <w:t xml:space="preserve">徐医附院基于人工智能的慢性病管理系统采购项目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徐医附院基于人工智能的慢性病管理系统采购项目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徐医附院基于人工智能的慢性病管理系统采购项目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next w:val="809"/>
    <w:link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name w:val="Heading 1"/>
    <w:basedOn w:val="797"/>
    <w:next w:val="797"/>
    <w:link w:val="852"/>
    <w:uiPriority w:val="9"/>
    <w:qFormat/>
    <w:pPr>
      <w:keepLines/>
      <w:keepNext/>
      <w:spacing w:before="480" w:after="200"/>
      <w:outlineLvl w:val="0"/>
    </w:pPr>
    <w:rPr>
      <w:rFonts w:ascii="Arial" w:hAnsi="Arial" w:eastAsia="Arial" w:cs="Arial"/>
      <w:sz w:val="40"/>
      <w:szCs w:val="40"/>
    </w:rPr>
  </w:style>
  <w:style w:type="paragraph" w:styleId="799">
    <w:name w:val="Heading 2"/>
    <w:basedOn w:val="797"/>
    <w:next w:val="797"/>
    <w:link w:val="853"/>
    <w:uiPriority w:val="9"/>
    <w:unhideWhenUsed/>
    <w:qFormat/>
    <w:pPr>
      <w:keepLines/>
      <w:keepNext/>
      <w:spacing w:before="360" w:after="200"/>
      <w:outlineLvl w:val="1"/>
    </w:pPr>
    <w:rPr>
      <w:rFonts w:ascii="Arial" w:hAnsi="Arial" w:eastAsia="Arial" w:cs="Arial"/>
      <w:sz w:val="34"/>
    </w:rPr>
  </w:style>
  <w:style w:type="paragraph" w:styleId="800">
    <w:name w:val="Heading 3"/>
    <w:basedOn w:val="797"/>
    <w:next w:val="797"/>
    <w:link w:val="854"/>
    <w:uiPriority w:val="9"/>
    <w:unhideWhenUsed/>
    <w:qFormat/>
    <w:pPr>
      <w:keepLines/>
      <w:keepNext/>
      <w:spacing w:before="320" w:after="200"/>
      <w:outlineLvl w:val="2"/>
    </w:pPr>
    <w:rPr>
      <w:rFonts w:ascii="Arial" w:hAnsi="Arial" w:eastAsia="Arial" w:cs="Arial"/>
      <w:sz w:val="30"/>
      <w:szCs w:val="30"/>
    </w:rPr>
  </w:style>
  <w:style w:type="paragraph" w:styleId="801">
    <w:name w:val="Heading 4"/>
    <w:basedOn w:val="797"/>
    <w:next w:val="797"/>
    <w:link w:val="855"/>
    <w:uiPriority w:val="9"/>
    <w:unhideWhenUsed/>
    <w:qFormat/>
    <w:pPr>
      <w:keepLines/>
      <w:keepNext/>
      <w:spacing w:before="320" w:after="200"/>
      <w:outlineLvl w:val="3"/>
    </w:pPr>
    <w:rPr>
      <w:rFonts w:ascii="Arial" w:hAnsi="Arial" w:eastAsia="Arial" w:cs="Arial"/>
      <w:b/>
      <w:bCs/>
      <w:sz w:val="26"/>
      <w:szCs w:val="26"/>
    </w:rPr>
  </w:style>
  <w:style w:type="paragraph" w:styleId="802">
    <w:name w:val="Heading 5"/>
    <w:basedOn w:val="797"/>
    <w:next w:val="797"/>
    <w:link w:val="856"/>
    <w:uiPriority w:val="9"/>
    <w:unhideWhenUsed/>
    <w:qFormat/>
    <w:pPr>
      <w:keepLines/>
      <w:keepNext/>
      <w:spacing w:before="320" w:after="200"/>
      <w:outlineLvl w:val="4"/>
    </w:pPr>
    <w:rPr>
      <w:rFonts w:ascii="Arial" w:hAnsi="Arial" w:eastAsia="Arial" w:cs="Arial"/>
      <w:b/>
      <w:bCs/>
      <w:sz w:val="24"/>
      <w:szCs w:val="24"/>
    </w:rPr>
  </w:style>
  <w:style w:type="paragraph" w:styleId="803">
    <w:name w:val="Heading 6"/>
    <w:basedOn w:val="797"/>
    <w:next w:val="797"/>
    <w:link w:val="857"/>
    <w:uiPriority w:val="9"/>
    <w:unhideWhenUsed/>
    <w:qFormat/>
    <w:pPr>
      <w:keepLines/>
      <w:keepNext/>
      <w:spacing w:before="320" w:after="200"/>
      <w:outlineLvl w:val="5"/>
    </w:pPr>
    <w:rPr>
      <w:rFonts w:ascii="Arial" w:hAnsi="Arial" w:eastAsia="Arial" w:cs="Arial"/>
      <w:b/>
      <w:bCs/>
      <w:sz w:val="22"/>
      <w:szCs w:val="22"/>
    </w:rPr>
  </w:style>
  <w:style w:type="paragraph" w:styleId="804">
    <w:name w:val="Heading 7"/>
    <w:basedOn w:val="797"/>
    <w:next w:val="797"/>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05">
    <w:name w:val="Heading 8"/>
    <w:basedOn w:val="797"/>
    <w:next w:val="797"/>
    <w:link w:val="859"/>
    <w:uiPriority w:val="9"/>
    <w:unhideWhenUsed/>
    <w:qFormat/>
    <w:pPr>
      <w:keepLines/>
      <w:keepNext/>
      <w:spacing w:before="320" w:after="200"/>
      <w:outlineLvl w:val="7"/>
    </w:pPr>
    <w:rPr>
      <w:rFonts w:ascii="Arial" w:hAnsi="Arial" w:eastAsia="Arial" w:cs="Arial"/>
      <w:i/>
      <w:iCs/>
      <w:sz w:val="22"/>
      <w:szCs w:val="22"/>
    </w:rPr>
  </w:style>
  <w:style w:type="paragraph" w:styleId="806">
    <w:name w:val="Heading 9"/>
    <w:basedOn w:val="797"/>
    <w:next w:val="797"/>
    <w:link w:val="860"/>
    <w:uiPriority w:val="9"/>
    <w:unhideWhenUsed/>
    <w:qFormat/>
    <w:pPr>
      <w:keepLines/>
      <w:keepNext/>
      <w:spacing w:before="320" w:after="200"/>
      <w:outlineLvl w:val="8"/>
    </w:pPr>
    <w:rPr>
      <w:rFonts w:ascii="Arial" w:hAnsi="Arial" w:eastAsia="Arial" w:cs="Arial"/>
      <w:i/>
      <w:iCs/>
      <w:sz w:val="21"/>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customStyle="1">
    <w:name w:val="列表段落1"/>
    <w:basedOn w:val="810"/>
    <w:next w:val="797"/>
    <w:uiPriority w:val="99"/>
    <w:qFormat/>
    <w:pPr>
      <w:ind w:firstLine="420"/>
    </w:pPr>
  </w:style>
  <w:style w:type="paragraph" w:styleId="810" w:customStyle="1">
    <w:name w:val="正文1"/>
    <w:basedOn w:val="811"/>
    <w:next w:val="819"/>
    <w:uiPriority w:val="0"/>
    <w:qFormat/>
    <w:pPr>
      <w:jc w:val="left"/>
      <w:spacing w:line="360" w:lineRule="atLeast"/>
    </w:pPr>
    <w:rPr>
      <w:rFonts w:ascii="宋体" w:hAnsi="Calibri" w:eastAsia="宋体" w:cs="Times New Roman"/>
      <w:sz w:val="24"/>
      <w:szCs w:val="20"/>
    </w:rPr>
  </w:style>
  <w:style w:type="paragraph" w:styleId="811" w:customStyle="1">
    <w:name w:val="正文11"/>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目录 11"/>
    <w:basedOn w:val="813"/>
    <w:next w:val="811"/>
    <w:uiPriority w:val="0"/>
    <w:qFormat/>
    <w:pPr>
      <w:jc w:val="left"/>
      <w:spacing w:after="100" w:line="259" w:lineRule="auto"/>
      <w:widowControl/>
    </w:pPr>
    <w:rPr>
      <w:rFonts w:ascii="Calibri" w:hAnsi="Calibri"/>
      <w:sz w:val="22"/>
      <w:szCs w:val="22"/>
    </w:rPr>
  </w:style>
  <w:style w:type="paragraph" w:styleId="813" w:customStyle="1">
    <w:name w:val="正文12"/>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正文文本11"/>
    <w:basedOn w:val="815"/>
    <w:next w:val="816"/>
    <w:uiPriority w:val="99"/>
    <w:qFormat/>
    <w:pPr>
      <w:spacing w:after="120"/>
    </w:pPr>
    <w:rPr>
      <w:rFonts w:ascii="Calibri" w:hAnsi="Calibri"/>
    </w:rPr>
  </w:style>
  <w:style w:type="paragraph" w:styleId="815" w:customStyle="1">
    <w:name w:val="正文112"/>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customStyle="1">
    <w:name w:val="一级条标题"/>
    <w:basedOn w:val="817"/>
    <w:next w:val="8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7" w:customStyle="1">
    <w:name w:val="章标题"/>
    <w:next w:val="81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18" w:customStyle="1">
    <w:name w:val="段"/>
    <w:basedOn w:val="810"/>
    <w:next w:val="797"/>
    <w:uiPriority w:val="0"/>
    <w:qFormat/>
    <w:pPr>
      <w:ind w:firstLine="200"/>
      <w:widowControl/>
    </w:pPr>
    <w:rPr>
      <w:sz w:val="20"/>
    </w:rPr>
  </w:style>
  <w:style w:type="paragraph" w:styleId="819" w:customStyle="1">
    <w:name w:val="正文文本1"/>
    <w:basedOn w:val="811"/>
    <w:next w:val="810"/>
    <w:uiPriority w:val="99"/>
    <w:qFormat/>
    <w:pPr>
      <w:spacing w:after="120"/>
    </w:pPr>
    <w:rPr>
      <w:rFonts w:ascii="Calibri" w:hAnsi="Calibri"/>
    </w:rPr>
  </w:style>
  <w:style w:type="paragraph" w:styleId="820">
    <w:name w:val="toc 7"/>
    <w:basedOn w:val="797"/>
    <w:next w:val="797"/>
    <w:uiPriority w:val="39"/>
    <w:unhideWhenUsed/>
    <w:qFormat/>
    <w:pPr>
      <w:ind w:left="1701" w:right="0" w:firstLine="0"/>
      <w:spacing w:after="57"/>
    </w:pPr>
  </w:style>
  <w:style w:type="paragraph" w:styleId="821">
    <w:name w:val="Normal Indent"/>
    <w:basedOn w:val="797"/>
    <w:uiPriority w:val="0"/>
    <w:qFormat/>
    <w:pPr>
      <w:ind w:firstLine="420"/>
    </w:pPr>
  </w:style>
  <w:style w:type="paragraph" w:styleId="822">
    <w:name w:val="Caption"/>
    <w:basedOn w:val="797"/>
    <w:next w:val="7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3">
    <w:name w:val="annotation text"/>
    <w:basedOn w:val="797"/>
    <w:uiPriority w:val="99"/>
    <w:semiHidden/>
    <w:unhideWhenUsed/>
    <w:qFormat/>
    <w:pPr>
      <w:jc w:val="left"/>
    </w:pPr>
  </w:style>
  <w:style w:type="paragraph" w:styleId="824">
    <w:name w:val="Body Text"/>
    <w:basedOn w:val="797"/>
    <w:next w:val="797"/>
    <w:uiPriority w:val="99"/>
    <w:qFormat/>
    <w:pPr>
      <w:spacing w:after="120"/>
    </w:pPr>
    <w:rPr>
      <w:rFonts w:ascii="Calibri" w:hAnsi="Calibri"/>
    </w:rPr>
  </w:style>
  <w:style w:type="paragraph" w:styleId="825">
    <w:name w:val="Body Text Indent"/>
    <w:basedOn w:val="797"/>
    <w:uiPriority w:val="0"/>
    <w:qFormat/>
    <w:pPr>
      <w:ind w:left="420"/>
      <w:spacing w:after="120"/>
    </w:pPr>
    <w:rPr>
      <w:rFonts w:ascii="Calibri" w:hAnsi="Calibri"/>
    </w:rPr>
  </w:style>
  <w:style w:type="paragraph" w:styleId="826">
    <w:name w:val="Block Text"/>
    <w:basedOn w:val="797"/>
    <w:uiPriority w:val="99"/>
    <w:unhideWhenUsed/>
    <w:qFormat/>
    <w:pPr>
      <w:ind w:left="1440" w:right="1440"/>
      <w:spacing w:after="120"/>
    </w:pPr>
  </w:style>
  <w:style w:type="paragraph" w:styleId="827">
    <w:name w:val="toc 5"/>
    <w:basedOn w:val="797"/>
    <w:next w:val="797"/>
    <w:uiPriority w:val="39"/>
    <w:unhideWhenUsed/>
    <w:qFormat/>
    <w:pPr>
      <w:ind w:left="1134" w:right="0" w:firstLine="0"/>
      <w:spacing w:after="57"/>
    </w:pPr>
  </w:style>
  <w:style w:type="paragraph" w:styleId="828">
    <w:name w:val="toc 3"/>
    <w:basedOn w:val="797"/>
    <w:next w:val="797"/>
    <w:uiPriority w:val="39"/>
    <w:unhideWhenUsed/>
    <w:qFormat/>
    <w:pPr>
      <w:ind w:left="567" w:right="0" w:firstLine="0"/>
      <w:spacing w:after="57"/>
    </w:pPr>
  </w:style>
  <w:style w:type="paragraph" w:styleId="829">
    <w:name w:val="toc 8"/>
    <w:basedOn w:val="797"/>
    <w:next w:val="797"/>
    <w:uiPriority w:val="39"/>
    <w:unhideWhenUsed/>
    <w:qFormat/>
    <w:pPr>
      <w:ind w:left="1984" w:right="0" w:firstLine="0"/>
      <w:spacing w:after="57"/>
    </w:pPr>
  </w:style>
  <w:style w:type="paragraph" w:styleId="830">
    <w:name w:val="endnote text"/>
    <w:basedOn w:val="797"/>
    <w:link w:val="872"/>
    <w:uiPriority w:val="99"/>
    <w:semiHidden/>
    <w:unhideWhenUsed/>
    <w:qFormat/>
    <w:pPr>
      <w:spacing w:after="0" w:line="240" w:lineRule="auto"/>
    </w:pPr>
    <w:rPr>
      <w:sz w:val="20"/>
    </w:rPr>
  </w:style>
  <w:style w:type="paragraph" w:styleId="831">
    <w:name w:val="Footer"/>
    <w:basedOn w:val="797"/>
    <w:link w:val="870"/>
    <w:uiPriority w:val="99"/>
    <w:unhideWhenUsed/>
    <w:qFormat/>
    <w:pPr>
      <w:spacing w:after="0" w:line="240" w:lineRule="auto"/>
      <w:tabs>
        <w:tab w:val="center" w:pos="7143" w:leader="none"/>
        <w:tab w:val="right" w:pos="14287" w:leader="none"/>
      </w:tabs>
    </w:pPr>
  </w:style>
  <w:style w:type="paragraph" w:styleId="832">
    <w:name w:val="Header"/>
    <w:basedOn w:val="797"/>
    <w:link w:val="869"/>
    <w:uiPriority w:val="99"/>
    <w:unhideWhenUsed/>
    <w:qFormat/>
    <w:pPr>
      <w:spacing w:after="0" w:line="240" w:lineRule="auto"/>
      <w:tabs>
        <w:tab w:val="center" w:pos="7143" w:leader="none"/>
        <w:tab w:val="right" w:pos="14287" w:leader="none"/>
      </w:tabs>
    </w:pPr>
  </w:style>
  <w:style w:type="paragraph" w:styleId="833">
    <w:name w:val="toc 1"/>
    <w:basedOn w:val="797"/>
    <w:next w:val="797"/>
    <w:uiPriority w:val="39"/>
    <w:unhideWhenUsed/>
    <w:qFormat/>
    <w:pPr>
      <w:ind w:left="0" w:right="0" w:firstLine="0"/>
      <w:spacing w:after="57"/>
    </w:pPr>
  </w:style>
  <w:style w:type="paragraph" w:styleId="834">
    <w:name w:val="toc 4"/>
    <w:basedOn w:val="797"/>
    <w:next w:val="797"/>
    <w:uiPriority w:val="39"/>
    <w:unhideWhenUsed/>
    <w:qFormat/>
    <w:pPr>
      <w:ind w:left="850" w:right="0" w:firstLine="0"/>
      <w:spacing w:after="57"/>
    </w:pPr>
  </w:style>
  <w:style w:type="paragraph" w:styleId="835">
    <w:name w:val="Subtitle"/>
    <w:basedOn w:val="797"/>
    <w:next w:val="797"/>
    <w:link w:val="864"/>
    <w:uiPriority w:val="11"/>
    <w:qFormat/>
    <w:pPr>
      <w:spacing w:before="200" w:after="200"/>
    </w:pPr>
    <w:rPr>
      <w:sz w:val="24"/>
      <w:szCs w:val="24"/>
    </w:rPr>
  </w:style>
  <w:style w:type="paragraph" w:styleId="836">
    <w:name w:val="footnote text"/>
    <w:basedOn w:val="797"/>
    <w:link w:val="871"/>
    <w:uiPriority w:val="99"/>
    <w:semiHidden/>
    <w:unhideWhenUsed/>
    <w:qFormat/>
    <w:pPr>
      <w:spacing w:after="40" w:line="240" w:lineRule="auto"/>
    </w:pPr>
    <w:rPr>
      <w:sz w:val="18"/>
    </w:rPr>
  </w:style>
  <w:style w:type="paragraph" w:styleId="837">
    <w:name w:val="toc 6"/>
    <w:basedOn w:val="797"/>
    <w:next w:val="797"/>
    <w:uiPriority w:val="39"/>
    <w:unhideWhenUsed/>
    <w:qFormat/>
    <w:pPr>
      <w:ind w:left="1417" w:right="0" w:firstLine="0"/>
      <w:spacing w:after="57"/>
    </w:pPr>
  </w:style>
  <w:style w:type="paragraph" w:styleId="838">
    <w:name w:val="table of figures"/>
    <w:basedOn w:val="797"/>
    <w:next w:val="797"/>
    <w:uiPriority w:val="99"/>
    <w:unhideWhenUsed/>
    <w:qFormat/>
    <w:pPr>
      <w:spacing w:after="0" w:afterAutospacing="0"/>
    </w:pPr>
  </w:style>
  <w:style w:type="paragraph" w:styleId="839">
    <w:name w:val="toc 2"/>
    <w:basedOn w:val="797"/>
    <w:next w:val="797"/>
    <w:uiPriority w:val="39"/>
    <w:unhideWhenUsed/>
    <w:qFormat/>
    <w:pPr>
      <w:ind w:left="283" w:right="0" w:firstLine="0"/>
      <w:spacing w:after="57"/>
    </w:pPr>
  </w:style>
  <w:style w:type="paragraph" w:styleId="840">
    <w:name w:val="toc 9"/>
    <w:basedOn w:val="797"/>
    <w:next w:val="797"/>
    <w:uiPriority w:val="39"/>
    <w:unhideWhenUsed/>
    <w:qFormat/>
    <w:pPr>
      <w:ind w:left="2268" w:right="0" w:firstLine="0"/>
      <w:spacing w:after="57"/>
    </w:pPr>
  </w:style>
  <w:style w:type="paragraph" w:styleId="841">
    <w:name w:val="Normal (Web)"/>
    <w:basedOn w:val="797"/>
    <w:uiPriority w:val="99"/>
    <w:semiHidden/>
    <w:unhideWhenUsed/>
    <w:qFormat/>
    <w:pPr>
      <w:ind w:left="0" w:right="0"/>
      <w:jc w:val="left"/>
      <w:spacing w:before="0" w:beforeAutospacing="1" w:after="0" w:afterAutospacing="1"/>
    </w:pPr>
    <w:rPr>
      <w:sz w:val="24"/>
      <w:lang w:val="en-US" w:eastAsia="zh-CN" w:bidi="ar"/>
    </w:rPr>
  </w:style>
  <w:style w:type="paragraph" w:styleId="842">
    <w:name w:val="Title"/>
    <w:basedOn w:val="797"/>
    <w:next w:val="797"/>
    <w:link w:val="863"/>
    <w:uiPriority w:val="10"/>
    <w:qFormat/>
    <w:pPr>
      <w:contextualSpacing/>
      <w:spacing w:before="300" w:after="200"/>
    </w:pPr>
    <w:rPr>
      <w:sz w:val="48"/>
      <w:szCs w:val="48"/>
    </w:rPr>
  </w:style>
  <w:style w:type="paragraph" w:styleId="843">
    <w:name w:val="Body Text First Indent"/>
    <w:basedOn w:val="824"/>
    <w:next w:val="844"/>
    <w:uiPriority w:val="0"/>
    <w:qFormat/>
    <w:pPr>
      <w:ind w:firstLine="420"/>
    </w:pPr>
  </w:style>
  <w:style w:type="paragraph" w:styleId="844">
    <w:name w:val="Body Text First Indent 2"/>
    <w:basedOn w:val="825"/>
    <w:uiPriority w:val="0"/>
    <w:qFormat/>
    <w:pPr>
      <w:ind w:firstLine="420"/>
      <w:spacing w:line="360" w:lineRule="auto"/>
    </w:pPr>
    <w:rPr>
      <w:color w:val="000000"/>
      <w:sz w:val="20"/>
    </w:rPr>
  </w:style>
  <w:style w:type="table" w:styleId="8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Strong"/>
    <w:basedOn w:val="807"/>
    <w:uiPriority w:val="0"/>
    <w:qFormat/>
    <w:rPr>
      <w:b/>
    </w:rPr>
  </w:style>
  <w:style w:type="character" w:styleId="847">
    <w:name w:val="endnote reference"/>
    <w:uiPriority w:val="99"/>
    <w:semiHidden/>
    <w:unhideWhenUsed/>
    <w:qFormat/>
    <w:rPr>
      <w:vertAlign w:val="superscript"/>
    </w:rPr>
  </w:style>
  <w:style w:type="character" w:styleId="848">
    <w:name w:val="Emphasis"/>
    <w:basedOn w:val="807"/>
    <w:uiPriority w:val="20"/>
    <w:qFormat/>
    <w:rPr>
      <w:i/>
    </w:rPr>
  </w:style>
  <w:style w:type="character" w:styleId="849">
    <w:name w:val="Hyperlink"/>
    <w:uiPriority w:val="99"/>
    <w:unhideWhenUsed/>
    <w:qFormat/>
    <w:rPr>
      <w:color w:val="0000ff" w:themeColor="hyperlink"/>
      <w:u w:val="single"/>
      <w14:textFill>
        <w14:solidFill>
          <w14:schemeClr w14:val="hlink"/>
        </w14:solidFill>
      </w14:textFill>
    </w:rPr>
  </w:style>
  <w:style w:type="character" w:styleId="850">
    <w:name w:val="footnote reference"/>
    <w:uiPriority w:val="99"/>
    <w:unhideWhenUsed/>
    <w:qFormat/>
    <w:rPr>
      <w:vertAlign w:val="superscript"/>
    </w:rPr>
  </w:style>
  <w:style w:type="paragraph" w:styleId="851" w:customStyle="1">
    <w:name w:val="正文缩进1"/>
    <w:basedOn w:val="797"/>
    <w:uiPriority w:val="0"/>
    <w:qFormat/>
    <w:pPr>
      <w:ind w:firstLine="420"/>
    </w:pPr>
  </w:style>
  <w:style w:type="character" w:styleId="852" w:customStyle="1">
    <w:name w:val="Heading 1 Char"/>
    <w:link w:val="798"/>
    <w:uiPriority w:val="9"/>
    <w:qFormat/>
    <w:rPr>
      <w:rFonts w:ascii="Arial" w:hAnsi="Arial" w:eastAsia="Arial" w:cs="Arial"/>
      <w:sz w:val="40"/>
      <w:szCs w:val="40"/>
    </w:rPr>
  </w:style>
  <w:style w:type="character" w:styleId="853" w:customStyle="1">
    <w:name w:val="Heading 2 Char"/>
    <w:link w:val="799"/>
    <w:uiPriority w:val="9"/>
    <w:qFormat/>
    <w:rPr>
      <w:rFonts w:ascii="Arial" w:hAnsi="Arial" w:eastAsia="Arial" w:cs="Arial"/>
      <w:sz w:val="34"/>
    </w:rPr>
  </w:style>
  <w:style w:type="character" w:styleId="854" w:customStyle="1">
    <w:name w:val="Heading 3 Char"/>
    <w:link w:val="800"/>
    <w:uiPriority w:val="9"/>
    <w:qFormat/>
    <w:rPr>
      <w:rFonts w:ascii="Arial" w:hAnsi="Arial" w:eastAsia="Arial" w:cs="Arial"/>
      <w:sz w:val="30"/>
      <w:szCs w:val="30"/>
    </w:rPr>
  </w:style>
  <w:style w:type="character" w:styleId="855" w:customStyle="1">
    <w:name w:val="Heading 4 Char"/>
    <w:link w:val="801"/>
    <w:uiPriority w:val="9"/>
    <w:qFormat/>
    <w:rPr>
      <w:rFonts w:ascii="Arial" w:hAnsi="Arial" w:eastAsia="Arial" w:cs="Arial"/>
      <w:b/>
      <w:bCs/>
      <w:sz w:val="26"/>
      <w:szCs w:val="26"/>
    </w:rPr>
  </w:style>
  <w:style w:type="character" w:styleId="856" w:customStyle="1">
    <w:name w:val="Heading 5 Char"/>
    <w:link w:val="802"/>
    <w:uiPriority w:val="9"/>
    <w:qFormat/>
    <w:rPr>
      <w:rFonts w:ascii="Arial" w:hAnsi="Arial" w:eastAsia="Arial" w:cs="Arial"/>
      <w:b/>
      <w:bCs/>
      <w:sz w:val="24"/>
      <w:szCs w:val="24"/>
    </w:rPr>
  </w:style>
  <w:style w:type="character" w:styleId="857" w:customStyle="1">
    <w:name w:val="Heading 6 Char"/>
    <w:link w:val="803"/>
    <w:uiPriority w:val="9"/>
    <w:qFormat/>
    <w:rPr>
      <w:rFonts w:ascii="Arial" w:hAnsi="Arial" w:eastAsia="Arial" w:cs="Arial"/>
      <w:b/>
      <w:bCs/>
      <w:sz w:val="22"/>
      <w:szCs w:val="22"/>
    </w:rPr>
  </w:style>
  <w:style w:type="character" w:styleId="858" w:customStyle="1">
    <w:name w:val="Heading 7 Char"/>
    <w:link w:val="804"/>
    <w:uiPriority w:val="9"/>
    <w:qFormat/>
    <w:rPr>
      <w:rFonts w:ascii="Arial" w:hAnsi="Arial" w:eastAsia="Arial" w:cs="Arial"/>
      <w:b/>
      <w:bCs/>
      <w:i/>
      <w:iCs/>
      <w:sz w:val="22"/>
      <w:szCs w:val="22"/>
    </w:rPr>
  </w:style>
  <w:style w:type="character" w:styleId="859" w:customStyle="1">
    <w:name w:val="Heading 8 Char"/>
    <w:link w:val="805"/>
    <w:uiPriority w:val="9"/>
    <w:qFormat/>
    <w:rPr>
      <w:rFonts w:ascii="Arial" w:hAnsi="Arial" w:eastAsia="Arial" w:cs="Arial"/>
      <w:i/>
      <w:iCs/>
      <w:sz w:val="22"/>
      <w:szCs w:val="22"/>
    </w:rPr>
  </w:style>
  <w:style w:type="character" w:styleId="860" w:customStyle="1">
    <w:name w:val="Heading 9 Char"/>
    <w:link w:val="806"/>
    <w:uiPriority w:val="9"/>
    <w:qFormat/>
    <w:rPr>
      <w:rFonts w:ascii="Arial" w:hAnsi="Arial" w:eastAsia="Arial" w:cs="Arial"/>
      <w:i/>
      <w:iCs/>
      <w:sz w:val="21"/>
      <w:szCs w:val="21"/>
    </w:rPr>
  </w:style>
  <w:style w:type="paragraph" w:styleId="861">
    <w:name w:val="List Paragraph"/>
    <w:basedOn w:val="797"/>
    <w:uiPriority w:val="34"/>
    <w:qFormat/>
    <w:pPr>
      <w:contextualSpacing/>
      <w:ind w:left="720"/>
    </w:p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character" w:styleId="863" w:customStyle="1">
    <w:name w:val="Title Char"/>
    <w:link w:val="842"/>
    <w:uiPriority w:val="10"/>
    <w:qFormat/>
    <w:rPr>
      <w:sz w:val="48"/>
      <w:szCs w:val="48"/>
    </w:rPr>
  </w:style>
  <w:style w:type="character" w:styleId="864" w:customStyle="1">
    <w:name w:val="Subtitle Char"/>
    <w:link w:val="835"/>
    <w:uiPriority w:val="11"/>
    <w:qFormat/>
    <w:rPr>
      <w:sz w:val="24"/>
      <w:szCs w:val="24"/>
    </w:rPr>
  </w:style>
  <w:style w:type="paragraph" w:styleId="865">
    <w:name w:val="Quote"/>
    <w:basedOn w:val="797"/>
    <w:next w:val="797"/>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797"/>
    <w:next w:val="797"/>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link w:val="832"/>
    <w:uiPriority w:val="99"/>
    <w:qFormat/>
  </w:style>
  <w:style w:type="character" w:styleId="870" w:customStyle="1">
    <w:name w:val="Caption Char"/>
    <w:link w:val="831"/>
    <w:uiPriority w:val="99"/>
    <w:qFormat/>
  </w:style>
  <w:style w:type="character" w:styleId="871" w:customStyle="1">
    <w:name w:val="Footnote Text Char"/>
    <w:link w:val="836"/>
    <w:uiPriority w:val="99"/>
    <w:qFormat/>
    <w:rPr>
      <w:sz w:val="18"/>
    </w:rPr>
  </w:style>
  <w:style w:type="character" w:styleId="872" w:customStyle="1">
    <w:name w:val="Endnote Text Char"/>
    <w:link w:val="830"/>
    <w:uiPriority w:val="99"/>
    <w:qFormat/>
    <w:rPr>
      <w:sz w:val="20"/>
    </w:rPr>
  </w:style>
  <w:style w:type="paragraph" w:styleId="873" w:customStyle="1">
    <w:name w:val="标题 111"/>
    <w:basedOn w:val="797"/>
    <w:next w:val="797"/>
    <w:link w:val="906"/>
    <w:uiPriority w:val="9"/>
    <w:qFormat/>
    <w:pPr>
      <w:keepLines/>
      <w:keepNext/>
      <w:spacing w:before="480" w:after="200"/>
      <w:outlineLvl w:val="0"/>
    </w:pPr>
    <w:rPr>
      <w:rFonts w:ascii="Arial" w:hAnsi="Arial" w:eastAsia="Arial" w:cs="Arial"/>
      <w:sz w:val="40"/>
      <w:szCs w:val="40"/>
    </w:rPr>
  </w:style>
  <w:style w:type="paragraph" w:styleId="874" w:customStyle="1">
    <w:name w:val="标题 211"/>
    <w:basedOn w:val="797"/>
    <w:next w:val="797"/>
    <w:link w:val="895"/>
    <w:uiPriority w:val="9"/>
    <w:qFormat/>
    <w:pPr>
      <w:keepLines/>
      <w:keepNext/>
      <w:spacing w:before="360" w:after="200"/>
      <w:outlineLvl w:val="1"/>
    </w:pPr>
    <w:rPr>
      <w:rFonts w:ascii="Arial" w:hAnsi="Arial" w:eastAsia="Arial" w:cs="Arial"/>
      <w:sz w:val="34"/>
    </w:rPr>
  </w:style>
  <w:style w:type="paragraph" w:styleId="875" w:customStyle="1">
    <w:name w:val="标题 31"/>
    <w:basedOn w:val="797"/>
    <w:next w:val="797"/>
    <w:link w:val="890"/>
    <w:uiPriority w:val="9"/>
    <w:qFormat/>
    <w:pPr>
      <w:keepLines/>
      <w:keepNext/>
      <w:spacing w:before="320" w:after="200"/>
      <w:outlineLvl w:val="2"/>
    </w:pPr>
    <w:rPr>
      <w:rFonts w:ascii="Arial" w:hAnsi="Arial" w:eastAsia="Arial" w:cs="Arial"/>
      <w:sz w:val="30"/>
      <w:szCs w:val="30"/>
    </w:rPr>
  </w:style>
  <w:style w:type="paragraph" w:styleId="876" w:customStyle="1">
    <w:name w:val="标题 41"/>
    <w:basedOn w:val="797"/>
    <w:next w:val="797"/>
    <w:link w:val="896"/>
    <w:uiPriority w:val="9"/>
    <w:qFormat/>
    <w:pPr>
      <w:keepLines/>
      <w:keepNext/>
      <w:spacing w:before="320" w:after="200"/>
      <w:outlineLvl w:val="3"/>
    </w:pPr>
    <w:rPr>
      <w:rFonts w:ascii="Arial" w:hAnsi="Arial" w:eastAsia="Arial" w:cs="Arial"/>
      <w:b/>
      <w:bCs/>
      <w:sz w:val="26"/>
      <w:szCs w:val="26"/>
    </w:rPr>
  </w:style>
  <w:style w:type="paragraph" w:styleId="877" w:customStyle="1">
    <w:name w:val="标题 51"/>
    <w:basedOn w:val="797"/>
    <w:next w:val="797"/>
    <w:link w:val="900"/>
    <w:uiPriority w:val="9"/>
    <w:qFormat/>
    <w:pPr>
      <w:keepLines/>
      <w:keepNext/>
      <w:spacing w:before="320" w:after="200"/>
      <w:outlineLvl w:val="4"/>
    </w:pPr>
    <w:rPr>
      <w:rFonts w:ascii="Arial" w:hAnsi="Arial" w:eastAsia="Arial" w:cs="Arial"/>
      <w:b/>
      <w:bCs/>
      <w:sz w:val="24"/>
      <w:szCs w:val="24"/>
    </w:rPr>
  </w:style>
  <w:style w:type="paragraph" w:styleId="878" w:customStyle="1">
    <w:name w:val="标题 61"/>
    <w:basedOn w:val="797"/>
    <w:next w:val="797"/>
    <w:link w:val="907"/>
    <w:uiPriority w:val="9"/>
    <w:qFormat/>
    <w:pPr>
      <w:keepLines/>
      <w:keepNext/>
      <w:spacing w:before="320" w:after="200"/>
      <w:outlineLvl w:val="5"/>
    </w:pPr>
    <w:rPr>
      <w:rFonts w:ascii="Arial" w:hAnsi="Arial" w:eastAsia="Arial" w:cs="Arial"/>
      <w:b/>
      <w:bCs/>
      <w:sz w:val="22"/>
      <w:szCs w:val="22"/>
    </w:rPr>
  </w:style>
  <w:style w:type="paragraph" w:styleId="879" w:customStyle="1">
    <w:name w:val="标题 71"/>
    <w:basedOn w:val="797"/>
    <w:next w:val="797"/>
    <w:link w:val="911"/>
    <w:uiPriority w:val="9"/>
    <w:qFormat/>
    <w:pPr>
      <w:keepLines/>
      <w:keepNext/>
      <w:spacing w:before="320" w:after="200"/>
      <w:outlineLvl w:val="6"/>
    </w:pPr>
    <w:rPr>
      <w:rFonts w:ascii="Arial" w:hAnsi="Arial" w:eastAsia="Arial" w:cs="Arial"/>
      <w:b/>
      <w:bCs/>
      <w:i/>
      <w:iCs/>
      <w:sz w:val="22"/>
      <w:szCs w:val="22"/>
    </w:rPr>
  </w:style>
  <w:style w:type="paragraph" w:styleId="880" w:customStyle="1">
    <w:name w:val="标题 81"/>
    <w:basedOn w:val="797"/>
    <w:next w:val="797"/>
    <w:link w:val="910"/>
    <w:uiPriority w:val="9"/>
    <w:qFormat/>
    <w:pPr>
      <w:keepLines/>
      <w:keepNext/>
      <w:spacing w:before="320" w:after="200"/>
      <w:outlineLvl w:val="7"/>
    </w:pPr>
    <w:rPr>
      <w:rFonts w:ascii="Arial" w:hAnsi="Arial" w:eastAsia="Arial" w:cs="Arial"/>
      <w:i/>
      <w:iCs/>
      <w:sz w:val="22"/>
      <w:szCs w:val="22"/>
    </w:rPr>
  </w:style>
  <w:style w:type="paragraph" w:styleId="881" w:customStyle="1">
    <w:name w:val="标题 91"/>
    <w:basedOn w:val="797"/>
    <w:next w:val="797"/>
    <w:link w:val="899"/>
    <w:uiPriority w:val="9"/>
    <w:qFormat/>
    <w:pPr>
      <w:keepLines/>
      <w:keepNext/>
      <w:spacing w:before="320" w:after="200"/>
      <w:outlineLvl w:val="8"/>
    </w:pPr>
    <w:rPr>
      <w:rFonts w:ascii="Arial" w:hAnsi="Arial" w:eastAsia="Arial" w:cs="Arial"/>
      <w:i/>
      <w:iCs/>
      <w:sz w:val="21"/>
      <w:szCs w:val="21"/>
    </w:rPr>
  </w:style>
  <w:style w:type="character" w:styleId="882" w:customStyle="1">
    <w:name w:val="默认段落字体11"/>
    <w:link w:val="797"/>
    <w:uiPriority w:val="1"/>
    <w:unhideWhenUsed/>
    <w:qFormat/>
  </w:style>
  <w:style w:type="table" w:styleId="883" w:customStyle="1">
    <w:name w:val="普通表格11"/>
    <w:uiPriority w:val="99"/>
    <w:unhideWhenUsed/>
    <w:qFormat/>
    <w:tblPr/>
  </w:style>
  <w:style w:type="character" w:styleId="884" w:customStyle="1">
    <w:name w:val="脚注引用1"/>
    <w:link w:val="797"/>
    <w:uiPriority w:val="99"/>
    <w:unhideWhenUsed/>
    <w:qFormat/>
    <w:rPr>
      <w:vertAlign w:val="superscript"/>
    </w:rPr>
  </w:style>
  <w:style w:type="character" w:styleId="885" w:customStyle="1">
    <w:name w:val="尾注引用1"/>
    <w:link w:val="797"/>
    <w:uiPriority w:val="99"/>
    <w:unhideWhenUsed/>
    <w:qFormat/>
    <w:rPr>
      <w:vertAlign w:val="superscript"/>
    </w:rPr>
  </w:style>
  <w:style w:type="character" w:styleId="886" w:customStyle="1">
    <w:name w:val="超链接11"/>
    <w:link w:val="797"/>
    <w:uiPriority w:val="99"/>
    <w:unhideWhenUsed/>
    <w:qFormat/>
    <w:rPr>
      <w:color w:val="0000ff"/>
      <w:u w:val="single"/>
    </w:rPr>
  </w:style>
  <w:style w:type="character" w:styleId="887" w:customStyle="1">
    <w:name w:val="Footer Char"/>
    <w:uiPriority w:val="99"/>
    <w:qFormat/>
  </w:style>
  <w:style w:type="character" w:styleId="888" w:customStyle="1">
    <w:name w:val="批注框文本 字符"/>
    <w:link w:val="889"/>
    <w:uiPriority w:val="0"/>
    <w:qFormat/>
    <w:rPr>
      <w:rFonts w:ascii="Times New Roman" w:hAnsi="Times New Roman" w:eastAsia="宋体" w:cs="Times New Roman"/>
      <w:sz w:val="18"/>
      <w:szCs w:val="18"/>
    </w:rPr>
  </w:style>
  <w:style w:type="paragraph" w:styleId="889" w:customStyle="1">
    <w:name w:val="批注框文本1"/>
    <w:basedOn w:val="797"/>
    <w:link w:val="888"/>
    <w:uiPriority w:val="0"/>
    <w:qFormat/>
    <w:rPr>
      <w:sz w:val="18"/>
      <w:szCs w:val="18"/>
    </w:rPr>
  </w:style>
  <w:style w:type="character" w:styleId="890" w:customStyle="1">
    <w:name w:val="标题 3 字符"/>
    <w:link w:val="875"/>
    <w:uiPriority w:val="9"/>
    <w:qFormat/>
    <w:rPr>
      <w:rFonts w:ascii="Arial" w:hAnsi="Arial" w:eastAsia="Arial" w:cs="Arial"/>
      <w:sz w:val="30"/>
      <w:szCs w:val="30"/>
    </w:rPr>
  </w:style>
  <w:style w:type="character" w:styleId="891" w:customStyle="1">
    <w:name w:val="标题 字符"/>
    <w:link w:val="892"/>
    <w:uiPriority w:val="10"/>
    <w:qFormat/>
    <w:rPr>
      <w:sz w:val="48"/>
      <w:szCs w:val="48"/>
    </w:rPr>
  </w:style>
  <w:style w:type="paragraph" w:styleId="892" w:customStyle="1">
    <w:name w:val="标题1"/>
    <w:basedOn w:val="797"/>
    <w:next w:val="797"/>
    <w:link w:val="891"/>
    <w:uiPriority w:val="10"/>
    <w:qFormat/>
    <w:pPr>
      <w:contextualSpacing/>
      <w:spacing w:before="300" w:after="200"/>
    </w:pPr>
    <w:rPr>
      <w:sz w:val="48"/>
      <w:szCs w:val="48"/>
    </w:rPr>
  </w:style>
  <w:style w:type="character" w:styleId="893" w:customStyle="1">
    <w:name w:val="副标题 字符"/>
    <w:link w:val="894"/>
    <w:uiPriority w:val="11"/>
    <w:qFormat/>
    <w:rPr>
      <w:sz w:val="24"/>
      <w:szCs w:val="24"/>
    </w:rPr>
  </w:style>
  <w:style w:type="paragraph" w:styleId="894" w:customStyle="1">
    <w:name w:val="副标题1"/>
    <w:basedOn w:val="797"/>
    <w:next w:val="797"/>
    <w:link w:val="893"/>
    <w:uiPriority w:val="11"/>
    <w:qFormat/>
    <w:pPr>
      <w:spacing w:before="200" w:after="200"/>
    </w:pPr>
    <w:rPr>
      <w:sz w:val="24"/>
      <w:szCs w:val="24"/>
    </w:rPr>
  </w:style>
  <w:style w:type="character" w:styleId="895" w:customStyle="1">
    <w:name w:val="标题 2 字符"/>
    <w:link w:val="874"/>
    <w:uiPriority w:val="9"/>
    <w:qFormat/>
    <w:rPr>
      <w:rFonts w:ascii="Arial" w:hAnsi="Arial" w:eastAsia="Arial" w:cs="Arial"/>
      <w:sz w:val="34"/>
    </w:rPr>
  </w:style>
  <w:style w:type="character" w:styleId="896" w:customStyle="1">
    <w:name w:val="标题 4 字符"/>
    <w:link w:val="876"/>
    <w:uiPriority w:val="9"/>
    <w:qFormat/>
    <w:rPr>
      <w:rFonts w:ascii="Arial" w:hAnsi="Arial" w:eastAsia="Arial" w:cs="Arial"/>
      <w:b/>
      <w:bCs/>
      <w:sz w:val="26"/>
      <w:szCs w:val="26"/>
    </w:rPr>
  </w:style>
  <w:style w:type="character" w:styleId="897" w:customStyle="1">
    <w:name w:val="页眉 字符"/>
    <w:link w:val="898"/>
    <w:uiPriority w:val="99"/>
    <w:qFormat/>
  </w:style>
  <w:style w:type="paragraph" w:styleId="898" w:customStyle="1">
    <w:name w:val="页眉11"/>
    <w:basedOn w:val="797"/>
    <w:link w:val="897"/>
    <w:uiPriority w:val="99"/>
    <w:unhideWhenUsed/>
    <w:qFormat/>
    <w:pPr>
      <w:spacing w:after="0" w:line="240" w:lineRule="auto"/>
      <w:tabs>
        <w:tab w:val="center" w:pos="7143" w:leader="none"/>
        <w:tab w:val="right" w:pos="14287" w:leader="none"/>
      </w:tabs>
    </w:pPr>
  </w:style>
  <w:style w:type="character" w:styleId="899" w:customStyle="1">
    <w:name w:val="标题 9 字符"/>
    <w:link w:val="881"/>
    <w:uiPriority w:val="9"/>
    <w:qFormat/>
    <w:rPr>
      <w:rFonts w:ascii="Arial" w:hAnsi="Arial" w:eastAsia="Arial" w:cs="Arial"/>
      <w:i/>
      <w:iCs/>
      <w:sz w:val="21"/>
      <w:szCs w:val="21"/>
    </w:rPr>
  </w:style>
  <w:style w:type="character" w:styleId="900" w:customStyle="1">
    <w:name w:val="标题 5 字符"/>
    <w:link w:val="877"/>
    <w:uiPriority w:val="9"/>
    <w:qFormat/>
    <w:rPr>
      <w:rFonts w:ascii="Arial" w:hAnsi="Arial" w:eastAsia="Arial" w:cs="Arial"/>
      <w:b/>
      <w:bCs/>
      <w:sz w:val="24"/>
      <w:szCs w:val="24"/>
    </w:rPr>
  </w:style>
  <w:style w:type="character" w:styleId="901" w:customStyle="1">
    <w:name w:val="font121"/>
    <w:link w:val="797"/>
    <w:uiPriority w:val="0"/>
    <w:qFormat/>
    <w:rPr>
      <w:rFonts w:hint="eastAsia" w:ascii="宋体" w:hAnsi="宋体" w:eastAsia="宋体" w:cs="宋体"/>
      <w:color w:val="000000"/>
      <w:sz w:val="18"/>
      <w:szCs w:val="18"/>
      <w:u w:val="none"/>
    </w:rPr>
  </w:style>
  <w:style w:type="character" w:styleId="902" w:customStyle="1">
    <w:name w:val="明显引用 字符"/>
    <w:link w:val="903"/>
    <w:uiPriority w:val="30"/>
    <w:qFormat/>
    <w:rPr>
      <w:i/>
    </w:rPr>
  </w:style>
  <w:style w:type="paragraph" w:styleId="903" w:customStyle="1">
    <w:name w:val="明显引用"/>
    <w:basedOn w:val="797"/>
    <w:next w:val="797"/>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引用 字符"/>
    <w:link w:val="905"/>
    <w:uiPriority w:val="29"/>
    <w:qFormat/>
    <w:rPr>
      <w:i/>
    </w:rPr>
  </w:style>
  <w:style w:type="paragraph" w:styleId="905" w:customStyle="1">
    <w:name w:val="引用"/>
    <w:basedOn w:val="797"/>
    <w:next w:val="797"/>
    <w:link w:val="904"/>
    <w:uiPriority w:val="29"/>
    <w:qFormat/>
    <w:pPr>
      <w:ind w:left="720" w:right="720"/>
    </w:pPr>
    <w:rPr>
      <w:i/>
    </w:rPr>
  </w:style>
  <w:style w:type="character" w:styleId="906" w:customStyle="1">
    <w:name w:val="标题 1 字符"/>
    <w:link w:val="873"/>
    <w:uiPriority w:val="9"/>
    <w:qFormat/>
    <w:rPr>
      <w:rFonts w:ascii="Arial" w:hAnsi="Arial" w:eastAsia="Arial" w:cs="Arial"/>
      <w:sz w:val="40"/>
      <w:szCs w:val="40"/>
    </w:rPr>
  </w:style>
  <w:style w:type="character" w:styleId="907" w:customStyle="1">
    <w:name w:val="标题 6 字符"/>
    <w:link w:val="878"/>
    <w:uiPriority w:val="9"/>
    <w:qFormat/>
    <w:rPr>
      <w:rFonts w:ascii="Arial" w:hAnsi="Arial" w:eastAsia="Arial" w:cs="Arial"/>
      <w:b/>
      <w:bCs/>
      <w:sz w:val="22"/>
      <w:szCs w:val="22"/>
    </w:rPr>
  </w:style>
  <w:style w:type="character" w:styleId="908" w:customStyle="1">
    <w:name w:val="页脚 字符"/>
    <w:link w:val="909"/>
    <w:uiPriority w:val="99"/>
    <w:qFormat/>
  </w:style>
  <w:style w:type="paragraph" w:styleId="909" w:customStyle="1">
    <w:name w:val="页脚11"/>
    <w:basedOn w:val="797"/>
    <w:link w:val="908"/>
    <w:uiPriority w:val="99"/>
    <w:unhideWhenUsed/>
    <w:qFormat/>
    <w:pPr>
      <w:spacing w:after="0" w:line="240" w:lineRule="auto"/>
      <w:tabs>
        <w:tab w:val="center" w:pos="7143" w:leader="none"/>
        <w:tab w:val="right" w:pos="14287" w:leader="none"/>
      </w:tabs>
    </w:pPr>
  </w:style>
  <w:style w:type="character" w:styleId="910" w:customStyle="1">
    <w:name w:val="标题 8 字符"/>
    <w:link w:val="880"/>
    <w:uiPriority w:val="9"/>
    <w:qFormat/>
    <w:rPr>
      <w:rFonts w:ascii="Arial" w:hAnsi="Arial" w:eastAsia="Arial" w:cs="Arial"/>
      <w:i/>
      <w:iCs/>
      <w:sz w:val="22"/>
      <w:szCs w:val="22"/>
    </w:rPr>
  </w:style>
  <w:style w:type="character" w:styleId="911" w:customStyle="1">
    <w:name w:val="标题 7 字符"/>
    <w:link w:val="879"/>
    <w:uiPriority w:val="9"/>
    <w:qFormat/>
    <w:rPr>
      <w:rFonts w:ascii="Arial" w:hAnsi="Arial" w:eastAsia="Arial" w:cs="Arial"/>
      <w:b/>
      <w:bCs/>
      <w:i/>
      <w:iCs/>
      <w:sz w:val="22"/>
      <w:szCs w:val="22"/>
    </w:rPr>
  </w:style>
  <w:style w:type="character" w:styleId="912" w:customStyle="1">
    <w:name w:val="脚注文本 字符"/>
    <w:link w:val="913"/>
    <w:uiPriority w:val="99"/>
    <w:qFormat/>
    <w:rPr>
      <w:sz w:val="18"/>
    </w:rPr>
  </w:style>
  <w:style w:type="paragraph" w:styleId="913" w:customStyle="1">
    <w:name w:val="脚注文本11"/>
    <w:basedOn w:val="797"/>
    <w:link w:val="912"/>
    <w:uiPriority w:val="99"/>
    <w:unhideWhenUsed/>
    <w:qFormat/>
    <w:pPr>
      <w:spacing w:after="40" w:line="240" w:lineRule="auto"/>
    </w:pPr>
    <w:rPr>
      <w:sz w:val="18"/>
    </w:rPr>
  </w:style>
  <w:style w:type="character" w:styleId="914" w:customStyle="1">
    <w:name w:val="尾注文本 字符"/>
    <w:link w:val="915"/>
    <w:uiPriority w:val="99"/>
    <w:qFormat/>
    <w:rPr>
      <w:sz w:val="20"/>
    </w:rPr>
  </w:style>
  <w:style w:type="paragraph" w:styleId="915" w:customStyle="1">
    <w:name w:val="尾注文本1"/>
    <w:basedOn w:val="797"/>
    <w:link w:val="914"/>
    <w:uiPriority w:val="99"/>
    <w:unhideWhenUsed/>
    <w:qFormat/>
    <w:pPr>
      <w:spacing w:after="0" w:line="240" w:lineRule="auto"/>
    </w:pPr>
    <w:rPr>
      <w:sz w:val="20"/>
    </w:rPr>
  </w:style>
  <w:style w:type="character" w:styleId="916" w:customStyle="1">
    <w:name w:val="默认段落字体1"/>
    <w:link w:val="797"/>
    <w:uiPriority w:val="1"/>
    <w:unhideWhenUsed/>
    <w:qFormat/>
  </w:style>
  <w:style w:type="character" w:styleId="917" w:customStyle="1">
    <w:name w:val="超链接1"/>
    <w:link w:val="797"/>
    <w:uiPriority w:val="99"/>
    <w:unhideWhenUsed/>
    <w:qFormat/>
    <w:rPr>
      <w:color w:val="0000ff"/>
      <w:u w:val="single"/>
    </w:rPr>
  </w:style>
  <w:style w:type="character" w:styleId="918" w:customStyle="1">
    <w:name w:val="批注引用1"/>
    <w:link w:val="797"/>
    <w:uiPriority w:val="0"/>
    <w:qFormat/>
    <w:rPr>
      <w:sz w:val="21"/>
      <w:szCs w:val="21"/>
    </w:rPr>
  </w:style>
  <w:style w:type="character" w:styleId="919" w:customStyle="1">
    <w:name w:val="批注文字 字符"/>
    <w:link w:val="920"/>
    <w:uiPriority w:val="0"/>
    <w:qFormat/>
    <w:rPr>
      <w:rFonts w:ascii="Times New Roman" w:hAnsi="Times New Roman" w:eastAsia="宋体" w:cs="Times New Roman"/>
      <w:sz w:val="21"/>
      <w:szCs w:val="24"/>
    </w:rPr>
  </w:style>
  <w:style w:type="paragraph" w:styleId="920" w:customStyle="1">
    <w:name w:val="批注文字1"/>
    <w:basedOn w:val="797"/>
    <w:link w:val="919"/>
    <w:uiPriority w:val="0"/>
    <w:qFormat/>
    <w:pPr>
      <w:jc w:val="left"/>
    </w:pPr>
  </w:style>
  <w:style w:type="character" w:styleId="921" w:customStyle="1">
    <w:name w:val="批注主题 字符"/>
    <w:link w:val="922"/>
    <w:uiPriority w:val="0"/>
    <w:qFormat/>
    <w:rPr>
      <w:rFonts w:ascii="Times New Roman" w:hAnsi="Times New Roman" w:eastAsia="宋体" w:cs="Times New Roman"/>
      <w:b/>
      <w:bCs/>
      <w:sz w:val="21"/>
      <w:szCs w:val="24"/>
    </w:rPr>
  </w:style>
  <w:style w:type="paragraph" w:styleId="922" w:customStyle="1">
    <w:name w:val="批注主题1"/>
    <w:basedOn w:val="920"/>
    <w:next w:val="920"/>
    <w:link w:val="921"/>
    <w:uiPriority w:val="0"/>
    <w:qFormat/>
    <w:rPr>
      <w:b/>
      <w:bCs/>
    </w:rPr>
  </w:style>
  <w:style w:type="character" w:styleId="923" w:customStyle="1">
    <w:name w:val="font11"/>
    <w:link w:val="797"/>
    <w:uiPriority w:val="0"/>
    <w:qFormat/>
    <w:rPr>
      <w:rFonts w:hint="eastAsia" w:ascii="黑体" w:hAnsi="宋体" w:eastAsia="黑体" w:cs="黑体"/>
      <w:color w:val="000000"/>
      <w:sz w:val="18"/>
      <w:szCs w:val="18"/>
      <w:u w:val="none"/>
    </w:rPr>
  </w:style>
  <w:style w:type="character" w:styleId="924" w:customStyle="1">
    <w:name w:val="wyg1"/>
    <w:link w:val="797"/>
    <w:uiPriority w:val="6"/>
    <w:qFormat/>
    <w:rPr>
      <w:color w:val="000000"/>
      <w:sz w:val="20"/>
      <w:szCs w:val="20"/>
      <w:u w:val="none"/>
    </w:rPr>
  </w:style>
  <w:style w:type="character" w:styleId="925" w:customStyle="1">
    <w:name w:val="NormalCharacter1"/>
    <w:link w:val="797"/>
    <w:uiPriority w:val="0"/>
    <w:semiHidden/>
    <w:qFormat/>
    <w:rPr>
      <w:sz w:val="28"/>
      <w:lang w:val="en-US" w:eastAsia="zh-CN" w:bidi="ar-SA"/>
    </w:rPr>
  </w:style>
  <w:style w:type="character" w:styleId="926" w:customStyle="1">
    <w:name w:val="font21"/>
    <w:link w:val="797"/>
    <w:uiPriority w:val="0"/>
    <w:qFormat/>
    <w:rPr>
      <w:rFonts w:hint="eastAsia" w:ascii="宋体" w:hAnsi="宋体" w:eastAsia="宋体" w:cs="宋体"/>
      <w:b/>
      <w:bCs/>
      <w:color w:val="000000"/>
      <w:sz w:val="28"/>
      <w:szCs w:val="28"/>
      <w:u w:val="none"/>
    </w:rPr>
  </w:style>
  <w:style w:type="character" w:styleId="927" w:customStyle="1">
    <w:name w:val="font131"/>
    <w:link w:val="797"/>
    <w:uiPriority w:val="0"/>
    <w:qFormat/>
    <w:rPr>
      <w:rFonts w:hint="eastAsia" w:ascii="宋体" w:hAnsi="宋体" w:eastAsia="宋体" w:cs="宋体"/>
      <w:color w:val="000000"/>
      <w:sz w:val="20"/>
      <w:szCs w:val="20"/>
      <w:u w:val="none"/>
    </w:rPr>
  </w:style>
  <w:style w:type="character" w:styleId="928" w:customStyle="1">
    <w:name w:val="font41"/>
    <w:link w:val="797"/>
    <w:uiPriority w:val="0"/>
    <w:qFormat/>
    <w:rPr>
      <w:rFonts w:ascii="Arial" w:hAnsi="Arial" w:cs="Arial"/>
      <w:color w:val="000000"/>
      <w:sz w:val="22"/>
      <w:szCs w:val="22"/>
      <w:u w:val="none"/>
    </w:rPr>
  </w:style>
  <w:style w:type="character" w:styleId="929" w:customStyle="1">
    <w:name w:val="NormalCharacter11"/>
    <w:link w:val="797"/>
    <w:uiPriority w:val="0"/>
    <w:semiHidden/>
    <w:qFormat/>
    <w:rPr>
      <w:rFonts w:ascii="Times New Roman" w:hAnsi="Times New Roman"/>
      <w:sz w:val="21"/>
      <w:szCs w:val="24"/>
      <w:lang w:val="en-US" w:eastAsia="zh-CN" w:bidi="ar-SA"/>
    </w:rPr>
  </w:style>
  <w:style w:type="paragraph" w:styleId="930" w:customStyle="1">
    <w:name w:val="题注1"/>
    <w:basedOn w:val="797"/>
    <w:next w:val="797"/>
    <w:uiPriority w:val="35"/>
    <w:qFormat/>
    <w:pPr>
      <w:spacing w:line="276" w:lineRule="auto"/>
    </w:pPr>
    <w:rPr>
      <w:b/>
      <w:bCs/>
      <w:color w:val="4f81bd"/>
      <w:sz w:val="18"/>
      <w:szCs w:val="18"/>
    </w:rPr>
  </w:style>
  <w:style w:type="paragraph" w:styleId="931" w:customStyle="1">
    <w:name w:val="目录 91"/>
    <w:basedOn w:val="797"/>
    <w:next w:val="797"/>
    <w:uiPriority w:val="39"/>
    <w:unhideWhenUsed/>
    <w:qFormat/>
    <w:pPr>
      <w:ind w:left="2268" w:right="0" w:firstLine="0"/>
      <w:spacing w:after="57"/>
    </w:pPr>
  </w:style>
  <w:style w:type="paragraph" w:styleId="932" w:customStyle="1">
    <w:name w:val="正文缩进11"/>
    <w:basedOn w:val="797"/>
    <w:uiPriority w:val="0"/>
    <w:unhideWhenUsed/>
    <w:qFormat/>
    <w:pPr>
      <w:ind w:firstLine="420"/>
    </w:pPr>
  </w:style>
  <w:style w:type="paragraph" w:styleId="933" w:customStyle="1">
    <w:name w:val="目录 71"/>
    <w:basedOn w:val="797"/>
    <w:next w:val="797"/>
    <w:uiPriority w:val="39"/>
    <w:unhideWhenUsed/>
    <w:qFormat/>
    <w:pPr>
      <w:ind w:left="1701" w:right="0" w:firstLine="0"/>
      <w:spacing w:after="57"/>
    </w:pPr>
  </w:style>
  <w:style w:type="paragraph" w:styleId="934" w:customStyle="1">
    <w:name w:val="图表目录1"/>
    <w:basedOn w:val="797"/>
    <w:next w:val="797"/>
    <w:uiPriority w:val="99"/>
    <w:unhideWhenUsed/>
    <w:qFormat/>
    <w:pPr>
      <w:spacing w:after="0" w:afterAutospacing="0"/>
    </w:pPr>
  </w:style>
  <w:style w:type="paragraph" w:styleId="935" w:customStyle="1">
    <w:name w:val="目录 31"/>
    <w:basedOn w:val="797"/>
    <w:next w:val="797"/>
    <w:uiPriority w:val="39"/>
    <w:unhideWhenUsed/>
    <w:qFormat/>
    <w:pPr>
      <w:ind w:left="567" w:right="0" w:firstLine="0"/>
      <w:spacing w:after="57"/>
    </w:pPr>
  </w:style>
  <w:style w:type="paragraph" w:styleId="936" w:customStyle="1">
    <w:name w:val="目录 61"/>
    <w:basedOn w:val="797"/>
    <w:next w:val="797"/>
    <w:uiPriority w:val="39"/>
    <w:unhideWhenUsed/>
    <w:qFormat/>
    <w:pPr>
      <w:ind w:left="1417" w:right="0" w:firstLine="0"/>
      <w:spacing w:after="57"/>
    </w:pPr>
  </w:style>
  <w:style w:type="paragraph" w:styleId="937" w:customStyle="1">
    <w:name w:val="目录 41"/>
    <w:basedOn w:val="797"/>
    <w:next w:val="797"/>
    <w:uiPriority w:val="39"/>
    <w:unhideWhenUsed/>
    <w:qFormat/>
    <w:pPr>
      <w:ind w:left="850" w:right="0" w:firstLine="0"/>
      <w:spacing w:after="57"/>
    </w:pPr>
  </w:style>
  <w:style w:type="paragraph" w:styleId="938" w:customStyle="1">
    <w:name w:val="目录 21"/>
    <w:basedOn w:val="797"/>
    <w:next w:val="797"/>
    <w:uiPriority w:val="39"/>
    <w:unhideWhenUsed/>
    <w:qFormat/>
    <w:pPr>
      <w:ind w:left="283" w:right="0" w:firstLine="0"/>
      <w:spacing w:after="57"/>
    </w:pPr>
  </w:style>
  <w:style w:type="paragraph" w:styleId="939" w:customStyle="1">
    <w:name w:val="目录 51"/>
    <w:basedOn w:val="797"/>
    <w:next w:val="797"/>
    <w:uiPriority w:val="39"/>
    <w:unhideWhenUsed/>
    <w:qFormat/>
    <w:pPr>
      <w:ind w:left="1134" w:right="0" w:firstLine="0"/>
      <w:spacing w:after="57"/>
    </w:pPr>
  </w:style>
  <w:style w:type="paragraph" w:styleId="940" w:customStyle="1">
    <w:name w:val="目录 111"/>
    <w:basedOn w:val="813"/>
    <w:next w:val="797"/>
    <w:uiPriority w:val="39"/>
    <w:unhideWhenUsed/>
    <w:qFormat/>
    <w:pPr>
      <w:ind w:left="0" w:right="0" w:firstLine="0"/>
      <w:spacing w:after="57"/>
    </w:pPr>
  </w:style>
  <w:style w:type="paragraph" w:styleId="941" w:customStyle="1">
    <w:name w:val="文本块11"/>
    <w:basedOn w:val="813"/>
    <w:uiPriority w:val="0"/>
    <w:unhideWhenUsed/>
    <w:qFormat/>
    <w:pPr>
      <w:ind w:left="1440" w:right="1440"/>
      <w:spacing w:after="120"/>
    </w:pPr>
  </w:style>
  <w:style w:type="paragraph" w:styleId="942" w:customStyle="1">
    <w:name w:val="目录 81"/>
    <w:basedOn w:val="797"/>
    <w:next w:val="797"/>
    <w:uiPriority w:val="39"/>
    <w:unhideWhenUsed/>
    <w:qFormat/>
    <w:pPr>
      <w:ind w:left="1984" w:right="0" w:firstLine="0"/>
      <w:spacing w:after="57"/>
    </w:pPr>
  </w:style>
  <w:style w:type="paragraph" w:styleId="943" w:customStyle="1">
    <w:name w:val="普通(网站)1"/>
    <w:basedOn w:val="797"/>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44" w:customStyle="1">
    <w:name w:val="列表段落"/>
    <w:basedOn w:val="797"/>
    <w:uiPriority w:val="34"/>
    <w:qFormat/>
    <w:pPr>
      <w:contextualSpacing/>
      <w:ind w:left="720"/>
    </w:pPr>
  </w:style>
  <w:style w:type="paragraph" w:styleId="945" w:customStyle="1">
    <w:name w:val="TOC Heading"/>
    <w:uiPriority w:val="39"/>
    <w:unhideWhenUsed/>
    <w:qFormat/>
    <w:rPr>
      <w:rFonts w:hint="default" w:ascii="Calibri" w:hAnsi="Calibri" w:eastAsia="宋体" w:cs="Times New Roman"/>
      <w:lang w:val="en-US" w:eastAsia="zh-CN" w:bidi="ar-SA"/>
    </w:rPr>
  </w:style>
  <w:style w:type="paragraph" w:styleId="946" w:customStyle="1">
    <w:name w:val="索引 51"/>
    <w:basedOn w:val="810"/>
    <w:next w:val="810"/>
    <w:uiPriority w:val="0"/>
    <w:qFormat/>
    <w:pPr>
      <w:ind w:left="798"/>
    </w:pPr>
    <w:rPr>
      <w:rFonts w:ascii="Calibri" w:hAnsi="Calibri"/>
    </w:rPr>
  </w:style>
  <w:style w:type="paragraph" w:styleId="947" w:customStyle="1">
    <w:name w:val="正文首行缩进 21"/>
    <w:basedOn w:val="948"/>
    <w:next w:val="797"/>
    <w:uiPriority w:val="0"/>
    <w:qFormat/>
    <w:pPr>
      <w:ind w:firstLine="420"/>
      <w:widowControl/>
    </w:pPr>
    <w:rPr>
      <w:rFonts w:ascii="仿宋_GB2312" w:eastAsia="仿宋_GB2312"/>
      <w:color w:val="ff6600"/>
    </w:rPr>
  </w:style>
  <w:style w:type="paragraph" w:styleId="948" w:customStyle="1">
    <w:name w:val="正文文本缩进11"/>
    <w:basedOn w:val="949"/>
    <w:next w:val="951"/>
    <w:uiPriority w:val="0"/>
    <w:qFormat/>
    <w:pPr>
      <w:ind w:firstLine="425"/>
      <w:spacing w:line="360" w:lineRule="auto"/>
    </w:pPr>
  </w:style>
  <w:style w:type="paragraph" w:styleId="949" w:customStyle="1">
    <w:name w:val="正文111"/>
    <w:next w:val="950"/>
    <w:uiPriority w:val="0"/>
    <w:qFormat/>
    <w:pPr>
      <w:jc w:val="both"/>
      <w:widowControl w:val="off"/>
    </w:pPr>
    <w:rPr>
      <w:rFonts w:ascii="Times New Roman" w:hAnsi="Times New Roman" w:eastAsia="宋体" w:cs="Times New Roman"/>
      <w:sz w:val="21"/>
      <w:szCs w:val="24"/>
      <w:lang w:val="en-US" w:eastAsia="zh-CN" w:bidi="ar-SA"/>
    </w:rPr>
  </w:style>
  <w:style w:type="paragraph" w:styleId="950" w:customStyle="1">
    <w:name w:val="正文文本缩进1"/>
    <w:basedOn w:val="797"/>
    <w:next w:val="951"/>
    <w:uiPriority w:val="0"/>
    <w:qFormat/>
    <w:pPr>
      <w:ind w:left="420"/>
      <w:spacing w:after="120"/>
    </w:pPr>
    <w:rPr>
      <w:rFonts w:ascii="Calibri" w:hAnsi="Calibri"/>
    </w:rPr>
  </w:style>
  <w:style w:type="paragraph" w:styleId="951" w:customStyle="1">
    <w:name w:val="寄信人地址1"/>
    <w:basedOn w:val="810"/>
    <w:uiPriority w:val="0"/>
    <w:qFormat/>
    <w:rPr>
      <w:rFonts w:ascii="Arial" w:hAnsi="Arial"/>
    </w:rPr>
  </w:style>
  <w:style w:type="paragraph" w:styleId="952" w:customStyle="1">
    <w:name w:val="脚注文本1"/>
    <w:basedOn w:val="810"/>
    <w:next w:val="946"/>
    <w:uiPriority w:val="0"/>
    <w:qFormat/>
    <w:rPr>
      <w:rFonts w:eastAsia="Times New Roman"/>
      <w:sz w:val="18"/>
      <w:szCs w:val="18"/>
    </w:rPr>
  </w:style>
  <w:style w:type="paragraph" w:styleId="953" w:customStyle="1">
    <w:name w:val="页眉1"/>
    <w:basedOn w:val="797"/>
    <w:uiPriority w:val="99"/>
    <w:qFormat/>
    <w:pPr>
      <w:jc w:val="center"/>
      <w:tabs>
        <w:tab w:val="center" w:pos="4153" w:leader="none"/>
        <w:tab w:val="right" w:pos="8306" w:leader="none"/>
      </w:tabs>
      <w:pBdr>
        <w:bottom w:val="single" w:color="000000" w:sz="6" w:space="1"/>
      </w:pBdr>
    </w:pPr>
    <w:rPr>
      <w:sz w:val="18"/>
      <w:szCs w:val="18"/>
    </w:rPr>
  </w:style>
  <w:style w:type="paragraph" w:styleId="954" w:customStyle="1">
    <w:name w:val="标题 21"/>
    <w:basedOn w:val="797"/>
    <w:next w:val="797"/>
    <w:uiPriority w:val="0"/>
    <w:qFormat/>
    <w:pPr>
      <w:jc w:val="left"/>
      <w:keepLines/>
      <w:keepNext/>
      <w:spacing w:before="50"/>
      <w:tabs>
        <w:tab w:val="left" w:pos="0" w:leader="none"/>
      </w:tabs>
    </w:pPr>
    <w:rPr>
      <w:rFonts w:ascii="Arial" w:hAnsi="Arial" w:eastAsia="黑体"/>
      <w:sz w:val="32"/>
      <w:szCs w:val="20"/>
    </w:rPr>
  </w:style>
  <w:style w:type="paragraph" w:styleId="955" w:customStyle="1">
    <w:name w:val="无间隔"/>
    <w:uiPriority w:val="1"/>
    <w:qFormat/>
    <w:rPr>
      <w:rFonts w:hint="default" w:ascii="Calibri" w:hAnsi="Calibri" w:eastAsia="宋体" w:cs="Times New Roman"/>
      <w:lang w:val="en-US" w:eastAsia="zh-CN" w:bidi="ar-SA"/>
    </w:rPr>
  </w:style>
  <w:style w:type="paragraph" w:styleId="956" w:customStyle="1">
    <w:name w:val="EnvelopeReturn1"/>
    <w:basedOn w:val="797"/>
    <w:uiPriority w:val="0"/>
    <w:qFormat/>
    <w:rPr>
      <w:rFonts w:ascii="Arial" w:hAnsi="Arial"/>
    </w:rPr>
  </w:style>
  <w:style w:type="paragraph" w:styleId="957" w:customStyle="1">
    <w:name w:val="EnvelopeReturn11"/>
    <w:basedOn w:val="797"/>
    <w:uiPriority w:val="0"/>
    <w:qFormat/>
    <w:rPr>
      <w:rFonts w:ascii="Arial" w:hAnsi="Arial"/>
    </w:rPr>
  </w:style>
  <w:style w:type="paragraph" w:styleId="958" w:customStyle="1">
    <w:name w:val="文本块1"/>
    <w:basedOn w:val="797"/>
    <w:uiPriority w:val="99"/>
    <w:unhideWhenUsed/>
    <w:qFormat/>
    <w:pPr>
      <w:ind w:left="1440" w:right="1440"/>
      <w:spacing w:after="120"/>
    </w:pPr>
  </w:style>
  <w:style w:type="paragraph" w:styleId="959" w:customStyle="1">
    <w:name w:val="标题 11"/>
    <w:basedOn w:val="797"/>
    <w:next w:val="797"/>
    <w:uiPriority w:val="0"/>
    <w:qFormat/>
    <w:pPr>
      <w:jc w:val="center"/>
      <w:keepLines/>
      <w:keepNext/>
      <w:spacing w:line="578" w:lineRule="auto"/>
      <w:outlineLvl w:val="0"/>
    </w:pPr>
    <w:rPr>
      <w:rFonts w:eastAsia="新宋体"/>
      <w:b/>
      <w:bCs/>
      <w:sz w:val="30"/>
      <w:szCs w:val="44"/>
    </w:rPr>
  </w:style>
  <w:style w:type="paragraph" w:styleId="960" w:customStyle="1">
    <w:name w:val="BodyTextIndent1"/>
    <w:basedOn w:val="797"/>
    <w:next w:val="956"/>
    <w:uiPriority w:val="0"/>
    <w:qFormat/>
    <w:pPr>
      <w:ind w:left="420"/>
      <w:spacing w:after="120"/>
    </w:pPr>
  </w:style>
  <w:style w:type="paragraph" w:styleId="961" w:customStyle="1">
    <w:name w:val="页脚1"/>
    <w:basedOn w:val="797"/>
    <w:uiPriority w:val="99"/>
    <w:qFormat/>
    <w:pPr>
      <w:jc w:val="left"/>
      <w:tabs>
        <w:tab w:val="center" w:pos="4153" w:leader="none"/>
        <w:tab w:val="right" w:pos="8306" w:leader="none"/>
      </w:tabs>
    </w:pPr>
    <w:rPr>
      <w:sz w:val="18"/>
      <w:szCs w:val="18"/>
    </w:rPr>
  </w:style>
  <w:style w:type="paragraph" w:styleId="962" w:customStyle="1">
    <w:name w:val="正文缩进2"/>
    <w:basedOn w:val="797"/>
    <w:uiPriority w:val="0"/>
    <w:qFormat/>
    <w:pPr>
      <w:ind w:firstLine="420"/>
    </w:pPr>
  </w:style>
  <w:style w:type="paragraph" w:styleId="963" w:customStyle="1">
    <w:name w:val="BodyTextIndent11"/>
    <w:basedOn w:val="797"/>
    <w:next w:val="957"/>
    <w:uiPriority w:val="0"/>
    <w:qFormat/>
    <w:pPr>
      <w:ind w:left="420"/>
      <w:spacing w:after="120"/>
    </w:pPr>
  </w:style>
  <w:style w:type="paragraph" w:styleId="964" w:customStyle="1">
    <w:name w:val="Body text|21"/>
    <w:basedOn w:val="797"/>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65" w:customStyle="1">
    <w:name w:val="Grid Table 4 - Accent 2"/>
    <w:uiPriority w:val="59"/>
    <w:qFormat/>
    <w:rPr>
      <w:lang w:val="en-US" w:eastAsia="zh-CN" w:bidi="ar-SA"/>
    </w:rPr>
    <w:tblPr/>
  </w:style>
  <w:style w:type="table" w:styleId="966" w:customStyle="1">
    <w:name w:val="Lined - Accent 3"/>
    <w:uiPriority w:val="99"/>
    <w:qFormat/>
    <w:rPr>
      <w:color w:val="404040"/>
      <w:lang w:val="en-US" w:eastAsia="zh-CN" w:bidi="ar-SA"/>
    </w:rPr>
    <w:tblPr/>
  </w:style>
  <w:style w:type="table" w:styleId="967" w:customStyle="1">
    <w:name w:val="网格型11"/>
    <w:uiPriority w:val="59"/>
    <w:qFormat/>
    <w:rPr>
      <w:lang w:val="en-US" w:eastAsia="zh-CN" w:bidi="ar-SA"/>
    </w:rPr>
    <w:tblPr/>
  </w:style>
  <w:style w:type="table" w:styleId="968" w:customStyle="1">
    <w:name w:val="List Table 6 Colorful - Accent 1"/>
    <w:uiPriority w:val="99"/>
    <w:qFormat/>
    <w:rPr>
      <w:lang w:val="en-US" w:eastAsia="zh-CN" w:bidi="ar-SA"/>
    </w:rPr>
    <w:tblPr/>
  </w:style>
  <w:style w:type="table" w:styleId="969" w:customStyle="1">
    <w:name w:val="Grid Table 2 - Accent 4"/>
    <w:uiPriority w:val="99"/>
    <w:qFormat/>
    <w:rPr>
      <w:lang w:val="en-US" w:eastAsia="zh-CN" w:bidi="ar-SA"/>
    </w:rPr>
    <w:tblPr/>
  </w:style>
  <w:style w:type="table" w:styleId="970" w:customStyle="1">
    <w:name w:val="List Table 3 - Accent 5"/>
    <w:uiPriority w:val="99"/>
    <w:qFormat/>
    <w:rPr>
      <w:lang w:val="en-US" w:eastAsia="zh-CN" w:bidi="ar-SA"/>
    </w:rPr>
    <w:tblPr/>
  </w:style>
  <w:style w:type="table" w:styleId="971" w:customStyle="1">
    <w:name w:val="普通表格1"/>
    <w:uiPriority w:val="99"/>
    <w:unhideWhenUsed/>
    <w:qFormat/>
    <w:rPr>
      <w:lang w:val="en-US" w:eastAsia="zh-CN" w:bidi="ar-SA"/>
    </w:rPr>
    <w:tblPr/>
  </w:style>
  <w:style w:type="table" w:styleId="972" w:customStyle="1">
    <w:name w:val="List Table 3 - Accent 3"/>
    <w:uiPriority w:val="99"/>
    <w:qFormat/>
    <w:rPr>
      <w:lang w:val="en-US" w:eastAsia="zh-CN" w:bidi="ar-SA"/>
    </w:rPr>
    <w:tblPr/>
  </w:style>
  <w:style w:type="table" w:styleId="973" w:customStyle="1">
    <w:name w:val="List Table 4 - Accent 2"/>
    <w:uiPriority w:val="99"/>
    <w:qFormat/>
    <w:rPr>
      <w:lang w:val="en-US" w:eastAsia="zh-CN" w:bidi="ar-SA"/>
    </w:rPr>
    <w:tblPr/>
  </w:style>
  <w:style w:type="table" w:styleId="974" w:customStyle="1">
    <w:name w:val="List Table 6 Colorful - Accent 2"/>
    <w:uiPriority w:val="99"/>
    <w:qFormat/>
    <w:rPr>
      <w:lang w:val="en-US" w:eastAsia="zh-CN" w:bidi="ar-SA"/>
    </w:rPr>
    <w:tblPr/>
  </w:style>
  <w:style w:type="table" w:styleId="975" w:customStyle="1">
    <w:name w:val="List Table 4 - Accent 4"/>
    <w:uiPriority w:val="99"/>
    <w:qFormat/>
    <w:rPr>
      <w:lang w:val="en-US" w:eastAsia="zh-CN" w:bidi="ar-SA"/>
    </w:rPr>
    <w:tblPr/>
  </w:style>
  <w:style w:type="table" w:styleId="976" w:customStyle="1">
    <w:name w:val="List Table 5 Dark - Accent 3"/>
    <w:uiPriority w:val="99"/>
    <w:qFormat/>
    <w:rPr>
      <w:lang w:val="en-US" w:eastAsia="zh-CN" w:bidi="ar-SA"/>
    </w:rPr>
    <w:tblPr/>
  </w:style>
  <w:style w:type="table" w:styleId="977" w:customStyle="1">
    <w:name w:val="List Table 2"/>
    <w:uiPriority w:val="99"/>
    <w:qFormat/>
    <w:rPr>
      <w:lang w:val="en-US" w:eastAsia="zh-CN" w:bidi="ar-SA"/>
    </w:rPr>
    <w:tblPr/>
  </w:style>
  <w:style w:type="table" w:styleId="978" w:customStyle="1">
    <w:name w:val="List Table 5 Dark - Accent 1"/>
    <w:uiPriority w:val="99"/>
    <w:qFormat/>
    <w:rPr>
      <w:lang w:val="en-US" w:eastAsia="zh-CN" w:bidi="ar-SA"/>
    </w:rPr>
    <w:tblPr/>
  </w:style>
  <w:style w:type="table" w:styleId="979" w:customStyle="1">
    <w:name w:val="Grid Table 7 Colorful - Accent 5"/>
    <w:uiPriority w:val="99"/>
    <w:qFormat/>
    <w:rPr>
      <w:lang w:val="en-US" w:eastAsia="zh-CN" w:bidi="ar-SA"/>
    </w:rPr>
    <w:tblPr/>
  </w:style>
  <w:style w:type="table" w:styleId="980" w:customStyle="1">
    <w:name w:val="List Table 2 - Accent 5"/>
    <w:uiPriority w:val="99"/>
    <w:qFormat/>
    <w:rPr>
      <w:lang w:val="en-US" w:eastAsia="zh-CN" w:bidi="ar-SA"/>
    </w:rPr>
    <w:tblPr/>
  </w:style>
  <w:style w:type="table" w:styleId="981" w:customStyle="1">
    <w:name w:val="List Table 5 Dark"/>
    <w:uiPriority w:val="99"/>
    <w:qFormat/>
    <w:rPr>
      <w:lang w:val="en-US" w:eastAsia="zh-CN" w:bidi="ar-SA"/>
    </w:rPr>
    <w:tblPr/>
  </w:style>
  <w:style w:type="table" w:styleId="982" w:customStyle="1">
    <w:name w:val="List Table 1 Light - Accent 5"/>
    <w:uiPriority w:val="99"/>
    <w:qFormat/>
    <w:rPr>
      <w:lang w:val="en-US" w:eastAsia="zh-CN" w:bidi="ar-SA"/>
    </w:rPr>
    <w:tblPr/>
  </w:style>
  <w:style w:type="table" w:styleId="983" w:customStyle="1">
    <w:name w:val="Grid Table 7 Colorful - Accent 3"/>
    <w:uiPriority w:val="99"/>
    <w:qFormat/>
    <w:rPr>
      <w:lang w:val="en-US" w:eastAsia="zh-CN" w:bidi="ar-SA"/>
    </w:rPr>
    <w:tblPr/>
  </w:style>
  <w:style w:type="table" w:styleId="984" w:customStyle="1">
    <w:name w:val="List Table 3 - Accent 6"/>
    <w:uiPriority w:val="99"/>
    <w:qFormat/>
    <w:rPr>
      <w:lang w:val="en-US" w:eastAsia="zh-CN" w:bidi="ar-SA"/>
    </w:rPr>
    <w:tblPr/>
  </w:style>
  <w:style w:type="table" w:styleId="985" w:customStyle="1">
    <w:name w:val="List Table 5 Dark - Accent 6"/>
    <w:uiPriority w:val="99"/>
    <w:qFormat/>
    <w:rPr>
      <w:lang w:val="en-US" w:eastAsia="zh-CN" w:bidi="ar-SA"/>
    </w:rPr>
    <w:tblPr/>
  </w:style>
  <w:style w:type="table" w:styleId="986" w:customStyle="1">
    <w:name w:val="List Table 4 - Accent 3"/>
    <w:uiPriority w:val="99"/>
    <w:qFormat/>
    <w:rPr>
      <w:lang w:val="en-US" w:eastAsia="zh-CN" w:bidi="ar-SA"/>
    </w:rPr>
    <w:tblPr/>
  </w:style>
  <w:style w:type="table" w:styleId="987" w:customStyle="1">
    <w:name w:val="List Table 5 Dark - Accent 2"/>
    <w:uiPriority w:val="99"/>
    <w:qFormat/>
    <w:rPr>
      <w:lang w:val="en-US" w:eastAsia="zh-CN" w:bidi="ar-SA"/>
    </w:rPr>
    <w:tblPr/>
  </w:style>
  <w:style w:type="table" w:styleId="988" w:customStyle="1">
    <w:name w:val="List Table 2 - Accent 3"/>
    <w:uiPriority w:val="99"/>
    <w:qFormat/>
    <w:rPr>
      <w:lang w:val="en-US" w:eastAsia="zh-CN" w:bidi="ar-SA"/>
    </w:rPr>
    <w:tblPr/>
  </w:style>
  <w:style w:type="table" w:styleId="989" w:customStyle="1">
    <w:name w:val="Grid Table 7 Colorful"/>
    <w:uiPriority w:val="99"/>
    <w:qFormat/>
    <w:rPr>
      <w:lang w:val="en-US" w:eastAsia="zh-CN" w:bidi="ar-SA"/>
    </w:rPr>
    <w:tblPr/>
  </w:style>
  <w:style w:type="table" w:styleId="990" w:customStyle="1">
    <w:name w:val="List Table 4 - Accent 5"/>
    <w:uiPriority w:val="99"/>
    <w:qFormat/>
    <w:rPr>
      <w:lang w:val="en-US" w:eastAsia="zh-CN" w:bidi="ar-SA"/>
    </w:rPr>
    <w:tblPr/>
  </w:style>
  <w:style w:type="table" w:styleId="991" w:customStyle="1">
    <w:name w:val="网格型1"/>
    <w:basedOn w:val="971"/>
    <w:uiPriority w:val="39"/>
    <w:qFormat/>
    <w:tblPr/>
  </w:style>
  <w:style w:type="table" w:styleId="992" w:customStyle="1">
    <w:name w:val="List Table 1 Light - Accent 4"/>
    <w:uiPriority w:val="99"/>
    <w:qFormat/>
    <w:rPr>
      <w:lang w:val="en-US" w:eastAsia="zh-CN" w:bidi="ar-SA"/>
    </w:rPr>
    <w:tblPr/>
  </w:style>
  <w:style w:type="table" w:styleId="993" w:customStyle="1">
    <w:name w:val="List Table 6 Colorful - Accent 3"/>
    <w:uiPriority w:val="99"/>
    <w:qFormat/>
    <w:rPr>
      <w:lang w:val="en-US" w:eastAsia="zh-CN" w:bidi="ar-SA"/>
    </w:rPr>
    <w:tblPr/>
  </w:style>
  <w:style w:type="table" w:styleId="994" w:customStyle="1">
    <w:name w:val="List Table 3 - Accent 2"/>
    <w:uiPriority w:val="99"/>
    <w:qFormat/>
    <w:rPr>
      <w:lang w:val="en-US" w:eastAsia="zh-CN" w:bidi="ar-SA"/>
    </w:rPr>
    <w:tblPr/>
  </w:style>
  <w:style w:type="table" w:styleId="995" w:customStyle="1">
    <w:name w:val="List Table 1 Light"/>
    <w:uiPriority w:val="99"/>
    <w:qFormat/>
    <w:rPr>
      <w:lang w:val="en-US" w:eastAsia="zh-CN" w:bidi="ar-SA"/>
    </w:rPr>
    <w:tblPr/>
  </w:style>
  <w:style w:type="table" w:styleId="996" w:customStyle="1">
    <w:name w:val="List Table 6 Colorful"/>
    <w:uiPriority w:val="99"/>
    <w:qFormat/>
    <w:rPr>
      <w:lang w:val="en-US" w:eastAsia="zh-CN" w:bidi="ar-SA"/>
    </w:rPr>
    <w:tblPr/>
  </w:style>
  <w:style w:type="table" w:styleId="997" w:customStyle="1">
    <w:name w:val="Grid Table 7 Colorful - Accent 2"/>
    <w:uiPriority w:val="99"/>
    <w:qFormat/>
    <w:rPr>
      <w:lang w:val="en-US" w:eastAsia="zh-CN" w:bidi="ar-SA"/>
    </w:rPr>
    <w:tblPr/>
  </w:style>
  <w:style w:type="table" w:styleId="998" w:customStyle="1">
    <w:name w:val="List Table 2 - Accent 4"/>
    <w:uiPriority w:val="99"/>
    <w:qFormat/>
    <w:rPr>
      <w:lang w:val="en-US" w:eastAsia="zh-CN" w:bidi="ar-SA"/>
    </w:rPr>
    <w:tblPr/>
  </w:style>
  <w:style w:type="table" w:styleId="999" w:customStyle="1">
    <w:name w:val="Grid Table 6 Colorful - Accent 1"/>
    <w:uiPriority w:val="99"/>
    <w:qFormat/>
    <w:rPr>
      <w:lang w:val="en-US" w:eastAsia="zh-CN" w:bidi="ar-SA"/>
    </w:rPr>
    <w:tblPr/>
  </w:style>
  <w:style w:type="table" w:styleId="1000" w:customStyle="1">
    <w:name w:val="Grid Table 3 - Accent 2"/>
    <w:uiPriority w:val="99"/>
    <w:qFormat/>
    <w:rPr>
      <w:lang w:val="en-US" w:eastAsia="zh-CN" w:bidi="ar-SA"/>
    </w:rPr>
    <w:tblPr/>
  </w:style>
  <w:style w:type="table" w:styleId="1001" w:customStyle="1">
    <w:name w:val="Grid Table 5 Dark- Accent 4"/>
    <w:uiPriority w:val="99"/>
    <w:qFormat/>
    <w:rPr>
      <w:lang w:val="en-US" w:eastAsia="zh-CN" w:bidi="ar-SA"/>
    </w:rPr>
    <w:tblPr/>
  </w:style>
  <w:style w:type="table" w:styleId="1002" w:customStyle="1">
    <w:name w:val="List Table 7 Colorful - Accent 2"/>
    <w:uiPriority w:val="99"/>
    <w:qFormat/>
    <w:rPr>
      <w:lang w:val="en-US" w:eastAsia="zh-CN" w:bidi="ar-SA"/>
    </w:rPr>
    <w:tblPr/>
  </w:style>
  <w:style w:type="table" w:styleId="1003" w:customStyle="1">
    <w:name w:val="Grid Table 6 Colorful - Accent 4"/>
    <w:uiPriority w:val="99"/>
    <w:qFormat/>
    <w:rPr>
      <w:lang w:val="en-US" w:eastAsia="zh-CN" w:bidi="ar-SA"/>
    </w:rPr>
    <w:tblPr/>
  </w:style>
  <w:style w:type="table" w:styleId="1004" w:customStyle="1">
    <w:name w:val="List Table 3"/>
    <w:uiPriority w:val="99"/>
    <w:qFormat/>
    <w:rPr>
      <w:lang w:val="en-US" w:eastAsia="zh-CN" w:bidi="ar-SA"/>
    </w:rPr>
    <w:tblPr/>
  </w:style>
  <w:style w:type="table" w:styleId="1005" w:customStyle="1">
    <w:name w:val="Grid Table 2 - Accent 5"/>
    <w:uiPriority w:val="99"/>
    <w:qFormat/>
    <w:rPr>
      <w:lang w:val="en-US" w:eastAsia="zh-CN" w:bidi="ar-SA"/>
    </w:rPr>
    <w:tblPr/>
  </w:style>
  <w:style w:type="table" w:styleId="1006" w:customStyle="1">
    <w:name w:val="Grid Table 5 Dark - Accent 3"/>
    <w:uiPriority w:val="99"/>
    <w:qFormat/>
    <w:rPr>
      <w:lang w:val="en-US" w:eastAsia="zh-CN" w:bidi="ar-SA"/>
    </w:rPr>
    <w:tblPr/>
  </w:style>
  <w:style w:type="table" w:styleId="1007" w:customStyle="1">
    <w:name w:val="Grid Table 2"/>
    <w:uiPriority w:val="99"/>
    <w:qFormat/>
    <w:rPr>
      <w:lang w:val="en-US" w:eastAsia="zh-CN" w:bidi="ar-SA"/>
    </w:rPr>
    <w:tblPr/>
  </w:style>
  <w:style w:type="table" w:styleId="1008" w:customStyle="1">
    <w:name w:val="Lined - Accent 5"/>
    <w:uiPriority w:val="99"/>
    <w:qFormat/>
    <w:rPr>
      <w:color w:val="404040"/>
      <w:lang w:val="en-US" w:eastAsia="zh-CN" w:bidi="ar-SA"/>
    </w:rPr>
    <w:tblPr/>
  </w:style>
  <w:style w:type="table" w:styleId="1009" w:customStyle="1">
    <w:name w:val="Lined - Accent 4"/>
    <w:uiPriority w:val="99"/>
    <w:qFormat/>
    <w:rPr>
      <w:color w:val="404040"/>
      <w:lang w:val="en-US" w:eastAsia="zh-CN" w:bidi="ar-SA"/>
    </w:rPr>
    <w:tblPr/>
  </w:style>
  <w:style w:type="table" w:styleId="1010" w:customStyle="1">
    <w:name w:val="Plain Table 2"/>
    <w:uiPriority w:val="59"/>
    <w:qFormat/>
    <w:rPr>
      <w:lang w:val="en-US" w:eastAsia="zh-CN" w:bidi="ar-SA"/>
    </w:rPr>
    <w:tblPr/>
  </w:style>
  <w:style w:type="table" w:styleId="1011" w:customStyle="1">
    <w:name w:val="Bordered - Accent 6"/>
    <w:uiPriority w:val="99"/>
    <w:qFormat/>
    <w:rPr>
      <w:lang w:val="en-US" w:eastAsia="zh-CN" w:bidi="ar-SA"/>
    </w:rPr>
    <w:tblPr/>
  </w:style>
  <w:style w:type="table" w:styleId="1012" w:customStyle="1">
    <w:name w:val="Grid Table 3 - Accent 3"/>
    <w:uiPriority w:val="99"/>
    <w:qFormat/>
    <w:rPr>
      <w:lang w:val="en-US" w:eastAsia="zh-CN" w:bidi="ar-SA"/>
    </w:rPr>
    <w:tblPr/>
  </w:style>
  <w:style w:type="table" w:styleId="1013" w:customStyle="1">
    <w:name w:val="Table Grid Light"/>
    <w:uiPriority w:val="59"/>
    <w:qFormat/>
    <w:rPr>
      <w:lang w:val="en-US" w:eastAsia="zh-CN" w:bidi="ar-SA"/>
    </w:rPr>
    <w:tblPr/>
  </w:style>
  <w:style w:type="table" w:styleId="1014" w:customStyle="1">
    <w:name w:val="List Table 3 - Accent 4"/>
    <w:uiPriority w:val="99"/>
    <w:qFormat/>
    <w:rPr>
      <w:lang w:val="en-US" w:eastAsia="zh-CN" w:bidi="ar-SA"/>
    </w:rPr>
    <w:tblPr/>
  </w:style>
  <w:style w:type="table" w:styleId="1015" w:customStyle="1">
    <w:name w:val="List Table 7 Colorful - Accent 1"/>
    <w:uiPriority w:val="99"/>
    <w:qFormat/>
    <w:rPr>
      <w:lang w:val="en-US" w:eastAsia="zh-CN" w:bidi="ar-SA"/>
    </w:rPr>
    <w:tblPr/>
  </w:style>
  <w:style w:type="table" w:styleId="1016" w:customStyle="1">
    <w:name w:val="Grid Table 1 Light - Accent 1"/>
    <w:uiPriority w:val="99"/>
    <w:qFormat/>
    <w:rPr>
      <w:lang w:val="en-US" w:eastAsia="zh-CN" w:bidi="ar-SA"/>
    </w:rPr>
    <w:tblPr/>
  </w:style>
  <w:style w:type="table" w:styleId="1017" w:customStyle="1">
    <w:name w:val="Lined - Accent 1"/>
    <w:uiPriority w:val="99"/>
    <w:qFormat/>
    <w:rPr>
      <w:color w:val="404040"/>
      <w:lang w:val="en-US" w:eastAsia="zh-CN" w:bidi="ar-SA"/>
    </w:rPr>
    <w:tblPr/>
  </w:style>
  <w:style w:type="table" w:styleId="1018" w:customStyle="1">
    <w:name w:val="Grid Table 3 - Accent 6"/>
    <w:uiPriority w:val="99"/>
    <w:qFormat/>
    <w:rPr>
      <w:lang w:val="en-US" w:eastAsia="zh-CN" w:bidi="ar-SA"/>
    </w:rPr>
    <w:tblPr/>
  </w:style>
  <w:style w:type="table" w:styleId="1019" w:customStyle="1">
    <w:name w:val="Plain Table 3"/>
    <w:uiPriority w:val="99"/>
    <w:qFormat/>
    <w:rPr>
      <w:lang w:val="en-US" w:eastAsia="zh-CN" w:bidi="ar-SA"/>
    </w:rPr>
    <w:tblPr/>
  </w:style>
  <w:style w:type="table" w:styleId="1020" w:customStyle="1">
    <w:name w:val="Grid Table 4 - Accent 4"/>
    <w:uiPriority w:val="59"/>
    <w:qFormat/>
    <w:rPr>
      <w:lang w:val="en-US" w:eastAsia="zh-CN" w:bidi="ar-SA"/>
    </w:rPr>
    <w:tblPr/>
  </w:style>
  <w:style w:type="table" w:styleId="1021" w:customStyle="1">
    <w:name w:val="Grid Table 3 - Accent 5"/>
    <w:uiPriority w:val="99"/>
    <w:qFormat/>
    <w:rPr>
      <w:lang w:val="en-US" w:eastAsia="zh-CN" w:bidi="ar-SA"/>
    </w:rPr>
    <w:tblPr/>
  </w:style>
  <w:style w:type="table" w:styleId="1022" w:customStyle="1">
    <w:name w:val="Plain Table 1"/>
    <w:uiPriority w:val="59"/>
    <w:qFormat/>
    <w:rPr>
      <w:lang w:val="en-US" w:eastAsia="zh-CN" w:bidi="ar-SA"/>
    </w:rPr>
    <w:tblPr/>
  </w:style>
  <w:style w:type="table" w:styleId="1023" w:customStyle="1">
    <w:name w:val="Bordered - Accent 5"/>
    <w:uiPriority w:val="99"/>
    <w:qFormat/>
    <w:rPr>
      <w:lang w:val="en-US" w:eastAsia="zh-CN" w:bidi="ar-SA"/>
    </w:rPr>
    <w:tblPr/>
  </w:style>
  <w:style w:type="table" w:styleId="1024" w:customStyle="1">
    <w:name w:val="Grid Table 1 Light"/>
    <w:uiPriority w:val="99"/>
    <w:qFormat/>
    <w:rPr>
      <w:lang w:val="en-US" w:eastAsia="zh-CN" w:bidi="ar-SA"/>
    </w:rPr>
    <w:tblPr/>
  </w:style>
  <w:style w:type="table" w:styleId="1025" w:customStyle="1">
    <w:name w:val="Grid Table 6 Colorful - Accent 2"/>
    <w:uiPriority w:val="99"/>
    <w:qFormat/>
    <w:rPr>
      <w:lang w:val="en-US" w:eastAsia="zh-CN" w:bidi="ar-SA"/>
    </w:rPr>
    <w:tblPr/>
  </w:style>
  <w:style w:type="table" w:styleId="1026" w:customStyle="1">
    <w:name w:val="Grid Table 1 Light - Accent 4"/>
    <w:uiPriority w:val="99"/>
    <w:qFormat/>
    <w:rPr>
      <w:lang w:val="en-US" w:eastAsia="zh-CN" w:bidi="ar-SA"/>
    </w:rPr>
    <w:tblPr/>
  </w:style>
  <w:style w:type="table" w:styleId="1027" w:customStyle="1">
    <w:name w:val="Plain Table 4"/>
    <w:uiPriority w:val="99"/>
    <w:qFormat/>
    <w:rPr>
      <w:lang w:val="en-US" w:eastAsia="zh-CN" w:bidi="ar-SA"/>
    </w:rPr>
    <w:tblPr/>
  </w:style>
  <w:style w:type="table" w:styleId="1028" w:customStyle="1">
    <w:name w:val="Grid Table 4 - Accent 6"/>
    <w:uiPriority w:val="59"/>
    <w:qFormat/>
    <w:rPr>
      <w:lang w:val="en-US" w:eastAsia="zh-CN" w:bidi="ar-SA"/>
    </w:rPr>
    <w:tblPr/>
  </w:style>
  <w:style w:type="table" w:styleId="1029" w:customStyle="1">
    <w:name w:val="Grid Table 1 Light - Accent 3"/>
    <w:uiPriority w:val="99"/>
    <w:qFormat/>
    <w:rPr>
      <w:lang w:val="en-US" w:eastAsia="zh-CN" w:bidi="ar-SA"/>
    </w:rPr>
    <w:tblPr/>
  </w:style>
  <w:style w:type="table" w:styleId="1030" w:customStyle="1">
    <w:name w:val="Grid Table 1 Light - Accent 2"/>
    <w:uiPriority w:val="99"/>
    <w:qFormat/>
    <w:rPr>
      <w:lang w:val="en-US" w:eastAsia="zh-CN" w:bidi="ar-SA"/>
    </w:rPr>
    <w:tblPr/>
  </w:style>
  <w:style w:type="table" w:styleId="1031" w:customStyle="1">
    <w:name w:val="Grid Table 5 Dark- Accent 1"/>
    <w:uiPriority w:val="99"/>
    <w:qFormat/>
    <w:rPr>
      <w:lang w:val="en-US" w:eastAsia="zh-CN" w:bidi="ar-SA"/>
    </w:rPr>
    <w:tblPr/>
  </w:style>
  <w:style w:type="table" w:styleId="1032" w:customStyle="1">
    <w:name w:val="Grid Table 3 - Accent 1"/>
    <w:uiPriority w:val="99"/>
    <w:qFormat/>
    <w:rPr>
      <w:lang w:val="en-US" w:eastAsia="zh-CN" w:bidi="ar-SA"/>
    </w:rPr>
    <w:tblPr/>
  </w:style>
  <w:style w:type="table" w:styleId="1033" w:customStyle="1">
    <w:name w:val="Plain Table 5"/>
    <w:uiPriority w:val="99"/>
    <w:qFormat/>
    <w:rPr>
      <w:lang w:val="en-US" w:eastAsia="zh-CN" w:bidi="ar-SA"/>
    </w:rPr>
    <w:tblPr/>
  </w:style>
  <w:style w:type="table" w:styleId="1034" w:customStyle="1">
    <w:name w:val="Grid Table 4 - Accent 5"/>
    <w:uiPriority w:val="59"/>
    <w:qFormat/>
    <w:rPr>
      <w:lang w:val="en-US" w:eastAsia="zh-CN" w:bidi="ar-SA"/>
    </w:rPr>
    <w:tblPr/>
  </w:style>
  <w:style w:type="table" w:styleId="1035" w:customStyle="1">
    <w:name w:val="Grid Table 1 Light - Accent 5"/>
    <w:uiPriority w:val="99"/>
    <w:qFormat/>
    <w:rPr>
      <w:lang w:val="en-US" w:eastAsia="zh-CN" w:bidi="ar-SA"/>
    </w:rPr>
    <w:tblPr/>
  </w:style>
  <w:style w:type="table" w:styleId="1036" w:customStyle="1">
    <w:name w:val="List Table 7 Colorful - Accent 5"/>
    <w:uiPriority w:val="99"/>
    <w:qFormat/>
    <w:rPr>
      <w:lang w:val="en-US" w:eastAsia="zh-CN" w:bidi="ar-SA"/>
    </w:rPr>
    <w:tblPr/>
  </w:style>
  <w:style w:type="table" w:styleId="1037" w:customStyle="1">
    <w:name w:val="Grid Table 1 Light - Accent 6"/>
    <w:uiPriority w:val="99"/>
    <w:qFormat/>
    <w:rPr>
      <w:lang w:val="en-US" w:eastAsia="zh-CN" w:bidi="ar-SA"/>
    </w:rPr>
    <w:tblPr/>
  </w:style>
  <w:style w:type="table" w:styleId="1038" w:customStyle="1">
    <w:name w:val="Bordered &amp; Lined - Accent 5"/>
    <w:uiPriority w:val="99"/>
    <w:qFormat/>
    <w:rPr>
      <w:color w:val="404040"/>
      <w:lang w:val="en-US" w:eastAsia="zh-CN" w:bidi="ar-SA"/>
    </w:rPr>
    <w:tblPr/>
  </w:style>
  <w:style w:type="table" w:styleId="1039" w:customStyle="1">
    <w:name w:val="Lined - Accent"/>
    <w:uiPriority w:val="99"/>
    <w:qFormat/>
    <w:rPr>
      <w:color w:val="404040"/>
      <w:lang w:val="en-US" w:eastAsia="zh-CN" w:bidi="ar-SA"/>
    </w:rPr>
    <w:tblPr/>
  </w:style>
  <w:style w:type="table" w:styleId="1040" w:customStyle="1">
    <w:name w:val="Bordered &amp; Lined - Accent 4"/>
    <w:uiPriority w:val="99"/>
    <w:qFormat/>
    <w:rPr>
      <w:color w:val="404040"/>
      <w:lang w:val="en-US" w:eastAsia="zh-CN" w:bidi="ar-SA"/>
    </w:rPr>
    <w:tblPr/>
  </w:style>
  <w:style w:type="table" w:styleId="1041" w:customStyle="1">
    <w:name w:val="Grid Table 2 - Accent 1"/>
    <w:uiPriority w:val="99"/>
    <w:qFormat/>
    <w:rPr>
      <w:lang w:val="en-US" w:eastAsia="zh-CN" w:bidi="ar-SA"/>
    </w:rPr>
    <w:tblPr/>
  </w:style>
  <w:style w:type="table" w:styleId="1042" w:customStyle="1">
    <w:name w:val="List Table 5 Dark - Accent 5"/>
    <w:uiPriority w:val="99"/>
    <w:qFormat/>
    <w:rPr>
      <w:lang w:val="en-US" w:eastAsia="zh-CN" w:bidi="ar-SA"/>
    </w:rPr>
    <w:tblPr/>
  </w:style>
  <w:style w:type="table" w:styleId="1043" w:customStyle="1">
    <w:name w:val="List Table 7 Colorful - Accent 3"/>
    <w:uiPriority w:val="99"/>
    <w:qFormat/>
    <w:rPr>
      <w:lang w:val="en-US" w:eastAsia="zh-CN" w:bidi="ar-SA"/>
    </w:rPr>
    <w:tblPr/>
  </w:style>
  <w:style w:type="table" w:styleId="1044" w:customStyle="1">
    <w:name w:val="Bordered &amp; Lined - Accent 2"/>
    <w:uiPriority w:val="99"/>
    <w:qFormat/>
    <w:rPr>
      <w:color w:val="404040"/>
      <w:lang w:val="en-US" w:eastAsia="zh-CN" w:bidi="ar-SA"/>
    </w:rPr>
    <w:tblPr/>
  </w:style>
  <w:style w:type="table" w:styleId="1045" w:customStyle="1">
    <w:name w:val="Bordered &amp; Lined - Accent 6"/>
    <w:uiPriority w:val="99"/>
    <w:qFormat/>
    <w:rPr>
      <w:color w:val="404040"/>
      <w:lang w:val="en-US" w:eastAsia="zh-CN" w:bidi="ar-SA"/>
    </w:rPr>
    <w:tblPr/>
  </w:style>
  <w:style w:type="table" w:styleId="1046" w:customStyle="1">
    <w:name w:val="Grid Table 2 - Accent 2"/>
    <w:uiPriority w:val="99"/>
    <w:qFormat/>
    <w:rPr>
      <w:lang w:val="en-US" w:eastAsia="zh-CN" w:bidi="ar-SA"/>
    </w:rPr>
    <w:tblPr/>
  </w:style>
  <w:style w:type="table" w:styleId="1047" w:customStyle="1">
    <w:name w:val="Grid Table 6 Colorful - Accent 3"/>
    <w:uiPriority w:val="99"/>
    <w:qFormat/>
    <w:rPr>
      <w:lang w:val="en-US" w:eastAsia="zh-CN" w:bidi="ar-SA"/>
    </w:rPr>
    <w:tblPr/>
  </w:style>
  <w:style w:type="table" w:styleId="1048" w:customStyle="1">
    <w:name w:val="Grid Table 5 Dark - Accent 6"/>
    <w:uiPriority w:val="99"/>
    <w:qFormat/>
    <w:rPr>
      <w:lang w:val="en-US" w:eastAsia="zh-CN" w:bidi="ar-SA"/>
    </w:rPr>
    <w:tblPr/>
  </w:style>
  <w:style w:type="table" w:styleId="1049" w:customStyle="1">
    <w:name w:val="Grid Table 2 - Accent 3"/>
    <w:uiPriority w:val="99"/>
    <w:qFormat/>
    <w:rPr>
      <w:lang w:val="en-US" w:eastAsia="zh-CN" w:bidi="ar-SA"/>
    </w:rPr>
    <w:tblPr/>
  </w:style>
  <w:style w:type="table" w:styleId="1050" w:customStyle="1">
    <w:name w:val="Grid Table 5 Dark - Accent 2"/>
    <w:uiPriority w:val="99"/>
    <w:qFormat/>
    <w:rPr>
      <w:lang w:val="en-US" w:eastAsia="zh-CN" w:bidi="ar-SA"/>
    </w:rPr>
    <w:tblPr/>
  </w:style>
  <w:style w:type="table" w:styleId="1051" w:customStyle="1">
    <w:name w:val="Bordered &amp; Lined - Accent 3"/>
    <w:uiPriority w:val="99"/>
    <w:qFormat/>
    <w:rPr>
      <w:color w:val="404040"/>
      <w:lang w:val="en-US" w:eastAsia="zh-CN" w:bidi="ar-SA"/>
    </w:rPr>
    <w:tblPr/>
  </w:style>
  <w:style w:type="table" w:styleId="1052" w:customStyle="1">
    <w:name w:val="Grid Table 5 Dark - Accent 5"/>
    <w:uiPriority w:val="99"/>
    <w:qFormat/>
    <w:rPr>
      <w:lang w:val="en-US" w:eastAsia="zh-CN" w:bidi="ar-SA"/>
    </w:rPr>
    <w:tblPr/>
  </w:style>
  <w:style w:type="table" w:styleId="1053" w:customStyle="1">
    <w:name w:val="Grid Table 2 - Accent 6"/>
    <w:uiPriority w:val="99"/>
    <w:qFormat/>
    <w:rPr>
      <w:lang w:val="en-US" w:eastAsia="zh-CN" w:bidi="ar-SA"/>
    </w:rPr>
    <w:tblPr/>
  </w:style>
  <w:style w:type="table" w:styleId="1054" w:customStyle="1">
    <w:name w:val="Bordered &amp; Lined - Accent 1"/>
    <w:uiPriority w:val="99"/>
    <w:qFormat/>
    <w:rPr>
      <w:color w:val="404040"/>
      <w:lang w:val="en-US" w:eastAsia="zh-CN" w:bidi="ar-SA"/>
    </w:rPr>
    <w:tblPr/>
  </w:style>
  <w:style w:type="table" w:styleId="1055" w:customStyle="1">
    <w:name w:val="Bordered - Accent 3"/>
    <w:uiPriority w:val="99"/>
    <w:qFormat/>
    <w:rPr>
      <w:lang w:val="en-US" w:eastAsia="zh-CN" w:bidi="ar-SA"/>
    </w:rPr>
    <w:tblPr/>
  </w:style>
  <w:style w:type="table" w:styleId="1056" w:customStyle="1">
    <w:name w:val="Grid Table 4"/>
    <w:uiPriority w:val="59"/>
    <w:qFormat/>
    <w:rPr>
      <w:lang w:val="en-US" w:eastAsia="zh-CN" w:bidi="ar-SA"/>
    </w:rPr>
    <w:tblPr/>
  </w:style>
  <w:style w:type="table" w:styleId="1057" w:customStyle="1">
    <w:name w:val="Grid Table 3"/>
    <w:uiPriority w:val="99"/>
    <w:qFormat/>
    <w:rPr>
      <w:lang w:val="en-US" w:eastAsia="zh-CN" w:bidi="ar-SA"/>
    </w:rPr>
    <w:tblPr/>
  </w:style>
  <w:style w:type="table" w:styleId="1058" w:customStyle="1">
    <w:name w:val="Bordered &amp; Lined - Accent"/>
    <w:uiPriority w:val="99"/>
    <w:qFormat/>
    <w:rPr>
      <w:color w:val="404040"/>
      <w:lang w:val="en-US" w:eastAsia="zh-CN" w:bidi="ar-SA"/>
    </w:rPr>
    <w:tblPr/>
  </w:style>
  <w:style w:type="table" w:styleId="1059" w:customStyle="1">
    <w:name w:val="List Table 7 Colorful"/>
    <w:uiPriority w:val="99"/>
    <w:qFormat/>
    <w:rPr>
      <w:lang w:val="en-US" w:eastAsia="zh-CN" w:bidi="ar-SA"/>
    </w:rPr>
    <w:tblPr/>
  </w:style>
  <w:style w:type="table" w:styleId="1060" w:customStyle="1">
    <w:name w:val="Grid Table 6 Colorful"/>
    <w:uiPriority w:val="99"/>
    <w:qFormat/>
    <w:rPr>
      <w:lang w:val="en-US" w:eastAsia="zh-CN" w:bidi="ar-SA"/>
    </w:rPr>
    <w:tblPr/>
  </w:style>
  <w:style w:type="table" w:styleId="1061" w:customStyle="1">
    <w:name w:val="List Table 7 Colorful - Accent 6"/>
    <w:uiPriority w:val="99"/>
    <w:qFormat/>
    <w:rPr>
      <w:lang w:val="en-US" w:eastAsia="zh-CN" w:bidi="ar-SA"/>
    </w:rPr>
    <w:tblPr/>
  </w:style>
  <w:style w:type="table" w:styleId="1062" w:customStyle="1">
    <w:name w:val="Grid Table 4 - Accent 1"/>
    <w:uiPriority w:val="59"/>
    <w:qFormat/>
    <w:rPr>
      <w:lang w:val="en-US" w:eastAsia="zh-CN" w:bidi="ar-SA"/>
    </w:rPr>
    <w:tblPr/>
  </w:style>
  <w:style w:type="table" w:styleId="1063" w:customStyle="1">
    <w:name w:val="Bordered - Accent 1"/>
    <w:uiPriority w:val="99"/>
    <w:qFormat/>
    <w:rPr>
      <w:lang w:val="en-US" w:eastAsia="zh-CN" w:bidi="ar-SA"/>
    </w:rPr>
    <w:tblPr/>
  </w:style>
  <w:style w:type="table" w:styleId="1064" w:customStyle="1">
    <w:name w:val="Grid Table 5 Dark"/>
    <w:uiPriority w:val="99"/>
    <w:qFormat/>
    <w:rPr>
      <w:lang w:val="en-US" w:eastAsia="zh-CN" w:bidi="ar-SA"/>
    </w:rPr>
    <w:tblPr/>
  </w:style>
  <w:style w:type="table" w:styleId="1065" w:customStyle="1">
    <w:name w:val="Bordered - Accent 4"/>
    <w:uiPriority w:val="99"/>
    <w:qFormat/>
    <w:rPr>
      <w:lang w:val="en-US" w:eastAsia="zh-CN" w:bidi="ar-SA"/>
    </w:rPr>
    <w:tblPr/>
  </w:style>
  <w:style w:type="table" w:styleId="1066" w:customStyle="1">
    <w:name w:val="Grid Table 4 - Accent 3"/>
    <w:uiPriority w:val="59"/>
    <w:qFormat/>
    <w:rPr>
      <w:lang w:val="en-US" w:eastAsia="zh-CN" w:bidi="ar-SA"/>
    </w:rPr>
    <w:tblPr/>
  </w:style>
  <w:style w:type="table" w:styleId="1067" w:customStyle="1">
    <w:name w:val="Grid Table 3 - Accent 4"/>
    <w:uiPriority w:val="99"/>
    <w:qFormat/>
    <w:rPr>
      <w:lang w:val="en-US" w:eastAsia="zh-CN" w:bidi="ar-SA"/>
    </w:rPr>
    <w:tblPr/>
  </w:style>
  <w:style w:type="table" w:styleId="1068" w:customStyle="1">
    <w:name w:val="List Table 4 - Accent 6"/>
    <w:uiPriority w:val="99"/>
    <w:qFormat/>
    <w:rPr>
      <w:lang w:val="en-US" w:eastAsia="zh-CN" w:bidi="ar-SA"/>
    </w:rPr>
    <w:tblPr/>
  </w:style>
  <w:style w:type="table" w:styleId="1069" w:customStyle="1">
    <w:name w:val="Lined - Accent 2"/>
    <w:uiPriority w:val="99"/>
    <w:qFormat/>
    <w:rPr>
      <w:color w:val="404040"/>
      <w:lang w:val="en-US" w:eastAsia="zh-CN" w:bidi="ar-SA"/>
    </w:rPr>
    <w:tblPr/>
  </w:style>
  <w:style w:type="table" w:styleId="1070" w:customStyle="1">
    <w:name w:val="Grid Table 6 Colorful - Accent 5"/>
    <w:uiPriority w:val="99"/>
    <w:qFormat/>
    <w:rPr>
      <w:lang w:val="en-US" w:eastAsia="zh-CN" w:bidi="ar-SA"/>
    </w:rPr>
    <w:tblPr/>
  </w:style>
  <w:style w:type="table" w:styleId="1071" w:customStyle="1">
    <w:name w:val="List Table 5 Dark - Accent 4"/>
    <w:uiPriority w:val="99"/>
    <w:qFormat/>
    <w:rPr>
      <w:lang w:val="en-US" w:eastAsia="zh-CN" w:bidi="ar-SA"/>
    </w:rPr>
    <w:tblPr/>
  </w:style>
  <w:style w:type="table" w:styleId="1072" w:customStyle="1">
    <w:name w:val="Grid Table 6 Colorful - Accent 6"/>
    <w:uiPriority w:val="99"/>
    <w:qFormat/>
    <w:rPr>
      <w:lang w:val="en-US" w:eastAsia="zh-CN" w:bidi="ar-SA"/>
    </w:rPr>
    <w:tblPr/>
  </w:style>
  <w:style w:type="table" w:styleId="1073" w:customStyle="1">
    <w:name w:val="Bordered"/>
    <w:uiPriority w:val="99"/>
    <w:qFormat/>
    <w:rPr>
      <w:lang w:val="en-US" w:eastAsia="zh-CN" w:bidi="ar-SA"/>
    </w:rPr>
    <w:tblPr/>
  </w:style>
  <w:style w:type="table" w:styleId="1074" w:customStyle="1">
    <w:name w:val="Grid Table 7 Colorful - Accent 1"/>
    <w:uiPriority w:val="99"/>
    <w:qFormat/>
    <w:rPr>
      <w:lang w:val="en-US" w:eastAsia="zh-CN" w:bidi="ar-SA"/>
    </w:rPr>
    <w:tblPr/>
  </w:style>
  <w:style w:type="table" w:styleId="1075" w:customStyle="1">
    <w:name w:val="Bordered - Accent 2"/>
    <w:uiPriority w:val="99"/>
    <w:qFormat/>
    <w:rPr>
      <w:lang w:val="en-US" w:eastAsia="zh-CN" w:bidi="ar-SA"/>
    </w:rPr>
    <w:tblPr/>
  </w:style>
  <w:style w:type="table" w:styleId="1076" w:customStyle="1">
    <w:name w:val="List Table 6 Colorful - Accent 6"/>
    <w:uiPriority w:val="99"/>
    <w:qFormat/>
    <w:rPr>
      <w:lang w:val="en-US" w:eastAsia="zh-CN" w:bidi="ar-SA"/>
    </w:rPr>
    <w:tblPr/>
  </w:style>
  <w:style w:type="table" w:styleId="1077" w:customStyle="1">
    <w:name w:val="List Table 4"/>
    <w:uiPriority w:val="99"/>
    <w:qFormat/>
    <w:rPr>
      <w:lang w:val="en-US" w:eastAsia="zh-CN" w:bidi="ar-SA"/>
    </w:rPr>
    <w:tblPr/>
  </w:style>
  <w:style w:type="table" w:styleId="1078" w:customStyle="1">
    <w:name w:val="List Table 6 Colorful - Accent 5"/>
    <w:uiPriority w:val="99"/>
    <w:qFormat/>
    <w:rPr>
      <w:lang w:val="en-US" w:eastAsia="zh-CN" w:bidi="ar-SA"/>
    </w:rPr>
    <w:tblPr/>
  </w:style>
  <w:style w:type="table" w:styleId="1079" w:customStyle="1">
    <w:name w:val="List Table 2 - Accent 2"/>
    <w:uiPriority w:val="99"/>
    <w:qFormat/>
    <w:rPr>
      <w:lang w:val="en-US" w:eastAsia="zh-CN" w:bidi="ar-SA"/>
    </w:rPr>
    <w:tblPr/>
  </w:style>
  <w:style w:type="table" w:styleId="1080" w:customStyle="1">
    <w:name w:val="Grid Table 7 Colorful - Accent 4"/>
    <w:uiPriority w:val="99"/>
    <w:qFormat/>
    <w:rPr>
      <w:lang w:val="en-US" w:eastAsia="zh-CN" w:bidi="ar-SA"/>
    </w:rPr>
    <w:tblPr/>
  </w:style>
  <w:style w:type="table" w:styleId="1081" w:customStyle="1">
    <w:name w:val="List Table 1 Light - Accent 6"/>
    <w:uiPriority w:val="99"/>
    <w:qFormat/>
    <w:rPr>
      <w:lang w:val="en-US" w:eastAsia="zh-CN" w:bidi="ar-SA"/>
    </w:rPr>
    <w:tblPr/>
  </w:style>
  <w:style w:type="table" w:styleId="1082" w:customStyle="1">
    <w:name w:val="List Table 3 - Accent 1"/>
    <w:uiPriority w:val="99"/>
    <w:qFormat/>
    <w:rPr>
      <w:lang w:val="en-US" w:eastAsia="zh-CN" w:bidi="ar-SA"/>
    </w:rPr>
    <w:tblPr/>
  </w:style>
  <w:style w:type="table" w:styleId="1083" w:customStyle="1">
    <w:name w:val="List Table 2 - Accent 1"/>
    <w:uiPriority w:val="99"/>
    <w:qFormat/>
    <w:rPr>
      <w:lang w:val="en-US" w:eastAsia="zh-CN" w:bidi="ar-SA"/>
    </w:rPr>
    <w:tblPr/>
  </w:style>
  <w:style w:type="table" w:styleId="1084" w:customStyle="1">
    <w:name w:val="Grid Table 7 Colorful - Accent 6"/>
    <w:uiPriority w:val="99"/>
    <w:qFormat/>
    <w:rPr>
      <w:lang w:val="en-US" w:eastAsia="zh-CN" w:bidi="ar-SA"/>
    </w:rPr>
    <w:tblPr/>
  </w:style>
  <w:style w:type="table" w:styleId="1085" w:customStyle="1">
    <w:name w:val="List Table 2 - Accent 6"/>
    <w:uiPriority w:val="99"/>
    <w:qFormat/>
    <w:rPr>
      <w:lang w:val="en-US" w:eastAsia="zh-CN" w:bidi="ar-SA"/>
    </w:rPr>
    <w:tblPr/>
  </w:style>
  <w:style w:type="table" w:styleId="1086" w:customStyle="1">
    <w:name w:val="List Table 1 Light - Accent 1"/>
    <w:uiPriority w:val="99"/>
    <w:qFormat/>
    <w:rPr>
      <w:lang w:val="en-US" w:eastAsia="zh-CN" w:bidi="ar-SA"/>
    </w:rPr>
    <w:tblPr/>
  </w:style>
  <w:style w:type="table" w:styleId="1087" w:customStyle="1">
    <w:name w:val="List Table 6 Colorful - Accent 4"/>
    <w:uiPriority w:val="99"/>
    <w:qFormat/>
    <w:rPr>
      <w:lang w:val="en-US" w:eastAsia="zh-CN" w:bidi="ar-SA"/>
    </w:rPr>
    <w:tblPr/>
  </w:style>
  <w:style w:type="table" w:styleId="1088" w:customStyle="1">
    <w:name w:val="List Table 1 Light - Accent 2"/>
    <w:uiPriority w:val="99"/>
    <w:qFormat/>
    <w:rPr>
      <w:lang w:val="en-US" w:eastAsia="zh-CN" w:bidi="ar-SA"/>
    </w:rPr>
    <w:tblPr/>
  </w:style>
  <w:style w:type="table" w:styleId="1089" w:customStyle="1">
    <w:name w:val="List Table 7 Colorful - Accent 4"/>
    <w:uiPriority w:val="99"/>
    <w:qFormat/>
    <w:rPr>
      <w:lang w:val="en-US" w:eastAsia="zh-CN" w:bidi="ar-SA"/>
    </w:rPr>
    <w:tblPr/>
  </w:style>
  <w:style w:type="table" w:styleId="1090" w:customStyle="1">
    <w:name w:val="List Table 1 Light - Accent 3"/>
    <w:uiPriority w:val="99"/>
    <w:qFormat/>
    <w:rPr>
      <w:lang w:val="en-US" w:eastAsia="zh-CN" w:bidi="ar-SA"/>
    </w:rPr>
    <w:tblPr/>
  </w:style>
  <w:style w:type="table" w:styleId="1091" w:customStyle="1">
    <w:name w:val="List Table 4 - Accent 1"/>
    <w:uiPriority w:val="99"/>
    <w:qFormat/>
    <w:rPr>
      <w:lang w:val="en-US" w:eastAsia="zh-CN" w:bidi="ar-SA"/>
    </w:rPr>
    <w:tblPr/>
  </w:style>
  <w:style w:type="table" w:styleId="1092" w:customStyle="1">
    <w:name w:val="Lined - Accent 6"/>
    <w:uiPriority w:val="99"/>
    <w:qFormat/>
    <w:rPr>
      <w:color w:val="404040"/>
      <w:lang w:val="en-US" w:eastAsia="zh-CN" w:bidi="ar-SA"/>
    </w:rPr>
    <w:tblPr/>
  </w:style>
  <w:style w:type="character" w:styleId="1093" w:customStyle="1">
    <w:name w:val="NormalCharacter"/>
    <w:uiPriority w:val="0"/>
    <w:semiHidden/>
    <w:qFormat/>
    <w:rPr>
      <w:sz w:val="28"/>
      <w:lang w:val="en-US" w:eastAsia="zh-CN" w:bidi="ar-SA"/>
    </w:rPr>
  </w:style>
  <w:style w:type="character" w:styleId="1094" w:customStyle="1">
    <w:name w:val="font61"/>
    <w:basedOn w:val="807"/>
    <w:uiPriority w:val="0"/>
    <w:qFormat/>
    <w:rPr>
      <w:rFonts w:ascii="宋体" w:hAnsi="宋体" w:eastAsia="宋体" w:cs="宋体"/>
      <w:b/>
      <w:bCs/>
      <w:color w:val="000000"/>
      <w:sz w:val="22"/>
      <w:szCs w:val="22"/>
      <w:u w:val="none"/>
    </w:rPr>
  </w:style>
  <w:style w:type="character" w:styleId="1095" w:customStyle="1">
    <w:name w:val="font71"/>
    <w:basedOn w:val="807"/>
    <w:uiPriority w:val="0"/>
    <w:qFormat/>
    <w:rPr>
      <w:rFonts w:ascii="宋体" w:hAnsi="宋体" w:eastAsia="宋体" w:cs="宋体"/>
      <w:color w:val="000000"/>
      <w:sz w:val="22"/>
      <w:szCs w:val="22"/>
      <w:u w:val="none"/>
    </w:rPr>
  </w:style>
  <w:style w:type="character" w:styleId="1096" w:customStyle="1">
    <w:name w:val="font51"/>
    <w:basedOn w:val="807"/>
    <w:uiPriority w:val="0"/>
    <w:qFormat/>
    <w:rPr>
      <w:rFonts w:hint="default" w:ascii="Arial" w:hAnsi="Arial" w:cs="Arial"/>
      <w:color w:val="000000"/>
      <w:sz w:val="12"/>
      <w:szCs w:val="12"/>
      <w:u w:val="none"/>
    </w:rPr>
  </w:style>
  <w:style w:type="character" w:styleId="1097" w:customStyle="1">
    <w:name w:val="font81"/>
    <w:basedOn w:val="807"/>
    <w:uiPriority w:val="0"/>
    <w:qFormat/>
    <w:rPr>
      <w:rFonts w:hint="default" w:ascii="Arial" w:hAnsi="Arial" w:cs="Arial"/>
      <w:color w:val="000000"/>
      <w:sz w:val="15"/>
      <w:szCs w:val="15"/>
      <w:u w:val="none"/>
    </w:rPr>
  </w:style>
  <w:style w:type="character" w:styleId="1098" w:customStyle="1">
    <w:name w:val="font91"/>
    <w:basedOn w:val="807"/>
    <w:uiPriority w:val="0"/>
    <w:qFormat/>
    <w:rPr>
      <w:rFonts w:hint="default" w:ascii="Arial" w:hAnsi="Arial" w:cs="Arial"/>
      <w:color w:val="000000"/>
      <w:sz w:val="13"/>
      <w:szCs w:val="13"/>
      <w:u w:val="none"/>
    </w:rPr>
  </w:style>
  <w:style w:type="character" w:styleId="1099" w:customStyle="1">
    <w:name w:val="font101"/>
    <w:basedOn w:val="807"/>
    <w:uiPriority w:val="0"/>
    <w:qFormat/>
    <w:rPr>
      <w:rFonts w:hint="default" w:ascii="Arial" w:hAnsi="Arial" w:cs="Arial"/>
      <w:color w:val="000000"/>
      <w:sz w:val="18"/>
      <w:szCs w:val="18"/>
      <w:u w:val="none"/>
    </w:rPr>
  </w:style>
  <w:style w:type="character" w:styleId="1100" w:customStyle="1">
    <w:name w:val="font31"/>
    <w:basedOn w:val="807"/>
    <w:uiPriority w:val="0"/>
    <w:qFormat/>
    <w:rPr>
      <w:rFonts w:hint="eastAsia" w:ascii="宋体" w:hAnsi="宋体" w:eastAsia="宋体" w:cs="宋体"/>
      <w:b/>
      <w:bCs/>
      <w:color w:val="000000"/>
      <w:sz w:val="24"/>
      <w:szCs w:val="24"/>
      <w:u w:val="none"/>
    </w:rPr>
  </w:style>
  <w:style w:type="paragraph" w:styleId="1101" w:customStyle="1">
    <w:name w:val="+正文"/>
    <w:basedOn w:val="797"/>
    <w:uiPriority w:val="1624"/>
    <w:qFormat/>
    <w:pPr>
      <w:ind w:firstLine="200"/>
      <w:spacing w:line="360" w:lineRule="auto"/>
    </w:pPr>
  </w:style>
  <w:style w:type="paragraph" w:styleId="1102" w:customStyle="1">
    <w:name w:val="Plain Text*"/>
    <w:basedOn w:val="797"/>
    <w:uiPriority w:val="6"/>
    <w:qFormat/>
    <w:rPr>
      <w:rFonts w:ascii="宋体" w:hAnsi="宋体" w:eastAsia="楷体_GB2312" w:cs="Courier New"/>
      <w:sz w:val="26"/>
    </w:rPr>
  </w:style>
  <w:style w:type="paragraph" w:styleId="110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4" w:customStyle="1">
    <w:name w:val="Table Paragraph"/>
    <w:basedOn w:val="797"/>
    <w:uiPriority w:val="1"/>
    <w:unhideWhenUsed/>
    <w:qFormat/>
    <w:rPr>
      <w:sz w:val="24"/>
      <w:szCs w:val="20"/>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宋涛</cp:lastModifiedBy>
  <cp:revision>28</cp:revision>
  <dcterms:created xsi:type="dcterms:W3CDTF">2023-11-15T03:32:00Z</dcterms:created>
  <dcterms:modified xsi:type="dcterms:W3CDTF">2026-07-20T09:37:07Z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F37435DC293E4E478DE6EC14D7168D5B_13</vt:lpwstr>
  </property>
  <property fmtid="{D5CDD505-2E9C-101B-9397-08002B2CF9AE}" pid="4" name="KSOTemplateDocerSaveRecord">
    <vt:lpwstr>eyJoZGlkIjoiNmUyNTM2OGQwZjc2MDEzYjY1NzY5Mzg1NjRkMmRmMjciLCJ1c2VySWQiOiIzMDM4NTU2ODgifQ==</vt:lpwstr>
  </property>
</Properties>
</file>