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Theme="minorEastAsia" w:hAnsiTheme="minorEastAsia" w:eastAsiaTheme="minorEastAsia" w:cstheme="minorEastAsia"/>
          <w:b/>
          <w:i/>
          <w:szCs w:val="21"/>
        </w:rPr>
      </w:pPr>
      <w:r>
        <w:rPr>
          <w:rFonts w:hint="eastAsia" w:asciiTheme="minorEastAsia" w:hAnsiTheme="minorEastAsia" w:eastAsiaTheme="minorEastAsia" w:cstheme="minorEastAsia"/>
          <w:b/>
          <w:sz w:val="72"/>
        </w:rPr>
        <w:t xml:space="preserve"> </w:t>
      </w:r>
      <w:r>
        <w:rPr>
          <w:rFonts w:hint="eastAsia" w:asciiTheme="minorEastAsia" w:hAnsiTheme="minorEastAsia" w:eastAsiaTheme="minorEastAsia" w:cstheme="minorEastAsia"/>
          <w:b/>
          <w:sz w:val="72"/>
        </w:rPr>
        <w:tab/>
      </w:r>
      <w:r/>
    </w:p>
    <w:p>
      <w:pPr>
        <w:jc w:val="cente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jc w:val="center"/>
        <w:spacing w:line="360" w:lineRule="auto"/>
        <w:rPr>
          <w:rFonts w:asciiTheme="minorEastAsia" w:hAnsiTheme="minorEastAsia" w:eastAsiaTheme="minorEastAsia" w:cstheme="minorEastAsia"/>
          <w:b/>
          <w:spacing w:val="20"/>
          <w:sz w:val="72"/>
          <w:szCs w:val="72"/>
        </w:rPr>
      </w:pPr>
      <w:r>
        <w:rPr>
          <w:rFonts w:hint="eastAsia" w:asciiTheme="minorEastAsia" w:hAnsiTheme="minorEastAsia" w:eastAsiaTheme="minorEastAsia" w:cstheme="minorEastAsia"/>
          <w:b/>
          <w:spacing w:val="20"/>
          <w:sz w:val="72"/>
          <w:szCs w:val="72"/>
        </w:rPr>
        <w:t xml:space="preserve">泰州市政府采购</w:t>
      </w:r>
      <w:r/>
    </w:p>
    <w:p>
      <w:pPr>
        <w:jc w:val="center"/>
        <w:spacing w:line="360" w:lineRule="auto"/>
        <w:rPr>
          <w:rFonts w:asciiTheme="minorEastAsia" w:hAnsiTheme="minorEastAsia" w:eastAsiaTheme="minorEastAsia" w:cstheme="minorEastAsia"/>
          <w:b/>
          <w:spacing w:val="20"/>
          <w:sz w:val="52"/>
          <w:szCs w:val="52"/>
        </w:rPr>
      </w:pPr>
      <w:r>
        <w:rPr>
          <w:rFonts w:hint="eastAsia" w:asciiTheme="minorEastAsia" w:hAnsiTheme="minorEastAsia" w:eastAsiaTheme="minorEastAsia" w:cstheme="minorEastAsia"/>
          <w:b/>
          <w:spacing w:val="20"/>
          <w:sz w:val="52"/>
          <w:szCs w:val="52"/>
        </w:rPr>
        <w:t xml:space="preserve">磋 商 文 件</w:t>
      </w:r>
      <w:r/>
    </w:p>
    <w:p>
      <w:pPr>
        <w:jc w:val="center"/>
        <w:rPr>
          <w:rFonts w:asciiTheme="minorEastAsia" w:hAnsiTheme="minorEastAsia" w:eastAsiaTheme="minorEastAsia" w:cstheme="minorEastAsia"/>
          <w:b/>
          <w:sz w:val="72"/>
          <w:szCs w:val="72"/>
        </w:rPr>
      </w:pPr>
      <w:r>
        <w:rPr>
          <w:rFonts w:hint="eastAsia" w:asciiTheme="minorEastAsia" w:hAnsiTheme="minorEastAsia" w:eastAsiaTheme="minorEastAsia" w:cstheme="minorEastAsia"/>
          <w:b/>
          <w:sz w:val="30"/>
        </w:rPr>
        <w:t xml:space="preserve">（全流程电子化不见面开标）</w:t>
      </w:r>
      <w:r/>
    </w:p>
    <w:p>
      <w:pP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pStyle w:val="1045"/>
        <w:ind w:firstLine="568"/>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1045"/>
        <w:ind w:firstLine="568"/>
        <w:rPr>
          <w:rFonts w:asciiTheme="minorEastAsia" w:hAnsiTheme="minorEastAsia" w:eastAsiaTheme="minorEastAsia" w:cstheme="minorEastAsia"/>
          <w:b/>
        </w:rPr>
      </w:pPr>
      <w:r>
        <w:rPr>
          <w:rFonts w:asciiTheme="minorEastAsia" w:hAnsiTheme="minorEastAsia" w:eastAsiaTheme="minorEastAsia" w:cstheme="minorEastAsia"/>
          <w:b/>
        </w:rPr>
      </w:r>
      <w:r/>
    </w:p>
    <w:p>
      <w:pPr>
        <w:ind w:firstLine="301"/>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项目编号：</w:t>
      </w:r>
      <w:r>
        <w:rPr>
          <w:rFonts w:asciiTheme="minorEastAsia" w:hAnsiTheme="minorEastAsia" w:eastAsiaTheme="minorEastAsia" w:cstheme="minorEastAsia"/>
          <w:b/>
          <w:sz w:val="28"/>
          <w:szCs w:val="28"/>
        </w:rPr>
        <w:t xml:space="preserve">JSZC-321204-ZYNJ-C2026-0010</w:t>
      </w:r>
      <w:r/>
    </w:p>
    <w:p>
      <w:pPr>
        <w:pStyle w:val="771"/>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  项目名称：张甸镇尹庄村2025年度宜居宜业和美乡村建设（市级）项目</w:t>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1644"/>
        <w:spacing w:line="360" w:lineRule="auto"/>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采 购 人：泰州市姜堰区张甸镇人民政府</w:t>
      </w:r>
      <w:r/>
    </w:p>
    <w:p>
      <w:pPr>
        <w:spacing w:line="360" w:lineRule="auto"/>
        <w:rPr>
          <w:rFonts w:asciiTheme="minorEastAsia" w:hAnsiTheme="minorEastAsia" w:eastAsiaTheme="minorEastAsia" w:cstheme="minorEastAsia"/>
          <w:b/>
          <w:sz w:val="30"/>
          <w:szCs w:val="30"/>
        </w:rPr>
      </w:pPr>
      <w:r>
        <w:rPr>
          <w:rFonts w:asciiTheme="minorEastAsia" w:hAnsiTheme="minorEastAsia" w:eastAsiaTheme="minorEastAsia" w:cstheme="minorEastAsia"/>
          <w:b/>
          <w:sz w:val="30"/>
          <w:szCs w:val="30"/>
        </w:rPr>
      </w:r>
      <w:r/>
    </w:p>
    <w:p>
      <w:pPr>
        <w:ind w:firstLine="1343"/>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30"/>
          <w:szCs w:val="30"/>
        </w:rPr>
        <w:t xml:space="preserve">采购代理机构：南京正一工程造价咨询有限公司</w:t>
      </w:r>
      <w:r/>
    </w:p>
    <w:p>
      <w:pPr>
        <w:jc w:val="center"/>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pStyle w:val="771"/>
        <w:rPr>
          <w:rFonts w:asciiTheme="minorEastAsia" w:hAnsiTheme="minorEastAsia" w:eastAsiaTheme="minorEastAsia" w:cstheme="minorEastAsia"/>
          <w:b/>
        </w:rPr>
      </w:pPr>
      <w:r>
        <w:rPr>
          <w:rFonts w:asciiTheme="minorEastAsia" w:hAnsiTheme="minorEastAsia" w:eastAsiaTheme="minorEastAsia" w:cstheme="minorEastAsia"/>
          <w:b/>
        </w:rPr>
      </w:r>
      <w:r/>
    </w:p>
    <w:p>
      <w:pPr>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color w:val="000000"/>
          <w:sz w:val="32"/>
          <w:szCs w:val="32"/>
        </w:rPr>
        <w:t xml:space="preserve">二○二六年</w:t>
      </w:r>
      <w:r>
        <w:rPr>
          <w:rFonts w:hint="eastAsia" w:asciiTheme="minorEastAsia" w:hAnsiTheme="minorEastAsia" w:eastAsiaTheme="minorEastAsia" w:cstheme="minorEastAsia"/>
          <w:b/>
          <w:color w:val="000000"/>
          <w:sz w:val="32"/>
          <w:szCs w:val="32"/>
        </w:rPr>
        <w:t xml:space="preserve">七</w:t>
      </w:r>
      <w:r>
        <w:rPr>
          <w:rFonts w:hint="eastAsia" w:asciiTheme="minorEastAsia" w:hAnsiTheme="minorEastAsia" w:eastAsiaTheme="minorEastAsia" w:cstheme="minorEastAsia"/>
          <w:b/>
          <w:color w:val="000000"/>
          <w:sz w:val="32"/>
          <w:szCs w:val="32"/>
        </w:rPr>
        <w:t xml:space="preserve">月</w:t>
      </w:r>
      <w:r/>
    </w:p>
    <w:p>
      <w:pPr>
        <w:jc w:val="center"/>
        <w:spacing w:line="520" w:lineRule="exact"/>
        <w:rPr>
          <w:rFonts w:asciiTheme="minorEastAsia" w:hAnsiTheme="minorEastAsia" w:eastAsiaTheme="minorEastAsia" w:cstheme="minorEastAsia"/>
          <w:b/>
          <w:bCs/>
          <w:spacing w:val="-3"/>
          <w:sz w:val="32"/>
          <w:szCs w:val="32"/>
        </w:rPr>
      </w:pPr>
      <w:r>
        <w:rPr>
          <w:rFonts w:hint="eastAsia" w:asciiTheme="minorEastAsia" w:hAnsiTheme="minorEastAsia" w:eastAsiaTheme="minorEastAsia" w:cstheme="minorEastAsia"/>
          <w:b/>
          <w:spacing w:val="20"/>
          <w:sz w:val="84"/>
        </w:rPr>
        <w:br w:type="page" w:clear="all"/>
      </w:r>
      <w:r>
        <w:rPr>
          <w:rFonts w:hint="eastAsia" w:asciiTheme="minorEastAsia" w:hAnsiTheme="minorEastAsia" w:eastAsiaTheme="minorEastAsia" w:cstheme="minorEastAsia"/>
          <w:b/>
          <w:bCs/>
          <w:sz w:val="32"/>
          <w:szCs w:val="32"/>
        </w:rPr>
        <w:t xml:space="preserve">政府采购线上合同信用融资功能告知提醒</w:t>
      </w:r>
      <w:r/>
    </w:p>
    <w:p>
      <w:pPr>
        <w:pStyle w:val="1047"/>
        <w:ind w:left="640"/>
        <w:jc w:val="both"/>
        <w:spacing w:before="0" w:beforeAutospacing="0" w:after="0" w:afterAutospacing="0" w:line="4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一、政府采购线上合同信用融资功能告知提醒</w:t>
      </w:r>
      <w:r/>
    </w:p>
    <w:p>
      <w:pPr>
        <w:ind w:firstLine="564"/>
        <w:spacing w:line="40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我区已正式启用“苏采云”系统，目前已全面开</w:t>
      </w:r>
      <w:r>
        <w:rPr>
          <w:rFonts w:hint="eastAsia" w:asciiTheme="minorEastAsia" w:hAnsiTheme="minorEastAsia" w:eastAsiaTheme="minorEastAsia" w:cstheme="minorEastAsia"/>
          <w:spacing w:val="11"/>
          <w:sz w:val="24"/>
        </w:rPr>
        <w:t xml:space="preserve">通</w:t>
      </w:r>
      <w:r>
        <w:rPr>
          <w:rFonts w:hint="eastAsia" w:asciiTheme="minorEastAsia" w:hAnsiTheme="minorEastAsia" w:eastAsiaTheme="minorEastAsia" w:cstheme="minorEastAsia"/>
          <w:spacing w:val="1"/>
          <w:sz w:val="24"/>
        </w:rPr>
        <w:t xml:space="preserve">政府采购线上合同信用融资（以下简称“政采贷”）功能。成交供应商可凭政府采购合同在中征平台发起贷款申请贷款。</w:t>
      </w:r>
      <w:r/>
    </w:p>
    <w:p>
      <w:pPr>
        <w:pStyle w:val="1047"/>
        <w:ind w:left="640"/>
        <w:jc w:val="both"/>
        <w:spacing w:before="0" w:beforeAutospacing="0" w:after="0" w:afterAutospacing="0" w:line="4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1.“政采贷”业务流程</w:t>
      </w:r>
      <w:r/>
    </w:p>
    <w:p>
      <w:pPr>
        <w:pStyle w:val="1047"/>
        <w:jc w:val="both"/>
        <w:spacing w:before="0" w:beforeAutospacing="0" w:after="0" w:afterAutospacing="0" w:line="400" w:lineRule="exact"/>
        <w:rPr>
          <w:rFonts w:asciiTheme="minorEastAsia" w:hAnsiTheme="minorEastAsia" w:eastAsiaTheme="minorEastAsia" w:cstheme="minorEastAsia"/>
        </w:rPr>
      </w:pPr>
      <w:r>
        <w:rPr>
          <w:rFonts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251460</wp:posOffset>
                </wp:positionH>
                <wp:positionV relativeFrom="paragraph">
                  <wp:posOffset>8890</wp:posOffset>
                </wp:positionV>
                <wp:extent cx="5267960" cy="1553210"/>
                <wp:effectExtent l="0" t="0" r="8890" b="8890"/>
                <wp:wrapNone/>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r/>
                      </pic:nvPicPr>
                      <pic:blipFill>
                        <a:blip r:embed="rId13"/>
                        <a:stretch/>
                      </pic:blipFill>
                      <pic:spPr bwMode="auto">
                        <a:xfrm>
                          <a:off x="0" y="0"/>
                          <a:ext cx="5267960" cy="1553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1047"/>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47"/>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47"/>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47"/>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47"/>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47"/>
        <w:ind w:left="640"/>
        <w:jc w:val="both"/>
        <w:spacing w:before="0" w:beforeAutospacing="0" w:after="0" w:afterAutospacing="0" w:line="35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2.操作流程</w:t>
      </w:r>
      <w:r/>
    </w:p>
    <w:p>
      <w:pPr>
        <w:pStyle w:val="1047"/>
        <w:ind w:firstLine="48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47"/>
        <w:ind w:left="640"/>
        <w:jc w:val="both"/>
        <w:spacing w:before="0" w:beforeAutospacing="0" w:after="0" w:afterAutospacing="0" w:line="35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3.常见问题</w:t>
      </w:r>
      <w:r/>
    </w:p>
    <w:p>
      <w:pPr>
        <w:pStyle w:val="1047"/>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Q1：哪些企业能申请“政采贷”？</w:t>
      </w:r>
      <w:r/>
    </w:p>
    <w:p>
      <w:pPr>
        <w:pStyle w:val="1047"/>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答：江苏省内采用国库集中支付的政府采购项目的中标供应商，可凭政府采购合同申请"政采贷"。</w:t>
      </w:r>
      <w:r/>
    </w:p>
    <w:p>
      <w:pPr>
        <w:pStyle w:val="1047"/>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Q2：供应商在哪里申请“政采贷”？</w:t>
      </w:r>
      <w:r/>
    </w:p>
    <w:p>
      <w:pPr>
        <w:pStyle w:val="1047"/>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答：中标供应商在“中征应收账款融资服务平台”（简称“中征平台”）上向意向银行发起融资申请</w:t>
      </w:r>
      <w:r/>
    </w:p>
    <w:p>
      <w:pPr>
        <w:pStyle w:val="1047"/>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Q3：中标供应商要注意什么？</w:t>
      </w:r>
      <w:r/>
    </w:p>
    <w:p>
      <w:pPr>
        <w:pStyle w:val="1047"/>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答：中标供应商要加强和采购单位的沟通协调，尽早确定融资需求。需要“政采贷”融资的，政府采购合同付款账号应当空置。</w:t>
      </w:r>
      <w:r/>
    </w:p>
    <w:p>
      <w:pPr>
        <w:pStyle w:val="1047"/>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Q4：采购单位要做什么？</w:t>
      </w:r>
      <w:r/>
    </w:p>
    <w:p>
      <w:pPr>
        <w:pStyle w:val="1047"/>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答：采购单位在“苏采云”系统中公示政府采购合同时，要勾选融资标识，为中标供应商融资提供便利。如后续融资失败，采购单位要及时维护中标供应商相关账号信息，按时支付款项。</w:t>
      </w:r>
      <w:r/>
    </w:p>
    <w:p>
      <w:pPr>
        <w:pStyle w:val="1047"/>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Q5：“政采贷”融资失败怎么办？</w:t>
      </w:r>
      <w:r/>
    </w:p>
    <w:p>
      <w:pPr>
        <w:pStyle w:val="1047"/>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答：经合作银行审核后不予放款，或者贷款审核时间超过10个工作日的，视为融资失败，该项目回到财政预算管理一体化系统中支付资金。融资失败的，无法重新线上申请“政采贷”。</w:t>
      </w:r>
      <w:r/>
    </w:p>
    <w:p>
      <w:pPr>
        <w:pStyle w:val="1047"/>
        <w:ind w:left="640"/>
        <w:jc w:val="both"/>
        <w:spacing w:before="0" w:beforeAutospacing="0" w:after="0" w:afterAutospacing="0" w:line="35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4.网址及联系方式</w:t>
      </w:r>
      <w:r/>
    </w:p>
    <w:p>
      <w:pPr>
        <w:jc w:val="left"/>
        <w:spacing w:line="35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政采贷：</w:t>
      </w:r>
      <w:hyperlink r:id="rId14" w:tooltip="http://www.ccgp-jiangsu.gov.cn/jiangsu/paying.html" w:history="1">
        <w:r>
          <w:rPr>
            <w:rStyle w:val="963"/>
            <w:rFonts w:hint="eastAsia" w:asciiTheme="minorEastAsia" w:hAnsiTheme="minorEastAsia" w:eastAsiaTheme="minorEastAsia" w:cstheme="minorEastAsia"/>
            <w:spacing w:val="1"/>
            <w:sz w:val="24"/>
          </w:rPr>
          <w:t xml:space="preserve">http://www.ccgp-jiangsu.gov.cn/jiangsu/paying.html</w:t>
        </w:r>
      </w:hyperlink>
      <w:r/>
      <w:r/>
    </w:p>
    <w:p>
      <w:pPr>
        <w:jc w:val="left"/>
        <w:spacing w:line="35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中征平台：</w:t>
      </w:r>
      <w:hyperlink r:id="rId15" w:tooltip="https://www.crcrfsp.com/" w:history="1">
        <w:r>
          <w:rPr>
            <w:rStyle w:val="963"/>
            <w:rFonts w:hint="eastAsia" w:asciiTheme="minorEastAsia" w:hAnsiTheme="minorEastAsia" w:eastAsiaTheme="minorEastAsia" w:cstheme="minorEastAsia"/>
            <w:spacing w:val="1"/>
            <w:sz w:val="24"/>
          </w:rPr>
          <w:t xml:space="preserve">https://www.crcrfsp.com/</w:t>
        </w:r>
      </w:hyperlink>
      <w:r/>
      <w:r/>
    </w:p>
    <w:p>
      <w:pPr>
        <w:jc w:val="left"/>
        <w:spacing w:line="35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联系人：翟先生           联系电话：0523-88816349</w:t>
      </w:r>
      <w:r/>
    </w:p>
    <w:p>
      <w:pPr>
        <w:jc w:val="left"/>
        <w:spacing w:line="520" w:lineRule="exact"/>
        <w:rPr>
          <w:rFonts w:asciiTheme="minorEastAsia" w:hAnsiTheme="minorEastAsia" w:eastAsiaTheme="minorEastAsia" w:cstheme="minorEastAsia"/>
          <w:sz w:val="24"/>
          <w:shd w:val="clear" w:color="auto" w:fill="ffffff"/>
        </w:rPr>
      </w:pPr>
      <w:r>
        <w:rPr>
          <w:rFonts w:asciiTheme="minorEastAsia" w:hAnsiTheme="minorEastAsia" w:eastAsiaTheme="minorEastAsia" w:cstheme="minorEastAsia"/>
          <w:sz w:val="24"/>
          <w:shd w:val="clear" w:color="auto" w:fill="ffffff"/>
        </w:rPr>
      </w:r>
      <w:r/>
    </w:p>
    <w:p>
      <w:pPr>
        <w:ind w:firstLine="520"/>
        <w:spacing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二、竞争性谈判、磋商不见面交易注意事项</w:t>
      </w:r>
      <w:r/>
    </w:p>
    <w:p>
      <w:pPr>
        <w:ind w:firstLine="520"/>
        <w:jc w:val="left"/>
        <w:spacing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1.安装调试音视频设备。</w:t>
      </w:r>
      <w:r>
        <w:rPr>
          <w:rFonts w:hint="eastAsia" w:asciiTheme="minorEastAsia" w:hAnsiTheme="minorEastAsia" w:eastAsiaTheme="minorEastAsia" w:cstheme="minorEastAsia"/>
          <w:sz w:val="24"/>
          <w:shd w:val="clear" w:color="auto" w:fill="ffffff"/>
        </w:rPr>
        <w:t xml:space="preserve">各供应商在投标前按照要求装好耳麦、摄像头等通讯工具。</w:t>
      </w:r>
      <w:r/>
    </w:p>
    <w:p>
      <w:pPr>
        <w:ind w:firstLine="520"/>
        <w:jc w:val="left"/>
        <w:spacing w:line="520" w:lineRule="exact"/>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b/>
          <w:bCs/>
          <w:sz w:val="24"/>
        </w:rPr>
        <w:t xml:space="preserve">2.确保音视频畅通。</w:t>
      </w:r>
      <w:r>
        <w:rPr>
          <w:rFonts w:hint="eastAsia" w:asciiTheme="minorEastAsia" w:hAnsiTheme="minorEastAsia" w:eastAsiaTheme="minorEastAsia" w:cstheme="minorEastAsia"/>
          <w:sz w:val="24"/>
          <w:shd w:val="clear" w:color="auto" w:fill="ffffff"/>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b/>
          <w:bCs/>
          <w:sz w:val="24"/>
        </w:rPr>
        <w:t xml:space="preserve">3.及时完成最终报价。</w:t>
      </w:r>
      <w:r>
        <w:rPr>
          <w:rFonts w:hint="eastAsia" w:asciiTheme="minorEastAsia" w:hAnsiTheme="minorEastAsia" w:eastAsiaTheme="minorEastAsia" w:cstheme="minorEastAsia"/>
          <w:sz w:val="24"/>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三、供应商相关法律责任提醒</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w:t>
      </w:r>
      <w:r/>
    </w:p>
    <w:p>
      <w:pPr>
        <w:ind w:firstLine="520"/>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《政府采购法》</w:t>
      </w:r>
      <w:r>
        <w:rPr>
          <w:rFonts w:hint="eastAsia" w:asciiTheme="minorEastAsia" w:hAnsiTheme="minorEastAsia" w:eastAsiaTheme="minorEastAsia" w:cstheme="minorEastAsia"/>
          <w:sz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（一）提供虚假材料谋取中标、成交的；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（二）采取不正当手段诋毁、排挤其他供应商的；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（三）与采购人、其他供应商或者采购代理机构恶意串通的；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（四）向采购人、采购代理机构行贿或者提供其他不正当利益的；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（五）在招标采购过程中与采购人进行协商谈判的；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（六）拒绝有关部门监督检查或者提供虚假情况的。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供应商有前款第（一）至（五）项情形之一的，中标、成交无效。</w:t>
      </w:r>
      <w:r/>
    </w:p>
    <w:p>
      <w:pPr>
        <w:ind w:firstLine="520"/>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《政府采购法实施条例》</w:t>
      </w:r>
      <w:r>
        <w:rPr>
          <w:rFonts w:hint="eastAsia" w:asciiTheme="minorEastAsia" w:hAnsiTheme="minorEastAsia" w:eastAsiaTheme="minorEastAsia" w:cstheme="minorEastAsia"/>
          <w:sz w:val="24"/>
        </w:rPr>
        <w:t xml:space="preserve">第七十二条　供应商有下列情形之一的，依照政府采购法第七十七条第一款的规定追究法律责任：</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（一）向评标委员会、竞争性谈判小组或者询价小组成员行贿或者提供其他不正当利益；</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（二）中标或者成交后无正当理由拒不与采购人签订政府采购合同；</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（三）未按照采购文件确定的事项签订政府采购合同；</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（四）将政府采购合同转包；</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（五）提供假冒伪劣产品；</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（六）擅自变更、中止或者终止政府采购合同。</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asciiTheme="minorEastAsia" w:hAnsiTheme="minorEastAsia" w:eastAsiaTheme="minorEastAsia" w:cstheme="minorEastAsia"/>
          <w:spacing w:val="1"/>
          <w:sz w:val="24"/>
        </w:rPr>
      </w:pPr>
      <w:r>
        <w:rPr>
          <w:rFonts w:asciiTheme="minorEastAsia" w:hAnsiTheme="minorEastAsia" w:eastAsiaTheme="minorEastAsia" w:cstheme="minorEastAsia"/>
          <w:spacing w:val="1"/>
          <w:sz w:val="24"/>
        </w:rPr>
      </w:r>
      <w:r/>
    </w:p>
    <w:p>
      <w:pPr>
        <w:jc w:val="center"/>
        <w:spacing w:line="500" w:lineRule="exac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
          <w:sz w:val="44"/>
          <w:szCs w:val="44"/>
        </w:rPr>
        <w:br w:type="page" w:clear="all"/>
      </w:r>
      <w:r>
        <w:rPr>
          <w:rFonts w:hint="eastAsia" w:asciiTheme="minorEastAsia" w:hAnsiTheme="minorEastAsia" w:eastAsiaTheme="minorEastAsia" w:cstheme="minorEastAsia"/>
          <w:bCs/>
          <w:sz w:val="44"/>
          <w:szCs w:val="44"/>
        </w:rPr>
        <w:t xml:space="preserve">目    录</w:t>
      </w:r>
      <w:r/>
    </w:p>
    <w:p>
      <w:pPr>
        <w:jc w:val="center"/>
        <w:spacing w:line="500" w:lineRule="exact"/>
        <w:rPr>
          <w:rFonts w:asciiTheme="minorEastAsia" w:hAnsiTheme="minorEastAsia" w:eastAsiaTheme="minorEastAsia" w:cstheme="minorEastAsia"/>
          <w:b/>
          <w:sz w:val="44"/>
          <w:szCs w:val="44"/>
        </w:rPr>
      </w:pPr>
      <w:r>
        <w:rPr>
          <w:rFonts w:asciiTheme="minorEastAsia" w:hAnsiTheme="minorEastAsia" w:eastAsiaTheme="minorEastAsia" w:cstheme="minorEastAsia"/>
          <w:b/>
          <w:sz w:val="44"/>
          <w:szCs w:val="44"/>
        </w:rPr>
      </w:r>
      <w:r/>
    </w:p>
    <w:p>
      <w:pPr>
        <w:pStyle w:val="756"/>
        <w:spacing w:line="360" w:lineRule="auto"/>
        <w:tabs>
          <w:tab w:val="right" w:pos="9525" w:leader="dot"/>
        </w:tabs>
        <w:rPr>
          <w:rFonts w:asciiTheme="minorEastAsia" w:hAnsiTheme="minorEastAsia" w:eastAsiaTheme="minorEastAsia" w:cstheme="minorEastAsia"/>
          <w:b w:val="0"/>
          <w:sz w:val="28"/>
          <w:szCs w:val="28"/>
        </w:rPr>
      </w:pPr>
      <w:r/>
      <w:bookmarkStart w:id="0" w:name="OLE_LINK2"/>
      <w:r/>
      <w:bookmarkStart w:id="1" w:name="OLE_LINK1"/>
      <w:r>
        <w:rPr>
          <w:rFonts w:hint="eastAsia" w:asciiTheme="minorEastAsia" w:hAnsiTheme="minorEastAsia" w:eastAsiaTheme="minorEastAsia" w:cstheme="minorEastAsia"/>
          <w:b w:val="0"/>
          <w:sz w:val="32"/>
          <w:szCs w:val="32"/>
        </w:rPr>
        <w:fldChar w:fldCharType="begin"/>
      </w:r>
      <w:r>
        <w:rPr>
          <w:rFonts w:hint="eastAsia" w:asciiTheme="minorEastAsia" w:hAnsiTheme="minorEastAsia" w:eastAsiaTheme="minorEastAsia" w:cstheme="minorEastAsia"/>
          <w:b w:val="0"/>
          <w:sz w:val="32"/>
          <w:szCs w:val="32"/>
        </w:rPr>
        <w:instrText xml:space="preserve">TOC \o "1-1" \h \u </w:instrText>
      </w:r>
      <w:r>
        <w:rPr>
          <w:rFonts w:hint="eastAsia" w:asciiTheme="minorEastAsia" w:hAnsiTheme="minorEastAsia" w:eastAsiaTheme="minorEastAsia" w:cstheme="minorEastAsia"/>
          <w:b w:val="0"/>
          <w:sz w:val="32"/>
          <w:szCs w:val="32"/>
        </w:rPr>
        <w:fldChar w:fldCharType="separate"/>
      </w:r>
      <w:hyperlink w:tooltip="#_Toc27062" w:anchor="_Toc27062" w:history="1">
        <w:r>
          <w:rPr>
            <w:rFonts w:hint="eastAsia" w:asciiTheme="minorEastAsia" w:hAnsiTheme="minorEastAsia" w:eastAsiaTheme="minorEastAsia" w:cstheme="minorEastAsia"/>
            <w:b w:val="0"/>
            <w:sz w:val="28"/>
            <w:szCs w:val="28"/>
          </w:rPr>
          <w:t xml:space="preserve">第一章 竞争性磋商公告</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_Toc27062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w:t>
        </w:r>
        <w:r>
          <w:rPr>
            <w:rFonts w:hint="eastAsia" w:asciiTheme="minorEastAsia" w:hAnsiTheme="minorEastAsia" w:eastAsiaTheme="minorEastAsia" w:cstheme="minorEastAsia"/>
            <w:b w:val="0"/>
            <w:sz w:val="28"/>
            <w:szCs w:val="28"/>
          </w:rPr>
          <w:fldChar w:fldCharType="end"/>
        </w:r>
      </w:hyperlink>
      <w:r/>
      <w:r/>
    </w:p>
    <w:p>
      <w:pPr>
        <w:pStyle w:val="756"/>
        <w:spacing w:line="360" w:lineRule="auto"/>
        <w:tabs>
          <w:tab w:val="right" w:pos="9525" w:leader="dot"/>
        </w:tabs>
        <w:rPr>
          <w:rFonts w:asciiTheme="minorEastAsia" w:hAnsiTheme="minorEastAsia" w:eastAsiaTheme="minorEastAsia" w:cstheme="minorEastAsia"/>
          <w:b w:val="0"/>
          <w:sz w:val="28"/>
          <w:szCs w:val="28"/>
        </w:rPr>
      </w:pPr>
      <w:r/>
      <w:hyperlink w:tooltip="#_Toc3410" w:anchor="_Toc3410" w:history="1">
        <w:r>
          <w:rPr>
            <w:rFonts w:hint="eastAsia" w:asciiTheme="minorEastAsia" w:hAnsiTheme="minorEastAsia" w:eastAsiaTheme="minorEastAsia" w:cstheme="minorEastAsia"/>
            <w:b w:val="0"/>
            <w:sz w:val="28"/>
            <w:szCs w:val="28"/>
          </w:rPr>
          <w:t xml:space="preserve">第二章 参加磋商供应商须知</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_Toc3410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5</w:t>
        </w:r>
        <w:r>
          <w:rPr>
            <w:rFonts w:hint="eastAsia" w:asciiTheme="minorEastAsia" w:hAnsiTheme="minorEastAsia" w:eastAsiaTheme="minorEastAsia" w:cstheme="minorEastAsia"/>
            <w:b w:val="0"/>
            <w:sz w:val="28"/>
            <w:szCs w:val="28"/>
          </w:rPr>
          <w:fldChar w:fldCharType="end"/>
        </w:r>
      </w:hyperlink>
      <w:r/>
      <w:r/>
    </w:p>
    <w:p>
      <w:pPr>
        <w:pStyle w:val="756"/>
        <w:spacing w:line="360" w:lineRule="auto"/>
        <w:tabs>
          <w:tab w:val="right" w:pos="9525" w:leader="dot"/>
        </w:tabs>
        <w:rPr>
          <w:rFonts w:asciiTheme="minorEastAsia" w:hAnsiTheme="minorEastAsia" w:eastAsiaTheme="minorEastAsia" w:cstheme="minorEastAsia"/>
          <w:b w:val="0"/>
          <w:sz w:val="28"/>
          <w:szCs w:val="28"/>
        </w:rPr>
      </w:pPr>
      <w:r/>
      <w:hyperlink w:tooltip="#_Toc14422" w:anchor="_Toc14422" w:history="1">
        <w:r>
          <w:rPr>
            <w:rFonts w:hint="eastAsia" w:asciiTheme="minorEastAsia" w:hAnsiTheme="minorEastAsia" w:eastAsiaTheme="minorEastAsia" w:cstheme="minorEastAsia"/>
            <w:b w:val="0"/>
            <w:sz w:val="28"/>
            <w:szCs w:val="28"/>
          </w:rPr>
          <w:t xml:space="preserve">第三章 磋商响应要求</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_Toc14422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10</w:t>
        </w:r>
        <w:r>
          <w:rPr>
            <w:rFonts w:hint="eastAsia" w:asciiTheme="minorEastAsia" w:hAnsiTheme="minorEastAsia" w:eastAsiaTheme="minorEastAsia" w:cstheme="minorEastAsia"/>
            <w:b w:val="0"/>
            <w:sz w:val="28"/>
            <w:szCs w:val="28"/>
          </w:rPr>
          <w:fldChar w:fldCharType="end"/>
        </w:r>
      </w:hyperlink>
      <w:r/>
      <w:r/>
    </w:p>
    <w:p>
      <w:pPr>
        <w:pStyle w:val="756"/>
        <w:spacing w:line="360" w:lineRule="auto"/>
        <w:tabs>
          <w:tab w:val="right" w:pos="9525" w:leader="dot"/>
        </w:tabs>
        <w:rPr>
          <w:rFonts w:asciiTheme="minorEastAsia" w:hAnsiTheme="minorEastAsia" w:eastAsiaTheme="minorEastAsia" w:cstheme="minorEastAsia"/>
          <w:b w:val="0"/>
          <w:sz w:val="28"/>
          <w:szCs w:val="28"/>
        </w:rPr>
      </w:pPr>
      <w:r/>
      <w:hyperlink w:tooltip="#_Toc23926" w:anchor="_Toc23926" w:history="1">
        <w:r>
          <w:rPr>
            <w:rFonts w:hint="eastAsia" w:asciiTheme="minorEastAsia" w:hAnsiTheme="minorEastAsia" w:eastAsiaTheme="minorEastAsia" w:cstheme="minorEastAsia"/>
            <w:b w:val="0"/>
            <w:sz w:val="28"/>
            <w:szCs w:val="28"/>
          </w:rPr>
          <w:t xml:space="preserve">第四章 采购需求</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_Toc23926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18</w:t>
        </w:r>
        <w:r>
          <w:rPr>
            <w:rFonts w:hint="eastAsia" w:asciiTheme="minorEastAsia" w:hAnsiTheme="minorEastAsia" w:eastAsiaTheme="minorEastAsia" w:cstheme="minorEastAsia"/>
            <w:b w:val="0"/>
            <w:sz w:val="28"/>
            <w:szCs w:val="28"/>
          </w:rPr>
          <w:fldChar w:fldCharType="end"/>
        </w:r>
      </w:hyperlink>
      <w:r/>
      <w:r/>
    </w:p>
    <w:p>
      <w:pPr>
        <w:pStyle w:val="756"/>
        <w:spacing w:line="360" w:lineRule="auto"/>
        <w:tabs>
          <w:tab w:val="right" w:pos="9525" w:leader="dot"/>
        </w:tabs>
        <w:rPr>
          <w:rFonts w:asciiTheme="minorEastAsia" w:hAnsiTheme="minorEastAsia" w:eastAsiaTheme="minorEastAsia" w:cstheme="minorEastAsia"/>
          <w:b w:val="0"/>
          <w:sz w:val="28"/>
          <w:szCs w:val="28"/>
        </w:rPr>
      </w:pPr>
      <w:r/>
      <w:hyperlink w:tooltip="#_Toc1148" w:anchor="_Toc1148" w:history="1">
        <w:r>
          <w:rPr>
            <w:rFonts w:hint="eastAsia" w:asciiTheme="minorEastAsia" w:hAnsiTheme="minorEastAsia" w:eastAsiaTheme="minorEastAsia" w:cstheme="minorEastAsia"/>
            <w:b w:val="0"/>
            <w:sz w:val="28"/>
            <w:szCs w:val="28"/>
          </w:rPr>
          <w:t xml:space="preserve">第五章 磋 商</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_Toc1148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19</w:t>
        </w:r>
        <w:r>
          <w:rPr>
            <w:rFonts w:hint="eastAsia" w:asciiTheme="minorEastAsia" w:hAnsiTheme="minorEastAsia" w:eastAsiaTheme="minorEastAsia" w:cstheme="minorEastAsia"/>
            <w:b w:val="0"/>
            <w:sz w:val="28"/>
            <w:szCs w:val="28"/>
          </w:rPr>
          <w:fldChar w:fldCharType="end"/>
        </w:r>
      </w:hyperlink>
      <w:r/>
      <w:r/>
    </w:p>
    <w:p>
      <w:pPr>
        <w:pStyle w:val="756"/>
        <w:spacing w:line="360" w:lineRule="auto"/>
        <w:tabs>
          <w:tab w:val="right" w:pos="9525" w:leader="dot"/>
        </w:tabs>
        <w:rPr>
          <w:rFonts w:asciiTheme="minorEastAsia" w:hAnsiTheme="minorEastAsia" w:eastAsiaTheme="minorEastAsia" w:cstheme="minorEastAsia"/>
          <w:b w:val="0"/>
          <w:sz w:val="28"/>
          <w:szCs w:val="28"/>
        </w:rPr>
      </w:pPr>
      <w:r/>
      <w:hyperlink w:tooltip="#_Toc29028" w:anchor="_Toc29028" w:history="1">
        <w:r>
          <w:rPr>
            <w:rFonts w:hint="eastAsia" w:asciiTheme="minorEastAsia" w:hAnsiTheme="minorEastAsia" w:eastAsiaTheme="minorEastAsia" w:cstheme="minorEastAsia"/>
            <w:b w:val="0"/>
            <w:sz w:val="28"/>
            <w:szCs w:val="28"/>
          </w:rPr>
          <w:t xml:space="preserve">第六章 成交公告</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_Toc29028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23</w:t>
        </w:r>
        <w:r>
          <w:rPr>
            <w:rFonts w:hint="eastAsia" w:asciiTheme="minorEastAsia" w:hAnsiTheme="minorEastAsia" w:eastAsiaTheme="minorEastAsia" w:cstheme="minorEastAsia"/>
            <w:b w:val="0"/>
            <w:sz w:val="28"/>
            <w:szCs w:val="28"/>
          </w:rPr>
          <w:fldChar w:fldCharType="end"/>
        </w:r>
      </w:hyperlink>
      <w:r/>
      <w:r/>
    </w:p>
    <w:p>
      <w:pPr>
        <w:pStyle w:val="756"/>
        <w:spacing w:line="360" w:lineRule="auto"/>
        <w:tabs>
          <w:tab w:val="right" w:pos="9525" w:leader="dot"/>
        </w:tabs>
        <w:rPr>
          <w:rFonts w:asciiTheme="minorEastAsia" w:hAnsiTheme="minorEastAsia" w:eastAsiaTheme="minorEastAsia" w:cstheme="minorEastAsia"/>
          <w:b w:val="0"/>
          <w:sz w:val="28"/>
          <w:szCs w:val="28"/>
        </w:rPr>
      </w:pPr>
      <w:r/>
      <w:hyperlink w:tooltip="#_Toc21810" w:anchor="_Toc21810" w:history="1">
        <w:r>
          <w:rPr>
            <w:rFonts w:hint="eastAsia" w:asciiTheme="minorEastAsia" w:hAnsiTheme="minorEastAsia" w:eastAsiaTheme="minorEastAsia" w:cstheme="minorEastAsia"/>
            <w:b w:val="0"/>
            <w:sz w:val="28"/>
            <w:szCs w:val="28"/>
          </w:rPr>
          <w:t xml:space="preserve">第七章 合同签订</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_Toc21810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24</w:t>
        </w:r>
        <w:r>
          <w:rPr>
            <w:rFonts w:hint="eastAsia" w:asciiTheme="minorEastAsia" w:hAnsiTheme="minorEastAsia" w:eastAsiaTheme="minorEastAsia" w:cstheme="minorEastAsia"/>
            <w:b w:val="0"/>
            <w:sz w:val="28"/>
            <w:szCs w:val="28"/>
          </w:rPr>
          <w:fldChar w:fldCharType="end"/>
        </w:r>
      </w:hyperlink>
      <w:r/>
      <w:r/>
    </w:p>
    <w:p>
      <w:pPr>
        <w:pStyle w:val="756"/>
        <w:spacing w:line="360" w:lineRule="auto"/>
        <w:tabs>
          <w:tab w:val="right" w:pos="9525" w:leader="dot"/>
        </w:tabs>
        <w:rPr>
          <w:rFonts w:asciiTheme="minorEastAsia" w:hAnsiTheme="minorEastAsia" w:eastAsiaTheme="minorEastAsia" w:cstheme="minorEastAsia"/>
          <w:b w:val="0"/>
          <w:sz w:val="28"/>
          <w:szCs w:val="28"/>
        </w:rPr>
      </w:pPr>
      <w:r/>
      <w:hyperlink w:tooltip="#_Toc30954" w:anchor="_Toc30954" w:history="1">
        <w:r>
          <w:rPr>
            <w:rFonts w:hint="eastAsia" w:asciiTheme="minorEastAsia" w:hAnsiTheme="minorEastAsia" w:eastAsiaTheme="minorEastAsia" w:cstheme="minorEastAsia"/>
            <w:b w:val="0"/>
            <w:sz w:val="28"/>
            <w:szCs w:val="28"/>
          </w:rPr>
          <w:t xml:space="preserve">第八章 质疑投诉</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_Toc30954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24</w:t>
        </w:r>
        <w:r>
          <w:rPr>
            <w:rFonts w:hint="eastAsia" w:asciiTheme="minorEastAsia" w:hAnsiTheme="minorEastAsia" w:eastAsiaTheme="minorEastAsia" w:cstheme="minorEastAsia"/>
            <w:b w:val="0"/>
            <w:sz w:val="28"/>
            <w:szCs w:val="28"/>
          </w:rPr>
          <w:fldChar w:fldCharType="end"/>
        </w:r>
      </w:hyperlink>
      <w:r/>
      <w:r/>
    </w:p>
    <w:p>
      <w:pPr>
        <w:pStyle w:val="756"/>
        <w:spacing w:line="360" w:lineRule="auto"/>
        <w:tabs>
          <w:tab w:val="right" w:pos="9525" w:leader="dot"/>
        </w:tabs>
        <w:rPr>
          <w:rFonts w:asciiTheme="minorEastAsia" w:hAnsiTheme="minorEastAsia" w:eastAsiaTheme="minorEastAsia" w:cstheme="minorEastAsia"/>
          <w:b w:val="0"/>
          <w:sz w:val="28"/>
          <w:szCs w:val="28"/>
        </w:rPr>
      </w:pPr>
      <w:r/>
      <w:hyperlink w:tooltip="#_Toc29765" w:anchor="_Toc29765" w:history="1">
        <w:r>
          <w:rPr>
            <w:rFonts w:hint="eastAsia" w:asciiTheme="minorEastAsia" w:hAnsiTheme="minorEastAsia" w:eastAsiaTheme="minorEastAsia" w:cstheme="minorEastAsia"/>
            <w:b w:val="0"/>
            <w:sz w:val="28"/>
            <w:szCs w:val="28"/>
          </w:rPr>
          <w:t xml:space="preserve">第九章 工程量清单</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_Toc29765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26</w:t>
        </w:r>
        <w:r>
          <w:rPr>
            <w:rFonts w:hint="eastAsia" w:asciiTheme="minorEastAsia" w:hAnsiTheme="minorEastAsia" w:eastAsiaTheme="minorEastAsia" w:cstheme="minorEastAsia"/>
            <w:b w:val="0"/>
            <w:sz w:val="28"/>
            <w:szCs w:val="28"/>
          </w:rPr>
          <w:fldChar w:fldCharType="end"/>
        </w:r>
      </w:hyperlink>
      <w:r/>
      <w:r/>
    </w:p>
    <w:p>
      <w:pPr>
        <w:pStyle w:val="756"/>
        <w:spacing w:line="360" w:lineRule="auto"/>
        <w:tabs>
          <w:tab w:val="right" w:pos="9525" w:leader="dot"/>
        </w:tabs>
        <w:rPr>
          <w:rFonts w:asciiTheme="minorEastAsia" w:hAnsiTheme="minorEastAsia" w:eastAsiaTheme="minorEastAsia" w:cstheme="minorEastAsia"/>
          <w:b w:val="0"/>
          <w:sz w:val="28"/>
          <w:szCs w:val="28"/>
        </w:rPr>
      </w:pPr>
      <w:r/>
      <w:hyperlink w:tooltip="#_Toc4828" w:anchor="_Toc4828" w:history="1">
        <w:r>
          <w:rPr>
            <w:rFonts w:hint="eastAsia" w:asciiTheme="minorEastAsia" w:hAnsiTheme="minorEastAsia" w:eastAsiaTheme="minorEastAsia" w:cstheme="minorEastAsia"/>
            <w:b w:val="0"/>
            <w:sz w:val="28"/>
            <w:szCs w:val="28"/>
          </w:rPr>
          <w:t xml:space="preserve">第十章 政府采购合同（参考）</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_Toc4828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32</w:t>
        </w:r>
        <w:r>
          <w:rPr>
            <w:rFonts w:hint="eastAsia" w:asciiTheme="minorEastAsia" w:hAnsiTheme="minorEastAsia" w:eastAsiaTheme="minorEastAsia" w:cstheme="minorEastAsia"/>
            <w:b w:val="0"/>
            <w:sz w:val="28"/>
            <w:szCs w:val="28"/>
          </w:rPr>
          <w:fldChar w:fldCharType="end"/>
        </w:r>
      </w:hyperlink>
      <w:r/>
      <w:r/>
    </w:p>
    <w:p>
      <w:pPr>
        <w:pStyle w:val="756"/>
        <w:spacing w:line="360" w:lineRule="auto"/>
        <w:tabs>
          <w:tab w:val="right" w:pos="9525" w:leader="dot"/>
        </w:tabs>
        <w:rPr>
          <w:rFonts w:asciiTheme="minorEastAsia" w:hAnsiTheme="minorEastAsia" w:eastAsiaTheme="minorEastAsia" w:cstheme="minorEastAsia"/>
          <w:b w:val="0"/>
          <w:sz w:val="28"/>
          <w:szCs w:val="28"/>
        </w:rPr>
      </w:pPr>
      <w:r/>
      <w:hyperlink w:tooltip="#_Toc30868" w:anchor="_Toc30868" w:history="1">
        <w:r>
          <w:rPr>
            <w:rFonts w:hint="eastAsia" w:asciiTheme="minorEastAsia" w:hAnsiTheme="minorEastAsia" w:eastAsiaTheme="minorEastAsia" w:cstheme="minorEastAsia"/>
            <w:b w:val="0"/>
            <w:sz w:val="28"/>
            <w:szCs w:val="28"/>
          </w:rPr>
          <w:t xml:space="preserve">第十一章  响应文件格式</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_Toc30868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49</w:t>
        </w:r>
        <w:r>
          <w:rPr>
            <w:rFonts w:hint="eastAsia" w:asciiTheme="minorEastAsia" w:hAnsiTheme="minorEastAsia" w:eastAsiaTheme="minorEastAsia" w:cstheme="minorEastAsia"/>
            <w:b w:val="0"/>
            <w:sz w:val="28"/>
            <w:szCs w:val="28"/>
          </w:rPr>
          <w:fldChar w:fldCharType="end"/>
        </w:r>
      </w:hyperlink>
      <w:r/>
      <w:r/>
    </w:p>
    <w:p>
      <w:pPr>
        <w:pStyle w:val="756"/>
        <w:spacing w:line="360" w:lineRule="auto"/>
        <w:tabs>
          <w:tab w:val="right" w:pos="9525" w:leader="dot"/>
        </w:tabs>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rPr>
          <w:rFonts w:asciiTheme="minorEastAsia" w:hAnsiTheme="minorEastAsia" w:eastAsiaTheme="minorEastAsia" w:cstheme="minorEastAsia"/>
          <w:bCs/>
          <w:sz w:val="32"/>
          <w:szCs w:val="32"/>
        </w:rPr>
      </w:pPr>
      <w:r>
        <w:rPr>
          <w:rFonts w:hint="eastAsia" w:asciiTheme="minorEastAsia" w:hAnsiTheme="minorEastAsia" w:eastAsiaTheme="minorEastAsia" w:cstheme="minorEastAsia"/>
          <w:bCs/>
          <w:szCs w:val="32"/>
        </w:rPr>
        <w:fldChar w:fldCharType="end"/>
      </w:r>
      <w:r/>
    </w:p>
    <w:p>
      <w:pPr>
        <w:numPr>
          <w:ilvl w:val="0"/>
          <w:numId w:val="1"/>
        </w:numPr>
        <w:jc w:val="center"/>
        <w:spacing w:line="360" w:lineRule="auto"/>
        <w:tabs>
          <w:tab w:val="left" w:pos="2268" w:leader="none"/>
        </w:tabs>
        <w:rPr>
          <w:rFonts w:asciiTheme="minorEastAsia" w:hAnsiTheme="minorEastAsia" w:eastAsiaTheme="minorEastAsia" w:cstheme="minorEastAsia"/>
          <w:b/>
          <w:color w:val="000000"/>
          <w:sz w:val="32"/>
          <w:szCs w:val="32"/>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2"/>
      <w:r/>
      <w:bookmarkStart w:id="3" w:name="_Toc27063"/>
      <w:r/>
      <w:r/>
    </w:p>
    <w:p>
      <w:pPr>
        <w:numPr>
          <w:ilvl w:val="0"/>
          <w:numId w:val="1"/>
        </w:numPr>
        <w:jc w:val="center"/>
        <w:spacing w:line="360" w:lineRule="auto"/>
        <w:tabs>
          <w:tab w:val="left" w:pos="2268" w:leader="none"/>
        </w:tabs>
        <w:rPr>
          <w:rFonts w:asciiTheme="minorEastAsia" w:hAnsiTheme="minorEastAsia" w:eastAsiaTheme="minorEastAsia" w:cstheme="minorEastAsia"/>
          <w:b/>
          <w:color w:val="000000"/>
          <w:sz w:val="32"/>
          <w:szCs w:val="32"/>
        </w:rPr>
      </w:pPr>
      <w:r/>
      <w:bookmarkStart w:id="4" w:name="bookmark41"/>
      <w:r/>
      <w:bookmarkStart w:id="5" w:name="bookmark42"/>
      <w:r/>
      <w:bookmarkStart w:id="6" w:name="bookmark43"/>
      <w:r>
        <w:rPr>
          <w:rStyle w:val="948"/>
          <w:rFonts w:hint="eastAsia" w:asciiTheme="minorEastAsia" w:hAnsiTheme="minorEastAsia" w:eastAsiaTheme="minorEastAsia" w:cstheme="minorEastAsia"/>
        </w:rPr>
        <w:t xml:space="preserve">竞争性磋商公告</w:t>
      </w:r>
      <w:bookmarkEnd w:id="2"/>
      <w:r/>
      <w:bookmarkEnd w:id="3"/>
      <w:r/>
      <w:bookmarkEnd w:id="4"/>
      <w:r/>
      <w:bookmarkEnd w:id="5"/>
      <w:r/>
      <w:bookmarkEnd w:id="6"/>
      <w:r/>
      <w:r/>
    </w:p>
    <w:p>
      <w:pPr>
        <w:spacing w:line="360" w:lineRule="auto"/>
        <w:rPr>
          <w:rFonts w:asciiTheme="minorEastAsia" w:hAnsiTheme="minorEastAsia" w:eastAsiaTheme="minorEastAsia" w:cstheme="minorEastAsia"/>
          <w:sz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rPr>
        <w:t xml:space="preserve">项目概况</w:t>
      </w:r>
      <w:r/>
    </w:p>
    <w:p>
      <w:pPr>
        <w:ind w:firstLine="488"/>
        <w:spacing w:line="360" w:lineRule="auto"/>
        <w:rPr>
          <w:rFonts w:asciiTheme="minorEastAsia" w:hAnsiTheme="minorEastAsia" w:eastAsiaTheme="minorEastAsia" w:cstheme="minorEastAsia"/>
          <w:sz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cstheme="minorEastAsia"/>
          <w:sz w:val="24"/>
          <w:u w:val="single"/>
        </w:rPr>
        <w:t xml:space="preserve">张甸镇尹庄村2025年度宜居宜业和美乡村建设（市级）项目</w:t>
      </w:r>
      <w:r>
        <w:rPr>
          <w:rFonts w:hint="eastAsia" w:asciiTheme="minorEastAsia" w:hAnsiTheme="minorEastAsia" w:eastAsiaTheme="minorEastAsia" w:cstheme="minorEastAsia"/>
          <w:sz w:val="24"/>
        </w:rPr>
        <w:t xml:space="preserve">的潜在投标人可在</w:t>
      </w:r>
      <w:r>
        <w:rPr>
          <w:rFonts w:hint="eastAsia" w:asciiTheme="minorEastAsia" w:hAnsiTheme="minorEastAsia" w:eastAsiaTheme="minorEastAsia" w:cstheme="minorEastAsia"/>
          <w:sz w:val="24"/>
          <w:u w:val="single"/>
        </w:rPr>
        <w:t xml:space="preserve">“江苏政府采购网-苏采云”系统</w:t>
      </w:r>
      <w:r>
        <w:rPr>
          <w:rFonts w:hint="eastAsia" w:asciiTheme="minorEastAsia" w:hAnsiTheme="minorEastAsia" w:eastAsiaTheme="minorEastAsia" w:cstheme="minorEastAsia"/>
          <w:sz w:val="24"/>
        </w:rPr>
        <w:t xml:space="preserve">自行下载招标文件 </w:t>
      </w:r>
      <w:hyperlink r:id="rId16" w:tooltip="http://jszfcg.jsczt.cn/）获取招标文件，并于2023年11月" w:history="1">
        <w:r>
          <w:rPr>
            <w:rStyle w:val="782"/>
            <w:rFonts w:hint="eastAsia" w:asciiTheme="minorEastAsia" w:hAnsiTheme="minorEastAsia" w:eastAsiaTheme="minorEastAsia" w:cstheme="minorEastAsia"/>
            <w:color w:val="auto"/>
            <w:sz w:val="24"/>
          </w:rPr>
          <w:t xml:space="preserve">，并于2026年</w:t>
        </w:r>
        <w:r>
          <w:rPr>
            <w:rStyle w:val="782"/>
            <w:rFonts w:hint="eastAsia" w:asciiTheme="minorEastAsia" w:hAnsiTheme="minorEastAsia" w:eastAsiaTheme="minorEastAsia" w:cstheme="minorEastAsia"/>
            <w:color w:val="auto"/>
            <w:sz w:val="24"/>
          </w:rPr>
          <w:t xml:space="preserve">8</w:t>
        </w:r>
        <w:r>
          <w:rPr>
            <w:rStyle w:val="782"/>
            <w:rFonts w:hint="eastAsia" w:asciiTheme="minorEastAsia" w:hAnsiTheme="minorEastAsia" w:eastAsiaTheme="minorEastAsia" w:cstheme="minorEastAsia"/>
            <w:color w:val="auto"/>
            <w:sz w:val="24"/>
          </w:rPr>
          <w:t xml:space="preserve">月</w:t>
        </w:r>
      </w:hyperlink>
      <w:r>
        <w:rPr>
          <w:rFonts w:hint="eastAsia"/>
        </w:rPr>
        <w:t xml:space="preserve">5</w:t>
      </w:r>
      <w:r>
        <w:rPr>
          <w:rStyle w:val="782"/>
          <w:rFonts w:hint="eastAsia" w:asciiTheme="minorEastAsia" w:hAnsiTheme="minorEastAsia" w:eastAsiaTheme="minorEastAsia" w:cstheme="minorEastAsia"/>
          <w:color w:val="auto"/>
          <w:sz w:val="24"/>
        </w:rPr>
        <w:t xml:space="preserve"> </w:t>
      </w:r>
      <w:r>
        <w:rPr>
          <w:rFonts w:hint="eastAsia" w:asciiTheme="minorEastAsia" w:hAnsiTheme="minorEastAsia" w:eastAsiaTheme="minorEastAsia" w:cstheme="minorEastAsia"/>
          <w:sz w:val="24"/>
        </w:rPr>
        <w:t xml:space="preserve">日</w:t>
      </w:r>
      <w:r>
        <w:rPr>
          <w:rFonts w:hint="eastAsia" w:asciiTheme="minorEastAsia" w:hAnsiTheme="minorEastAsia" w:eastAsiaTheme="minorEastAsia" w:cstheme="minorEastAsia"/>
          <w:sz w:val="24"/>
        </w:rPr>
        <w:t xml:space="preserve">15</w:t>
      </w:r>
      <w:r>
        <w:rPr>
          <w:rFonts w:hint="eastAsia" w:asciiTheme="minorEastAsia" w:hAnsiTheme="minorEastAsia" w:eastAsiaTheme="minorEastAsia" w:cstheme="minorEastAsia"/>
          <w:sz w:val="24"/>
        </w:rPr>
        <w:t xml:space="preserve">时</w:t>
      </w:r>
      <w:r>
        <w:rPr>
          <w:rFonts w:hint="eastAsia" w:asciiTheme="minorEastAsia" w:hAnsiTheme="minorEastAsia" w:eastAsiaTheme="minorEastAsia" w:cstheme="minorEastAsia"/>
          <w:sz w:val="24"/>
        </w:rPr>
        <w:t xml:space="preserve">00</w:t>
      </w:r>
      <w:r>
        <w:rPr>
          <w:rFonts w:hint="eastAsia" w:asciiTheme="minorEastAsia" w:hAnsiTheme="minorEastAsia" w:eastAsiaTheme="minorEastAsia" w:cstheme="minorEastAsia"/>
          <w:sz w:val="24"/>
        </w:rPr>
        <w:t xml:space="preserve">分</w:t>
      </w:r>
      <w:r>
        <w:rPr>
          <w:rFonts w:hint="eastAsia" w:asciiTheme="minorEastAsia" w:hAnsiTheme="minorEastAsia" w:eastAsiaTheme="minorEastAsia" w:cstheme="minorEastAsia"/>
          <w:bCs/>
          <w:sz w:val="24"/>
        </w:rPr>
        <w:t xml:space="preserve">（北京时间）前上传投标文件</w:t>
      </w:r>
      <w:r>
        <w:rPr>
          <w:rFonts w:hint="eastAsia" w:asciiTheme="minorEastAsia" w:hAnsiTheme="minorEastAsia" w:eastAsiaTheme="minorEastAsia" w:cstheme="minorEastAsia"/>
          <w:sz w:val="24"/>
        </w:rPr>
        <w:t xml:space="preserve">。</w:t>
      </w:r>
      <w:r/>
    </w:p>
    <w:p>
      <w:pPr>
        <w:pStyle w:val="982"/>
        <w:ind w:left="0" w:firstLine="0"/>
        <w:spacing w:after="0" w:line="42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color w:val="000000"/>
          <w:sz w:val="24"/>
          <w:szCs w:val="24"/>
        </w:rPr>
        <w:t xml:space="preserve">一、项目基本情况</w:t>
      </w:r>
      <w:r/>
    </w:p>
    <w:p>
      <w:pPr>
        <w:pStyle w:val="982"/>
        <w:ind w:left="0" w:firstLine="480"/>
        <w:spacing w:after="0" w:line="420" w:lineRule="exact"/>
        <w:rPr>
          <w:rFonts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项目编号：</w:t>
      </w:r>
      <w:r>
        <w:rPr>
          <w:rFonts w:asciiTheme="minorEastAsia" w:hAnsiTheme="minorEastAsia" w:eastAsiaTheme="minorEastAsia" w:cstheme="minorEastAsia"/>
          <w:color w:val="000000"/>
          <w:sz w:val="24"/>
          <w:szCs w:val="24"/>
        </w:rPr>
        <w:t xml:space="preserve">JSZC-321204-ZYNJ-C2026-0010</w:t>
      </w:r>
      <w:r/>
    </w:p>
    <w:p>
      <w:pPr>
        <w:pStyle w:val="982"/>
        <w:ind w:left="0" w:firstLine="480"/>
        <w:spacing w:after="0" w:line="420" w:lineRule="exact"/>
        <w:rPr>
          <w:rFonts w:asciiTheme="minorEastAsia" w:hAnsi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项目名称：</w:t>
      </w:r>
      <w:r>
        <w:rPr>
          <w:rFonts w:hint="eastAsia" w:asciiTheme="minorEastAsia" w:hAnsiTheme="minorEastAsia" w:cstheme="minorEastAsia"/>
          <w:color w:val="000000"/>
          <w:sz w:val="24"/>
          <w:szCs w:val="24"/>
          <w:lang w:eastAsia="zh-CN"/>
        </w:rPr>
        <w:t xml:space="preserve">张甸镇尹庄村2025年度宜居宜业和美乡村建设（市级）项目</w:t>
      </w:r>
      <w:r/>
    </w:p>
    <w:p>
      <w:pPr>
        <w:pStyle w:val="982"/>
        <w:ind w:left="0" w:firstLine="480"/>
        <w:spacing w:after="0" w:line="420" w:lineRule="exac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釆购方式：竞争性磋</w:t>
      </w:r>
      <w:r>
        <w:rPr>
          <w:rFonts w:hint="eastAsia" w:asciiTheme="minorEastAsia" w:hAnsiTheme="minorEastAsia" w:eastAsiaTheme="minorEastAsia" w:cstheme="minorEastAsia"/>
          <w:color w:val="000000"/>
          <w:sz w:val="24"/>
          <w:szCs w:val="24"/>
          <w:lang w:eastAsia="zh-CN"/>
        </w:rPr>
        <w:t xml:space="preserve">商</w:t>
      </w:r>
      <w:r/>
    </w:p>
    <w:p>
      <w:pPr>
        <w:pStyle w:val="1026"/>
        <w:ind w:firstLine="480"/>
        <w:spacing w:line="420" w:lineRule="exact"/>
        <w:rPr>
          <w:rFonts w:asciiTheme="minorEastAsia" w:hAnsiTheme="minorEastAsia" w:cstheme="minorEastAsia"/>
          <w:color w:val="000000"/>
          <w:sz w:val="24"/>
        </w:rPr>
      </w:pPr>
      <w:r>
        <w:rPr>
          <w:rFonts w:hint="eastAsia" w:asciiTheme="minorEastAsia" w:hAnsiTheme="minorEastAsia" w:eastAsiaTheme="minorEastAsia" w:cstheme="minorEastAsia"/>
          <w:color w:val="000000"/>
          <w:sz w:val="24"/>
        </w:rPr>
        <w:t xml:space="preserve">4.预算金额：</w:t>
      </w:r>
      <w:r>
        <w:rPr>
          <w:rFonts w:hint="eastAsia" w:asciiTheme="minorEastAsia" w:hAnsiTheme="minorEastAsia" w:eastAsiaTheme="minorEastAsia" w:cstheme="minorEastAsia"/>
          <w:color w:val="000000"/>
          <w:sz w:val="24"/>
        </w:rPr>
        <w:t xml:space="preserve">286.987592</w:t>
      </w:r>
      <w:r>
        <w:rPr>
          <w:rFonts w:hint="eastAsia" w:asciiTheme="minorEastAsia" w:hAnsiTheme="minorEastAsia" w:cstheme="minorEastAsia"/>
          <w:color w:val="000000"/>
          <w:sz w:val="24"/>
        </w:rPr>
        <w:t xml:space="preserve">万元</w:t>
      </w:r>
      <w:r/>
    </w:p>
    <w:p>
      <w:pPr>
        <w:pStyle w:val="1026"/>
        <w:ind w:firstLine="480"/>
        <w:spacing w:line="420" w:lineRule="exac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5.最高限价：</w:t>
      </w:r>
      <w:r>
        <w:rPr>
          <w:rFonts w:hint="eastAsia" w:asciiTheme="minorEastAsia" w:hAnsiTheme="minorEastAsia" w:eastAsiaTheme="minorEastAsia" w:cstheme="minorEastAsia"/>
          <w:szCs w:val="21"/>
        </w:rPr>
        <w:t xml:space="preserve">243.9394532</w:t>
      </w:r>
      <w:r>
        <w:rPr>
          <w:rFonts w:hint="eastAsia" w:asciiTheme="minorEastAsia" w:hAnsiTheme="minorEastAsia" w:eastAsiaTheme="minorEastAsia" w:cstheme="minorEastAsia"/>
          <w:color w:val="000000"/>
          <w:sz w:val="24"/>
        </w:rPr>
        <w:t xml:space="preserve">万元</w:t>
      </w:r>
      <w:r>
        <w:rPr>
          <w:rFonts w:hint="eastAsia" w:asciiTheme="minorEastAsia" w:hAnsiTheme="minorEastAsia" w:eastAsiaTheme="minorEastAsia" w:cstheme="minorEastAsia"/>
          <w:sz w:val="24"/>
        </w:rPr>
        <w:t xml:space="preserve">（超过最高限价为无效报价，按照无效响应处理。）</w:t>
      </w:r>
      <w:r/>
    </w:p>
    <w:p>
      <w:pPr>
        <w:pStyle w:val="982"/>
        <w:ind w:left="0" w:firstLine="480"/>
        <w:spacing w:after="0" w:line="420" w:lineRule="exact"/>
        <w:rPr>
          <w:rFonts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6.</w:t>
      </w:r>
      <w:r>
        <w:rPr>
          <w:rFonts w:hint="eastAsia" w:asciiTheme="minorEastAsia" w:hAnsiTheme="minorEastAsia" w:eastAsiaTheme="minorEastAsia" w:cstheme="minorEastAsia"/>
          <w:color w:val="000000"/>
          <w:sz w:val="24"/>
          <w:szCs w:val="24"/>
        </w:rPr>
        <w:t xml:space="preserve">采购需求：</w:t>
      </w:r>
      <w:r>
        <w:rPr>
          <w:rFonts w:hint="eastAsia" w:asciiTheme="minorEastAsia" w:hAnsiTheme="minorEastAsia" w:cstheme="minorEastAsia"/>
          <w:color w:val="000000"/>
          <w:sz w:val="24"/>
          <w:szCs w:val="24"/>
          <w:lang w:eastAsia="zh-CN"/>
        </w:rPr>
        <w:t xml:space="preserve">张甸镇尹庄村2025年度宜居宜业和美乡村建设（市级）项目，主要建设内容：道路建设、河道景园、环境打造等，具体内容详见工程量清单及图纸</w:t>
      </w:r>
      <w:r>
        <w:rPr>
          <w:rFonts w:hint="eastAsia" w:asciiTheme="minorEastAsia" w:hAnsiTheme="minorEastAsia" w:eastAsiaTheme="minorEastAsia" w:cstheme="minorEastAsia"/>
          <w:color w:val="000000"/>
          <w:sz w:val="24"/>
          <w:szCs w:val="24"/>
          <w:lang w:val="en-US" w:eastAsia="zh-CN"/>
        </w:rPr>
        <w:t xml:space="preserve">。</w:t>
      </w:r>
      <w:r/>
    </w:p>
    <w:p>
      <w:pPr>
        <w:pStyle w:val="982"/>
        <w:ind w:left="0" w:firstLine="480"/>
        <w:spacing w:after="0" w:line="420" w:lineRule="exact"/>
        <w:rPr>
          <w:rFonts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7.合同履行期限：合同签订后</w:t>
      </w:r>
      <w:r>
        <w:rPr>
          <w:rFonts w:hint="eastAsia" w:asciiTheme="minorEastAsia" w:hAnsiTheme="minorEastAsia" w:eastAsiaTheme="minorEastAsia" w:cstheme="minorEastAsia"/>
          <w:color w:val="000000"/>
          <w:sz w:val="24"/>
          <w:szCs w:val="24"/>
          <w:lang w:val="en-US" w:eastAsia="zh-CN"/>
        </w:rPr>
        <w:t xml:space="preserve">60</w:t>
      </w:r>
      <w:r>
        <w:rPr>
          <w:rFonts w:hint="eastAsia" w:asciiTheme="minorEastAsia" w:hAnsiTheme="minorEastAsia" w:eastAsiaTheme="minorEastAsia" w:cstheme="minorEastAsia"/>
          <w:color w:val="000000"/>
          <w:sz w:val="24"/>
          <w:szCs w:val="24"/>
          <w:lang w:val="en-US" w:eastAsia="zh-CN"/>
        </w:rPr>
        <w:t xml:space="preserve">日历天；</w:t>
      </w:r>
      <w:r/>
    </w:p>
    <w:p>
      <w:pPr>
        <w:pStyle w:val="982"/>
        <w:ind w:left="0" w:firstLine="480"/>
        <w:spacing w:after="0" w:line="420" w:lineRule="exact"/>
        <w:rPr>
          <w:rFonts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8.本项目不接受联合体投标</w:t>
      </w:r>
      <w:r/>
    </w:p>
    <w:p>
      <w:pPr>
        <w:pStyle w:val="982"/>
        <w:ind w:left="0" w:firstLine="0"/>
        <w:spacing w:after="0" w:line="42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color w:val="000000"/>
          <w:sz w:val="24"/>
          <w:szCs w:val="24"/>
        </w:rPr>
        <w:t xml:space="preserve">二</w:t>
      </w:r>
      <w:r>
        <w:rPr>
          <w:rFonts w:hint="eastAsia" w:asciiTheme="minorEastAsia" w:hAnsiTheme="minorEastAsia" w:eastAsiaTheme="minorEastAsia" w:cstheme="minorEastAsia"/>
          <w:b/>
          <w:bCs/>
          <w:color w:val="000000"/>
          <w:sz w:val="24"/>
          <w:szCs w:val="24"/>
          <w:lang w:eastAsia="zh-CN"/>
        </w:rPr>
        <w:t xml:space="preserve">、</w:t>
      </w:r>
      <w:r>
        <w:rPr>
          <w:rFonts w:hint="eastAsia" w:asciiTheme="minorEastAsia" w:hAnsiTheme="minorEastAsia" w:eastAsiaTheme="minorEastAsia" w:cstheme="minorEastAsia"/>
          <w:b/>
          <w:bCs/>
          <w:color w:val="000000"/>
          <w:sz w:val="24"/>
          <w:szCs w:val="24"/>
        </w:rPr>
        <w:t xml:space="preserve">申请人的资格要求：</w:t>
      </w:r>
      <w:r/>
    </w:p>
    <w:p>
      <w:pPr>
        <w:ind w:firstLine="480"/>
        <w:spacing w:line="420" w:lineRule="exact"/>
        <w:rPr>
          <w:rFonts w:asciiTheme="minorEastAsia" w:hAnsiTheme="minorEastAsia" w:eastAsiaTheme="minorEastAsia" w:cstheme="minorEastAsia"/>
          <w:sz w:val="24"/>
        </w:rPr>
      </w:pPr>
      <w:r/>
      <w:bookmarkStart w:id="7" w:name="bookmark44"/>
      <w:r/>
      <w:bookmarkEnd w:id="7"/>
      <w:r>
        <w:rPr>
          <w:rFonts w:hint="eastAsia" w:asciiTheme="minorEastAsia" w:hAnsiTheme="minorEastAsia" w:eastAsiaTheme="minorEastAsia" w:cstheme="minorEastAsia"/>
          <w:sz w:val="24"/>
        </w:rPr>
        <w:t xml:space="preserve">1.满足《中华人民共和国政府采购法》第二十二条规定：</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①具有独立承担民事责任的能力</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②具有良好的商业信誉和健全的财务会计制度</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③具有履行合同所必须的设备和专业技术能力</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④有依法缴纳税收和社会保障资金的良好记录</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⑤在参加政府采购活动前三年内,在经营活动中没有重大违法记录</w:t>
      </w:r>
      <w:r/>
    </w:p>
    <w:p>
      <w:pPr>
        <w:ind w:firstLine="480"/>
        <w:spacing w:line="420" w:lineRule="exact"/>
        <w:rPr>
          <w:rFonts w:asciiTheme="minorEastAsia" w:hAnsiTheme="minorEastAsia" w:eastAsiaTheme="minorEastAsia" w:cstheme="minorEastAsia"/>
          <w:sz w:val="24"/>
        </w:rPr>
      </w:pPr>
      <w:r/>
      <w:bookmarkStart w:id="8" w:name="bookmark45"/>
      <w:r/>
      <w:bookmarkEnd w:id="8"/>
      <w:r>
        <w:rPr>
          <w:rFonts w:hint="eastAsia" w:asciiTheme="minorEastAsia" w:hAnsiTheme="minorEastAsia" w:eastAsiaTheme="minorEastAsia" w:cstheme="minorEastAsia"/>
          <w:sz w:val="24"/>
        </w:rPr>
        <w:t xml:space="preserve">2.落实政府采购政策需满足的资格要求：</w:t>
      </w:r>
      <w:bookmarkStart w:id="9" w:name="bookmark46"/>
      <w:r/>
      <w:bookmarkEnd w:id="9"/>
      <w:r>
        <w:rPr>
          <w:rFonts w:hint="eastAsia" w:asciiTheme="minorEastAsia" w:hAnsiTheme="minorEastAsia" w:eastAsiaTheme="minorEastAsia" w:cstheme="minorEastAsia"/>
          <w:sz w:val="24"/>
        </w:rPr>
        <w:t xml:space="preserve">专门面向中小微企业,供应商应为中小微企业、监狱企业、残疾人福利性单位。</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3.本项目的特定资格要求：</w:t>
      </w:r>
      <w:bookmarkStart w:id="10" w:name="bookmark47"/>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3.1供应商须具备建设行政主管部门颁发的有效的</w:t>
      </w:r>
      <w:r>
        <w:rPr>
          <w:rFonts w:hint="eastAsia" w:asciiTheme="minorEastAsia" w:hAnsiTheme="minorEastAsia" w:eastAsiaTheme="minorEastAsia" w:cstheme="minorEastAsia"/>
          <w:sz w:val="24"/>
          <w:u w:val="single"/>
        </w:rPr>
        <w:t xml:space="preserve">市政公用工程施工总承包三级（及）以上</w:t>
      </w:r>
      <w:r>
        <w:rPr>
          <w:rFonts w:hint="eastAsia" w:asciiTheme="minorEastAsia" w:hAnsiTheme="minorEastAsia" w:eastAsiaTheme="minorEastAsia" w:cstheme="minorEastAsia"/>
          <w:sz w:val="24"/>
        </w:rPr>
        <w:t xml:space="preserve">资质并具备有效的建筑施工企业安全生产许可证。</w:t>
      </w:r>
      <w:r/>
    </w:p>
    <w:p>
      <w:pPr>
        <w:pStyle w:val="1026"/>
        <w:ind w:firstLine="480"/>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3.2拟派项目负责人系已在供应商单位注册并具备建设行政主管部门颁发的</w:t>
      </w:r>
      <w:r>
        <w:rPr>
          <w:rFonts w:hint="eastAsia" w:asciiTheme="minorEastAsia" w:hAnsiTheme="minorEastAsia" w:eastAsiaTheme="minorEastAsia" w:cstheme="minorEastAsia"/>
          <w:sz w:val="24"/>
          <w:u w:val="single"/>
        </w:rPr>
        <w:t xml:space="preserve">市政工程专业二级(含)以上</w:t>
      </w:r>
      <w:r>
        <w:rPr>
          <w:rFonts w:hint="eastAsia" w:asciiTheme="minorEastAsia" w:hAnsiTheme="minorEastAsia" w:eastAsiaTheme="minorEastAsia" w:cstheme="minorEastAsia"/>
          <w:sz w:val="24"/>
        </w:rPr>
        <w:t xml:space="preserve">注册建造师证书且具有行政主管部门颁发的有效的建筑施工企业项目负责人安全生产考核合格证书B证。</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3.3本项目其他资格要求：</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(1)信誉要求：</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①未被“信用中国”网站(www.creditchina.gov.cn)、中国政府采购网</w:t>
      </w:r>
      <w:r>
        <w:rPr>
          <w:rFonts w:hint="eastAsia" w:asciiTheme="minorEastAsia" w:hAnsiTheme="minorEastAsia" w:eastAsiaTheme="minorEastAsia" w:cstheme="minorEastAsia"/>
          <w:sz w:val="24"/>
        </w:rPr>
        <w:t xml:space="preserve">(www.ccgp.gov.cn)列入失信被执行人、重大税收违法案件当事人名单、政府采购严重违法失信行为记录名单；</w:t>
      </w:r>
      <w:r/>
    </w:p>
    <w:p>
      <w:pPr>
        <w:pStyle w:val="770"/>
        <w:ind w:firstLine="480"/>
        <w:spacing w:after="0"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②企业因发生重大工程质量、安全生产事故，被有关部门暂停投标资格并在暂停期内的；</w:t>
      </w:r>
      <w:r/>
    </w:p>
    <w:p>
      <w:pPr>
        <w:ind w:firstLine="480"/>
        <w:spacing w:line="420" w:lineRule="exact"/>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③提供参加政府采购活动前 3 年内在经营活动中无重大违法记录的声明。</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（2）企业资质动态监管： </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①评标时，供应商投标所用资质核查结果为不达标的，视为供应商资质条件不符合国家有关规定，或不满足采购文件规定的资格条件。 </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②中标公示期间，成交候选人投标所用资质核查结果为不达标的，视为其资质条件不符合国家有关规定。</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动态监管不合格资质查询网址：</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https://entq.jsszfhcxjstzhfwpt.com:12443/ms/admin/#/open/dthc-list </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（3）项目负责人（即项目经理）无在建工程要求：</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①项目负责人是非变更后无在建工程。</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注：以上在建工程是指在其他项目担任项目负责人职责。以供应商在响应文件中的《投标承诺书》为准。</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（4）项目负责人（即项目经理）不得同时在两个或者两个以上单位受聘或者执业，包含但不仅限于以下情形：</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①同时在两个及以上单位签订劳动合同或交纳社会保险；</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②将本人执（职）业资格证书同时注册在两个及以上单位；</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③在其他企业担任法定代表人。</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(5)单位负责人为同一人或者存在直接控股、管理关系的不同供应商，不得同时参加本项目的投标活动。</w:t>
      </w:r>
      <w:r/>
    </w:p>
    <w:p>
      <w:pPr>
        <w:pStyle w:val="982"/>
        <w:ind w:left="0" w:firstLine="0"/>
        <w:spacing w:after="0" w:line="420" w:lineRule="exact"/>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三</w:t>
      </w:r>
      <w:bookmarkEnd w:id="10"/>
      <w:r>
        <w:rPr>
          <w:rFonts w:hint="eastAsia" w:asciiTheme="minorEastAsia" w:hAnsiTheme="minorEastAsia" w:eastAsiaTheme="minorEastAsia" w:cstheme="minorEastAsia"/>
          <w:b/>
          <w:bCs/>
          <w:color w:val="000000"/>
          <w:sz w:val="24"/>
          <w:szCs w:val="24"/>
        </w:rPr>
        <w:t xml:space="preserve">、获取采购文件</w:t>
      </w:r>
      <w:r/>
    </w:p>
    <w:p>
      <w:pPr>
        <w:ind w:firstLine="480"/>
        <w:spacing w:line="420" w:lineRule="exact"/>
        <w:rPr>
          <w:rFonts w:asciiTheme="minorEastAsia" w:hAnsiTheme="minorEastAsia" w:eastAsiaTheme="minorEastAsia" w:cstheme="minorEastAsia"/>
          <w:sz w:val="24"/>
        </w:rPr>
      </w:pPr>
      <w:r/>
      <w:bookmarkStart w:id="11" w:name="bookmark48"/>
      <w:r>
        <w:rPr>
          <w:rFonts w:hint="eastAsia" w:asciiTheme="minorEastAsia" w:hAnsiTheme="minorEastAsia" w:eastAsiaTheme="minorEastAsia" w:cstheme="minorEastAsia"/>
          <w:sz w:val="24"/>
        </w:rPr>
        <w:t xml:space="preserve">（一）时间：自招标文件公告发布之日起5个工作日。</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（二）获取方式：</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1.地点：投标人完成注册并办理CA证书后登录“江苏政府采购‘苏采云’系统”下载本项目招标文件。</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2.获取方式：登录江苏政府采购“苏采云”系统免费下载。</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3.潜在投标人访问电子招标投标交易平台的网络地址和方法：</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（2）潜在投标人访问“苏采云”系统的网络地址和方法：“苏采云”系统的网址：http://jszfcg.jsczt.cn/，点击“苏采云”进入系统。</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（5）招标代理机构（采购代理机构）将数据电文形式的招标文件加载至“苏采云”系统，供潜在投标人下载或者查阅。</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（6）苏采云系统优先使用谷歌浏览器参与不见面开标。</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（7）有关本次采购的事项若存在变动或修改，敬请及时关注“江苏政府采购网”发布的更正公告。</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如潜在供应商未按上述要求操作，将自行承担所产生的风险。</w:t>
      </w:r>
      <w:r/>
    </w:p>
    <w:p>
      <w:pPr>
        <w:spacing w:line="420" w:lineRule="exact"/>
        <w:rPr>
          <w:rFonts w:asciiTheme="minorEastAsia" w:hAnsiTheme="minorEastAsia" w:eastAsiaTheme="minorEastAsia" w:cstheme="minorEastAsia"/>
          <w:b/>
          <w:bCs/>
          <w:color w:val="000000"/>
          <w:sz w:val="24"/>
          <w:lang w:val="zh-TW" w:bidi="zh-TW"/>
        </w:rPr>
      </w:pPr>
      <w:r>
        <w:rPr>
          <w:rFonts w:hint="eastAsia" w:asciiTheme="minorEastAsia" w:hAnsiTheme="minorEastAsia" w:eastAsiaTheme="minorEastAsia" w:cstheme="minorEastAsia"/>
          <w:b/>
          <w:bCs/>
          <w:color w:val="000000"/>
          <w:sz w:val="24"/>
          <w:lang w:val="zh-TW" w:bidi="zh-TW"/>
        </w:rPr>
        <w:t xml:space="preserve">四</w:t>
      </w:r>
      <w:bookmarkEnd w:id="11"/>
      <w:r>
        <w:rPr>
          <w:rFonts w:hint="eastAsia" w:asciiTheme="minorEastAsia" w:hAnsiTheme="minorEastAsia" w:eastAsiaTheme="minorEastAsia" w:cstheme="minorEastAsia"/>
          <w:b/>
          <w:bCs/>
          <w:color w:val="000000"/>
          <w:sz w:val="24"/>
          <w:lang w:val="zh-TW" w:bidi="zh-TW"/>
        </w:rPr>
        <w:t xml:space="preserve">、响应文件提交</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截止时间：2026年</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日1</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时</w:t>
      </w:r>
      <w:r>
        <w:rPr>
          <w:rFonts w:hint="eastAsia" w:asciiTheme="minorEastAsia" w:hAnsiTheme="minorEastAsia" w:eastAsiaTheme="minorEastAsia" w:cstheme="minorEastAsia"/>
          <w:sz w:val="24"/>
        </w:rPr>
        <w:t xml:space="preserve">00</w:t>
      </w:r>
      <w:r>
        <w:rPr>
          <w:rFonts w:hint="eastAsia" w:asciiTheme="minorEastAsia" w:hAnsiTheme="minorEastAsia" w:eastAsiaTheme="minorEastAsia" w:cstheme="minorEastAsia"/>
          <w:sz w:val="24"/>
        </w:rPr>
        <w:t xml:space="preserve">分（北京时间）</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点：江苏政府采购“苏采云”系统不见面开标大厅</w:t>
      </w:r>
      <w:r/>
    </w:p>
    <w:p>
      <w:pPr>
        <w:spacing w:line="420" w:lineRule="exact"/>
        <w:rPr>
          <w:rFonts w:asciiTheme="minorEastAsia" w:hAnsiTheme="minorEastAsia" w:eastAsiaTheme="minorEastAsia" w:cstheme="minorEastAsia"/>
          <w:b/>
          <w:bCs/>
          <w:color w:val="000000"/>
          <w:sz w:val="24"/>
          <w:lang w:val="zh-TW" w:bidi="zh-TW"/>
        </w:rPr>
      </w:pPr>
      <w:r>
        <w:rPr>
          <w:rFonts w:hint="eastAsia" w:asciiTheme="minorEastAsia" w:hAnsiTheme="minorEastAsia" w:eastAsiaTheme="minorEastAsia" w:cstheme="minorEastAsia"/>
          <w:b/>
          <w:bCs/>
          <w:color w:val="000000"/>
          <w:sz w:val="24"/>
          <w:lang w:val="zh-TW" w:bidi="zh-TW"/>
        </w:rPr>
        <w:t xml:space="preserve">五、开启</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时    间：2026年</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日</w:t>
      </w:r>
      <w:r>
        <w:rPr>
          <w:rFonts w:hint="eastAsia" w:asciiTheme="minorEastAsia" w:hAnsiTheme="minorEastAsia" w:eastAsiaTheme="minorEastAsia" w:cstheme="minorEastAsia"/>
          <w:sz w:val="24"/>
        </w:rPr>
        <w:t xml:space="preserve">15</w:t>
      </w:r>
      <w:r>
        <w:rPr>
          <w:rFonts w:hint="eastAsia" w:asciiTheme="minorEastAsia" w:hAnsiTheme="minorEastAsia" w:eastAsiaTheme="minorEastAsia" w:cstheme="minorEastAsia"/>
          <w:sz w:val="24"/>
        </w:rPr>
        <w:t xml:space="preserve">时</w:t>
      </w:r>
      <w:r>
        <w:rPr>
          <w:rFonts w:hint="eastAsia" w:asciiTheme="minorEastAsia" w:hAnsiTheme="minorEastAsia" w:eastAsiaTheme="minorEastAsia" w:cstheme="minorEastAsia"/>
          <w:sz w:val="24"/>
        </w:rPr>
        <w:t xml:space="preserve">00</w:t>
      </w:r>
      <w:r>
        <w:rPr>
          <w:rFonts w:hint="eastAsia" w:asciiTheme="minorEastAsia" w:hAnsiTheme="minorEastAsia" w:eastAsiaTheme="minorEastAsia" w:cstheme="minorEastAsia"/>
          <w:sz w:val="24"/>
        </w:rPr>
        <w:t xml:space="preserve">分（北京时间）</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点：江苏政府采购“苏采云”系统不见面开标大厅</w:t>
      </w:r>
      <w:r/>
    </w:p>
    <w:p>
      <w:pPr>
        <w:spacing w:line="420" w:lineRule="exact"/>
        <w:rPr>
          <w:rFonts w:asciiTheme="minorEastAsia" w:hAnsiTheme="minorEastAsia" w:eastAsiaTheme="minorEastAsia" w:cstheme="minorEastAsia"/>
          <w:b/>
          <w:bCs/>
          <w:color w:val="000000"/>
          <w:sz w:val="24"/>
          <w:lang w:val="zh-TW" w:bidi="zh-TW"/>
        </w:rPr>
      </w:pPr>
      <w:r>
        <w:rPr>
          <w:rFonts w:hint="eastAsia" w:asciiTheme="minorEastAsia" w:hAnsiTheme="minorEastAsia" w:eastAsiaTheme="minorEastAsia" w:cstheme="minorEastAsia"/>
          <w:b/>
          <w:bCs/>
          <w:color w:val="000000"/>
          <w:sz w:val="24"/>
          <w:lang w:val="zh-TW" w:bidi="zh-TW"/>
        </w:rPr>
        <w:t xml:space="preserve">六、公告期限</w:t>
      </w:r>
      <w:r/>
    </w:p>
    <w:p>
      <w:pPr>
        <w:ind w:firstLine="240"/>
        <w:jc w:val="left"/>
        <w:spacing w:line="420" w:lineRule="exac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sz w:val="24"/>
        </w:rPr>
        <w:t xml:space="preserve">自本公告发布之</w:t>
      </w:r>
      <w:r>
        <w:rPr>
          <w:rFonts w:hint="eastAsia" w:asciiTheme="minorEastAsia" w:hAnsiTheme="minorEastAsia" w:eastAsiaTheme="minorEastAsia" w:cstheme="minorEastAsia"/>
          <w:color w:val="000000"/>
          <w:sz w:val="24"/>
        </w:rPr>
        <w:t xml:space="preserve">日起5个工作日。</w:t>
      </w:r>
      <w:r/>
    </w:p>
    <w:p>
      <w:pPr>
        <w:pStyle w:val="982"/>
        <w:ind w:left="0" w:firstLine="0"/>
        <w:spacing w:after="0" w:line="420" w:lineRule="exact"/>
        <w:rPr>
          <w:rFonts w:asciiTheme="minorEastAsia" w:hAnsiTheme="minorEastAsia" w:eastAsiaTheme="minorEastAsia" w:cstheme="minorEastAsia"/>
          <w:b/>
          <w:bCs/>
          <w:color w:val="000000"/>
          <w:sz w:val="24"/>
          <w:szCs w:val="24"/>
          <w:lang w:eastAsia="zh-CN"/>
        </w:rPr>
      </w:pPr>
      <w:r>
        <w:rPr>
          <w:rFonts w:hint="eastAsia" w:asciiTheme="minorEastAsia" w:hAnsiTheme="minorEastAsia" w:eastAsiaTheme="minorEastAsia" w:cstheme="minorEastAsia"/>
          <w:b/>
          <w:bCs/>
          <w:color w:val="000000"/>
          <w:sz w:val="24"/>
          <w:szCs w:val="24"/>
        </w:rPr>
        <w:t xml:space="preserve">七</w:t>
      </w:r>
      <w:r>
        <w:rPr>
          <w:rFonts w:hint="eastAsia" w:asciiTheme="minorEastAsia" w:hAnsiTheme="minorEastAsia" w:eastAsiaTheme="minorEastAsia" w:cstheme="minorEastAsia"/>
          <w:b/>
          <w:bCs/>
          <w:color w:val="000000"/>
          <w:sz w:val="24"/>
          <w:szCs w:val="24"/>
          <w:lang w:eastAsia="zh-CN"/>
        </w:rPr>
        <w:t xml:space="preserve">、</w:t>
      </w:r>
      <w:r>
        <w:rPr>
          <w:rFonts w:hint="eastAsia" w:asciiTheme="minorEastAsia" w:hAnsiTheme="minorEastAsia" w:eastAsiaTheme="minorEastAsia" w:cstheme="minorEastAsia"/>
          <w:b/>
          <w:bCs/>
          <w:color w:val="000000"/>
          <w:sz w:val="24"/>
          <w:szCs w:val="24"/>
        </w:rPr>
        <w:t xml:space="preserve">其他补充事宜</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（1）现场踏勘：供应商自行踏勘。（请各供应商对项目现场进行自主踏勘，未现场踏勘和未提出疑义的供应商将被视为已踏勘，认同采购项目要求的内容，由此造成的后果由供</w:t>
      </w:r>
      <w:r>
        <w:rPr>
          <w:rFonts w:hint="eastAsia" w:asciiTheme="minorEastAsia" w:hAnsiTheme="minorEastAsia" w:eastAsiaTheme="minorEastAsia" w:cstheme="minorEastAsia"/>
          <w:sz w:val="24"/>
        </w:rPr>
        <w:t xml:space="preserve">应商负责。）</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（2）在评标结束前，各投标人授权代表应保持手机畅通，以便及时澄清答疑。</w:t>
      </w:r>
      <w:r/>
    </w:p>
    <w:p>
      <w:pPr>
        <w:jc w:val="left"/>
        <w:spacing w:line="420" w:lineRule="exact"/>
        <w:widowControl/>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八、凡对本次采购提出询问，请按以下方式联系。</w:t>
      </w:r>
      <w:r/>
    </w:p>
    <w:p>
      <w:pPr>
        <w:ind w:firstLine="240"/>
        <w:spacing w:line="420" w:lineRule="exact"/>
        <w:tabs>
          <w:tab w:val="left" w:pos="2268" w:leader="none"/>
        </w:tabs>
        <w:rPr>
          <w:rFonts w:asciiTheme="minorEastAsia" w:hAnsiTheme="minorEastAsia" w:eastAsiaTheme="minorEastAsia" w:cstheme="minorEastAsia"/>
          <w:sz w:val="24"/>
        </w:rPr>
      </w:pPr>
      <w:r/>
      <w:bookmarkStart w:id="12" w:name="bookmark49"/>
      <w:r/>
      <w:bookmarkEnd w:id="12"/>
      <w:r>
        <w:rPr>
          <w:rFonts w:hint="eastAsia" w:asciiTheme="minorEastAsia" w:hAnsiTheme="minorEastAsia" w:eastAsiaTheme="minorEastAsia" w:cstheme="minorEastAsia"/>
          <w:sz w:val="24"/>
        </w:rPr>
        <w:t xml:space="preserve">1.采购人信息</w:t>
      </w:r>
      <w:r/>
    </w:p>
    <w:p>
      <w:pPr>
        <w:ind w:firstLine="240"/>
        <w:spacing w:line="420" w:lineRule="exact"/>
        <w:tabs>
          <w:tab w:val="left" w:pos="2268" w:leader="none"/>
        </w:tabs>
        <w:rPr>
          <w:rFonts w:asciiTheme="minorEastAsia" w:hAnsiTheme="minorEastAsia" w:cstheme="minorEastAsia"/>
          <w:sz w:val="24"/>
        </w:rPr>
      </w:pPr>
      <w:r>
        <w:rPr>
          <w:rFonts w:hint="eastAsia" w:asciiTheme="minorEastAsia" w:hAnsiTheme="minorEastAsia" w:eastAsiaTheme="minorEastAsia" w:cstheme="minorEastAsia"/>
          <w:sz w:val="24"/>
        </w:rPr>
        <w:t xml:space="preserve">名 称：</w:t>
      </w:r>
      <w:r>
        <w:rPr>
          <w:rFonts w:hint="eastAsia" w:asciiTheme="minorEastAsia" w:hAnsiTheme="minorEastAsia" w:cstheme="minorEastAsia"/>
          <w:sz w:val="24"/>
        </w:rPr>
        <w:t xml:space="preserve">泰州市姜堰区张甸镇人民政府</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址：泰州市姜堰区</w:t>
      </w:r>
      <w:r>
        <w:rPr>
          <w:rFonts w:hint="eastAsia" w:asciiTheme="minorEastAsia" w:hAnsiTheme="minorEastAsia" w:cstheme="minorEastAsia"/>
          <w:sz w:val="24"/>
        </w:rPr>
        <w:t xml:space="preserve">张甸</w:t>
      </w:r>
      <w:r>
        <w:rPr>
          <w:rFonts w:hint="eastAsia" w:asciiTheme="minorEastAsia" w:hAnsiTheme="minorEastAsia" w:eastAsiaTheme="minorEastAsia" w:cstheme="minorEastAsia"/>
          <w:sz w:val="24"/>
        </w:rPr>
        <w:t xml:space="preserve">镇</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联系方式：</w:t>
      </w:r>
      <w:r>
        <w:rPr>
          <w:rFonts w:hint="eastAsia" w:asciiTheme="minorEastAsia" w:hAnsiTheme="minorEastAsia" w:eastAsiaTheme="minorEastAsia" w:cstheme="minorEastAsia"/>
          <w:sz w:val="24"/>
        </w:rPr>
        <w:t xml:space="preserve">董主任 </w:t>
      </w:r>
      <w:r>
        <w:rPr>
          <w:rFonts w:asciiTheme="minorEastAsia" w:hAnsiTheme="minorEastAsia" w:eastAsiaTheme="minorEastAsia" w:cstheme="minorEastAsia"/>
          <w:sz w:val="24"/>
        </w:rPr>
        <w:t xml:space="preserve">15861019915</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2.采购代理机构信息</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名 称：南京正一工程造价咨询有限公司</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址：泰州市姜堰区杭州路332号</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联系方式：</w:t>
      </w:r>
      <w:r>
        <w:rPr>
          <w:rFonts w:hint="eastAsia" w:asciiTheme="minorEastAsia" w:hAnsiTheme="minorEastAsia" w:eastAsiaTheme="minorEastAsia" w:cstheme="minorEastAsia"/>
          <w:sz w:val="24"/>
        </w:rPr>
        <w:t xml:space="preserve">徐茂蓉</w:t>
      </w:r>
      <w:r>
        <w:rPr>
          <w:rFonts w:hint="eastAsia" w:asciiTheme="minorEastAsia" w:hAnsiTheme="minorEastAsia" w:eastAsiaTheme="minorEastAsia" w:cstheme="minorEastAsia"/>
          <w:sz w:val="24"/>
        </w:rPr>
        <w:t xml:space="preserve"> 15161091903</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3.项目公平竞争审查工作联系方式</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项目联系人：沈先生</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　话：</w:t>
      </w:r>
      <w:r>
        <w:rPr>
          <w:rFonts w:hint="eastAsia" w:asciiTheme="minorEastAsia" w:hAnsiTheme="minorEastAsia" w:eastAsiaTheme="minorEastAsia" w:cstheme="minorEastAsia"/>
          <w:sz w:val="24"/>
        </w:rPr>
        <w:t xml:space="preserve">15252660259</w:t>
      </w:r>
      <w:bookmarkEnd w:id="0"/>
      <w:r/>
      <w:bookmarkEnd w:id="1"/>
      <w:r/>
      <w:r/>
    </w:p>
    <w:p>
      <w:pPr>
        <w:jc w:val="right"/>
        <w:spacing w:line="42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rPr>
          <w:rStyle w:val="948"/>
          <w:rFonts w:asciiTheme="minorEastAsia" w:hAnsiTheme="minorEastAsia" w:eastAsiaTheme="minorEastAsia" w:cstheme="minorEastAsia"/>
        </w:rPr>
      </w:pPr>
      <w:r>
        <w:rPr>
          <w:rFonts w:hint="eastAsia" w:asciiTheme="minorEastAsia" w:hAnsiTheme="minorEastAsia" w:eastAsiaTheme="minorEastAsia" w:cstheme="minorEastAsia"/>
          <w:b/>
          <w:sz w:val="32"/>
          <w:szCs w:val="32"/>
        </w:rPr>
        <w:br w:type="page" w:clear="all"/>
      </w:r>
      <w:bookmarkStart w:id="13" w:name="_Toc24543"/>
      <w:r/>
      <w:bookmarkStart w:id="14" w:name="_Toc3410"/>
      <w:r>
        <w:rPr>
          <w:rStyle w:val="948"/>
          <w:rFonts w:hint="eastAsia" w:asciiTheme="minorEastAsia" w:hAnsiTheme="minorEastAsia" w:eastAsiaTheme="minorEastAsia" w:cstheme="minorEastAsia"/>
        </w:rPr>
        <w:t xml:space="preserve">第二章 参加磋商供应商须知</w:t>
      </w:r>
      <w:bookmarkEnd w:id="13"/>
      <w:r/>
      <w:bookmarkEnd w:id="14"/>
      <w:r/>
      <w:r/>
    </w:p>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（参加竞争性磋商的供应商以下简称“供应商”）</w:t>
      </w:r>
      <w:r/>
    </w:p>
    <w:p>
      <w:pPr>
        <w:ind w:right="840"/>
        <w:jc w:val="center"/>
        <w:spacing w:line="360" w:lineRule="auto"/>
        <w:widowControl/>
        <w:rPr>
          <w:rFonts w:asciiTheme="minorEastAsia" w:hAnsiTheme="minorEastAsia" w:eastAsiaTheme="minorEastAsia" w:cstheme="minorEastAsia"/>
          <w:b/>
          <w:szCs w:val="22"/>
        </w:rPr>
      </w:pPr>
      <w:r/>
      <w:bookmarkStart w:id="15" w:name="_Hlk121232993"/>
      <w:r>
        <w:rPr>
          <w:rFonts w:hint="eastAsia" w:asciiTheme="minorEastAsia" w:hAnsiTheme="minorEastAsia" w:eastAsiaTheme="minorEastAsia" w:cstheme="minorEastAsia"/>
          <w:b/>
          <w:szCs w:val="22"/>
        </w:rPr>
        <w:t xml:space="preserve">     供应商须知</w:t>
      </w:r>
      <w:bookmarkEnd w:id="15"/>
      <w:r>
        <w:rPr>
          <w:rFonts w:hint="eastAsia" w:asciiTheme="minorEastAsia" w:hAnsiTheme="minorEastAsia" w:eastAsiaTheme="minorEastAsia" w:cstheme="minorEastAsia"/>
          <w:b/>
          <w:szCs w:val="22"/>
        </w:rPr>
        <w:t xml:space="preserve">前附表</w:t>
      </w:r>
      <w:r/>
    </w:p>
    <w:tbl>
      <w:tblPr>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5"/>
        <w:gridCol w:w="1389"/>
        <w:gridCol w:w="8202"/>
      </w:tblGrid>
      <w:tr>
        <w:trPr>
          <w:jc w:val="center"/>
          <w:trHeight w:val="90"/>
        </w:trPr>
        <w:tc>
          <w:tcPr>
            <w:tcW w:w="665"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W w:w="1389"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w:t>
            </w:r>
            <w:r/>
          </w:p>
        </w:tc>
        <w:tc>
          <w:tcPr>
            <w:tcW w:w="8202"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内容</w:t>
            </w:r>
            <w:r/>
          </w:p>
        </w:tc>
      </w:tr>
      <w:tr>
        <w:trPr>
          <w:jc w:val="center"/>
          <w:trHeight w:val="31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w:t>
            </w:r>
            <w:r/>
          </w:p>
        </w:tc>
        <w:tc>
          <w:tcPr>
            <w:tcW w:w="8202" w:type="dxa"/>
            <w:vAlign w:val="center"/>
            <w:textDirection w:val="lrTb"/>
            <w:noWrap/>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张甸镇尹庄村2025年度宜居宜业和美乡村建设（市级）项目</w:t>
            </w:r>
            <w:r/>
          </w:p>
        </w:tc>
      </w:tr>
      <w:tr>
        <w:trPr>
          <w:jc w:val="center"/>
          <w:trHeight w:val="456"/>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标段名称</w:t>
            </w:r>
            <w:r/>
          </w:p>
        </w:tc>
        <w:tc>
          <w:tcPr>
            <w:tcW w:w="8202" w:type="dxa"/>
            <w:vAlign w:val="center"/>
            <w:textDirection w:val="lrTb"/>
            <w:noWrap/>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张甸镇尹庄村2025年度宜居宜业和美乡村建设（市级）项目</w:t>
            </w:r>
            <w:r/>
          </w:p>
        </w:tc>
      </w:tr>
      <w:tr>
        <w:trPr>
          <w:jc w:val="center"/>
          <w:trHeight w:val="15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工期及服务地点</w:t>
            </w:r>
            <w:r/>
          </w:p>
        </w:tc>
        <w:tc>
          <w:tcPr>
            <w:tcW w:w="8202" w:type="dxa"/>
            <w:vAlign w:val="center"/>
            <w:textDirection w:val="lrTb"/>
            <w:noWrap/>
          </w:tcPr>
          <w:p>
            <w:pPr>
              <w:numPr>
                <w:ilvl w:val="0"/>
                <w:numId w:val="2"/>
              </w:num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工期：</w:t>
            </w:r>
            <w:r>
              <w:rPr>
                <w:rFonts w:hint="eastAsia" w:asciiTheme="minorEastAsia" w:hAnsiTheme="minorEastAsia" w:eastAsiaTheme="minorEastAsia" w:cstheme="minorEastAsia"/>
                <w:szCs w:val="21"/>
              </w:rPr>
              <w:t xml:space="preserve">60</w:t>
            </w:r>
            <w:r>
              <w:rPr>
                <w:rFonts w:hint="eastAsia" w:asciiTheme="minorEastAsia" w:hAnsiTheme="minorEastAsia" w:eastAsiaTheme="minorEastAsia" w:cstheme="minorEastAsia"/>
                <w:szCs w:val="21"/>
              </w:rPr>
              <w:t xml:space="preserve">日历天； </w:t>
            </w:r>
            <w:r/>
          </w:p>
          <w:p>
            <w:pPr>
              <w:numPr>
                <w:ilvl w:val="0"/>
                <w:numId w:val="2"/>
              </w:num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服务地点：甲方指定地点</w:t>
            </w:r>
            <w:r/>
          </w:p>
        </w:tc>
      </w:tr>
      <w:tr>
        <w:trPr>
          <w:jc w:val="center"/>
          <w:trHeight w:val="504"/>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预算金额及最高限价</w:t>
            </w:r>
            <w:r/>
          </w:p>
        </w:tc>
        <w:tc>
          <w:tcPr>
            <w:tcW w:w="8202" w:type="dxa"/>
            <w:vAlign w:val="center"/>
            <w:textDirection w:val="lrTb"/>
            <w:noWrap/>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预算金额：286.987592万元</w:t>
            </w:r>
            <w:r/>
          </w:p>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最高限价：</w:t>
            </w:r>
            <w:r>
              <w:rPr>
                <w:rFonts w:hint="eastAsia" w:asciiTheme="minorEastAsia" w:hAnsiTheme="minorEastAsia" w:eastAsiaTheme="minorEastAsia" w:cstheme="minorEastAsia"/>
                <w:szCs w:val="21"/>
              </w:rPr>
              <w:t xml:space="preserve">243.9394532</w:t>
            </w:r>
            <w:r>
              <w:rPr>
                <w:rFonts w:hint="eastAsia" w:asciiTheme="minorEastAsia" w:hAnsiTheme="minorEastAsia" w:eastAsiaTheme="minorEastAsia" w:cstheme="minorEastAsia"/>
                <w:szCs w:val="21"/>
              </w:rPr>
              <w:t xml:space="preserve">万元（超过最高限价为无效报价，按照无效响应处理。）</w:t>
            </w:r>
            <w:r/>
          </w:p>
        </w:tc>
      </w:tr>
      <w:tr>
        <w:trPr>
          <w:jc w:val="center"/>
          <w:trHeight w:val="387"/>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p>
        </w:tc>
        <w:tc>
          <w:tcPr>
            <w:tcW w:w="1389" w:type="dxa"/>
            <w:vAlign w:val="center"/>
            <w:textDirection w:val="lrTb"/>
            <w:noWrap/>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合格供应商资格要求</w:t>
            </w:r>
            <w:r/>
          </w:p>
        </w:tc>
        <w:tc>
          <w:tcPr>
            <w:tcW w:w="8202" w:type="dxa"/>
            <w:vAlign w:val="center"/>
            <w:textDirection w:val="lrTb"/>
            <w:noWrap/>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详见第一章磋商公告</w:t>
            </w:r>
            <w:r/>
          </w:p>
        </w:tc>
      </w:tr>
      <w:tr>
        <w:trPr>
          <w:jc w:val="center"/>
          <w:trHeight w:val="26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联合体投标</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不接受，磋商文件中有关联合体的规定均不适用</w:t>
            </w:r>
            <w:r/>
          </w:p>
        </w:tc>
      </w:tr>
      <w:tr>
        <w:trPr>
          <w:jc w:val="center"/>
          <w:trHeight w:val="312"/>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现场考察</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不组织，自行考察;如供应商需自行考察,费用自理</w:t>
            </w:r>
            <w:r/>
          </w:p>
        </w:tc>
      </w:tr>
      <w:tr>
        <w:trPr>
          <w:jc w:val="center"/>
          <w:trHeight w:val="254"/>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投标答疑会 </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不召开</w:t>
            </w:r>
            <w:r/>
          </w:p>
        </w:tc>
      </w:tr>
      <w:tr>
        <w:trPr>
          <w:jc w:val="center"/>
          <w:trHeight w:val="59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供应商提出疑问截止时间</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时间：磋商响应文件递交截止时间5天前</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代理机构联系人：钱女士；联系电话：15161091903</w:t>
            </w:r>
            <w:r/>
          </w:p>
        </w:tc>
      </w:tr>
      <w:tr>
        <w:trPr>
          <w:jc w:val="center"/>
          <w:trHeight w:val="2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澄清、修改时间</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磋商响应文件递交截止时间5天前，</w:t>
            </w:r>
            <w:r>
              <w:rPr>
                <w:rFonts w:hint="eastAsia" w:asciiTheme="minorEastAsia" w:hAnsiTheme="minorEastAsia" w:eastAsiaTheme="minorEastAsia" w:cstheme="minorEastAsia"/>
                <w:szCs w:val="21"/>
                <w:lang w:val="zh-CN"/>
              </w:rPr>
              <w:t xml:space="preserve">投标截止时间前</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供应商自行关注</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江苏政府采购网</w:t>
            </w:r>
            <w:r>
              <w:rPr>
                <w:rFonts w:hint="eastAsia" w:asciiTheme="minorEastAsia" w:hAnsiTheme="minorEastAsia" w:eastAsiaTheme="minorEastAsia" w:cstheme="minorEastAsia"/>
                <w:szCs w:val="21"/>
              </w:rPr>
              <w:t xml:space="preserve">（http://www.ccgp-jiangsu.gov.cn/）”</w:t>
            </w:r>
            <w:r/>
          </w:p>
        </w:tc>
      </w:tr>
      <w:tr>
        <w:trPr>
          <w:jc w:val="center"/>
          <w:trHeight w:val="350"/>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w:t>
            </w:r>
            <w:r/>
          </w:p>
        </w:tc>
        <w:tc>
          <w:tcPr>
            <w:tcW w:w="1389" w:type="dxa"/>
            <w:vAlign w:val="center"/>
            <w:textDirection w:val="lrTb"/>
            <w:noWrap/>
          </w:tcPr>
          <w:p>
            <w:pPr>
              <w:jc w:val="center"/>
              <w:spacing w:line="3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是否允许递交备选投标方案</w:t>
            </w:r>
            <w:r/>
          </w:p>
        </w:tc>
        <w:tc>
          <w:tcPr>
            <w:tcW w:w="8202" w:type="dxa"/>
            <w:vAlign w:val="center"/>
            <w:textDirection w:val="lrTb"/>
            <w:noWrap/>
          </w:tcPr>
          <w:p>
            <w:pPr>
              <w:spacing w:line="36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不允许</w:t>
            </w:r>
            <w:r/>
          </w:p>
          <w:p>
            <w:pPr>
              <w:spacing w:line="3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 允  许</w:t>
            </w:r>
            <w:r/>
          </w:p>
        </w:tc>
      </w:tr>
      <w:tr>
        <w:trPr>
          <w:jc w:val="center"/>
          <w:trHeight w:val="2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投标货币</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人民币</w:t>
            </w:r>
            <w:r/>
          </w:p>
        </w:tc>
      </w:tr>
      <w:tr>
        <w:trPr>
          <w:jc w:val="center"/>
          <w:trHeight w:val="312"/>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合同方式</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固定单价合同，工程量按实结算    □固定总价合同   □其他：</w:t>
            </w:r>
            <w:r/>
          </w:p>
        </w:tc>
      </w:tr>
      <w:tr>
        <w:trPr>
          <w:jc w:val="center"/>
          <w:trHeight w:val="33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磋商保证金</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依据苏财购【2020】52号文件精神，本项目免收磋商保证金。</w:t>
            </w:r>
            <w:r/>
          </w:p>
        </w:tc>
      </w:tr>
      <w:tr>
        <w:trPr>
          <w:jc w:val="center"/>
          <w:trHeight w:val="325"/>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响应文件有效期</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60日历天</w:t>
            </w:r>
            <w:r>
              <w:rPr>
                <w:rFonts w:hint="eastAsia" w:asciiTheme="minorEastAsia" w:hAnsiTheme="minorEastAsia" w:eastAsiaTheme="minorEastAsia" w:cstheme="minorEastAsia"/>
                <w:szCs w:val="21"/>
              </w:rPr>
              <w:t xml:space="preserve">（从磋商响应文件递交截止之日算起）</w:t>
            </w:r>
            <w:r/>
          </w:p>
        </w:tc>
      </w:tr>
      <w:tr>
        <w:trPr>
          <w:jc w:val="center"/>
          <w:trHeight w:val="63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递交响应文件时间及地点</w:t>
            </w:r>
            <w:r/>
          </w:p>
        </w:tc>
        <w:tc>
          <w:tcPr>
            <w:tcW w:w="8202" w:type="dxa"/>
            <w:vAlign w:val="center"/>
            <w:textDirection w:val="lrTb"/>
            <w:noWrap/>
          </w:tcPr>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lang w:val="zh-CN"/>
              </w:rPr>
              <w:t xml:space="preserve">本项目通过“苏采云”系统进行电子采购，即供应商响应文件从政府采购客户端工具制作并通过“苏采云”系统提交。</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供应商应当通过“苏采云”系统提交数据电文形式的响应文件（即电子投标）。未进行线上响应文件提交并解密(因“苏采云”系统导致解密失败的除外)的供应商，响应无效。</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数字证书</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的获取</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供应商需办理</w:t>
            </w: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锁</w:t>
            </w: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数字证书</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的办理方法详见</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江苏省政府采购数字证书</w:t>
            </w: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及电子签章办理指南</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网址</w:t>
            </w:r>
            <w:r>
              <w:rPr>
                <w:rFonts w:hint="eastAsia" w:asciiTheme="minorEastAsia" w:hAnsiTheme="minorEastAsia" w:eastAsiaTheme="minorEastAsia" w:cstheme="minorEastAsia"/>
                <w:szCs w:val="21"/>
              </w:rPr>
              <w:t xml:space="preserve">：</w:t>
            </w:r>
            <w:hyperlink r:id="rId17" w:tooltip="http://jsxcmm." w:history="1">
              <w:r>
                <w:rPr>
                  <w:rFonts w:hint="eastAsia" w:asciiTheme="minorEastAsia" w:hAnsiTheme="minorEastAsia" w:eastAsiaTheme="minorEastAsia" w:cstheme="minorEastAsia"/>
                  <w:szCs w:val="21"/>
                </w:rPr>
                <w:t xml:space="preserve">http://jsxcmm.</w:t>
              </w:r>
            </w:hyperlink>
            <w:r>
              <w:rPr>
                <w:rFonts w:hint="eastAsia" w:asciiTheme="minorEastAsia" w:hAnsiTheme="minorEastAsia" w:eastAsiaTheme="minorEastAsia" w:cstheme="minorEastAsia"/>
                <w:szCs w:val="21"/>
              </w:rPr>
              <w:t xml:space="preserve">com/help/ help.html</w:t>
            </w:r>
            <w:r>
              <w:rPr>
                <w:rFonts w:hint="eastAsia" w:asciiTheme="minorEastAsia" w:hAnsiTheme="minorEastAsia" w:eastAsiaTheme="minorEastAsia" w:cstheme="minorEastAsia"/>
                <w:szCs w:val="21"/>
                <w:lang w:val="zh-CN"/>
              </w:rPr>
              <w:t xml:space="preserve">。</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使用需要第三方认证的电子签名、数据电文，通过互联网方式提交首次响应文件。即：使用“电子签名认证证书（CA数字证书）”登录“苏采云”系统（网址：</w:t>
            </w:r>
            <w:hyperlink r:id="rId18" w:tooltip="http://jszfcg.jsczt.cn/" w:history="1">
              <w:r>
                <w:rPr>
                  <w:rFonts w:hint="eastAsia" w:asciiTheme="minorEastAsia" w:hAnsiTheme="minorEastAsia" w:eastAsiaTheme="minorEastAsia" w:cstheme="minorEastAsia"/>
                  <w:szCs w:val="21"/>
                  <w:lang w:val="zh-CN"/>
                </w:rPr>
                <w:t xml:space="preserve">http://jszfcg.jsczt.cn/</w:t>
              </w:r>
            </w:hyperlink>
            <w:r>
              <w:rPr>
                <w:rFonts w:hint="eastAsia" w:asciiTheme="minorEastAsia" w:hAnsiTheme="minorEastAsia" w:eastAsiaTheme="minorEastAsia" w:cstheme="minorEastAsia"/>
                <w:szCs w:val="21"/>
                <w:lang w:val="zh-CN"/>
              </w:rPr>
              <w:t xml:space="preserve">），按照要求通过互联网方式提交</w:t>
            </w:r>
            <w:r>
              <w:rPr>
                <w:rFonts w:hint="eastAsia" w:asciiTheme="minorEastAsia" w:hAnsiTheme="minorEastAsia" w:eastAsiaTheme="minorEastAsia" w:cstheme="minorEastAsia"/>
                <w:szCs w:val="21"/>
              </w:rPr>
              <w:t xml:space="preserve">投标</w:t>
            </w:r>
            <w:r>
              <w:rPr>
                <w:rFonts w:hint="eastAsia" w:asciiTheme="minorEastAsia" w:hAnsiTheme="minorEastAsia" w:eastAsiaTheme="minorEastAsia" w:cstheme="minorEastAsia"/>
                <w:szCs w:val="21"/>
                <w:lang w:val="zh-CN"/>
              </w:rPr>
              <w:t xml:space="preserve">文件。</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“苏采云”系统使用要求：</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使用谷歌浏览器参与不见面开标及</w:t>
            </w:r>
            <w:r>
              <w:rPr>
                <w:rFonts w:hint="eastAsia" w:asciiTheme="minorEastAsia" w:hAnsiTheme="minorEastAsia" w:eastAsiaTheme="minorEastAsia" w:cstheme="minorEastAsia"/>
                <w:szCs w:val="21"/>
              </w:rPr>
              <w:t xml:space="preserve">开标</w:t>
            </w:r>
            <w:r>
              <w:rPr>
                <w:rFonts w:hint="eastAsia" w:asciiTheme="minorEastAsia" w:hAnsiTheme="minorEastAsia" w:eastAsiaTheme="minorEastAsia" w:cstheme="minorEastAsia"/>
                <w:szCs w:val="21"/>
                <w:lang w:val="zh-CN"/>
              </w:rPr>
              <w:t xml:space="preserve">环节。</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电脑需提前准备好麦克风、音响，摄像头，提前检查保证能够正常使用。</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操作系统至少win7以上，建议使用win10操作系统。</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开标时间：</w:t>
            </w:r>
            <w:r>
              <w:rPr>
                <w:rFonts w:hint="eastAsia" w:asciiTheme="minorEastAsia" w:hAnsiTheme="minorEastAsia" w:eastAsiaTheme="minorEastAsia" w:cstheme="minorEastAsia"/>
                <w:szCs w:val="21"/>
              </w:rPr>
              <w:t xml:space="preserve">详见竞争性磋商公告</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开标地点</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苏采云</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系统</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网址</w:t>
            </w:r>
            <w:r>
              <w:rPr>
                <w:rFonts w:hint="eastAsia" w:asciiTheme="minorEastAsia" w:hAnsiTheme="minorEastAsia" w:eastAsiaTheme="minorEastAsia" w:cstheme="minorEastAsia"/>
                <w:szCs w:val="21"/>
              </w:rPr>
              <w:t xml:space="preserve">：</w:t>
            </w:r>
            <w:hyperlink r:id="rId19" w:tooltip="http://jszfcg.jsczt.cn/）" w:history="1">
              <w:r>
                <w:rPr>
                  <w:rFonts w:hint="eastAsia" w:asciiTheme="minorEastAsia" w:hAnsiTheme="minorEastAsia" w:eastAsiaTheme="minorEastAsia" w:cstheme="minorEastAsia"/>
                  <w:szCs w:val="21"/>
                </w:rPr>
                <w:t xml:space="preserve">http://jszfcg.jsczt.cn/）“</w:t>
              </w:r>
              <w:r>
                <w:rPr>
                  <w:rFonts w:hint="eastAsia" w:asciiTheme="minorEastAsia" w:hAnsiTheme="minorEastAsia" w:eastAsiaTheme="minorEastAsia" w:cstheme="minorEastAsia"/>
                  <w:szCs w:val="21"/>
                  <w:lang w:val="zh-CN"/>
                </w:rPr>
                <w:t xml:space="preserve">开标大厅</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点击</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苏采云</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进入系统</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开标大厅</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w:t>
              </w:r>
            </w:hyperlink>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2.一次评审结束后，采购代理机构或采购人代表将通过苏彩云采购系统提示符合要求的投标供应商进行最后报价(二次报价)，一次评审的时长不确定，请投标供应商自行关注</w:t>
            </w:r>
            <w:r>
              <w:rPr>
                <w:rFonts w:hint="eastAsia" w:asciiTheme="minorEastAsia" w:hAnsiTheme="minorEastAsia" w:eastAsiaTheme="minorEastAsia" w:cstheme="minorEastAsia"/>
                <w:szCs w:val="21"/>
              </w:rPr>
              <w:t xml:space="preserve">报价系统，在报价系统开启后的15分钟内提交最后报价(二次报价)。未能在规定时间内完成报价的供应商视为放弃投标；提交最后报价(二次报价)的供应商不得少于2家。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18</w:t>
            </w:r>
            <w:r/>
          </w:p>
        </w:tc>
        <w:tc>
          <w:tcPr>
            <w:tcW w:w="1389" w:type="dxa"/>
            <w:vAlign w:val="center"/>
            <w:textDirection w:val="lrTb"/>
            <w:noWrap/>
          </w:tcPr>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开标时间</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和地点</w:t>
            </w:r>
            <w:r/>
          </w:p>
        </w:tc>
        <w:tc>
          <w:tcPr>
            <w:tcW w:w="8202" w:type="dxa"/>
            <w:vAlign w:val="center"/>
            <w:textDirection w:val="lrTb"/>
            <w:noWrap/>
          </w:tcPr>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开标时间：同投标文件递交截止时间</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地点：“苏采云”系统（网址：http://jszfcg.jsczt.cn/）“开标大厅”，点击“苏采云”进入系统“开标大厅”。</w:t>
            </w:r>
            <w:r/>
          </w:p>
        </w:tc>
      </w:tr>
      <w:tr>
        <w:trPr>
          <w:jc w:val="center"/>
          <w:trHeight w:val="15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19</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评标办法</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综合评估法 □最低评标价法  </w:t>
            </w:r>
            <w:r/>
          </w:p>
        </w:tc>
      </w:tr>
      <w:tr>
        <w:trPr>
          <w:jc w:val="center"/>
          <w:trHeight w:val="2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20</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磋商小组</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w:t>
            </w:r>
            <w:r>
              <w:rPr>
                <w:rFonts w:hint="eastAsia" w:asciiTheme="minorEastAsia" w:hAnsiTheme="minorEastAsia" w:eastAsiaTheme="minorEastAsia" w:cstheme="minorEastAsia"/>
                <w:szCs w:val="21"/>
                <w:lang w:val="zh-CN"/>
              </w:rPr>
              <w:t xml:space="preserve">小组人数：</w:t>
            </w:r>
            <w:r>
              <w:rPr>
                <w:rFonts w:hint="eastAsia" w:asciiTheme="minorEastAsia" w:hAnsiTheme="minorEastAsia" w:eastAsiaTheme="minorEastAsia" w:cstheme="minorEastAsia"/>
                <w:szCs w:val="21"/>
                <w:u w:val="single"/>
              </w:rPr>
              <w:t xml:space="preserve">3</w:t>
            </w:r>
            <w:r>
              <w:rPr>
                <w:rFonts w:hint="eastAsia" w:asciiTheme="minorEastAsia" w:hAnsiTheme="minorEastAsia" w:eastAsiaTheme="minorEastAsia" w:cstheme="minorEastAsia"/>
                <w:szCs w:val="21"/>
                <w:lang w:val="zh-CN"/>
              </w:rPr>
              <w:t xml:space="preserve">人</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磋商委员会构成：由采购人代表和政府采购专家组成</w:t>
            </w:r>
            <w:r/>
          </w:p>
          <w:p>
            <w:pPr>
              <w:pStyle w:val="748"/>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政府采购专家确定方式：从江苏政府采购评审专家库中随机抽取。</w:t>
            </w:r>
            <w:r/>
          </w:p>
        </w:tc>
      </w:tr>
      <w:tr>
        <w:trPr>
          <w:jc w:val="center"/>
          <w:trHeight w:val="90"/>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定标办法</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采购人根据磋商小组推荐的中标候选供应商顺序确定成交供应商。</w:t>
            </w:r>
            <w:r/>
          </w:p>
        </w:tc>
      </w:tr>
      <w:tr>
        <w:trPr>
          <w:jc w:val="center"/>
          <w:trHeight w:val="31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履约保证金</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□不提交，竞争性磋商文件中有关履约保证金的规定均不适用</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☑提交</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金额：合同价的5% </w:t>
            </w:r>
            <w:r/>
          </w:p>
          <w:p>
            <w:pPr>
              <w:pStyle w:val="748"/>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szCs w:val="21"/>
              </w:rPr>
              <w:t xml:space="preserve">形式：</w:t>
            </w:r>
            <w:r>
              <w:rPr>
                <w:rFonts w:hint="eastAsia" w:asciiTheme="minorEastAsia" w:hAnsiTheme="minorEastAsia" w:eastAsiaTheme="minorEastAsia" w:cstheme="minorEastAsia"/>
                <w:color w:val="000000" w:themeColor="text1"/>
                <w:szCs w:val="21"/>
              </w:rPr>
              <w:t xml:space="preserve">银行转账、保单或保函</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rPr>
              <w:t xml:space="preserve">提交时间：收到成交通知书后，并在签订合同前提交</w:t>
            </w:r>
            <w:r>
              <w:rPr>
                <w:rFonts w:hint="eastAsia" w:asciiTheme="minorEastAsia" w:hAnsiTheme="minorEastAsia" w:eastAsiaTheme="minorEastAsia" w:cstheme="minorEastAsia"/>
                <w:color w:val="000000" w:themeColor="text1"/>
                <w:szCs w:val="21"/>
              </w:rPr>
              <w:br/>
              <w:t xml:space="preserve">退还时间：在成交人按承诺的工期、质量标准、规范要求完成项目并经竣工验收合格后无息返还。</w:t>
            </w:r>
            <w:r/>
          </w:p>
        </w:tc>
      </w:tr>
      <w:tr>
        <w:trPr>
          <w:jc w:val="center"/>
          <w:trHeight w:val="763"/>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签订合同</w:t>
            </w:r>
            <w:r/>
          </w:p>
        </w:tc>
        <w:tc>
          <w:tcPr>
            <w:tcW w:w="8202" w:type="dxa"/>
            <w:vAlign w:val="center"/>
            <w:textDirection w:val="lrTb"/>
            <w:noWrap/>
          </w:tcPr>
          <w:p>
            <w:pPr>
              <w:pStyle w:val="791"/>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依据苏财购【2020】52号文件精神，成交通知书发出之日起</w:t>
            </w:r>
            <w:r>
              <w:rPr>
                <w:rFonts w:hint="eastAsia" w:asciiTheme="minorEastAsia" w:hAnsiTheme="minorEastAsia" w:eastAsiaTheme="minorEastAsia" w:cstheme="minorEastAsia"/>
                <w:color w:val="auto"/>
                <w:sz w:val="21"/>
                <w:szCs w:val="21"/>
                <w:u w:val="single"/>
              </w:rPr>
              <w:t xml:space="preserve">30</w:t>
            </w:r>
            <w:r>
              <w:rPr>
                <w:rFonts w:hint="eastAsia" w:asciiTheme="minorEastAsia" w:hAnsiTheme="minorEastAsia" w:eastAsiaTheme="minorEastAsia" w:cstheme="minorEastAsia"/>
                <w:color w:val="auto"/>
                <w:sz w:val="21"/>
                <w:szCs w:val="21"/>
              </w:rPr>
              <w:t xml:space="preserve">日内</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签订合同地点：泰州市姜堰区张甸镇人民政府</w:t>
            </w:r>
            <w:r/>
          </w:p>
        </w:tc>
      </w:tr>
      <w:tr>
        <w:trPr>
          <w:jc w:val="center"/>
          <w:trHeight w:val="42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付款方式</w:t>
            </w:r>
            <w:r/>
          </w:p>
        </w:tc>
        <w:tc>
          <w:tcPr>
            <w:tcW w:w="8202" w:type="dxa"/>
            <w:vAlign w:val="center"/>
            <w:textDirection w:val="lrTb"/>
            <w:noWrap/>
          </w:tcPr>
          <w:p>
            <w:pPr>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合同签订进场后付合同价的30%，工程竣工验收合格，经审计后付初审价的70%，复审后付至复审价的97%，余款保质期后付清。（此工程所涉及款项皆不计取利息）。</w:t>
            </w:r>
            <w:r/>
          </w:p>
        </w:tc>
      </w:tr>
      <w:tr>
        <w:trPr>
          <w:jc w:val="center"/>
          <w:trHeight w:val="611"/>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w:t>
            </w:r>
            <w:r/>
          </w:p>
        </w:tc>
        <w:tc>
          <w:tcPr>
            <w:tcW w:w="1389" w:type="dxa"/>
            <w:vAlign w:val="center"/>
            <w:textDirection w:val="lrTb"/>
            <w:noWrap/>
          </w:tcPr>
          <w:p>
            <w:pPr>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结算方式：</w:t>
            </w:r>
            <w:r/>
          </w:p>
          <w:p>
            <w:pPr>
              <w:jc w:val="center"/>
              <w:spacing w:line="36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8202" w:type="dxa"/>
            <w:vAlign w:val="center"/>
            <w:textDirection w:val="lrTb"/>
            <w:noWrap/>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结算依据：后期结算仅调整经采购人批准变更(包括增加施工内容或取消部分施工项目)的相应费用增减，具体调整方式为：</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(1)涉及工程数量减少的，以实际减少数量为准，涉及工程数量增加的，以实际增加数量为准；</w:t>
            </w:r>
            <w:r/>
          </w:p>
          <w:p>
            <w:pPr>
              <w:ind w:firstLine="420"/>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26</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农民工工资</w:t>
            </w:r>
            <w:r/>
          </w:p>
        </w:tc>
        <w:tc>
          <w:tcPr>
            <w:tcW w:w="8202" w:type="dxa"/>
            <w:vAlign w:val="center"/>
            <w:textDirection w:val="lrTb"/>
            <w:noWrap/>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成交供应商须在合同签订前向采购人指定账户缴纳农民工工资保证金，农民工工资保证金金额缴存按《江苏省工程建设领域农民工工资支付管理办法》执行.</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成交供应商签订采购合同后，一个月内向采购人提交与银行签订的农民工工资支付的账户协议。</w:t>
            </w:r>
            <w:r/>
          </w:p>
        </w:tc>
      </w:tr>
      <w:tr>
        <w:trPr>
          <w:jc w:val="center"/>
          <w:trHeight w:val="55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27</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扬尘费</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扬尘费按照《泰州市交通建设项目工地扬尘污染防治工作管理办法》（试行）要求执行。</w:t>
            </w:r>
            <w:r/>
          </w:p>
        </w:tc>
      </w:tr>
      <w:tr>
        <w:trPr>
          <w:jc w:val="center"/>
          <w:trHeight w:val="47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28</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代理服务费</w:t>
            </w:r>
            <w:r/>
          </w:p>
        </w:tc>
        <w:tc>
          <w:tcPr>
            <w:tcW w:w="8202" w:type="dxa"/>
            <w:vAlign w:val="center"/>
            <w:textDirection w:val="lrTb"/>
            <w:noWrap/>
          </w:tcPr>
          <w:p>
            <w:pPr>
              <w:ind w:firstLine="210"/>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rPr>
              <w:t xml:space="preserve">本次采购招标代理服务费由采购人支付，代理服务费以中标价为计算基数，按差额定率分档累进法计算，具体为100万元以下(含100万元)按0.45%收取，100万元-500万元(含500万元)按0.315%收取。</w:t>
            </w:r>
            <w:r/>
          </w:p>
        </w:tc>
      </w:tr>
      <w:tr>
        <w:trPr>
          <w:jc w:val="center"/>
          <w:trHeight w:val="4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29</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行业类别</w:t>
            </w:r>
            <w:r/>
          </w:p>
        </w:tc>
        <w:tc>
          <w:tcPr>
            <w:tcW w:w="8202" w:type="dxa"/>
            <w:vAlign w:val="center"/>
            <w:textDirection w:val="lrTb"/>
            <w:noWrap/>
          </w:tcPr>
          <w:p>
            <w:pPr>
              <w:ind w:firstLine="210"/>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szCs w:val="21"/>
                <w:u w:val="single"/>
              </w:rPr>
              <w:t xml:space="preserve">建筑业</w:t>
            </w:r>
            <w:r>
              <w:rPr>
                <w:rFonts w:hint="eastAsia" w:asciiTheme="minorEastAsia" w:hAnsiTheme="minorEastAsia" w:eastAsiaTheme="minorEastAsia" w:cstheme="minorEastAsia"/>
                <w:szCs w:val="21"/>
              </w:rPr>
              <w:t xml:space="preserve">。</w:t>
            </w:r>
            <w:r/>
          </w:p>
        </w:tc>
      </w:tr>
      <w:tr>
        <w:trPr>
          <w:jc w:val="center"/>
          <w:trHeight w:val="876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w:t>
            </w:r>
            <w:r/>
          </w:p>
        </w:tc>
        <w:tc>
          <w:tcPr>
            <w:tcW w:w="1389" w:type="dxa"/>
            <w:vAlign w:val="center"/>
            <w:textDirection w:val="lrTb"/>
            <w:noWrap/>
          </w:tcPr>
          <w:p>
            <w:pPr>
              <w:spacing w:line="360" w:lineRule="atLeast"/>
              <w:rPr>
                <w:rFonts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政策功能</w:t>
            </w:r>
            <w:r/>
          </w:p>
        </w:tc>
        <w:tc>
          <w:tcPr>
            <w:tcW w:w="8202" w:type="dxa"/>
            <w:vAlign w:val="center"/>
            <w:textDirection w:val="lrTb"/>
            <w:noWrap/>
          </w:tcPr>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6、专门面向中小企业采购的项目，小微企业不再享受价格扣除优惠政策。</w:t>
            </w:r>
            <w:r/>
          </w:p>
          <w:p>
            <w:pPr>
              <w:spacing w:line="360"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 xml:space="preserve">7、未按要求提供相关材料的，不享受相关政策。</w:t>
            </w:r>
            <w:r/>
          </w:p>
        </w:tc>
      </w:tr>
      <w:tr>
        <w:trPr>
          <w:jc w:val="center"/>
          <w:trHeight w:val="244"/>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w:t>
            </w:r>
            <w:r/>
          </w:p>
        </w:tc>
        <w:tc>
          <w:tcPr>
            <w:tcW w:w="1389" w:type="dxa"/>
            <w:vAlign w:val="center"/>
            <w:textDirection w:val="lrTb"/>
            <w:noWrap/>
          </w:tcPr>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color w:val="000000"/>
                <w:szCs w:val="21"/>
              </w:rPr>
              <w:t xml:space="preserve">友情提醒</w:t>
            </w:r>
            <w:r/>
          </w:p>
        </w:tc>
        <w:tc>
          <w:tcPr>
            <w:tcW w:w="8202" w:type="dxa"/>
            <w:vAlign w:val="center"/>
            <w:textDirection w:val="lrTb"/>
            <w:noWrap/>
          </w:tcPr>
          <w:p>
            <w:pPr>
              <w:spacing w:line="360" w:lineRule="atLeast"/>
              <w:rPr>
                <w:rFonts w:cs="宋体" w:asciiTheme="minorEastAsia" w:hAnsiTheme="minorEastAsia" w:eastAsiaTheme="minorEastAsia"/>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Cs w:val="21"/>
              </w:rPr>
              <w:t xml:space="preserve">1、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p>
            <w:pPr>
              <w:spacing w:line="360" w:lineRule="atLeast"/>
              <w:rPr>
                <w:rFonts w:cs="宋体" w:asciiTheme="minorEastAsia" w:hAnsiTheme="minorEastAsia" w:eastAsiaTheme="minorEastAsia"/>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2、</w:t>
            </w:r>
            <w:r>
              <w:rPr>
                <w:rFonts w:hint="eastAsia" w:cs="宋体" w:asciiTheme="minorEastAsia" w:hAnsiTheme="minorEastAsia" w:eastAsiaTheme="minorEastAsia"/>
                <w:bCs/>
                <w:color w:val="000000"/>
                <w:szCs w:val="21"/>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Cs w:val="21"/>
              </w:rPr>
              <w:t xml:space="preserve">3、请各投标单位认真研读竞争性磋商文件和磋商控制价，如有疑问请书面答疑，否则不详尽之处视为让利。</w:t>
            </w:r>
            <w:r/>
          </w:p>
        </w:tc>
      </w:tr>
    </w:tbl>
    <w:p>
      <w:pPr>
        <w:pStyle w:val="748"/>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一、总则</w:t>
      </w:r>
      <w:r/>
    </w:p>
    <w:p>
      <w:pPr>
        <w:pStyle w:val="748"/>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（一）适用范围</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本竞争性磋商文件适用于</w:t>
      </w:r>
      <w:r>
        <w:rPr>
          <w:rFonts w:hint="eastAsia" w:asciiTheme="minorEastAsia" w:hAnsiTheme="minorEastAsia" w:eastAsiaTheme="minorEastAsia" w:cstheme="minorEastAsia"/>
          <w:bCs/>
          <w:sz w:val="24"/>
        </w:rPr>
        <w:t xml:space="preserve">本采购项目</w:t>
      </w:r>
      <w:r>
        <w:rPr>
          <w:rFonts w:hint="eastAsia" w:asciiTheme="minorEastAsia" w:hAnsiTheme="minorEastAsia" w:eastAsiaTheme="minorEastAsia" w:cstheme="minorEastAsia"/>
          <w:sz w:val="24"/>
        </w:rPr>
        <w:t xml:space="preserve">的磋商、评审、确定供应商、验收、合同履约、付款等（法律、法规另有规定的，从其规定）。</w:t>
      </w:r>
      <w:r/>
    </w:p>
    <w:p>
      <w:pPr>
        <w:pStyle w:val="748"/>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（二）定义</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1、“供应商”、“响应人”是指参加项目竞争，并符合磋商文件规定资格条件的法人、其他组织或者自然人。</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2、“法定代表人”是指响应人的营业执照或相关部门的登记证明文件中的“法定代表人”或“负责人”。</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3、“用户或使用单位”是指发包工程的单位。</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4、“★”是指实质性要求条款。</w:t>
      </w:r>
      <w:r/>
    </w:p>
    <w:p>
      <w:pPr>
        <w:pStyle w:val="748"/>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（三）采购方式</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本项目采用竞争性磋商方式进行。</w:t>
      </w:r>
      <w:r/>
    </w:p>
    <w:p>
      <w:pPr>
        <w:pStyle w:val="748"/>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（四）磋商费用</w:t>
      </w:r>
      <w:r/>
    </w:p>
    <w:p>
      <w:pPr>
        <w:pStyle w:val="998"/>
        <w:spacing w:line="360" w:lineRule="auto"/>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sz w:val="24"/>
          <w:szCs w:val="24"/>
          <w:lang w:eastAsia="zh-CN"/>
        </w:rPr>
        <w:tab/>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评审费等政策性文件规定及合同包含的所有风险、责任等一切费用，响应单位在进行报价时应充分考虑到各环节成本因素，报价一经报定，不得更改，并作为中标后开展工作的收费标准。</w:t>
      </w:r>
      <w:r/>
    </w:p>
    <w:p>
      <w:pPr>
        <w:pStyle w:val="748"/>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（五）特别说明：</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26"/>
        <w:ind w:firstLine="551"/>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二、供应商资格要求</w:t>
      </w:r>
      <w:r/>
    </w:p>
    <w:p>
      <w:pPr>
        <w:pStyle w:val="1026"/>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供应商应符合的基本资格条件：</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（1）具有独立承担民事责任的能力；</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（2）具有良好的商业信誉和健全的财务会计制度 ；</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（3）具有履行合同所必须的设备和专业技术能力 ；</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（4）有依法缴纳税收和社会保障资金的良好记录 ；</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（5）在参加政府采购活动前三年内,在经营活动中没有重大违法记录 ；</w:t>
      </w:r>
      <w:r/>
    </w:p>
    <w:p>
      <w:pPr>
        <w:pStyle w:val="1026"/>
        <w:ind w:firstLine="482"/>
        <w:jc w:val="left"/>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sz w:val="24"/>
        </w:rPr>
        <w:t xml:space="preserve">供应商须符合的特定资格条件：</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（1）供应商须具备建设行政主管部门颁发的有效的市政公用工程施工总承包三级（及）</w:t>
      </w:r>
      <w:r>
        <w:rPr>
          <w:rFonts w:hint="eastAsia" w:asciiTheme="minorEastAsia" w:hAnsiTheme="minorEastAsia" w:eastAsiaTheme="minorEastAsia" w:cstheme="minorEastAsia"/>
          <w:sz w:val="24"/>
        </w:rPr>
        <w:t xml:space="preserve">以上资质并具备有效的建筑施工企业安全生产许可证。</w:t>
      </w:r>
      <w:r/>
    </w:p>
    <w:p>
      <w:pPr>
        <w:pStyle w:val="1026"/>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（2）拟派项目负责人系已在供应商单位注册并具备建设行政主管部门颁发的市政工程专业二级(含)以上注册建造师证书且具有行政主管部门颁发的有效的建筑施工企业项目负责人安全生产考核合格证书B证；</w:t>
      </w:r>
      <w:r/>
    </w:p>
    <w:p>
      <w:pPr>
        <w:pStyle w:val="1026"/>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（3）本项目其他资格要求：</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信誉要求：</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①未被“信用中国”网站(www.creditchina.gov.cn)、中国政府采购网(www.ccgp.gov.cn)列入失信被执行人、重大税收违法案件当事人名单、政府采购严重违法失信行为记录名单；</w:t>
      </w:r>
      <w:r/>
    </w:p>
    <w:p>
      <w:pPr>
        <w:pStyle w:val="770"/>
        <w:ind w:firstLine="480"/>
        <w:spacing w:after="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②企业因发生重大工程质量、安全生产事故，被有关部门暂停投标资格并在暂停期内的；</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③提供参加政府采购活动前 3 年内在经营活动中无重大违法记录的声明。</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企业资质动态监管：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①评标时，供应商投标所用资质核查结果为不达标的，视为供应商资质条件不符合国家有关规定，或不满足采购文件规定的资格条件。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②中标公示期间，成交候选人投标所用资质核查结果为不达标的，视为其资质条件不符合国家有关规定。</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动态监管不合格资质查询网址：</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https://entq.jsszfhcxjstzhfwpt.com:12443/ms/admin/#/open/dthc-list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项目负责人（即项目经理）无在建工程要求：</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①项目负责人是非变更后无在建工程。</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注：以上在建工程是指在其他项目担任项目负责人职责。以供应商在响应文件中的《投标承诺书》为准。</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（4）本项目不接受供应商以联合体的身份参与，采用资格后审方式</w:t>
      </w:r>
      <w:r>
        <w:rPr>
          <w:rFonts w:hint="eastAsia" w:asciiTheme="minorEastAsia" w:hAnsiTheme="minorEastAsia" w:eastAsiaTheme="minorEastAsia" w:cstheme="minorEastAsia"/>
          <w:bCs/>
          <w:sz w:val="24"/>
        </w:rPr>
        <w:t xml:space="preserve">。</w:t>
      </w:r>
      <w:r/>
    </w:p>
    <w:p>
      <w:pPr>
        <w:pStyle w:val="1026"/>
        <w:ind w:firstLine="56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三、供应商不得存在下列情形之一</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（1）与采购人、采购代理机构存在隶属关系或者其他利害关系。</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（2）与其他供应商的法定代表人（或者单位负责人）为同一人，或者与其他供应商存在直接控股、管理关系。</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（4）为本采购项目提供整体设计、规范编制或者项目管理、监理、检测等服务的供应商，不得再参加本采购项目的其他采购活动。</w:t>
      </w:r>
      <w:r/>
    </w:p>
    <w:p>
      <w:pPr>
        <w:pStyle w:val="789"/>
        <w:rPr>
          <w:rFonts w:asciiTheme="minorEastAsia" w:hAnsiTheme="minorEastAsia" w:eastAsiaTheme="minorEastAsia" w:cstheme="minorEastAsia"/>
        </w:rPr>
      </w:pPr>
      <w:r/>
      <w:bookmarkStart w:id="16" w:name="_Toc4989"/>
      <w:r/>
      <w:bookmarkStart w:id="17" w:name="_Toc14422"/>
      <w:r/>
      <w:bookmarkStart w:id="18" w:name="_Toc8067"/>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rPr>
        <w:t xml:space="preserve">第三章 磋商响应要求</w:t>
      </w:r>
      <w:bookmarkEnd w:id="16"/>
      <w:r/>
      <w:bookmarkEnd w:id="17"/>
      <w:r/>
      <w:bookmarkEnd w:id="18"/>
      <w:r/>
      <w:r/>
    </w:p>
    <w:p>
      <w:pPr>
        <w:pStyle w:val="1026"/>
        <w:ind w:firstLine="56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bCs/>
          <w:sz w:val="24"/>
        </w:rPr>
        <w:t xml:space="preserve">1、磋商文件</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（1）磋商文件的组成，为采购公告、本文件及所有按规定发出的补充变更通知。</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（2）磋商文件的澄清及修改：</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①供应商在下载磋商文件后，如有疑问需要澄清，应按磋商须知第9项内容中规定的时间前以书面形式向采购人或本公司提出。</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②在磋商截止日前，本公司可根据采购人的要求或在解答供应商提出的澄清问题时对磋商文件进行修改。</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③磋商文件的修改将在“江苏政府采购网”上发布，作为磋商文件的组成部分。</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④为使供应商编写磋商响应文件有充分的时间对磋商文件的修改部分进行分析、研究，本公司将根据有关规定在“江苏政府采购网”上发布延期采购公告，请供应商主动登陆查询。</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⑤供应商对磋商文件所做出的推论、解释和结论，本公司概不负责。</w:t>
      </w:r>
      <w:r/>
    </w:p>
    <w:p>
      <w:pPr>
        <w:pStyle w:val="1026"/>
        <w:ind w:firstLine="562"/>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2、磋商响应费用</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（1）供应商无论成交与否，都须自行承担编制磋商响应文件以及递交磋商响应文件所涉及的一切费用。</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（2）该项目的报价应包括完成该项目服务所需的一切相关费用、招标代理服务费及其它应付的费用等。</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（3）磋商文件：免费。</w:t>
      </w:r>
      <w:r/>
    </w:p>
    <w:p>
      <w:pPr>
        <w:pStyle w:val="1026"/>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rPr>
        <w:t xml:space="preserve">4</w:t>
      </w:r>
      <w:r>
        <w:rPr>
          <w:rFonts w:hint="eastAsia" w:asciiTheme="minorEastAsia" w:hAnsiTheme="minorEastAsia" w:eastAsiaTheme="minorEastAsia" w:cstheme="minorEastAsia"/>
          <w:sz w:val="24"/>
        </w:rPr>
        <w:t xml:space="preserve">）最终投标总报价是指上述费用的总和。</w:t>
      </w:r>
      <w:r/>
    </w:p>
    <w:p>
      <w:pPr>
        <w:pStyle w:val="102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3、提交响应文件要求</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（一）本项目通过“苏采云”系统进行电子采购采购，即供应商响应文件从政府采购客户端工具制作并通过“苏采云”系统提交外。</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“CA数字证书”的获取：供应商需办理CA锁，“CA数字证书”的办理方法详见“江苏省政府采购数字证书CA及电子签章办理指南”，网址：http://jsxcmm.com/help/help.html。</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使用需要第三方认证的电子签名、数据电文，通过互联网方式提交首次响应文件。即：使用“电子签名认证证书（CA数字证书）”登录“苏采云”系统（网址：</w:t>
      </w:r>
      <w:hyperlink r:id="rId20" w:tooltip="http://jszfcg.jsczt.cn/" w:history="1">
        <w:r>
          <w:rPr>
            <w:rFonts w:hint="eastAsia" w:asciiTheme="minorEastAsia" w:hAnsiTheme="minorEastAsia" w:eastAsiaTheme="minorEastAsia" w:cstheme="minorEastAsia"/>
            <w:sz w:val="24"/>
            <w:szCs w:val="24"/>
          </w:rPr>
          <w:t xml:space="preserve">http://jszfcg.jsczt.cn/</w:t>
        </w:r>
      </w:hyperlink>
      <w:r>
        <w:rPr>
          <w:rFonts w:hint="eastAsia" w:asciiTheme="minorEastAsia" w:hAnsiTheme="minorEastAsia" w:eastAsiaTheme="minorEastAsia" w:cstheme="minorEastAsia"/>
          <w:sz w:val="24"/>
          <w:szCs w:val="24"/>
        </w:rPr>
        <w:t xml:space="preserve">，点击“苏采云”进入系统），按照要求通过互联网方式提交首次响应文件。</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“苏采云”系统使用要求：</w:t>
      </w:r>
      <w:r/>
    </w:p>
    <w:p>
      <w:pPr>
        <w:pStyle w:val="1024"/>
        <w:numPr>
          <w:ilvl w:val="0"/>
          <w:numId w:val="3"/>
        </w:numPr>
        <w:ind w:firstLine="480"/>
        <w:jc w:val="both"/>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使用谷歌浏览器参与不见面开标及磋商环节。</w:t>
      </w:r>
      <w:r/>
    </w:p>
    <w:p>
      <w:pPr>
        <w:pStyle w:val="1024"/>
        <w:numPr>
          <w:ilvl w:val="0"/>
          <w:numId w:val="3"/>
        </w:numPr>
        <w:ind w:firstLine="480"/>
        <w:jc w:val="both"/>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电脑需提前准备好麦克风、音响，摄像头，提前检查保证能够正常使用。</w:t>
      </w:r>
      <w:r/>
    </w:p>
    <w:p>
      <w:pPr>
        <w:pStyle w:val="1024"/>
        <w:numPr>
          <w:ilvl w:val="0"/>
          <w:numId w:val="3"/>
        </w:numPr>
        <w:ind w:firstLine="480"/>
        <w:jc w:val="both"/>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操作系统至少win7以上，建议使用win10操作系统。</w:t>
      </w:r>
      <w:r/>
    </w:p>
    <w:p>
      <w:pPr>
        <w:pStyle w:val="102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rPr>
        <w:t xml:space="preserve">（二）首次响应文件提交的截止时间：详见竞争性磋商公告，在截止时间后提交的首次响应文件为无效文件，将被拒收。</w:t>
      </w:r>
      <w:r/>
    </w:p>
    <w:p>
      <w:pPr>
        <w:pStyle w:val="1024"/>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（三）首次响应文件提交时间、地点：</w:t>
      </w:r>
      <w:r/>
    </w:p>
    <w:p>
      <w:pPr>
        <w:pStyle w:val="1024"/>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1.提交时间：详见竞争性磋商公告。</w:t>
      </w:r>
      <w:r/>
    </w:p>
    <w:p>
      <w:pPr>
        <w:pStyle w:val="1024"/>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2.提交地点：</w:t>
      </w:r>
      <w:r/>
    </w:p>
    <w:p>
      <w:pPr>
        <w:pStyle w:val="1024"/>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“苏采云”系统（网址：http://jszfcg.jsczt.cn/）“开标大厅”，点击“苏采云”进入系统“开标大厅”。 </w:t>
      </w:r>
      <w:r/>
    </w:p>
    <w:p>
      <w:pPr>
        <w:pStyle w:val="1024"/>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（四）首次响应文件开启时间：详见竞争性磋商公告。</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（五）首次响应文件开启地点：</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“苏采云”系统（网址：http://jszfcg.jsczt.cn/）“开标大厅”，点击“苏采云”进入系统“开标大厅”。</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（七）不接受不按要求加盖公章（电子签章）的首次响应文件。电子签章相关要求见“苏采云”系统。</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（八）首次响应文件解密：到达开启时间，</w:t>
      </w:r>
      <w:r>
        <w:rPr>
          <w:rFonts w:hint="eastAsia" w:asciiTheme="minorEastAsia" w:hAnsiTheme="minorEastAsia" w:eastAsiaTheme="minorEastAsia" w:cstheme="minorEastAsia"/>
          <w:sz w:val="24"/>
          <w:szCs w:val="24"/>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（九）采购文件（后缀名为“.kedt”）、供应商操作手册及政府采购客户端工具可通过“苏采云”系统（网址：</w:t>
      </w:r>
      <w:hyperlink r:id="rId21" w:tooltip="http://jszfcg.jsczt.cn/" w:history="1">
        <w:r>
          <w:rPr>
            <w:rFonts w:hint="eastAsia" w:asciiTheme="minorEastAsia" w:hAnsiTheme="minorEastAsia" w:eastAsiaTheme="minorEastAsia" w:cstheme="minorEastAsia"/>
            <w:sz w:val="24"/>
            <w:szCs w:val="24"/>
          </w:rPr>
          <w:t xml:space="preserve">http://jszfcg.jsczt.cn/</w:t>
        </w:r>
      </w:hyperlink>
      <w:r>
        <w:rPr>
          <w:rFonts w:hint="eastAsia" w:asciiTheme="minorEastAsia" w:hAnsiTheme="minorEastAsia" w:eastAsiaTheme="minorEastAsia" w:cstheme="minorEastAsia"/>
          <w:sz w:val="24"/>
          <w:szCs w:val="24"/>
        </w:rPr>
        <w:t xml:space="preserve">）--已报名项目--报名详情页面内相应链接进行下载；供应商操作手册及政府采购客户端工具可通过泰州政府采购网—服务指南--下载中心，点击进入“</w:t>
      </w:r>
      <w:hyperlink r:id="rId22" w:tooltip="苏采云系统操作手册（供应商）" w:history="1">
        <w:r>
          <w:rPr>
            <w:rFonts w:hint="eastAsia" w:asciiTheme="minorEastAsia" w:hAnsiTheme="minorEastAsia" w:eastAsiaTheme="minorEastAsia" w:cstheme="minorEastAsia"/>
            <w:sz w:val="24"/>
            <w:szCs w:val="24"/>
          </w:rPr>
          <w:t xml:space="preserve">苏采云系统操作手册（供应商）</w:t>
        </w:r>
      </w:hyperlink>
      <w:r>
        <w:rPr>
          <w:rFonts w:hint="eastAsia" w:asciiTheme="minorEastAsia" w:hAnsiTheme="minorEastAsia" w:eastAsiaTheme="minorEastAsia" w:cstheme="minorEastAsia"/>
          <w:sz w:val="24"/>
          <w:szCs w:val="24"/>
        </w:rPr>
        <w:t xml:space="preserve">”，进行下载。</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（十）相关说明: 供应商在“苏采云”系统中提交首次响应文件的时间即为数据电文（响应文件，下同）的发送时间和接收时间。</w:t>
      </w:r>
      <w:r/>
    </w:p>
    <w:p>
      <w:pPr>
        <w:pStyle w:val="102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4、响应文件编制要求</w:t>
      </w:r>
      <w:r/>
    </w:p>
    <w:p>
      <w:pPr>
        <w:pStyle w:val="1024"/>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请按照以下要求（包括但不限于以下要求）制作：</w:t>
      </w:r>
      <w:r/>
    </w:p>
    <w:p>
      <w:pPr>
        <w:pStyle w:val="1024"/>
        <w:ind w:firstLine="425"/>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（一）基本目录</w:t>
      </w:r>
      <w:r/>
    </w:p>
    <w:p>
      <w:pPr>
        <w:pStyle w:val="1024"/>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sz w:val="24"/>
          <w:szCs w:val="24"/>
        </w:rPr>
        <w:t xml:space="preserve">《磋商报价表》（加盖电子签章，格式见《磋商文件》附件。</w:t>
      </w:r>
      <w:r>
        <w:rPr>
          <w:rFonts w:hint="eastAsia" w:asciiTheme="minorEastAsia" w:hAnsiTheme="minorEastAsia" w:eastAsiaTheme="minorEastAsia" w:cstheme="minorEastAsia"/>
          <w:bCs/>
          <w:sz w:val="24"/>
          <w:szCs w:val="24"/>
        </w:rPr>
        <w:t xml:space="preserve">政府采购客户端工具输入报价自动生成）；</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2.《授权委托书》（提供原件的扫描件，格式见《磋商文件》附件）</w:t>
      </w:r>
      <w:r>
        <w:rPr>
          <w:rFonts w:hint="eastAsia" w:asciiTheme="minorEastAsia" w:hAnsiTheme="minorEastAsia" w:eastAsiaTheme="minorEastAsia" w:cstheme="minorEastAsia"/>
          <w:sz w:val="24"/>
          <w:szCs w:val="24"/>
        </w:rPr>
        <w:t xml:space="preserve">；</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3.授权委托书中受托人身份证原件的扫描件；</w:t>
      </w:r>
      <w:r/>
    </w:p>
    <w:p>
      <w:pPr>
        <w:pStyle w:val="1024"/>
        <w:ind w:firstLine="425"/>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
          <w:sz w:val="24"/>
          <w:szCs w:val="24"/>
        </w:rPr>
        <w:t xml:space="preserve">（二）资格条件（1～8项必须提供，否则响应无效）</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1.供应商合法有效的营业执照扫描件；</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2.财务状况报告，至少提供：</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4.具备履行合同所必需的专业技术能力的证明材料扫描件。</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5.供应商参加政府采购活动前3年内在经营活动中没有重大违法记录的书面声明。（加盖电子签章，格式见《磋商文件》附件）</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6.未被“信用中国”网站（www.creditchina.gov.cn）列入失信被执行人、重大税收违法失信主体、政府采购严重失信行为记录名单。（提供网页查询截图）</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 磋商文件中规定的资格特定条件证明材料：</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（1）有效的市政公用工程施工总承包三级（及）以上资质；</w:t>
      </w:r>
      <w:r/>
    </w:p>
    <w:p>
      <w:pPr>
        <w:numPr>
          <w:ilvl w:val="0"/>
          <w:numId w:val="4"/>
        </w:num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有效的行政主管部门颁发的安全生产许可证；</w:t>
      </w:r>
      <w:r/>
    </w:p>
    <w:p>
      <w:pPr>
        <w:pStyle w:val="1049"/>
        <w:ind w:firstLine="48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（3）拟派项目负责人系已在供应商单位注册并具备市政工程专业二级(含)以上注册建造师证书且具有行政主管部门颁发的有效的建筑施工企业项目负责人安全生产考核合格证书B证。（提供有效的证书扫描件）</w:t>
      </w:r>
      <w:r/>
    </w:p>
    <w:p>
      <w:pPr>
        <w:ind w:right="26" w:firstLine="480"/>
        <w:spacing w:line="360" w:lineRule="auto"/>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8.本项目为专门面向中小微企业的项目，工程的施工单位全部为符合政策要求的中小</w:t>
      </w:r>
      <w:r>
        <w:rPr>
          <w:rFonts w:hint="eastAsia" w:asciiTheme="minorEastAsia" w:hAnsiTheme="minorEastAsia" w:eastAsiaTheme="minorEastAsia" w:cstheme="minorEastAsia"/>
          <w:sz w:val="24"/>
        </w:rPr>
        <w:t xml:space="preserve">微企业。提供《中小企业声明函》</w:t>
      </w:r>
      <w:r>
        <w:rPr>
          <w:rFonts w:hint="eastAsia" w:asciiTheme="minorEastAsia" w:hAnsiTheme="minorEastAsia" w:eastAsiaTheme="minorEastAsia" w:cstheme="minorEastAsia"/>
          <w:b/>
          <w:sz w:val="24"/>
        </w:rPr>
        <w:t xml:space="preserve">（填写完整，加盖电子签章格式见《磋商文件》附件）如不填写完整，视为无效）。</w:t>
      </w:r>
      <w:r>
        <w:rPr>
          <w:rFonts w:hint="eastAsia" w:asciiTheme="minorEastAsia" w:hAnsiTheme="minorEastAsia" w:eastAsiaTheme="minorEastAsia" w:cstheme="minorEastAsia"/>
          <w:sz w:val="24"/>
        </w:rPr>
        <w:t xml:space="preserve">《中小企业声明函》查询渠道参考工业和信息化部发布的中小企业规模自测小程序。</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注：具体以《政府采购促进中小企业发展管理办法》（财库[2020]46号）和《关于印发中小企业划型标准规定的通知》（工信部联企业[2011]300号）的规定为准。</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注：监狱企业和残疾人福利性单位等同于小微企业。</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供应商为监狱企业的，提供省级以上监狱管理局、戒毒管理局（含新疆生产建设兵团）出具的属于监狱企业的证明文件原件的扫描件。</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具体以《财政部 司法部关于政府采购支持监狱企业发展有关问题的通知》（财库〔2014〕68号）的规定为准。</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供应商为享受政府采购支持政策的残疾人福利性单位的，提供《残疾人福利性单位声明函》（加盖电子签章，格式见《磋商文件》附件）。</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享受政府采购支持政策的残疾人福利性单位应当同时满足以下条件：</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①安置的残疾人占本单位在职职工人数的比例不低于25%（含25%），并且安置的残疾人人数不少于10人（含10人）；</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②依法与安置的每位残疾人签订了一年以上（含一年）的劳动合同或服务协议；</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③为安置的每位残疾人按月足额缴纳了基本养老保险、基本医疗保险、失业保险、工伤保险和生育保险等社会保险费；</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④通过银行等金融机构向安置的每位残疾人，按月支付了不低于单位所在区县适用的经省级人民政府批准的月最低工资标准的工资；</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4"/>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具体以《三部门联合发布关于促进残疾人就业政府采购政策的通知》（财库〔2017〕141号）规定为准。</w:t>
      </w:r>
      <w:r/>
    </w:p>
    <w:p>
      <w:pPr>
        <w:pStyle w:val="102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（三）符合条件（必须提供，否则响应无效）</w:t>
      </w:r>
      <w:r/>
    </w:p>
    <w:p>
      <w:pPr>
        <w:pStyle w:val="1024"/>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sz w:val="24"/>
          <w:szCs w:val="24"/>
        </w:rPr>
        <w:t xml:space="preserve">《已标价工程量清单》（加盖电子签章）；</w:t>
      </w:r>
      <w:r/>
    </w:p>
    <w:p>
      <w:pPr>
        <w:pStyle w:val="1024"/>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w:t>
      </w:r>
      <w:r>
        <w:rPr>
          <w:rFonts w:hint="eastAsia" w:asciiTheme="minorEastAsia" w:hAnsiTheme="minorEastAsia" w:eastAsiaTheme="minorEastAsia" w:cstheme="minorEastAsia"/>
          <w:sz w:val="24"/>
          <w:szCs w:val="24"/>
        </w:rPr>
        <w:t xml:space="preserve">《承诺书》（加盖电子签章，格式见《磋商文件》附件）；</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3.《偏离表》</w:t>
      </w:r>
      <w:r>
        <w:rPr>
          <w:rFonts w:hint="eastAsia" w:asciiTheme="minorEastAsia" w:hAnsiTheme="minorEastAsia" w:eastAsiaTheme="minorEastAsia" w:cstheme="minorEastAsia"/>
          <w:sz w:val="24"/>
          <w:szCs w:val="24"/>
        </w:rPr>
        <w:t xml:space="preserve">（加盖电子签章，格式见《磋商文件》附件）。</w:t>
      </w:r>
      <w:r/>
    </w:p>
    <w:p>
      <w:pPr>
        <w:pStyle w:val="102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（四）综合评审评分项</w:t>
      </w:r>
      <w:r/>
    </w:p>
    <w:p>
      <w:pPr>
        <w:pStyle w:val="1024"/>
        <w:ind w:firstLine="36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根据项目需求和评标内容及标准，供应商为使自身处于有利评审地位，应当提交的其他文件和证明资料。</w:t>
      </w:r>
      <w:r/>
    </w:p>
    <w:p>
      <w:pPr>
        <w:pStyle w:val="1024"/>
        <w:ind w:firstLine="36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（五）提交的首次响应文件的密封、签署、盖章要求：</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1.密封（加密）要求：</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2.签署要求：见《磋商文件》附件中相关格式要求。</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3.盖章要求：见《磋商文件》附件中相关格式要求。供应商须通过“苏采云”系统提供的政府采购客户端工具（使用“CA数字证书”）加盖电子签章。</w:t>
      </w:r>
      <w:r/>
    </w:p>
    <w:p>
      <w:pPr>
        <w:pStyle w:val="1024"/>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特别提醒：竞争性磋商文件中如需“被授权代表签字或盖章”，供应商可打印成文档，签字或盖章后再扫描上传，最后再电子签章。</w:t>
      </w:r>
      <w:r/>
    </w:p>
    <w:p>
      <w:pPr>
        <w:pStyle w:val="1024"/>
        <w:ind w:firstLine="49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（六）通过“苏采云”系统提交政府采购客户端工具导出加密的响应文件（后缀名为zip）。响应文件不得超过350M！ </w:t>
      </w:r>
      <w:r/>
    </w:p>
    <w:p>
      <w:pPr>
        <w:pStyle w:val="1024"/>
        <w:ind w:firstLine="49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pStyle w:val="1024"/>
        <w:ind w:firstLine="497"/>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sz w:val="24"/>
          <w:szCs w:val="24"/>
        </w:rPr>
        <w:t xml:space="preserve">供应</w:t>
      </w:r>
      <w:r>
        <w:rPr>
          <w:rFonts w:hint="eastAsia" w:asciiTheme="minorEastAsia" w:hAnsiTheme="minorEastAsia" w:eastAsiaTheme="minorEastAsia" w:cstheme="minorEastAsia"/>
          <w:color w:val="000000" w:themeColor="text1"/>
          <w:sz w:val="24"/>
          <w:szCs w:val="24"/>
        </w:rPr>
        <w:t xml:space="preserve">商应当按照《磋商文件》的要求编制响应文件，并对其提交的响应文件的真实性、合法性承担法律责任。</w:t>
      </w:r>
      <w:r/>
    </w:p>
    <w:p>
      <w:pPr>
        <w:pStyle w:val="1051"/>
        <w:ind w:firstLine="562"/>
        <w:spacing w:before="0" w:after="0" w:line="360" w:lineRule="auto"/>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5、无效磋商响应文件</w:t>
      </w:r>
      <w:r/>
    </w:p>
    <w:p>
      <w:pPr>
        <w:pStyle w:val="1051"/>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磋商响应文件出现下列情形之一的，将作为无效磋商响应文件处理：</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1、供应商未按照磋商文件要求上传电子响应文件或未在苏采云系统规定的时间内成功解密电子响应文件的；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2、不具备磋商文件中规定的资格要求的，资信证明文件不全或无效导致资格审查时无法评判的；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3、被“信用中国”网站（www.creditchina.gov.cn）、中国政府采购网(www.ccgp.gov.cn)列入失信被执行人、重大税收违法案件当事人名单、政府采购严重违法失信行为记录名单的；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4、动态考核：评标当日，投标人投标所用资质核查结果为不达标的，视为投标人资质条件不符合国家有关规定，或不满足招标文件规定的资格条件。中标公示期间，中标候</w:t>
      </w:r>
      <w:r>
        <w:rPr>
          <w:rFonts w:hint="eastAsia" w:asciiTheme="minorEastAsia" w:hAnsiTheme="minorEastAsia" w:eastAsiaTheme="minorEastAsia" w:cstheme="minorEastAsia"/>
          <w:color w:val="000000" w:themeColor="text1"/>
        </w:rPr>
        <w:t xml:space="preserve">选人投标所用资质核查结果为不达标的，视为其资质条件不符合国家有关规定。动态监管不合格资质查询网址：</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http://58.213.147.230:7001/Website/#/compQuery/enterInfoQuery</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5、最终磋商报价超过磋商文件中规定的预算金额或者最高限价的；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6、响应文件含有采购人不能接受的附加条件的；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7、响应文件标明的响应或偏离与事实不符或虚假响应的；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8、未实质性响应磋商文件要求和条件或未通过符合性检查的；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9、磋商有效期、项目完成时间、质保期不能满足磋商文件要求的；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10、响应文件未按磋商文件规定的内容和要求填写、制作的；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11、响应文件未按照磋商文件要求加盖CA电子公章的；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12、提供虚假材料的；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13、响应文件中有磋商文件未允许提供的选择性内容的；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15、为采购项目提供整体设计、规范编制或者项目管理、监理、检测等服务的供应商，参加该采购项目其他采购活动的；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16、不同响应人的响应文件由同一单位或者个人编制的；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17、不同响应人委托同一单位或者个人办理磋商事宜的；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18、不同响应人的响应文件载明的项目管理成员或者联系人员为同一人的；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19、不同响应人的响应文件异常一致或者响应报价出现规律性差异的；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20、不同供应商磋商响应文件中内容出现非正常一致的；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21、不同供应商的负责人为同一人或者存在控股、管理关系的；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22、法律、法规和磋商文件规定的其他无效情形。</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23、改变招标文件规定的暂定价格或降低不可竞争费用标准的；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24、响应文件改变或实质性遗漏磋商文件（含工程量清单、招标控制价）中规定的暂列金额、暂估价、采购人自行采购材料单价或数量的；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25、改变随同磋商文件提供的工程量清单中的项目编码、项目名称、项目特征、计量单位、工程量的；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26、首次响应报价表、最终报价表中的暂列金额、专业工程暂估价金额与已标价工程量清单报价表中的暂列金额、专业工程暂估价金额不一致的；</w:t>
      </w:r>
      <w:r/>
    </w:p>
    <w:p>
      <w:pPr>
        <w:pStyle w:val="1052"/>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27、其他不满足法律法规、磋商文件规定或经磋商小组讨论通过确定为无效响应文件的情形。</w:t>
      </w:r>
      <w:r/>
    </w:p>
    <w:p>
      <w:pPr>
        <w:pStyle w:val="1052"/>
        <w:ind w:firstLine="689"/>
        <w:spacing w:before="0" w:beforeAutospacing="0" w:after="0" w:afterAutospacing="0" w:line="360" w:lineRule="auto"/>
        <w:rPr>
          <w:rFonts w:asciiTheme="minorEastAsia" w:hAnsiTheme="minorEastAsia" w:eastAsiaTheme="minorEastAsia" w:cstheme="minorEastAsia"/>
          <w:b/>
          <w:color w:val="000000" w:themeColor="text1"/>
        </w:rPr>
      </w:pPr>
      <w:r>
        <w:rPr>
          <w:rFonts w:hint="eastAsia" w:asciiTheme="minorEastAsia" w:hAnsiTheme="minorEastAsia" w:eastAsiaTheme="minorEastAsia" w:cstheme="minorEastAsia"/>
          <w:b/>
          <w:color w:val="000000" w:themeColor="text1"/>
        </w:rPr>
        <w:t xml:space="preserve">6、恶意串通行为的认定</w:t>
      </w:r>
      <w:r/>
    </w:p>
    <w:p>
      <w:pPr>
        <w:pStyle w:val="1051"/>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根据江苏省财政厅发布的苏财购〔2026〕2 号文件要求，在评标过程中，出现下列情形之一的，评审委员会应当启动异常低价(响应)审查程序： </w:t>
      </w:r>
      <w:r/>
    </w:p>
    <w:p>
      <w:pPr>
        <w:pStyle w:val="1051"/>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①投标（响应）报价低于全部通过符合性审查供应商投标（响应）报价平均值50%的，即投标（响应）报价&lt;全部通过符合性审查供应商投标（响应）报价平均值×50% ； </w:t>
      </w:r>
      <w:r/>
    </w:p>
    <w:p>
      <w:pPr>
        <w:pStyle w:val="1051"/>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②投标（响应）报价低于通过符合性审查的次低报价供应商投标（响应）报价50%的，即投标（响应）报价&lt;通过符合性审查的次低报价供应商投标（响应）报价×50% ； </w:t>
      </w:r>
      <w:r/>
    </w:p>
    <w:p>
      <w:pPr>
        <w:pStyle w:val="1051"/>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③投标（响应）报价低于采购项目最高限价45%的，即投标（响应）报价&lt;采购项目最高×45%；</w:t>
      </w:r>
      <w:r/>
    </w:p>
    <w:p>
      <w:pPr>
        <w:pStyle w:val="1051"/>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④评标委员会基于专业判断，认为供应商报价过低，可能影响产品质量或者不能诚信履约的其他情形。</w:t>
      </w:r>
      <w:r/>
    </w:p>
    <w:p>
      <w:pPr>
        <w:pStyle w:val="1051"/>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51"/>
        <w:ind w:firstLine="560"/>
        <w:spacing w:before="0" w:after="0" w:line="360" w:lineRule="auto"/>
        <w:rPr>
          <w:rFonts w:asciiTheme="minorEastAsia" w:hAnsiTheme="minorEastAsia" w:eastAsiaTheme="minorEastAsia" w:cstheme="minorEastAsia"/>
          <w:b/>
          <w:color w:val="000000" w:themeColor="text1"/>
        </w:rPr>
      </w:pPr>
      <w:r>
        <w:rPr>
          <w:rFonts w:hint="eastAsia" w:asciiTheme="minorEastAsia" w:hAnsiTheme="minorEastAsia" w:eastAsiaTheme="minorEastAsia" w:cstheme="minorEastAsia"/>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52"/>
        <w:ind w:firstLine="689"/>
        <w:spacing w:before="0" w:beforeAutospacing="0" w:after="0" w:afterAutospacing="0" w:line="360" w:lineRule="auto"/>
        <w:rPr>
          <w:rFonts w:asciiTheme="minorEastAsia" w:hAnsiTheme="minorEastAsia" w:eastAsiaTheme="minorEastAsia" w:cstheme="minorEastAsia"/>
          <w:b/>
          <w:color w:val="000000" w:themeColor="text1"/>
        </w:rPr>
      </w:pPr>
      <w:r/>
      <w:bookmarkStart w:id="19" w:name="_Toc9899"/>
      <w:r>
        <w:rPr>
          <w:rFonts w:hint="eastAsia" w:asciiTheme="minorEastAsia" w:hAnsiTheme="minorEastAsia" w:eastAsiaTheme="minorEastAsia" w:cstheme="minorEastAsia"/>
          <w:b/>
          <w:color w:val="000000" w:themeColor="text1"/>
        </w:rPr>
        <w:t xml:space="preserve">7、磋商活动终止</w:t>
      </w:r>
      <w:r/>
    </w:p>
    <w:p>
      <w:pPr>
        <w:pStyle w:val="1052"/>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磋商活动中出现下列情形之一的，磋商活动终止：</w:t>
      </w:r>
      <w:r/>
    </w:p>
    <w:p>
      <w:pPr>
        <w:pStyle w:val="1052"/>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（1）因情况变化，不再符合规定的竞争性磋商采购方式适用情形的；</w:t>
      </w:r>
      <w:r/>
    </w:p>
    <w:p>
      <w:pPr>
        <w:pStyle w:val="1052"/>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（2）出现影响采购公正的违法、违规行为的；</w:t>
      </w:r>
      <w:r/>
    </w:p>
    <w:p>
      <w:pPr>
        <w:pStyle w:val="1052"/>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（3）在采购过程中符合竞争要求的供应商或者报价未超过采购预算的供应商不足3家的（财库〔2014〕214号文第二十一条第三款规定的情形外）；</w:t>
      </w:r>
      <w:r/>
    </w:p>
    <w:p>
      <w:pPr>
        <w:pStyle w:val="1052"/>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（4）因重大变故，采购任务取消的。</w:t>
      </w:r>
      <w:r/>
    </w:p>
    <w:p>
      <w:pPr>
        <w:pStyle w:val="1052"/>
        <w:ind w:firstLine="689"/>
        <w:spacing w:before="0" w:beforeAutospacing="0" w:after="0" w:afterAutospacing="0"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8、投诉</w:t>
      </w:r>
      <w:r/>
    </w:p>
    <w:p>
      <w:pPr>
        <w:pStyle w:val="1052"/>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供应商和其他利害关系人认为本次招标活动违反法律、法规和规章规定的，有权向财政部门投诉。</w:t>
      </w:r>
      <w:r/>
    </w:p>
    <w:p>
      <w:pPr>
        <w:pStyle w:val="1052"/>
        <w:ind w:firstLine="689"/>
        <w:spacing w:before="0" w:beforeAutospacing="0" w:after="0" w:afterAutospacing="0"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9、需要补充的其他内容</w:t>
      </w:r>
      <w:r/>
    </w:p>
    <w:p>
      <w:pPr>
        <w:pStyle w:val="1052"/>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需要补充的其他内容：见供应商须知前附表。</w:t>
      </w:r>
      <w:r/>
    </w:p>
    <w:p>
      <w:pPr>
        <w:pStyle w:val="1052"/>
        <w:ind w:firstLine="689"/>
        <w:spacing w:before="0" w:beforeAutospacing="0" w:after="0" w:afterAutospacing="0"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10、竞争性磋商文件的解释</w:t>
      </w:r>
      <w:r/>
    </w:p>
    <w:p>
      <w:pPr>
        <w:pStyle w:val="1052"/>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本竞争性磋商文件的解释权属于采购人。</w:t>
      </w:r>
      <w:r/>
    </w:p>
    <w:p>
      <w:pPr>
        <w:pStyle w:val="789"/>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bookmarkStart w:id="20" w:name="_Toc23926"/>
      <w:r/>
      <w:bookmarkStart w:id="21" w:name="_Toc29720"/>
      <w:r>
        <w:rPr>
          <w:rFonts w:hint="eastAsia" w:asciiTheme="minorEastAsia" w:hAnsiTheme="minorEastAsia" w:eastAsiaTheme="minorEastAsia" w:cstheme="minorEastAsia"/>
          <w:sz w:val="32"/>
          <w:szCs w:val="32"/>
        </w:rPr>
        <w:t xml:space="preserve">第四章 采购需求</w:t>
      </w:r>
      <w:bookmarkEnd w:id="19"/>
      <w:r/>
      <w:bookmarkEnd w:id="20"/>
      <w:r/>
      <w:bookmarkEnd w:id="21"/>
      <w:r/>
      <w:r/>
    </w:p>
    <w:p>
      <w:pPr>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rPr>
        <w:t xml:space="preserve">1．项目概况</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1）包号名称：</w:t>
      </w:r>
      <w:r>
        <w:rPr>
          <w:rFonts w:hint="eastAsia" w:asciiTheme="minorEastAsia" w:hAnsiTheme="minorEastAsia" w:cstheme="minorEastAsia"/>
          <w:sz w:val="24"/>
        </w:rPr>
        <w:t xml:space="preserve">张甸镇尹庄村2025年度宜居宜业和美乡村建设（市级）项目</w:t>
      </w:r>
      <w:r>
        <w:rPr>
          <w:rFonts w:hint="eastAsia" w:asciiTheme="minorEastAsia" w:hAnsiTheme="minorEastAsia" w:eastAsiaTheme="minorEastAsia" w:cstheme="minorEastAsia"/>
          <w:color w:val="000000"/>
          <w:sz w:val="24"/>
        </w:rPr>
        <w:t xml:space="preserve">；</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2）采购内容：荷塘入口节点、荷塘栈道、1.5m健身步道、幸福菜园节点、景观照明、文化景墙、文化标识牌、道路排水改造等；具体内容详见工程量清单及图纸。</w:t>
      </w:r>
      <w:r/>
    </w:p>
    <w:p>
      <w:pPr>
        <w:ind w:firstLine="480"/>
        <w:spacing w:line="360" w:lineRule="auto"/>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3）供应商应自行踏勘现场，以充分了解项目位置、交通状况以及工作范围等任何足以影响其报价的情况。任何忽视或误解项目基本情况，而使采购人在项目实施过程中蒙受的损失，将</w:t>
      </w:r>
      <w:r>
        <w:rPr>
          <w:rFonts w:hint="eastAsia" w:asciiTheme="minorEastAsia" w:hAnsiTheme="minorEastAsia" w:eastAsiaTheme="minorEastAsia" w:cstheme="minorEastAsia"/>
          <w:color w:val="000000" w:themeColor="text1"/>
          <w:sz w:val="24"/>
        </w:rPr>
        <w:t xml:space="preserve">由供应商进行赔偿。施工现场实际情况：现状道路通畅；交通便利，有道路通入施工现场；环境保护要求：必须符合当地环保部门对噪音、粉尘、污水、垃圾的限制或处理要求。</w:t>
      </w:r>
      <w:r/>
    </w:p>
    <w:p>
      <w:pPr>
        <w:ind w:firstLine="480"/>
        <w:spacing w:line="360" w:lineRule="auto"/>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4）本项目承包范围为采购文件、附件范围相关的内容。供应商应根据附件内容以现场踏勘为准仔细核对工程量清单，核对内容包括清单数量、清单特征、计量单位等。</w:t>
      </w:r>
      <w:r/>
    </w:p>
    <w:p>
      <w:pPr>
        <w:ind w:firstLine="480"/>
        <w:spacing w:line="360" w:lineRule="auto"/>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5）工期：</w:t>
      </w:r>
      <w:r>
        <w:rPr>
          <w:rFonts w:hint="eastAsia" w:asciiTheme="minorEastAsia" w:hAnsiTheme="minorEastAsia" w:eastAsiaTheme="minorEastAsia" w:cstheme="minorEastAsia"/>
          <w:color w:val="000000" w:themeColor="text1"/>
          <w:sz w:val="24"/>
        </w:rPr>
        <w:t xml:space="preserve">6</w:t>
      </w:r>
      <w:r>
        <w:rPr>
          <w:rFonts w:hint="eastAsia" w:asciiTheme="minorEastAsia" w:hAnsiTheme="minorEastAsia" w:eastAsiaTheme="minorEastAsia" w:cstheme="minorEastAsia"/>
          <w:color w:val="000000" w:themeColor="text1"/>
          <w:sz w:val="24"/>
        </w:rPr>
        <w:t xml:space="preserve">0日历天；施工质量要求：合格；本工程缺陷责任期</w:t>
      </w:r>
      <w:r>
        <w:rPr>
          <w:rFonts w:hint="eastAsia" w:asciiTheme="minorEastAsia" w:hAnsiTheme="minorEastAsia" w:eastAsiaTheme="minorEastAsia" w:cstheme="minorEastAsia"/>
          <w:color w:val="000000" w:themeColor="text1"/>
          <w:sz w:val="24"/>
        </w:rPr>
        <w:t xml:space="preserve">2</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自工程竣工验收合格之日起算。</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6）成交供应商在项目施工中必须严格</w:t>
      </w:r>
      <w:r>
        <w:rPr>
          <w:rFonts w:hint="eastAsia" w:asciiTheme="minorEastAsia" w:hAnsiTheme="minorEastAsia" w:eastAsiaTheme="minorEastAsia" w:cstheme="minorEastAsia"/>
          <w:color w:val="000000"/>
          <w:sz w:val="24"/>
        </w:rPr>
        <w:t xml:space="preserve">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7）成交单位应做到文明施工，不得扰民，做到施工现场整洁，施工垃圾及时清运，清运手续、费用由施工方自行解决。</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8）本工程所有项目在施工前都必须认真对照设计图纸结合清单描述，在得到业主和设计方确认后方可施工，否则造成的返工损失自行承担。成品必须先提交样品，得到业主和设计方确认后方可进行批量采购。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9）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spacing w:line="360" w:lineRule="auto"/>
        <w:rPr>
          <w:rFonts w:asciiTheme="minorEastAsia" w:hAnsiTheme="minorEastAsia" w:eastAsiaTheme="minorEastAsia" w:cstheme="minorEastAsia"/>
          <w:color w:val="000000"/>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10）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rPr>
        <w:t xml:space="preserve">2．采购标的的所属行业：</w:t>
      </w:r>
      <w:r/>
    </w:p>
    <w:p>
      <w:pPr>
        <w:ind w:firstLine="480"/>
        <w:spacing w:line="360" w:lineRule="auto"/>
        <w:rPr>
          <w:rFonts w:asciiTheme="minorEastAsia" w:hAnsiTheme="minorEastAsia" w:eastAsiaTheme="minorEastAsia" w:cstheme="minorEastAsia"/>
          <w:color w:val="000000"/>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u w:val="single"/>
        </w:rPr>
        <w:t xml:space="preserve">建筑业</w:t>
      </w:r>
      <w:r>
        <w:rPr>
          <w:rFonts w:hint="eastAsia" w:asciiTheme="minorEastAsia" w:hAnsiTheme="minorEastAsia" w:eastAsiaTheme="minorEastAsia" w:cstheme="minorEastAsia"/>
          <w:color w:val="000000"/>
          <w:sz w:val="24"/>
        </w:rPr>
        <w:t xml:space="preserve">。 </w:t>
      </w:r>
      <w:r/>
    </w:p>
    <w:p>
      <w:pPr>
        <w:spacing w:line="360" w:lineRule="auto"/>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 xml:space="preserve">3. 结算方式：</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结算依据：后期结算仅调整经采购人批准变更(包括增加施工内容或取消部分施工项目)的相应费用增减，具体调整方式为：</w:t>
      </w:r>
      <w:r/>
    </w:p>
    <w:p>
      <w:pPr>
        <w:ind w:firstLine="480"/>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sz w:val="24"/>
        </w:rPr>
        <w:t xml:space="preserve">(1)涉及工程数</w:t>
      </w:r>
      <w:r>
        <w:rPr>
          <w:rFonts w:hint="eastAsia" w:asciiTheme="minorEastAsia" w:hAnsiTheme="minorEastAsia" w:eastAsiaTheme="minorEastAsia" w:cstheme="minorEastAsia"/>
          <w:color w:val="000000" w:themeColor="text1"/>
          <w:sz w:val="24"/>
        </w:rPr>
        <w:t xml:space="preserve">量减少的，以实际减少数量为准，涉及工程数量增加的，以实际增加数量为准；</w:t>
      </w:r>
      <w:r/>
    </w:p>
    <w:p>
      <w:pPr>
        <w:ind w:firstLine="480"/>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spacing w:line="360" w:lineRule="auto"/>
        <w:rPr>
          <w:rFonts w:asciiTheme="minorEastAsia" w:hAnsiTheme="minorEastAsia" w:eastAsiaTheme="minorEastAsia" w:cstheme="minorEastAsia"/>
          <w:b/>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4．付款方式：</w:t>
      </w:r>
      <w:bookmarkStart w:id="22" w:name="_Toc25169"/>
      <w:r/>
      <w:bookmarkStart w:id="23" w:name="_Toc1148"/>
      <w:r/>
      <w:bookmarkStart w:id="24" w:name="_Toc26328"/>
      <w:r/>
      <w:r/>
    </w:p>
    <w:p>
      <w:pPr>
        <w:ind w:firstLine="480"/>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合同签订进场后付合同价的30%，工程竣工验收合格，经审计后付初审价的70%，复审后付至复审价的97%，余款保质期后付清。（此工程所涉及款项皆不计取利息）。</w:t>
      </w:r>
      <w:r/>
    </w:p>
    <w:p>
      <w:pPr>
        <w:ind w:firstLine="480"/>
        <w:spacing w:line="360" w:lineRule="auto"/>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成交人收款前必须提供正式发票。</w:t>
      </w:r>
      <w:r/>
    </w:p>
    <w:p>
      <w:pPr>
        <w:ind w:firstLine="480"/>
        <w:spacing w:line="360" w:lineRule="auto"/>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p>
    <w:p>
      <w:pPr>
        <w:pStyle w:val="789"/>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第五章 磋 商</w:t>
      </w:r>
      <w:bookmarkEnd w:id="22"/>
      <w:r/>
      <w:bookmarkEnd w:id="23"/>
      <w:r/>
      <w:bookmarkEnd w:id="24"/>
      <w:r/>
      <w:r/>
    </w:p>
    <w:p>
      <w:pPr>
        <w:pStyle w:val="1024"/>
        <w:ind w:firstLine="480"/>
        <w:spacing w:before="0" w:after="0" w:line="360" w:lineRule="auto"/>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1、磋商相关说明</w:t>
      </w:r>
      <w:r/>
    </w:p>
    <w:p>
      <w:pPr>
        <w:pStyle w:val="1024"/>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(一)</w:t>
      </w:r>
      <w:r>
        <w:rPr>
          <w:rFonts w:hint="eastAsia" w:asciiTheme="minorEastAsia" w:hAnsiTheme="minorEastAsia" w:eastAsiaTheme="minorEastAsia" w:cstheme="minorEastAsia"/>
          <w:bCs/>
          <w:color w:val="000000" w:themeColor="text1"/>
          <w:sz w:val="24"/>
          <w:szCs w:val="24"/>
        </w:rPr>
        <w:t xml:space="preserve">磋商要求</w:t>
      </w:r>
      <w:r/>
    </w:p>
    <w:p>
      <w:pPr>
        <w:pStyle w:val="1024"/>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1.被邀请参与磋商的供应商需按本竞争性磋商文件要求的截止时间、方式（地点）提交首次响应文件，同时派人通过“苏采云”系统在“开标大厅”等待磋商。</w:t>
      </w:r>
      <w:r/>
    </w:p>
    <w:p>
      <w:pPr>
        <w:pStyle w:val="1024"/>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2.供应商可通过CA数字证书，在首次响应文件开启时间后，使用CA数字证书在规定时间内解密各自响应文件。</w:t>
      </w:r>
      <w:r/>
    </w:p>
    <w:p>
      <w:pPr>
        <w:pStyle w:val="1024"/>
        <w:ind w:firstLine="480"/>
        <w:spacing w:before="0" w:after="0"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3.磋商顺序按照电子标书解密先后时间进行，解密时间相同的，不分先后顺序。</w:t>
      </w:r>
      <w:r/>
    </w:p>
    <w:p>
      <w:pPr>
        <w:pStyle w:val="1024"/>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4.未在规定时间内进行答疑澄清的，视同放弃澄清。</w:t>
      </w:r>
      <w:r/>
    </w:p>
    <w:p>
      <w:pPr>
        <w:pStyle w:val="1024"/>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5.未</w:t>
      </w:r>
      <w:r>
        <w:rPr>
          <w:rFonts w:hint="eastAsia" w:asciiTheme="minorEastAsia" w:hAnsiTheme="minorEastAsia" w:eastAsiaTheme="minorEastAsia" w:cstheme="minorEastAsia"/>
          <w:bCs/>
          <w:color w:val="000000" w:themeColor="text1"/>
          <w:sz w:val="24"/>
          <w:szCs w:val="24"/>
        </w:rPr>
        <w:t xml:space="preserve">在规定时间内进行报价的，视为响应无效。</w:t>
      </w:r>
      <w:r/>
    </w:p>
    <w:p>
      <w:pPr>
        <w:pStyle w:val="1024"/>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6.被邀请参与磋商的供应商如未按上述磋商要求执行，视同放弃磋商的权利。</w:t>
      </w:r>
      <w:r/>
    </w:p>
    <w:p>
      <w:pPr>
        <w:pStyle w:val="1024"/>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7.一次评审结束后，采购代理机构或采购人代表将通过苏彩云采购系统提示符合要求的投标供应商进行最后报价(二次报价)，一次评审的时长不确定，请投标供应商自行关注</w:t>
      </w:r>
      <w:r>
        <w:rPr>
          <w:rFonts w:hint="eastAsia" w:asciiTheme="minorEastAsia" w:hAnsiTheme="minorEastAsia" w:eastAsiaTheme="minorEastAsia" w:cstheme="minorEastAsia"/>
          <w:color w:val="000000" w:themeColor="text1"/>
          <w:sz w:val="24"/>
          <w:szCs w:val="24"/>
        </w:rPr>
        <w:t xml:space="preserve">报价系统，在报价系统开启后的15分钟内提交最后报价(二次报价)。未能在规定时间内完成报价的供应商视为放弃投标；提交最后报价(二次报价)的供应商不得少于2家。</w:t>
      </w:r>
      <w:r/>
    </w:p>
    <w:p>
      <w:pPr>
        <w:pStyle w:val="1024"/>
        <w:ind w:firstLine="480"/>
        <w:spacing w:before="0" w:after="0"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（二）评审程序</w:t>
      </w:r>
      <w:r/>
    </w:p>
    <w:p>
      <w:pPr>
        <w:pStyle w:val="1024"/>
        <w:ind w:firstLine="480"/>
        <w:spacing w:before="0" w:after="0"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经磋商确定最终采购需求和提交最后报价的供应商后，由磋商小组</w:t>
      </w:r>
      <w:r>
        <w:rPr>
          <w:rFonts w:hint="eastAsia" w:asciiTheme="minorEastAsia" w:hAnsiTheme="minorEastAsia" w:eastAsiaTheme="minorEastAsia" w:cstheme="minorEastAsia"/>
          <w:color w:val="000000" w:themeColor="text1"/>
          <w:sz w:val="24"/>
          <w:szCs w:val="24"/>
        </w:rPr>
        <w:t xml:space="preserve">采用综合评分法对提交最后报价的供应商的响应文件和最后报价进行综合评分。</w:t>
      </w:r>
      <w:r/>
    </w:p>
    <w:p>
      <w:pPr>
        <w:pStyle w:val="1024"/>
        <w:ind w:firstLine="480"/>
        <w:spacing w:before="0" w:after="0"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24"/>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w:t>
      </w:r>
      <w:r>
        <w:rPr>
          <w:rFonts w:hint="eastAsia" w:asciiTheme="minorEastAsia" w:hAnsiTheme="minorEastAsia" w:eastAsiaTheme="minorEastAsia" w:cstheme="minorEastAsia"/>
          <w:sz w:val="24"/>
          <w:szCs w:val="24"/>
        </w:rPr>
        <w:t xml:space="preserve">其按响应无效处理。</w:t>
      </w:r>
      <w:r/>
    </w:p>
    <w:p>
      <w:pPr>
        <w:pStyle w:val="1024"/>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采用竞争性</w:t>
      </w:r>
      <w:r>
        <w:rPr>
          <w:rFonts w:hint="eastAsia" w:asciiTheme="minorEastAsia" w:hAnsiTheme="minorEastAsia" w:eastAsiaTheme="minorEastAsia" w:cstheme="minorEastAsia"/>
          <w:sz w:val="24"/>
          <w:szCs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24"/>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24"/>
        <w:ind w:firstLine="24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(三) 查询及使用供应商信用记录</w:t>
      </w:r>
      <w:r/>
    </w:p>
    <w:p>
      <w:pPr>
        <w:pStyle w:val="1024"/>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1.由采购人查询信用信息。</w:t>
      </w:r>
      <w:r/>
    </w:p>
    <w:p>
      <w:pPr>
        <w:pStyle w:val="1024"/>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2.查询渠道：“信用中国”网（</w:t>
      </w:r>
      <w:hyperlink r:id="rId23" w:tooltip="http://www.creditchina.gov.cn/" w:history="1">
        <w:r>
          <w:rPr>
            <w:rFonts w:hint="eastAsia" w:asciiTheme="minorEastAsia" w:hAnsiTheme="minorEastAsia" w:eastAsiaTheme="minorEastAsia" w:cstheme="minorEastAsia"/>
            <w:sz w:val="24"/>
            <w:szCs w:val="24"/>
          </w:rPr>
          <w:t xml:space="preserve">www.creditchina.gov.cn</w:t>
        </w:r>
      </w:hyperlink>
      <w:r>
        <w:rPr>
          <w:rFonts w:hint="eastAsia" w:asciiTheme="minorEastAsia" w:hAnsiTheme="minorEastAsia" w:eastAsiaTheme="minorEastAsia" w:cstheme="minorEastAsia"/>
          <w:sz w:val="24"/>
          <w:szCs w:val="24"/>
        </w:rPr>
        <w:t xml:space="preserve">）；</w:t>
      </w:r>
      <w:r/>
    </w:p>
    <w:p>
      <w:pPr>
        <w:pStyle w:val="1024"/>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3.截止时点（查询环节）：首次响应文件开启后资格审查结束前。</w:t>
      </w:r>
      <w:r/>
    </w:p>
    <w:p>
      <w:pPr>
        <w:pStyle w:val="1024"/>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4.信用信息的使用规则：</w:t>
      </w:r>
      <w:r/>
    </w:p>
    <w:p>
      <w:pPr>
        <w:pStyle w:val="1024"/>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24"/>
        <w:ind w:firstLine="478"/>
        <w:spacing w:before="0" w:after="0"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2、评审方法和评审标准</w:t>
      </w:r>
      <w:r/>
    </w:p>
    <w:p>
      <w:pPr>
        <w:pStyle w:val="1024"/>
        <w:ind w:firstLine="478"/>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1.评审方法：综合评分法</w:t>
      </w:r>
      <w:r/>
    </w:p>
    <w:p>
      <w:pPr>
        <w:pStyle w:val="1024"/>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2.评审标准：详见附表</w:t>
      </w:r>
      <w:r/>
    </w:p>
    <w:p>
      <w:pPr>
        <w:pStyle w:val="1024"/>
        <w:ind w:right="25"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24"/>
        <w:ind w:right="25"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多家供应商提供的核心产品品牌相同的作为一个供应商计算，以质量和服务均能满足采购文件实质性响应要求且报价最低的供应商作为该品牌的供应商。</w:t>
      </w:r>
      <w:r/>
    </w:p>
    <w:p>
      <w:pPr>
        <w:pStyle w:val="1024"/>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4.磋商过程中可能实质性变动的内容：在磋商过程中，磋商小组可以根据《磋商文件》和磋商情况实质性变动采购需求中的技术、服务要求以及合同草案条款。</w:t>
      </w:r>
      <w:r/>
    </w:p>
    <w:p>
      <w:pPr>
        <w:pStyle w:val="1024"/>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24"/>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26"/>
        <w:jc w:val="center"/>
        <w:spacing w:line="400" w:lineRule="exact"/>
        <w:rPr>
          <w:rFonts w:asciiTheme="minorEastAsia" w:hAnsiTheme="minorEastAsia" w:eastAsiaTheme="minorEastAsia" w:cstheme="minorEastAsia"/>
          <w:b/>
          <w:bCs/>
          <w:sz w:val="28"/>
          <w:szCs w:val="28"/>
          <w:lang w:val="zh-CN"/>
        </w:rPr>
      </w:pPr>
      <w:r>
        <w:rPr>
          <w:rFonts w:hint="eastAsia" w:asciiTheme="minorEastAsia" w:hAnsiTheme="minorEastAsia" w:eastAsiaTheme="minorEastAsia" w:cstheme="minorEastAsia"/>
          <w:b/>
          <w:bCs/>
          <w:sz w:val="28"/>
          <w:szCs w:val="28"/>
          <w:lang w:val="zh-CN"/>
        </w:rPr>
        <w:br w:type="page" w:clear="all"/>
      </w:r>
      <w:r>
        <w:rPr>
          <w:rFonts w:hint="eastAsia" w:asciiTheme="minorEastAsia" w:hAnsiTheme="minorEastAsia" w:eastAsiaTheme="minorEastAsia" w:cstheme="minorEastAsia"/>
          <w:b/>
          <w:bCs/>
          <w:sz w:val="28"/>
          <w:szCs w:val="28"/>
          <w:lang w:val="zh-CN"/>
        </w:rPr>
        <w:t xml:space="preserve">评标内容及标准</w:t>
      </w:r>
      <w:r/>
    </w:p>
    <w:tbl>
      <w:tblPr>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588"/>
        <w:gridCol w:w="1219"/>
        <w:gridCol w:w="7643"/>
        <w:gridCol w:w="588"/>
      </w:tblGrid>
      <w:tr>
        <w:trPr>
          <w:jc w:val="center"/>
          <w:trHeight w:val="337"/>
        </w:trPr>
        <w:tc>
          <w:tcPr>
            <w:tcW w:w="293" w:type="pct"/>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序号</w:t>
            </w:r>
            <w:r/>
          </w:p>
        </w:tc>
        <w:tc>
          <w:tcPr>
            <w:tcW w:w="607" w:type="pct"/>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评分因素</w:t>
            </w:r>
            <w:r/>
          </w:p>
        </w:tc>
        <w:tc>
          <w:tcPr>
            <w:tcW w:w="3806" w:type="pct"/>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评审标准</w:t>
            </w:r>
            <w:r/>
          </w:p>
        </w:tc>
        <w:tc>
          <w:tcPr>
            <w:tcW w:w="293" w:type="pct"/>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分值</w:t>
            </w:r>
            <w:r/>
          </w:p>
        </w:tc>
      </w:tr>
      <w:tr>
        <w:trPr>
          <w:jc w:val="center"/>
          <w:trHeight w:val="1553"/>
        </w:trPr>
        <w:tc>
          <w:tcPr>
            <w:tcW w:w="293" w:type="pct"/>
            <w:vAlign w:val="center"/>
            <w:textDirection w:val="lrTb"/>
            <w:noWrap/>
          </w:tcPr>
          <w:p>
            <w:pPr>
              <w:pStyle w:val="1025"/>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607" w:type="pct"/>
            <w:vAlign w:val="center"/>
            <w:textDirection w:val="lrTb"/>
            <w:noWrap/>
          </w:tcPr>
          <w:p>
            <w:pPr>
              <w:pStyle w:val="1025"/>
              <w:ind w:right="110"/>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价格分</w:t>
            </w:r>
            <w:r/>
          </w:p>
        </w:tc>
        <w:tc>
          <w:tcPr>
            <w:tcW w:w="3806" w:type="pct"/>
            <w:vAlign w:val="center"/>
            <w:textDirection w:val="lrTb"/>
            <w:noWrap/>
          </w:tcPr>
          <w:p>
            <w:pPr>
              <w:jc w:val="left"/>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价格分统一采用低价优先法计算，即满足磋商文件要求且最后报价最低的供应商的价格为磋商基准价，其价格分为满分。</w:t>
            </w:r>
            <w:r/>
          </w:p>
          <w:p>
            <w:pPr>
              <w:jc w:val="left"/>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其他供应商的价格分统一按照下列公式计算：磋商报价得分=（磋商基准价/最后磋商报价）×</w:t>
            </w:r>
            <w:r>
              <w:rPr>
                <w:rFonts w:hint="eastAsia" w:asciiTheme="minorEastAsia" w:hAnsiTheme="minorEastAsia" w:eastAsiaTheme="minorEastAsia" w:cstheme="minorEastAsia"/>
                <w:szCs w:val="21"/>
              </w:rPr>
              <w:t xml:space="preserve">40</w:t>
            </w:r>
            <w:r>
              <w:rPr>
                <w:rFonts w:hint="eastAsia" w:asciiTheme="minorEastAsia" w:hAnsiTheme="minorEastAsia" w:eastAsiaTheme="minorEastAsia" w:cstheme="minorEastAsia"/>
                <w:szCs w:val="21"/>
              </w:rPr>
              <w:t xml:space="preserve">。</w:t>
            </w:r>
            <w:r/>
          </w:p>
          <w:p>
            <w:pPr>
              <w:pStyle w:val="771"/>
              <w:ind w:left="0" w:firstLine="0"/>
              <w:spacing w:after="0"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本项目专门面向中小企业，不再执行价格评审优惠的扶持政策。</w:t>
            </w:r>
            <w:r/>
          </w:p>
        </w:tc>
        <w:tc>
          <w:tcPr>
            <w:tcW w:w="293" w:type="pct"/>
            <w:vAlign w:val="center"/>
            <w:textDirection w:val="lrTb"/>
            <w:noWrap/>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zh-CN"/>
              </w:rPr>
              <w:t xml:space="preserve">40</w:t>
            </w:r>
            <w:r/>
          </w:p>
        </w:tc>
      </w:tr>
      <w:tr>
        <w:trPr>
          <w:jc w:val="center"/>
          <w:trHeight w:val="1252"/>
        </w:trPr>
        <w:tc>
          <w:tcPr>
            <w:tcW w:w="293" w:type="pct"/>
            <w:vAlign w:val="center"/>
            <w:textDirection w:val="lrTb"/>
            <w:noWrap/>
          </w:tcPr>
          <w:p>
            <w:pPr>
              <w:pStyle w:val="1025"/>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607" w:type="pct"/>
            <w:vAlign w:val="center"/>
            <w:textDirection w:val="lrTb"/>
            <w:noWrap/>
          </w:tcPr>
          <w:p>
            <w:pPr>
              <w:pStyle w:val="1025"/>
              <w:ind w:right="110"/>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供应商业绩</w:t>
            </w:r>
            <w:r/>
          </w:p>
        </w:tc>
        <w:tc>
          <w:tcPr>
            <w:tcW w:w="3806" w:type="pct"/>
            <w:vAlign w:val="center"/>
            <w:textDirection w:val="lrTb"/>
            <w:noWrap/>
          </w:tcPr>
          <w:p>
            <w:pPr>
              <w:spacing w:line="300" w:lineRule="exact"/>
              <w:rPr>
                <w:szCs w:val="21"/>
              </w:rPr>
            </w:pPr>
            <w:r>
              <w:rPr>
                <w:rFonts w:hint="eastAsia"/>
                <w:szCs w:val="21"/>
              </w:rPr>
              <w:t xml:space="preserve">供应商自</w:t>
            </w:r>
            <w:r>
              <w:rPr>
                <w:rFonts w:hint="eastAsia"/>
                <w:szCs w:val="21"/>
              </w:rPr>
              <w:t xml:space="preserve">2022</w:t>
            </w:r>
            <w:r>
              <w:rPr>
                <w:rFonts w:hint="eastAsia"/>
                <w:szCs w:val="21"/>
              </w:rPr>
              <w:t xml:space="preserve">年</w:t>
            </w:r>
            <w:r>
              <w:rPr>
                <w:rFonts w:hint="eastAsia"/>
                <w:szCs w:val="21"/>
              </w:rPr>
              <w:t xml:space="preserve">1</w:t>
            </w:r>
            <w:r>
              <w:rPr>
                <w:rFonts w:hint="eastAsia"/>
                <w:szCs w:val="21"/>
              </w:rPr>
              <w:t xml:space="preserve">月</w:t>
            </w:r>
            <w:r>
              <w:rPr>
                <w:rFonts w:hint="eastAsia"/>
                <w:szCs w:val="21"/>
              </w:rPr>
              <w:t xml:space="preserve">1</w:t>
            </w:r>
            <w:r>
              <w:rPr>
                <w:rFonts w:hint="eastAsia"/>
                <w:szCs w:val="21"/>
              </w:rPr>
              <w:t xml:space="preserve">日以来承担过类似工程的业绩，业绩时间以竣工验收证明上的验收时间为准，且竣工验收证明至少加盖建设单位、设计单位、监理单位和施工单位四方单位公章。</w:t>
            </w:r>
            <w:r/>
          </w:p>
          <w:p>
            <w:pPr>
              <w:spacing w:line="300" w:lineRule="exact"/>
              <w:rPr>
                <w:szCs w:val="21"/>
              </w:rPr>
            </w:pPr>
            <w:r>
              <w:rPr>
                <w:rFonts w:hint="eastAsia"/>
                <w:szCs w:val="21"/>
              </w:rPr>
              <w:t xml:space="preserve">每有一个业绩得</w:t>
            </w:r>
            <w:r>
              <w:rPr>
                <w:rFonts w:hint="eastAsia"/>
                <w:szCs w:val="21"/>
              </w:rPr>
              <w:t xml:space="preserve">2</w:t>
            </w:r>
            <w:r>
              <w:rPr>
                <w:rFonts w:hint="eastAsia"/>
                <w:szCs w:val="21"/>
              </w:rPr>
              <w:t xml:space="preserve">分，本项最高得</w:t>
            </w:r>
            <w:r>
              <w:rPr>
                <w:rFonts w:hint="eastAsia"/>
                <w:szCs w:val="21"/>
              </w:rPr>
              <w:t xml:space="preserve">10</w:t>
            </w:r>
            <w:r>
              <w:rPr>
                <w:rFonts w:hint="eastAsia"/>
                <w:szCs w:val="21"/>
              </w:rPr>
              <w:t xml:space="preserve">分。</w:t>
            </w:r>
            <w:r/>
          </w:p>
          <w:p>
            <w:pPr>
              <w:spacing w:line="300" w:lineRule="exact"/>
              <w:rPr>
                <w:rFonts w:asciiTheme="minorEastAsia" w:hAnsiTheme="minorEastAsia" w:eastAsiaTheme="minorEastAsia" w:cstheme="minorEastAsia"/>
                <w:szCs w:val="21"/>
              </w:rPr>
            </w:pPr>
            <w:r>
              <w:rPr>
                <w:rFonts w:hint="eastAsia"/>
                <w:szCs w:val="21"/>
              </w:rPr>
              <w:t xml:space="preserve">注：投标人须同时提供中标通知书、合同及竣工验收证明，以上资料的复印件加盖公章。提供的证明材料必须能够有效反映相关数据，否则视作未提供，未提供或提供不全不得分。</w:t>
            </w:r>
            <w:r/>
          </w:p>
        </w:tc>
        <w:tc>
          <w:tcPr>
            <w:tcW w:w="293" w:type="pct"/>
            <w:vAlign w:val="center"/>
            <w:textDirection w:val="lrTb"/>
            <w:noWrap/>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zh-CN"/>
              </w:rPr>
              <w:t xml:space="preserve">10</w:t>
            </w:r>
            <w:r/>
          </w:p>
        </w:tc>
      </w:tr>
      <w:tr>
        <w:trPr>
          <w:jc w:val="center"/>
          <w:trHeight w:val="1449"/>
        </w:trPr>
        <w:tc>
          <w:tcPr>
            <w:shd w:val="clear" w:color="auto" w:fill="auto"/>
            <w:tcW w:w="293" w:type="pct"/>
            <w:vAlign w:val="center"/>
            <w:textDirection w:val="lrTb"/>
            <w:noWrap/>
          </w:tcPr>
          <w:p>
            <w:pPr>
              <w:pStyle w:val="1025"/>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shd w:val="clear" w:color="auto" w:fill="auto"/>
            <w:tcW w:w="607" w:type="pct"/>
            <w:vAlign w:val="center"/>
            <w:textDirection w:val="lrTb"/>
            <w:noWrap/>
          </w:tcPr>
          <w:p>
            <w:pPr>
              <w:pStyle w:val="1025"/>
              <w:ind w:right="110"/>
              <w:jc w:val="center"/>
              <w:spacing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企业综合实力</w:t>
            </w:r>
            <w:r/>
          </w:p>
        </w:tc>
        <w:tc>
          <w:tcPr>
            <w:shd w:val="clear" w:color="auto" w:fill="auto"/>
            <w:tcW w:w="3806" w:type="pct"/>
            <w:vAlign w:val="center"/>
            <w:textDirection w:val="lrTb"/>
            <w:noWrap/>
          </w:tcPr>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企业具有质量管理体系认证证书，得1分；具有环境管理体系认证证书的，得1分；具有职业健康安全管理体系认证证书的，得1分。所有证书均在有效期内。</w:t>
            </w:r>
            <w:r/>
          </w:p>
          <w:p>
            <w:pPr>
              <w:spacing w:line="3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提供相应证书复印件加盖公章扫描上传，未提供不得分。</w:t>
            </w:r>
            <w:r/>
          </w:p>
        </w:tc>
        <w:tc>
          <w:tcPr>
            <w:shd w:val="clear" w:color="auto" w:fill="auto"/>
            <w:tcW w:w="293" w:type="pct"/>
            <w:vAlign w:val="center"/>
            <w:textDirection w:val="lrTb"/>
            <w:noWrap/>
          </w:tcPr>
          <w:p>
            <w:pPr>
              <w:jc w:val="center"/>
              <w:spacing w:line="360" w:lineRule="auto"/>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szCs w:val="21"/>
                <w:lang w:bidi="zh-CN"/>
              </w:rPr>
              <w:t xml:space="preserve">3</w:t>
            </w:r>
            <w:r/>
          </w:p>
        </w:tc>
      </w:tr>
      <w:tr>
        <w:trPr>
          <w:jc w:val="center"/>
          <w:trHeight w:val="2469"/>
        </w:trPr>
        <w:tc>
          <w:tcPr>
            <w:tcW w:w="293" w:type="pct"/>
            <w:vAlign w:val="center"/>
            <w:textDirection w:val="lrTb"/>
            <w:noWrap/>
          </w:tcPr>
          <w:p>
            <w:pPr>
              <w:pStyle w:val="1025"/>
              <w:jc w:val="center"/>
              <w:spacing w:before="1"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rPr>
              <w:t xml:space="preserve">4</w:t>
            </w:r>
            <w:r/>
          </w:p>
        </w:tc>
        <w:tc>
          <w:tcPr>
            <w:tcW w:w="607" w:type="pct"/>
            <w:vAlign w:val="center"/>
            <w:textDirection w:val="lrTb"/>
            <w:noWrap/>
          </w:tcPr>
          <w:p>
            <w:pPr>
              <w:pStyle w:val="1025"/>
              <w:ind w:right="110"/>
              <w:jc w:val="center"/>
              <w:spacing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项目管理机构</w:t>
            </w:r>
            <w:r/>
          </w:p>
        </w:tc>
        <w:tc>
          <w:tcPr>
            <w:tcW w:w="3806" w:type="pct"/>
            <w:vAlign w:val="center"/>
            <w:textDirection w:val="lrTb"/>
            <w:noWrap/>
          </w:tcPr>
          <w:p>
            <w:pPr>
              <w:pStyle w:val="771"/>
              <w:ind w:left="0" w:firstLine="0"/>
              <w:spacing w:after="0"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供应商拟派项目负责人具备工程类相关专业中级工程师及以上职称的得2分，没有不得分；</w:t>
            </w:r>
            <w:r/>
          </w:p>
          <w:p>
            <w:pPr>
              <w:pStyle w:val="771"/>
              <w:ind w:left="0" w:firstLine="0"/>
              <w:spacing w:after="0"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供应商拟派项目技术负责人具备工程类相关专业高级工程师及以上职称的得3分，没有不得分。</w:t>
            </w:r>
            <w:r/>
          </w:p>
          <w:p>
            <w:pPr>
              <w:pStyle w:val="771"/>
              <w:ind w:left="0" w:firstLine="0"/>
              <w:spacing w:after="0"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注：1.项目负责人与技术负责人不可为同一人。2.提供供应商为上述人员缴纳近3个月任意一个月社保缴纳凭证或缴款证明及职称证书复印件并加盖供应商公章，未提供不得分。</w:t>
            </w:r>
            <w:r/>
          </w:p>
        </w:tc>
        <w:tc>
          <w:tcPr>
            <w:tcW w:w="293" w:type="pct"/>
            <w:vAlign w:val="center"/>
            <w:textDirection w:val="lrTb"/>
            <w:noWrap/>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zh-CN"/>
              </w:rPr>
              <w:t xml:space="preserve">5</w:t>
            </w:r>
            <w:r/>
          </w:p>
        </w:tc>
      </w:tr>
      <w:tr>
        <w:trPr>
          <w:jc w:val="center"/>
          <w:trHeight w:val="2469"/>
        </w:trPr>
        <w:tc>
          <w:tcPr>
            <w:tcW w:w="293" w:type="pct"/>
            <w:vAlign w:val="center"/>
            <w:textDirection w:val="lrTb"/>
            <w:noWrap/>
          </w:tcPr>
          <w:p>
            <w:pPr>
              <w:pStyle w:val="1025"/>
              <w:jc w:val="center"/>
              <w:spacing w:before="1"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5</w:t>
            </w:r>
            <w:r/>
          </w:p>
        </w:tc>
        <w:tc>
          <w:tcPr>
            <w:tcW w:w="1219" w:type="dxa"/>
            <w:vAlign w:val="center"/>
            <w:textDirection w:val="lrTb"/>
            <w:noWrap/>
          </w:tcPr>
          <w:p>
            <w:pPr>
              <w:pStyle w:val="1025"/>
              <w:ind w:right="110"/>
              <w:jc w:val="center"/>
              <w:spacing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总体概述：包括但不限于针对本工程的概述、总体安排及施工段划分等的评定</w:t>
            </w:r>
            <w:r/>
          </w:p>
        </w:tc>
        <w:tc>
          <w:tcPr>
            <w:tcW w:w="7641" w:type="dxa"/>
            <w:vAlign w:val="center"/>
            <w:textDirection w:val="lrTb"/>
            <w:noWrap/>
          </w:tcPr>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总体概述：包括但不限于针对本工程的概述、总体安排及施工段划分等的评定。</w:t>
            </w:r>
            <w:r/>
          </w:p>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概述详细，组织机构健全，总体安排科学，方案考虑周全，有合理化建议等的得</w:t>
            </w: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分；</w:t>
            </w:r>
            <w:r/>
          </w:p>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概述较为详细，总体安排可行，方案考虑比较细致，能满足项目实施需要的得</w:t>
            </w: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分；</w:t>
            </w:r>
            <w:r/>
          </w:p>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整体概述（方案）总体安排较可行，方案考虑一般，但能满足项目实施需要的得</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分；</w:t>
            </w:r>
            <w:r/>
          </w:p>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整体概述（方案）没有针对性，对于项目实施可操作性较弱的得1分；</w:t>
            </w:r>
            <w:r/>
          </w:p>
          <w:p>
            <w:pPr>
              <w:spacing w:line="3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未有相应内容描述的不得分。</w:t>
            </w:r>
            <w:r/>
          </w:p>
        </w:tc>
        <w:tc>
          <w:tcPr>
            <w:tcW w:w="589" w:type="dxa"/>
            <w:vAlign w:val="center"/>
            <w:textDirection w:val="lrTb"/>
            <w:noWrap/>
          </w:tcPr>
          <w:p>
            <w:pPr>
              <w:jc w:val="center"/>
              <w:spacing w:line="360" w:lineRule="auto"/>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color w:val="000000" w:themeColor="text1"/>
                <w:szCs w:val="21"/>
                <w:lang w:bidi="zh-CN"/>
              </w:rPr>
              <w:t xml:space="preserve">7</w:t>
            </w:r>
            <w:r/>
          </w:p>
        </w:tc>
      </w:tr>
      <w:tr>
        <w:trPr>
          <w:jc w:val="center"/>
          <w:trHeight w:val="646"/>
        </w:trPr>
        <w:tc>
          <w:tcPr>
            <w:tcW w:w="293" w:type="pct"/>
            <w:vAlign w:val="center"/>
            <w:textDirection w:val="lrTb"/>
            <w:noWrap/>
          </w:tcPr>
          <w:p>
            <w:pPr>
              <w:pStyle w:val="1025"/>
              <w:jc w:val="center"/>
              <w:spacing w:before="1"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6</w:t>
            </w:r>
            <w:r/>
          </w:p>
        </w:tc>
        <w:tc>
          <w:tcPr>
            <w:tcW w:w="1219"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施工质量保证措施</w:t>
            </w:r>
            <w:r/>
          </w:p>
        </w:tc>
        <w:tc>
          <w:tcPr>
            <w:tcW w:w="7641" w:type="dxa"/>
            <w:vAlign w:val="center"/>
            <w:textDirection w:val="lrTb"/>
            <w:noWrap/>
          </w:tcPr>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施工质量控制措施、质量保证体系及分部分项工程施工过程质量控制措施内容详细合理、保证措施完整可靠、操作性强的得</w:t>
            </w:r>
            <w:r>
              <w:rPr>
                <w:rFonts w:hint="eastAsia"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分；</w:t>
            </w:r>
            <w:r/>
          </w:p>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施工质量控制措施、质量保证体系及分部分项工程施工过程质量控制措施内容较详细合理、保证措施较完整可靠、操作性较强的得</w:t>
            </w: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分；</w:t>
            </w:r>
            <w:r/>
          </w:p>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施工质量控制措施、质量保证体系及分部分项工程施工过程质量控制措施内容一般、保证措施一般、操作性一般的得</w:t>
            </w: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分；</w:t>
            </w:r>
            <w:r/>
          </w:p>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施工质量控制措施、质量保证体系及分部分项工程施工过程质量控制措施内容不详细、保证措施不可靠、操作性不强的得1分；</w:t>
            </w:r>
            <w:r/>
          </w:p>
          <w:p>
            <w:pPr>
              <w:spacing w:line="3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未提供不得分。</w:t>
            </w:r>
            <w:r/>
          </w:p>
        </w:tc>
        <w:tc>
          <w:tcPr>
            <w:tcW w:w="589" w:type="dxa"/>
            <w:vAlign w:val="center"/>
            <w:textDirection w:val="lrTb"/>
            <w:noWrap/>
          </w:tcPr>
          <w:p>
            <w:pPr>
              <w:jc w:val="center"/>
              <w:spacing w:line="360" w:lineRule="auto"/>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color w:val="000000" w:themeColor="text1"/>
                <w:szCs w:val="21"/>
                <w:lang w:bidi="zh-CN"/>
              </w:rPr>
              <w:t xml:space="preserve">10</w:t>
            </w:r>
            <w:r/>
          </w:p>
        </w:tc>
      </w:tr>
      <w:tr>
        <w:trPr>
          <w:jc w:val="center"/>
          <w:trHeight w:val="2469"/>
        </w:trPr>
        <w:tc>
          <w:tcPr>
            <w:tcW w:w="293" w:type="pct"/>
            <w:vAlign w:val="center"/>
            <w:textDirection w:val="lrTb"/>
            <w:noWrap/>
          </w:tcPr>
          <w:p>
            <w:pPr>
              <w:pStyle w:val="1025"/>
              <w:jc w:val="center"/>
              <w:spacing w:before="1"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7</w:t>
            </w:r>
            <w:r/>
          </w:p>
        </w:tc>
        <w:tc>
          <w:tcPr>
            <w:tcW w:w="1219"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安全文明施工和环境保护措施</w:t>
            </w:r>
            <w:r/>
          </w:p>
        </w:tc>
        <w:tc>
          <w:tcPr>
            <w:tcW w:w="7641" w:type="dxa"/>
            <w:vAlign w:val="center"/>
            <w:textDirection w:val="lrTb"/>
            <w:noWrap/>
          </w:tcPr>
          <w:p>
            <w:pPr>
              <w:spacing w:line="3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安全承诺和管理的保障措施完整，明确有力，可操作性强，得</w:t>
            </w:r>
            <w:r>
              <w:rPr>
                <w:rFonts w:hint="eastAsia"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分；安全承诺和管理的保障措施较完整，明确有力，可操作性较强得</w:t>
            </w: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分；安全承诺和管理的保障措施不全，可操作性一般得</w:t>
            </w: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分；保障措施有所欠缺，可操作性差得1分；未提供或不满足工程需要，得0分。</w:t>
            </w:r>
            <w:r/>
          </w:p>
        </w:tc>
        <w:tc>
          <w:tcPr>
            <w:tcW w:w="589" w:type="dxa"/>
            <w:vAlign w:val="center"/>
            <w:textDirection w:val="lrTb"/>
            <w:noWrap/>
          </w:tcPr>
          <w:p>
            <w:pPr>
              <w:jc w:val="center"/>
              <w:spacing w:line="360" w:lineRule="auto"/>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color w:val="000000" w:themeColor="text1"/>
                <w:szCs w:val="21"/>
                <w:lang w:bidi="zh-CN"/>
              </w:rPr>
              <w:t xml:space="preserve">10</w:t>
            </w:r>
            <w:r/>
          </w:p>
        </w:tc>
      </w:tr>
      <w:tr>
        <w:trPr>
          <w:jc w:val="center"/>
          <w:trHeight w:val="1969"/>
        </w:trPr>
        <w:tc>
          <w:tcPr>
            <w:tcW w:w="293" w:type="pct"/>
            <w:vAlign w:val="center"/>
            <w:textDirection w:val="lrTb"/>
            <w:noWrap/>
          </w:tcPr>
          <w:p>
            <w:pPr>
              <w:pStyle w:val="1025"/>
              <w:jc w:val="center"/>
              <w:spacing w:before="1"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8</w:t>
            </w:r>
            <w:r/>
          </w:p>
        </w:tc>
        <w:tc>
          <w:tcPr>
            <w:tcW w:w="1219"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施工进度计划和各阶段进度的保证措施</w:t>
            </w:r>
            <w:r/>
          </w:p>
        </w:tc>
        <w:tc>
          <w:tcPr>
            <w:tcW w:w="7641" w:type="dxa"/>
            <w:vAlign w:val="center"/>
            <w:textDirection w:val="lrTb"/>
            <w:noWrap/>
          </w:tcPr>
          <w:p>
            <w:pPr>
              <w:spacing w:line="3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施工总进度计划工期保障措施明确合理，计划全面、可操作性强，得</w:t>
            </w: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分；施工总进度计划工期保障措施较合理，计划较全面、可操作性较强，得</w:t>
            </w: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分；施工总进度计划工期保障措施明确一般，计划一般、可操作性一般，得</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分施工总进度计划工期保障措施有所欠缺，可操作性一般得1分；未提供或不满足工程需要，得0分。</w:t>
            </w:r>
            <w:r/>
          </w:p>
        </w:tc>
        <w:tc>
          <w:tcPr>
            <w:tcW w:w="589" w:type="dxa"/>
            <w:vAlign w:val="center"/>
            <w:textDirection w:val="lrTb"/>
            <w:noWrap/>
          </w:tcPr>
          <w:p>
            <w:pPr>
              <w:jc w:val="center"/>
              <w:spacing w:line="360" w:lineRule="auto"/>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color w:val="000000" w:themeColor="text1"/>
                <w:szCs w:val="21"/>
                <w:lang w:bidi="zh-CN"/>
              </w:rPr>
              <w:t xml:space="preserve">8</w:t>
            </w:r>
            <w:r/>
          </w:p>
        </w:tc>
      </w:tr>
      <w:tr>
        <w:trPr>
          <w:jc w:val="center"/>
          <w:trHeight w:val="1949"/>
        </w:trPr>
        <w:tc>
          <w:tcPr>
            <w:tcW w:w="293" w:type="pct"/>
            <w:vAlign w:val="center"/>
            <w:textDirection w:val="lrTb"/>
            <w:noWrap/>
          </w:tcPr>
          <w:p>
            <w:pPr>
              <w:pStyle w:val="1025"/>
              <w:jc w:val="center"/>
              <w:spacing w:before="1"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9</w:t>
            </w:r>
            <w:r/>
          </w:p>
        </w:tc>
        <w:tc>
          <w:tcPr>
            <w:tcW w:w="1219"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施工现场平面布置和临时设施设置方案</w:t>
            </w:r>
            <w:r/>
          </w:p>
        </w:tc>
        <w:tc>
          <w:tcPr>
            <w:tcW w:w="7641" w:type="dxa"/>
            <w:vAlign w:val="center"/>
            <w:textDirection w:val="lrTb"/>
            <w:noWrap/>
          </w:tcPr>
          <w:p>
            <w:pPr>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方案内容科学、全面、合理、有针对性的得</w:t>
            </w: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分；方案内容一般，基本符合现场实际的得5分；方案简陋、与现场不符的得3分；差得1分，未提供的不得分。</w:t>
            </w:r>
            <w:r/>
          </w:p>
        </w:tc>
        <w:tc>
          <w:tcPr>
            <w:tcW w:w="589" w:type="dxa"/>
            <w:vAlign w:val="center"/>
            <w:textDirection w:val="lrTb"/>
            <w:noWrap/>
          </w:tcPr>
          <w:p>
            <w:pPr>
              <w:jc w:val="center"/>
              <w:spacing w:line="360" w:lineRule="auto"/>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color w:val="000000" w:themeColor="text1"/>
                <w:szCs w:val="21"/>
                <w:lang w:bidi="zh-CN"/>
              </w:rPr>
              <w:t xml:space="preserve">7</w:t>
            </w:r>
            <w:r/>
          </w:p>
        </w:tc>
      </w:tr>
    </w:tbl>
    <w:p>
      <w:pPr>
        <w:pStyle w:val="1026"/>
        <w:jc w:val="cente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p>
      <w:pPr>
        <w:ind w:firstLine="527"/>
        <w:spacing w:before="36" w:after="36"/>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bookmarkStart w:id="25" w:name="_Toc31764"/>
      <w:r/>
      <w:bookmarkStart w:id="26" w:name="_Toc29028"/>
      <w:r/>
      <w:bookmarkStart w:id="27" w:name="_Toc4874"/>
      <w:r>
        <w:rPr>
          <w:rFonts w:hint="eastAsia" w:asciiTheme="minorEastAsia" w:hAnsiTheme="minorEastAsia" w:eastAsiaTheme="minorEastAsia" w:cstheme="minorEastAsia"/>
          <w:b/>
          <w:color w:val="000000"/>
          <w:sz w:val="22"/>
        </w:rPr>
        <w:t xml:space="preserve">注：1、针对评分标准中评分的每一条，供应商均应提供相关资料并作出相应说明供评委评判，不提供相关资料的视为不具备该项得分的条件。</w:t>
      </w:r>
      <w:r/>
    </w:p>
    <w:p>
      <w:pPr>
        <w:numPr>
          <w:ilvl w:val="0"/>
          <w:numId w:val="5"/>
        </w:numPr>
        <w:ind w:firstLine="883"/>
        <w:spacing w:line="240" w:lineRule="exact"/>
        <w:rPr>
          <w:rFonts w:asciiTheme="minorEastAsia" w:hAnsiTheme="minorEastAsia" w:eastAsiaTheme="minorEastAsia" w:cstheme="minorEastAsia"/>
          <w:b/>
          <w:color w:val="000000"/>
          <w:sz w:val="2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2"/>
        </w:rPr>
        <w:t xml:space="preserve">若发现有提供虚假的证明材料，视为无效投标并追究相关责任。</w:t>
      </w:r>
      <w:r/>
    </w:p>
    <w:p>
      <w:pP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pStyle w:val="789"/>
        <w:rPr>
          <w:rFonts w:asciiTheme="minorEastAsia" w:hAnsiTheme="minorEastAsia" w:eastAsiaTheme="minorEastAsia" w:cstheme="minorEastAsia"/>
        </w:rPr>
      </w:pPr>
      <w:r>
        <w:rPr>
          <w:rFonts w:hint="eastAsia" w:asciiTheme="minorEastAsia" w:hAnsiTheme="minorEastAsia" w:eastAsiaTheme="minorEastAsia" w:cstheme="minorEastAsia"/>
          <w:sz w:val="32"/>
          <w:szCs w:val="32"/>
        </w:rPr>
        <w:t xml:space="preserve">第六章 成交公告</w:t>
      </w:r>
      <w:bookmarkEnd w:id="25"/>
      <w:r/>
      <w:bookmarkEnd w:id="26"/>
      <w:r/>
      <w:bookmarkEnd w:id="27"/>
      <w:r/>
      <w:r/>
    </w:p>
    <w:p>
      <w:pPr>
        <w:pStyle w:val="1026"/>
        <w:ind w:firstLine="55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本公司将对经采购人确定的成交供应商在江苏政府采购网上发布成交结果公告，公告期限为1个工作日，不能保证被公告的成交供应商为最终成交供应商！</w:t>
      </w:r>
      <w:r/>
    </w:p>
    <w:p>
      <w:pPr>
        <w:pStyle w:val="789"/>
        <w:rPr>
          <w:rFonts w:asciiTheme="minorEastAsia" w:hAnsiTheme="minorEastAsia" w:eastAsiaTheme="minorEastAsia" w:cstheme="minorEastAsia"/>
        </w:rPr>
      </w:pPr>
      <w:r/>
      <w:bookmarkStart w:id="28" w:name="_Toc12888"/>
      <w:r/>
      <w:bookmarkStart w:id="29" w:name="_Toc21810"/>
      <w:r/>
      <w:bookmarkStart w:id="30" w:name="_Toc2131"/>
      <w:r>
        <w:rPr>
          <w:rFonts w:hint="eastAsia" w:asciiTheme="minorEastAsia" w:hAnsiTheme="minorEastAsia" w:eastAsiaTheme="minorEastAsia" w:cstheme="minorEastAsia"/>
        </w:rPr>
        <w:t xml:space="preserve">第七章 合同签订</w:t>
      </w:r>
      <w:bookmarkEnd w:id="28"/>
      <w:r/>
      <w:bookmarkEnd w:id="29"/>
      <w:r/>
      <w:bookmarkEnd w:id="30"/>
      <w:r/>
      <w:r/>
    </w:p>
    <w:p>
      <w:pPr>
        <w:pStyle w:val="1026"/>
        <w:ind w:firstLine="55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章。</w:t>
      </w:r>
      <w:r/>
    </w:p>
    <w:p>
      <w:pPr>
        <w:pStyle w:val="1026"/>
        <w:ind w:firstLine="55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26"/>
        <w:ind w:firstLine="55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789"/>
        <w:rPr>
          <w:rFonts w:asciiTheme="minorEastAsia" w:hAnsiTheme="minorEastAsia" w:eastAsiaTheme="minorEastAsia" w:cstheme="minorEastAsia"/>
        </w:rPr>
      </w:pPr>
      <w:r/>
      <w:bookmarkStart w:id="31" w:name="_Toc15057"/>
      <w:r/>
      <w:bookmarkStart w:id="32" w:name="_Toc30954"/>
      <w:r/>
      <w:bookmarkStart w:id="33" w:name="_Toc12880"/>
      <w:r>
        <w:rPr>
          <w:rFonts w:hint="eastAsia" w:asciiTheme="minorEastAsia" w:hAnsiTheme="minorEastAsia" w:eastAsiaTheme="minorEastAsia" w:cstheme="minorEastAsia"/>
        </w:rPr>
        <w:t xml:space="preserve">第八章 质疑投诉</w:t>
      </w:r>
      <w:bookmarkEnd w:id="31"/>
      <w:r/>
      <w:bookmarkEnd w:id="32"/>
      <w:r/>
      <w:bookmarkEnd w:id="33"/>
      <w:r/>
      <w:r/>
    </w:p>
    <w:p>
      <w:pPr>
        <w:pStyle w:val="1026"/>
        <w:ind w:firstLine="54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3、供应商质疑和投诉实行实名制，其质疑和投诉应当有具体的质疑和投诉事项及事实根据，并配合采购人、采购代理机构和政府采购监督管理部门处理质疑和投诉。</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4、供应商提出质疑，必须以参加磋商供应商法定代表人或授权委托人（被授权人）（响应文件中所确定的）原件送达的方式，向采购人或者采购代理机构提交质疑函，质疑</w:t>
      </w:r>
      <w:r>
        <w:rPr>
          <w:rFonts w:hint="eastAsia" w:asciiTheme="minorEastAsia" w:hAnsiTheme="minorEastAsia" w:eastAsiaTheme="minorEastAsia" w:cstheme="minorEastAsia"/>
          <w:sz w:val="24"/>
        </w:rPr>
        <w:t xml:space="preserve">函应当包括下列内容：</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（一）质疑供应商的姓名或名称、地址、邮编、联系人及联系电话；</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（二）质疑项目的名称、编号；</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（三）具体、明确的质疑事项和与质疑事项相关的请求；</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（四）事实依据；</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（五）必要的法律依据；</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（六）提出质疑的日期；</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质疑供应商委托代理质疑的，应当向采购人或采购代理机构提交授权委托书及委托代理人的有效身份证明，同时授权委托书应载明委托代理的具体权限和事项。</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26"/>
        <w:ind w:firstLine="54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7、采购人或采购代理机构答复供应商质疑应当采用书面方式并依法送达。质疑供应商或其委托代理人拒绝签收的视为已经送达。</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26"/>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9、质疑供应商对质疑答复不满意的，或者采购人、采购代理机构未在规定时间内作出答复的，可在答复期满后15个工作日内向政府采购监督管理部门投诉。逾期将不再受理。</w:t>
      </w:r>
      <w:r/>
    </w:p>
    <w:p>
      <w:pPr>
        <w:pStyle w:val="789"/>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bookmarkStart w:id="34" w:name="_Toc29765"/>
      <w:r/>
      <w:bookmarkStart w:id="35" w:name="_Toc31758"/>
      <w:r>
        <w:rPr>
          <w:rFonts w:hint="eastAsia" w:asciiTheme="minorEastAsia" w:hAnsiTheme="minorEastAsia" w:eastAsiaTheme="minorEastAsia" w:cstheme="minorEastAsia"/>
        </w:rPr>
        <w:t xml:space="preserve">第九章 工程量清单</w:t>
      </w:r>
      <w:bookmarkEnd w:id="34"/>
      <w:r/>
      <w:bookmarkEnd w:id="35"/>
      <w:r/>
      <w:r/>
    </w:p>
    <w:p>
      <w:pPr>
        <w:spacing w:line="360" w:lineRule="auto"/>
        <w:rPr>
          <w:rFonts w:asciiTheme="minorEastAsia" w:hAnsiTheme="minorEastAsia" w:eastAsiaTheme="minorEastAsia" w:cstheme="minorEastAsia"/>
          <w:color w:val="000000"/>
          <w:sz w:val="24"/>
        </w:rPr>
      </w:pPr>
      <w:r/>
      <w:bookmarkStart w:id="36" w:name="_Toc162409184"/>
      <w:r/>
      <w:bookmarkStart w:id="37" w:name="_Toc241459760"/>
      <w:r/>
      <w:bookmarkStart w:id="38" w:name="_Toc362252985"/>
      <w:r/>
      <w:bookmarkStart w:id="39" w:name="_Toc342296519"/>
      <w:r>
        <w:rPr>
          <w:rFonts w:hint="eastAsia" w:asciiTheme="minorEastAsia" w:hAnsiTheme="minorEastAsia" w:eastAsiaTheme="minorEastAsia" w:cstheme="minorEastAsia"/>
          <w:color w:val="000000"/>
          <w:sz w:val="24"/>
        </w:rPr>
        <w:t xml:space="preserve">1</w:t>
      </w:r>
      <w:bookmarkEnd w:id="36"/>
      <w:r>
        <w:rPr>
          <w:rFonts w:hint="eastAsia" w:asciiTheme="minorEastAsia" w:hAnsiTheme="minorEastAsia" w:eastAsiaTheme="minorEastAsia" w:cstheme="minorEastAsia"/>
          <w:color w:val="000000"/>
          <w:sz w:val="24"/>
        </w:rPr>
        <w:t xml:space="preserve">.工程量清单说明</w:t>
      </w:r>
      <w:bookmarkEnd w:id="37"/>
      <w:r/>
      <w:bookmarkEnd w:id="38"/>
      <w:r/>
      <w:bookmarkEnd w:id="39"/>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1.1本工程量清单是依据现行中华人民共和国国家标准《建设工程工程量清单计价规范》（GB50500—2024）（以下简称“2024版计价规范”）及《房屋建筑与装饰工程工程量计算规范》（GB50854-2024）等9本工程量计算规范（以下简称“2024版计算规范”）以及采购文件中包括的图纸等编制。计量采用中华人民共和国法定的基本计量单位。</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spacing w:line="360" w:lineRule="auto"/>
        <w:rPr>
          <w:rFonts w:asciiTheme="minorEastAsia" w:hAnsiTheme="minorEastAsia" w:eastAsiaTheme="minorEastAsia" w:cstheme="minorEastAsia"/>
          <w:i/>
          <w:iCs/>
          <w:color w:val="000000"/>
          <w:sz w:val="24"/>
        </w:rPr>
      </w:pPr>
      <w:r>
        <w:rPr>
          <w:rFonts w:hint="eastAsia" w:asciiTheme="minorEastAsia" w:hAnsiTheme="minorEastAsia" w:eastAsiaTheme="minorEastAsia" w:cstheme="minorEastAsia"/>
          <w:color w:val="000000"/>
          <w:sz w:val="24"/>
        </w:rPr>
        <w:t xml:space="preserve">1.3对2024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40" w:name="_Toc241459761"/>
      <w:r/>
      <w:bookmarkStart w:id="41" w:name="_Toc362252986"/>
      <w:r/>
      <w:bookmarkStart w:id="42" w:name="_Toc342296520"/>
      <w:r/>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2.投标报价说明</w:t>
      </w:r>
      <w:bookmarkEnd w:id="40"/>
      <w:r/>
      <w:bookmarkEnd w:id="41"/>
      <w:r/>
      <w:bookmarkEnd w:id="42"/>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2.1投标报价应根据采购文件中的有关计价要求，并按照下列依据自主报价:</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（1）本磋商文件；</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（2）《建设工程工程量清单计价标准》（GB/T50500-2024）及《房屋建筑与装饰工程工程量计算规范》（GB50854-2024）等9本工程量计算规范；</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（3）国家或省级、行业建设主管部门颁发的计价办法；</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（4）企业定额，国家或省级、行业建设主管部门颁发的计价定额；</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（5）磋商文件（包括工程量清单）的澄清、补充和修改文件；</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（6）建设工程设计文件及相关资料；</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（7）施工现场情况、工程特点及拟定的投标施工组织设计或施工方案；</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（8）与建设项目相关的标准、规定等技术资料；</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（9）市场价格信息或工程造价管理机构发布的工程造价信息；</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（10）其他的相关资料。</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2.2 供应商应按招标工程量清单填报价格。</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2.3 综合单价中应包含采购文件中划分的应由供应商承担的风险范围及其费用。</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2.4 分部分项工程项目和专业措施项目，应根据采购文件和招标工程量清单项目中的特征描述确定综合单价及合价计算。如出现招标工程量清单特征描述与设计图纸不符时，</w:t>
      </w:r>
      <w:r>
        <w:rPr>
          <w:rFonts w:hint="eastAsia" w:asciiTheme="minorEastAsia" w:hAnsiTheme="minorEastAsia" w:eastAsiaTheme="minorEastAsia" w:cstheme="minorEastAsia"/>
          <w:color w:val="000000"/>
          <w:sz w:val="24"/>
        </w:rPr>
        <w:t xml:space="preserve">供应商应以招标工程量清单的项目特征描述为准，确定投标报价的综合单价及合价。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2.5 措施项目的金额应根据采购文件及投标时拟定的施工组织设计或施工方案，按计价规范的规定自主确定。但安全生产、文明施工、环境保护费应按照招标工程量清单所列的费率和计算基础确定。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2.6 其他项目费应按下列规定报价：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（1）暂列金额应按招标工程量清单中列出的金额填写；</w:t>
      </w:r>
      <w:r/>
    </w:p>
    <w:p>
      <w:pPr>
        <w:pStyle w:val="1036"/>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（2）材料、工程设备暂估价应按招标工程量清单中列出的单价计入综合单价；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（3）专业工程暂估价应按招标工程量清单中列出的金额填写；</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（4）计日工应按招标工程量清单中列出的项目和数量，自主确定综合单价并计算计日工总额；</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（5）总承包服务费应根据招标工程量清单中列出的内容和供应材料、设备情况，按照采购人提出的协调、配合与服务要求和施工现场管理需要自主确定。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2.7 税金应按招标工程量清单所列的费率和计算基础确定。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2.8 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2.9 投标总价应当与分部分项工程费、措施项目费、其他项目费和税金的合计金额一致。</w:t>
      </w:r>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3.最高投标限价</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3.1一般规定</w:t>
      </w:r>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3.1.1　最高投标限价应根据下列依据编制与复核：</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（1）《建设工程工程量清单计价标准》（GB/T50500-2024）及《房屋建筑与装饰工程工程量计算规范》（GB50854-2024）等9本工程量计算规范；</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（2）国家或省级、行业建设主管部门颁发的计价定额和计价办法；</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（3）建设工程设计文件及相关资料；</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（4）拟定的采购文件及招标工程量清单；</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（5）与建设项目相关的标准、规范、技术资料；</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（6）施工现场情况、工程特点及常规施工方案；</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（7）工程造价管理机构发布的工程造价信息，当工程造价信息没有发布时，参照市场价；</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（8）其他相关资料</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3.1.2 当招标控制价超过批准的概算时，采购人应将其报原概算审批部门审核。</w:t>
      </w:r>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3.1.3 同一单位工程的项目编码不得有重复，不强制要求同一招标工程的项目编码不得重复。最高投标限价的清单编码排序必须与工程量清单编码排序一致，同一标段内多个单位工程的清单编码按单位工程排序。</w:t>
      </w:r>
      <w:r/>
    </w:p>
    <w:p>
      <w:pPr>
        <w:pStyle w:val="1037"/>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4.合同价款调整</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4.1下列事项（但不限于）发生，发承包双方应当调整合同价款：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1)法律法规变化；</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2)工程变更；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3)项目特征不符；</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4)工程量清单缺项；</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5)工程量偏差；</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6)计日工；</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7)物价变化；</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8)暂估价；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9)不可抗力；</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10)提前竣工（赶工补偿）；</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11)误期赔偿；</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12)索赔；</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13)现场签证；</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14)暂列金额；</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15)发承包双方约定的其他调整事项。</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4.2工程量必须以承包人完成合同工程应予计量的工程量确定。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4.4工程变更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4.4.1因工程变更引起的已标价工程量清单项目发生变化时，应按照下列规定调整：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1)已标价工程量清单中有适用于变更工程项目的，采用该项目的单价。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2)已标价工程量清单中没有适用但有类似于变更工程项目的，参照类似项目的单价。</w:t>
      </w:r>
      <w:r/>
    </w:p>
    <w:p>
      <w:pPr>
        <w:ind w:firstLine="480"/>
        <w:jc w:val="left"/>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K值= [中标价-暂列金额-暂估价-甲供材]／[招标控制价-暂列金额-暂估价-甲供材]</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1)专用措施项目变更原则同分部分项工程，按照实际发生变化的措施项目，确定单价及合价；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2)通用措施项目中以费率报价的，费率不变；</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3)总价项目中以费用报价的，按投标时口径折算成费率调整；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4)原措施费中没有的措施项目，由承包人按第4.4.1条规定提出适当的措施费变更要求，经发包人确认后调整。</w:t>
      </w:r>
      <w:bookmarkStart w:id="43" w:name="_GoBack"/>
      <w:r/>
      <w:bookmarkEnd w:id="43"/>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如果承包人未事先将拟实施的方案提交给发包人确认，则视为工程变更不引起措施项目费的调整或承包人放弃调整措施项目费的权利。</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4.5工程量清单缺项、项目特征不符的，按规定调整合同价款。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4.6计日工</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4.6.1发包人通知承包人以计日工方式实施的零星工作，承包人应予执行。</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4.6.2采用计日工计价的任何一项变更工作，在该项变更的实施过程中，承包人应按合同约定提交下列报表和有关凭证送发包人复核：</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1)工作名称、内容和数量；</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2)投入该工作所有人员的姓名、工种、级别和耗用工时；</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3)投入该工作的材料名称、类别和数量；</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4)投入该工作的施工设备型号、台数和耗用台时；</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5)发包人要求提交的其他资料和凭证。</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4.7发包人与承包人对合同价款调整的不同意见不能达成一致的，只要对发承包双方履约不产生实质影响，双方应继续履行合同义务，直到其按照合同约定的争议解决方式得</w:t>
      </w:r>
      <w:r>
        <w:rPr>
          <w:rFonts w:hint="eastAsia" w:asciiTheme="minorEastAsia" w:hAnsiTheme="minorEastAsia" w:eastAsiaTheme="minorEastAsia" w:cstheme="minorEastAsia"/>
          <w:color w:val="000000"/>
          <w:sz w:val="24"/>
        </w:rPr>
        <w:t xml:space="preserve">到处理。</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4.8经发承包双方确认调整的合同价款，作为追加（减）合同价款，与工程进度款或结算款同期支付。</w:t>
      </w:r>
      <w:r/>
    </w:p>
    <w:p>
      <w:pPr>
        <w:pStyle w:val="1037"/>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5.竣工结算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5.1当发承包双方或一方对工程造价咨询人出具的竣工结算文件有异议时，可向工程造价管理机构投诉，申请对其进行执业质量鉴定。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5.3工程竣工结算应根据下列依据编制和复核：</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1)《建设工程工程量清单计价规范》（GB50500—2024）及《房屋建筑与装饰工程工程量计算规范》（GB50854-2024）等9本工程量计算规范；</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2)工程合同；</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3)发承包双方实施过程中已确认的工程量及其结算的合同价款；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4)发承包双方实施过程中已确认调整后追加（减）的合同价款；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5)建设工程设计文件及相关资料；</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6)响应文件；</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7)其他依据。</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5.4除合同另有约定外，甲供材料价款扣除的方式如下：</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5.5分部分项工程和措施项目中的单价项目应依据发承包双方确认的工程量与已标价工程量清单的综合单价计算；发生调整的，应以发承包双方确认调整的综合单价计算。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5.6措施项目中的总价项目应依据已标价工程量清单的项目和金额计算；发生调整的，应以发承包双方确认调整的金额计算。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5.7其他项目应按下列规定计价：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1)计日工应按发包人实际签证确认的事项计算；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2)暂估价应按合同约定方式计算；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3)总承包服务费应依据已标价工程量清单的金额计算；发生调整的，应以发承包双方确认调整的金额计算；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4)索赔费用应依据发承包双方确认的索赔事项和金额计算；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5)现场签证费用应依据发承包双方签证资料确认的金额计算；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6)暂列金额应减去合同价款（包括索赔、现场签证）金额计算，如有余额归发包人。</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5.8按质论价费不计入招标控制价、投标报价，由施工企业在实现采购文件或合同中约定的创建目标后，凭相关证明文件依据合同约定与建设单位结算价款。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5.10发承包双方在合同工程实施过程中已经确认的工程计量结果和合同价款，在竣工结算办理中应直接进入结算。</w:t>
      </w:r>
      <w:r/>
    </w:p>
    <w:p>
      <w:pPr>
        <w:pStyle w:val="739"/>
        <w:spacing w:before="94" w:line="360" w:lineRule="auto"/>
        <w:tabs>
          <w:tab w:val="left" w:pos="3229" w:leader="none"/>
          <w:tab w:val="left" w:pos="4909" w:leader="none"/>
          <w:tab w:val="left" w:pos="5329" w:leader="none"/>
          <w:tab w:val="left" w:pos="5751" w:leader="none"/>
        </w:tabs>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6"/>
        <w:spacing w:line="52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6"/>
        <w:spacing w:line="52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7"/>
        <w:rPr>
          <w:rFonts w:asciiTheme="minorEastAsia" w:hAnsiTheme="minorEastAsia" w:eastAsiaTheme="minorEastAsia" w:cstheme="minorEastAsia"/>
        </w:rPr>
      </w:pPr>
      <w:r>
        <w:rPr>
          <w:rFonts w:asciiTheme="minorEastAsia" w:hAnsiTheme="minorEastAsia" w:eastAsiaTheme="minorEastAsia" w:cstheme="minorEastAsia"/>
        </w:rPr>
      </w:r>
      <w:r/>
    </w:p>
    <w:p>
      <w:pPr>
        <w:pStyle w:val="1027"/>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pStyle w:val="789"/>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bookmarkStart w:id="44" w:name="_Toc27670"/>
      <w:r/>
      <w:bookmarkStart w:id="45" w:name="_Toc4828"/>
      <w:r>
        <w:rPr>
          <w:rFonts w:hint="eastAsia" w:asciiTheme="minorEastAsia" w:hAnsiTheme="minorEastAsia" w:eastAsiaTheme="minorEastAsia" w:cstheme="minorEastAsia"/>
          <w:sz w:val="32"/>
          <w:szCs w:val="32"/>
        </w:rPr>
        <w:t xml:space="preserve">第十章 政府采购合同（参考）</w:t>
      </w:r>
      <w:bookmarkEnd w:id="44"/>
      <w:r/>
      <w:bookmarkEnd w:id="45"/>
      <w:r/>
      <w:r/>
    </w:p>
    <w:p>
      <w:pPr>
        <w:pStyle w:val="1038"/>
        <w:jc w:val="center"/>
        <w:rPr>
          <w:rFonts w:asciiTheme="minorEastAsia" w:hAnsiTheme="minorEastAsia" w:eastAsiaTheme="minorEastAsia" w:cstheme="minorEastAsia"/>
          <w:b/>
          <w:sz w:val="72"/>
          <w:szCs w:val="52"/>
        </w:rPr>
      </w:pPr>
      <w:r>
        <w:rPr>
          <w:rFonts w:hint="eastAsia" w:asciiTheme="minorEastAsia" w:hAnsiTheme="minorEastAsia" w:eastAsiaTheme="minorEastAsia" w:cstheme="minorEastAsia"/>
          <w:b/>
          <w:sz w:val="72"/>
          <w:szCs w:val="52"/>
        </w:rPr>
        <w:t xml:space="preserve">建设工程施工合同</w:t>
      </w:r>
      <w:r/>
    </w:p>
    <w:p>
      <w:pPr>
        <w:pStyle w:val="1038"/>
        <w:jc w:val="center"/>
        <w:rPr>
          <w:rFonts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t xml:space="preserve">（示范文本）</w:t>
      </w:r>
      <w:r/>
    </w:p>
    <w:p>
      <w:pPr>
        <w:pStyle w:val="1038"/>
        <w:jc w:val="center"/>
        <w:rPr>
          <w:rFonts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（GF—2017—0201）</w:t>
      </w:r>
      <w:r/>
    </w:p>
    <w:p>
      <w:pPr>
        <w:pStyle w:val="1038"/>
        <w:jc w:val="center"/>
        <w:rPr>
          <w:rFonts w:asciiTheme="minorEastAsia" w:hAnsiTheme="minorEastAsia" w:eastAsiaTheme="minorEastAsia" w:cstheme="minorEastAsia"/>
          <w:b/>
          <w:sz w:val="52"/>
          <w:szCs w:val="52"/>
        </w:rPr>
      </w:pPr>
      <w:r>
        <w:rPr>
          <w:rFonts w:asciiTheme="minorEastAsia" w:hAnsiTheme="minorEastAsia" w:eastAsiaTheme="minorEastAsia" w:cstheme="minorEastAsia"/>
          <w:b/>
          <w:sz w:val="52"/>
          <w:szCs w:val="52"/>
        </w:rPr>
      </w:r>
      <w:r/>
    </w:p>
    <w:p>
      <w:pPr>
        <w:pStyle w:val="791"/>
        <w:ind w:left="0" w:firstLine="0"/>
        <w:jc w:val="center"/>
        <w:rPr>
          <w:rFonts w:asciiTheme="minorEastAsia" w:hAnsiTheme="minorEastAsia" w:eastAsiaTheme="minorEastAsia" w:cstheme="minorEastAsia"/>
          <w:b w:val="0"/>
          <w:szCs w:val="28"/>
        </w:rPr>
      </w:pPr>
      <w:r/>
      <w:bookmarkStart w:id="46" w:name="_Toc498006744"/>
      <w:r/>
      <w:bookmarkStart w:id="47" w:name="_Toc13260"/>
      <w:r>
        <w:rPr>
          <w:rFonts w:hint="eastAsia" w:asciiTheme="minorEastAsia" w:hAnsiTheme="minorEastAsia" w:eastAsiaTheme="minorEastAsia" w:cstheme="minorEastAsia"/>
          <w:szCs w:val="28"/>
        </w:rPr>
        <w:t xml:space="preserve">第一部分 合同协议书</w:t>
      </w:r>
      <w:bookmarkEnd w:id="46"/>
      <w:r/>
      <w:bookmarkEnd w:id="47"/>
      <w:r/>
      <w:r/>
    </w:p>
    <w:p>
      <w:pPr>
        <w:spacing w:line="332" w:lineRule="auto"/>
        <w:rPr>
          <w:rFonts w:asciiTheme="minorEastAsia" w:hAnsiTheme="minorEastAsia" w:eastAsiaTheme="minorEastAsia" w:cstheme="minorEastAsia"/>
          <w:bCs/>
          <w:szCs w:val="30"/>
        </w:rPr>
      </w:pPr>
      <w:r>
        <w:rPr>
          <w:rFonts w:asciiTheme="minorEastAsia" w:hAnsiTheme="minorEastAsia" w:eastAsiaTheme="minorEastAsia" w:cstheme="minorEastAsia"/>
          <w:bCs/>
          <w:szCs w:val="30"/>
        </w:rPr>
      </w:r>
      <w:r/>
    </w:p>
    <w:p>
      <w:pPr>
        <w:spacing w:line="332" w:lineRule="auto"/>
        <w:rPr>
          <w:rFonts w:asciiTheme="minorEastAsia" w:hAnsiTheme="minorEastAsia" w:eastAsiaTheme="minorEastAsia" w:cstheme="minorEastAsia"/>
          <w:bCs/>
          <w:szCs w:val="30"/>
          <w:u w:val="single"/>
        </w:rPr>
      </w:pPr>
      <w:r>
        <w:rPr>
          <w:rFonts w:hint="eastAsia" w:asciiTheme="minorEastAsia" w:hAnsiTheme="minorEastAsia" w:eastAsiaTheme="minorEastAsia" w:cstheme="minorEastAsia"/>
          <w:bCs/>
          <w:szCs w:val="30"/>
        </w:rPr>
        <w:t xml:space="preserve">发包人（全称）：</w:t>
      </w:r>
      <w:r>
        <w:rPr>
          <w:rFonts w:hint="eastAsia" w:asciiTheme="minorEastAsia" w:hAnsiTheme="minorEastAsia" w:eastAsiaTheme="minorEastAsia" w:cstheme="minorEastAsia"/>
          <w:bCs/>
          <w:szCs w:val="30"/>
          <w:u w:val="single"/>
        </w:rPr>
        <w:t xml:space="preserve">泰州市姜堰区张甸镇人民政府</w:t>
      </w:r>
      <w:r/>
    </w:p>
    <w:p>
      <w:pPr>
        <w:spacing w:line="332" w:lineRule="auto"/>
        <w:rPr>
          <w:rFonts w:asciiTheme="minorEastAsia" w:hAnsiTheme="minorEastAsia" w:eastAsiaTheme="minorEastAsia" w:cstheme="minorEastAsia"/>
          <w:b/>
          <w:szCs w:val="30"/>
          <w:u w:val="single"/>
        </w:rPr>
      </w:pPr>
      <w:r>
        <w:rPr>
          <w:rFonts w:hint="eastAsia" w:asciiTheme="minorEastAsia" w:hAnsiTheme="minorEastAsia" w:eastAsiaTheme="minorEastAsia" w:cstheme="minorEastAsia"/>
          <w:bCs/>
          <w:szCs w:val="30"/>
        </w:rPr>
        <w:t xml:space="preserve">承包人（全称）：</w:t>
      </w:r>
      <w:r>
        <w:rPr>
          <w:rFonts w:hint="eastAsia" w:asciiTheme="minorEastAsia" w:hAnsiTheme="minorEastAsia" w:eastAsiaTheme="minorEastAsia" w:cstheme="minorEastAsia"/>
          <w:b/>
          <w:szCs w:val="30"/>
          <w:u w:val="single"/>
        </w:rPr>
        <w:t xml:space="preserve">                      </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根据《中华人民共和国民法典》、《中华人民共和国建筑法》及有关法律规定，遵循平等、自愿、公平和诚实信用的原则，双方就工程施工及有关事项协商一致，共同达成如下协议：</w:t>
      </w:r>
      <w:r/>
    </w:p>
    <w:p>
      <w:pPr>
        <w:pStyle w:val="792"/>
        <w:spacing w:before="0" w:after="0" w:line="360" w:lineRule="auto"/>
        <w:rPr>
          <w:rFonts w:asciiTheme="minorEastAsia" w:hAnsiTheme="minorEastAsia" w:eastAsiaTheme="minorEastAsia" w:cstheme="minorEastAsia"/>
          <w:bCs w:val="0"/>
          <w:szCs w:val="32"/>
        </w:rPr>
      </w:pPr>
      <w:r/>
      <w:bookmarkStart w:id="48" w:name="_Toc351203481"/>
      <w:r>
        <w:rPr>
          <w:rFonts w:hint="eastAsia" w:asciiTheme="minorEastAsia" w:hAnsiTheme="minorEastAsia" w:eastAsiaTheme="minorEastAsia" w:cstheme="minorEastAsia"/>
          <w:bCs w:val="0"/>
          <w:szCs w:val="32"/>
        </w:rPr>
        <w:t xml:space="preserve">一、工程概况</w:t>
      </w:r>
      <w:bookmarkEnd w:id="48"/>
      <w:r/>
      <w:r/>
    </w:p>
    <w:p>
      <w:pPr>
        <w:ind w:firstLine="411"/>
        <w:spacing w:line="332" w:lineRule="auto"/>
        <w:rPr>
          <w:rFonts w:asciiTheme="minorEastAsia" w:hAnsiTheme="minorEastAsia" w:eastAsiaTheme="minorEastAsia" w:cstheme="minorEastAsia"/>
          <w:szCs w:val="30"/>
          <w:u w:val="single"/>
        </w:rPr>
      </w:pPr>
      <w:r>
        <w:rPr>
          <w:rFonts w:hint="eastAsia" w:asciiTheme="minorEastAsia" w:hAnsiTheme="minorEastAsia" w:eastAsiaTheme="minorEastAsia" w:cstheme="minorEastAsia"/>
          <w:bCs/>
          <w:szCs w:val="30"/>
        </w:rPr>
        <w:t xml:space="preserve">1.工程名称</w:t>
      </w:r>
      <w:r>
        <w:rPr>
          <w:rFonts w:hint="eastAsia" w:asciiTheme="minorEastAsia" w:hAnsiTheme="minorEastAsia" w:eastAsiaTheme="minorEastAsia" w:cstheme="minorEastAsia"/>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2.工程地点：</w:t>
      </w:r>
      <w:r>
        <w:rPr>
          <w:rFonts w:hint="eastAsia" w:asciiTheme="minorEastAsia" w:hAnsiTheme="minorEastAsia" w:eastAsiaTheme="minorEastAsia" w:cstheme="minorEastAsia"/>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3.工程立项批准文号：。</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4.资金来源：</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bCs/>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5.工程内容：</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bCs/>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szCs w:val="32"/>
        </w:rPr>
        <w:t xml:space="preserve">群体工程应附《承包人承揽工程项目一览表》（附件1）。</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6.工程承包范围：</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p>
    <w:p>
      <w:pPr>
        <w:pStyle w:val="792"/>
        <w:spacing w:before="0" w:after="0" w:line="360" w:lineRule="auto"/>
        <w:rPr>
          <w:rFonts w:asciiTheme="minorEastAsia" w:hAnsiTheme="minorEastAsia" w:eastAsiaTheme="minorEastAsia" w:cstheme="minorEastAsia"/>
          <w:bCs w:val="0"/>
          <w:szCs w:val="32"/>
        </w:rPr>
      </w:pPr>
      <w:r/>
      <w:bookmarkStart w:id="49" w:name="_Toc351203482"/>
      <w:r>
        <w:rPr>
          <w:rFonts w:hint="eastAsia" w:asciiTheme="minorEastAsia" w:hAnsiTheme="minorEastAsia" w:eastAsiaTheme="minorEastAsia" w:cstheme="minorEastAsia"/>
          <w:bCs w:val="0"/>
          <w:szCs w:val="32"/>
        </w:rPr>
        <w:t xml:space="preserve">二、合同工期</w:t>
      </w:r>
      <w:bookmarkEnd w:id="49"/>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计划开工日期：年月日。</w:t>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计划竣工日期：年月日。</w:t>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工期总日历天数：天。工期总日历天数与根据前述计划开竣工日期计算的工期天数不一致的，以工期总日历天数为准。</w:t>
      </w:r>
      <w:r/>
    </w:p>
    <w:p>
      <w:pPr>
        <w:pStyle w:val="792"/>
        <w:spacing w:before="0" w:after="0" w:line="360" w:lineRule="auto"/>
        <w:rPr>
          <w:rFonts w:asciiTheme="minorEastAsia" w:hAnsiTheme="minorEastAsia" w:eastAsiaTheme="minorEastAsia" w:cstheme="minorEastAsia"/>
          <w:bCs w:val="0"/>
          <w:szCs w:val="32"/>
        </w:rPr>
      </w:pPr>
      <w:r/>
      <w:bookmarkStart w:id="50" w:name="_Toc351203483"/>
      <w:r>
        <w:rPr>
          <w:rFonts w:hint="eastAsia" w:asciiTheme="minorEastAsia" w:hAnsiTheme="minorEastAsia" w:eastAsiaTheme="minorEastAsia" w:cstheme="minorEastAsia"/>
          <w:bCs w:val="0"/>
          <w:szCs w:val="32"/>
        </w:rPr>
        <w:t xml:space="preserve">三、质量标准</w:t>
      </w:r>
      <w:bookmarkEnd w:id="50"/>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工程质量符合</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szCs w:val="30"/>
        </w:rPr>
        <w:t xml:space="preserve">标准。</w:t>
      </w:r>
      <w:r/>
    </w:p>
    <w:p>
      <w:pPr>
        <w:pStyle w:val="792"/>
        <w:spacing w:before="0" w:after="0" w:line="360" w:lineRule="auto"/>
        <w:rPr>
          <w:rFonts w:asciiTheme="minorEastAsia" w:hAnsiTheme="minorEastAsia" w:eastAsiaTheme="minorEastAsia" w:cstheme="minorEastAsia"/>
          <w:bCs w:val="0"/>
          <w:szCs w:val="32"/>
        </w:rPr>
      </w:pPr>
      <w:r/>
      <w:bookmarkStart w:id="51" w:name="_Toc351203484"/>
      <w:r>
        <w:rPr>
          <w:rFonts w:hint="eastAsia" w:asciiTheme="minorEastAsia" w:hAnsiTheme="minorEastAsia" w:eastAsiaTheme="minorEastAsia" w:cstheme="minorEastAsia"/>
          <w:bCs w:val="0"/>
          <w:szCs w:val="32"/>
        </w:rPr>
        <w:t xml:space="preserve">四、签约合同价与合同价格形式</w:t>
      </w:r>
      <w:bookmarkEnd w:id="51"/>
      <w:r>
        <w:rPr>
          <w:rFonts w:hint="eastAsia" w:asciiTheme="minorEastAsia" w:hAnsiTheme="minorEastAsia" w:eastAsiaTheme="minorEastAsia" w:cstheme="minorEastAsia"/>
          <w:b w:val="0"/>
          <w:szCs w:val="32"/>
        </w:rPr>
        <w:tab/>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1.签约合同价为：</w:t>
      </w:r>
      <w:r/>
    </w:p>
    <w:p>
      <w:pPr>
        <w:ind w:firstLine="52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其中：</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（1）安全文明施工费：</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 (¥元)；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（2）材料和工程设备暂估价金额：</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 (¥元)；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（3）专业工程暂估价金额：</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 (¥元)；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（4）暂列金额：</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 (¥元)。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2.合同价格形式：</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szCs w:val="30"/>
        </w:rPr>
        <w:t xml:space="preserve">。</w:t>
      </w:r>
      <w:r/>
    </w:p>
    <w:p>
      <w:pPr>
        <w:pStyle w:val="792"/>
        <w:spacing w:before="0" w:after="0" w:line="360" w:lineRule="auto"/>
        <w:rPr>
          <w:rFonts w:asciiTheme="minorEastAsia" w:hAnsiTheme="minorEastAsia" w:eastAsiaTheme="minorEastAsia" w:cstheme="minorEastAsia"/>
          <w:bCs w:val="0"/>
          <w:szCs w:val="32"/>
        </w:rPr>
      </w:pPr>
      <w:r/>
      <w:bookmarkStart w:id="52" w:name="_Toc351203485"/>
      <w:r>
        <w:rPr>
          <w:rFonts w:hint="eastAsia" w:asciiTheme="minorEastAsia" w:hAnsiTheme="minorEastAsia" w:eastAsiaTheme="minorEastAsia" w:cstheme="minorEastAsia"/>
          <w:bCs w:val="0"/>
          <w:szCs w:val="32"/>
        </w:rPr>
        <w:t xml:space="preserve">五、</w:t>
      </w:r>
      <w:bookmarkEnd w:id="52"/>
      <w:r>
        <w:rPr>
          <w:rFonts w:hint="eastAsia" w:asciiTheme="minorEastAsia" w:hAnsiTheme="minorEastAsia" w:eastAsiaTheme="minorEastAsia" w:cstheme="minorEastAsia"/>
          <w:bCs w:val="0"/>
          <w:szCs w:val="32"/>
        </w:rPr>
        <w:t xml:space="preserve">项目经理</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承包人项目经理：</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szCs w:val="30"/>
        </w:rPr>
        <w:t xml:space="preserve">。</w:t>
      </w:r>
      <w:r/>
    </w:p>
    <w:p>
      <w:pPr>
        <w:pStyle w:val="792"/>
        <w:spacing w:before="0" w:after="0" w:line="360" w:lineRule="auto"/>
        <w:rPr>
          <w:rFonts w:asciiTheme="minorEastAsia" w:hAnsiTheme="minorEastAsia" w:eastAsiaTheme="minorEastAsia" w:cstheme="minorEastAsia"/>
          <w:bCs w:val="0"/>
          <w:szCs w:val="32"/>
        </w:rPr>
      </w:pPr>
      <w:r/>
      <w:bookmarkStart w:id="53" w:name="_Toc351203486"/>
      <w:r>
        <w:rPr>
          <w:rFonts w:hint="eastAsia" w:asciiTheme="minorEastAsia" w:hAnsiTheme="minorEastAsia" w:eastAsiaTheme="minorEastAsia" w:cstheme="minorEastAsia"/>
          <w:bCs w:val="0"/>
          <w:szCs w:val="32"/>
        </w:rPr>
        <w:t xml:space="preserve">六、合同文件构成</w:t>
      </w:r>
      <w:bookmarkEnd w:id="53"/>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本协议书与下列文件一起构成合同文件：</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（1）中标通知书（如果有）；</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（2）投标函及投标函附录； </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（3）专用合同条款及其附件；</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（4）通用合同条款；</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（5）技术标准和要求；</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（6）图纸；</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（7）已标价工程量清单或预算书；</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（8）其他合同文件。</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在合同订立及履行过程中形成的与合同有关的文件均构成合同文件组成部分。</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上述各项合同文件包括合同当事人就该项合同文件所作出的补充和修改，属于同一类内容的文件，应以最新签署的为准。专用合同条款及其附件须经合同当事人签字或盖章。</w:t>
      </w:r>
      <w:r/>
    </w:p>
    <w:p>
      <w:pPr>
        <w:pStyle w:val="792"/>
        <w:spacing w:before="0" w:after="0" w:line="360" w:lineRule="auto"/>
        <w:rPr>
          <w:rFonts w:asciiTheme="minorEastAsia" w:hAnsiTheme="minorEastAsia" w:eastAsiaTheme="minorEastAsia" w:cstheme="minorEastAsia"/>
          <w:bCs w:val="0"/>
          <w:szCs w:val="32"/>
        </w:rPr>
      </w:pPr>
      <w:r/>
      <w:bookmarkStart w:id="54" w:name="_Toc351203487"/>
      <w:r>
        <w:rPr>
          <w:rFonts w:hint="eastAsia" w:asciiTheme="minorEastAsia" w:hAnsiTheme="minorEastAsia" w:eastAsiaTheme="minorEastAsia" w:cstheme="minorEastAsia"/>
          <w:bCs w:val="0"/>
          <w:szCs w:val="32"/>
        </w:rPr>
        <w:t xml:space="preserve">七、承诺</w:t>
      </w:r>
      <w:bookmarkEnd w:id="54"/>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1.发包人承诺按照法律规定履行项目审批手续、筹集工程建设资金并按照合同约定的期限和方式支付合同价款。</w:t>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3.发包人和承包人通过招投标形式签订合同的，双方理解并承诺不再就同一工程另行签订与合同实质性内容相背离的协议。</w:t>
      </w:r>
      <w:r/>
    </w:p>
    <w:p>
      <w:pPr>
        <w:pStyle w:val="792"/>
        <w:spacing w:before="0" w:after="0" w:line="360" w:lineRule="auto"/>
        <w:rPr>
          <w:rFonts w:asciiTheme="minorEastAsia" w:hAnsiTheme="minorEastAsia" w:eastAsiaTheme="minorEastAsia" w:cstheme="minorEastAsia"/>
          <w:szCs w:val="32"/>
        </w:rPr>
      </w:pPr>
      <w:r/>
      <w:bookmarkStart w:id="55" w:name="_Toc351203488"/>
      <w:r>
        <w:rPr>
          <w:rFonts w:hint="eastAsia" w:asciiTheme="minorEastAsia" w:hAnsiTheme="minorEastAsia" w:eastAsiaTheme="minorEastAsia" w:cstheme="minorEastAsia"/>
          <w:szCs w:val="32"/>
        </w:rPr>
        <w:t xml:space="preserve">八、词语含义</w:t>
      </w:r>
      <w:bookmarkEnd w:id="55"/>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本协议书中词语含义与第二部分通用合同条款中赋予的含义相同。</w:t>
      </w:r>
      <w:r/>
    </w:p>
    <w:p>
      <w:pPr>
        <w:pStyle w:val="792"/>
        <w:spacing w:before="0" w:after="0" w:line="360" w:lineRule="auto"/>
        <w:rPr>
          <w:rFonts w:asciiTheme="minorEastAsia" w:hAnsiTheme="minorEastAsia" w:eastAsiaTheme="minorEastAsia" w:cstheme="minorEastAsia"/>
          <w:szCs w:val="32"/>
        </w:rPr>
      </w:pPr>
      <w:r/>
      <w:bookmarkStart w:id="56" w:name="_Toc351203489"/>
      <w:r>
        <w:rPr>
          <w:rFonts w:hint="eastAsia" w:asciiTheme="minorEastAsia" w:hAnsiTheme="minorEastAsia" w:eastAsiaTheme="minorEastAsia" w:cstheme="minorEastAsia"/>
          <w:szCs w:val="32"/>
        </w:rPr>
        <w:t xml:space="preserve">九、签订时间</w:t>
      </w:r>
      <w:bookmarkEnd w:id="56"/>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本合同于年月日签订。</w:t>
      </w:r>
      <w:r/>
    </w:p>
    <w:p>
      <w:pPr>
        <w:pStyle w:val="792"/>
        <w:spacing w:before="0" w:after="0" w:line="360" w:lineRule="auto"/>
        <w:rPr>
          <w:rFonts w:asciiTheme="minorEastAsia" w:hAnsiTheme="minorEastAsia" w:eastAsiaTheme="minorEastAsia" w:cstheme="minorEastAsia"/>
          <w:bCs w:val="0"/>
          <w:szCs w:val="32"/>
        </w:rPr>
      </w:pPr>
      <w:r/>
      <w:bookmarkStart w:id="57" w:name="_Toc351203490"/>
      <w:r>
        <w:rPr>
          <w:rFonts w:hint="eastAsia" w:asciiTheme="minorEastAsia" w:hAnsiTheme="minorEastAsia" w:eastAsiaTheme="minorEastAsia" w:cstheme="minorEastAsia"/>
          <w:bCs w:val="0"/>
          <w:szCs w:val="32"/>
        </w:rPr>
        <w:t xml:space="preserve">十、签订地点</w:t>
      </w:r>
      <w:bookmarkEnd w:id="57"/>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本合同在签订。</w:t>
      </w:r>
      <w:r/>
    </w:p>
    <w:p>
      <w:pPr>
        <w:pStyle w:val="792"/>
        <w:spacing w:before="0" w:after="0" w:line="360" w:lineRule="auto"/>
        <w:rPr>
          <w:rFonts w:asciiTheme="minorEastAsia" w:hAnsiTheme="minorEastAsia" w:eastAsiaTheme="minorEastAsia" w:cstheme="minorEastAsia"/>
          <w:bCs w:val="0"/>
          <w:szCs w:val="32"/>
        </w:rPr>
      </w:pPr>
      <w:r/>
      <w:bookmarkStart w:id="58" w:name="_Toc351203491"/>
      <w:r>
        <w:rPr>
          <w:rFonts w:hint="eastAsia" w:asciiTheme="minorEastAsia" w:hAnsiTheme="minorEastAsia" w:eastAsiaTheme="minorEastAsia" w:cstheme="minorEastAsia"/>
          <w:bCs w:val="0"/>
          <w:szCs w:val="32"/>
        </w:rPr>
        <w:t xml:space="preserve">十一、补充协议</w:t>
      </w:r>
      <w:bookmarkEnd w:id="58"/>
      <w:r/>
      <w:r/>
    </w:p>
    <w:p>
      <w:pPr>
        <w:ind w:firstLine="420"/>
        <w:spacing w:line="332" w:lineRule="auto"/>
        <w:rPr>
          <w:rFonts w:asciiTheme="minorEastAsia" w:hAnsiTheme="minorEastAsia" w:eastAsiaTheme="minorEastAsia" w:cstheme="minorEastAsia"/>
          <w:b/>
          <w:bCs/>
          <w:szCs w:val="30"/>
        </w:rPr>
      </w:pPr>
      <w:r>
        <w:rPr>
          <w:rFonts w:hint="eastAsia" w:asciiTheme="minorEastAsia" w:hAnsiTheme="minorEastAsia" w:eastAsiaTheme="minorEastAsia" w:cstheme="minorEastAsia"/>
          <w:bCs/>
          <w:szCs w:val="30"/>
        </w:rPr>
        <w:t xml:space="preserve">合同未尽事宜，合同当事人另行签订补充协议，补充协议是合同的组成部分。</w:t>
      </w:r>
      <w:r/>
    </w:p>
    <w:p>
      <w:pPr>
        <w:pStyle w:val="792"/>
        <w:spacing w:before="0" w:after="0" w:line="360" w:lineRule="auto"/>
        <w:rPr>
          <w:rFonts w:asciiTheme="minorEastAsia" w:hAnsiTheme="minorEastAsia" w:eastAsiaTheme="minorEastAsia" w:cstheme="minorEastAsia"/>
          <w:bCs w:val="0"/>
          <w:szCs w:val="32"/>
        </w:rPr>
      </w:pPr>
      <w:r/>
      <w:bookmarkStart w:id="59" w:name="_Toc351203492"/>
      <w:r>
        <w:rPr>
          <w:rFonts w:hint="eastAsia" w:asciiTheme="minorEastAsia" w:hAnsiTheme="minorEastAsia" w:eastAsiaTheme="minorEastAsia" w:cstheme="minorEastAsia"/>
          <w:bCs w:val="0"/>
          <w:szCs w:val="32"/>
        </w:rPr>
        <w:t xml:space="preserve">十二、合同生效</w:t>
      </w:r>
      <w:bookmarkEnd w:id="59"/>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本合同自生效。</w:t>
      </w:r>
      <w:r/>
    </w:p>
    <w:p>
      <w:pPr>
        <w:pStyle w:val="792"/>
        <w:spacing w:before="0" w:after="0" w:line="360" w:lineRule="auto"/>
        <w:rPr>
          <w:rFonts w:asciiTheme="minorEastAsia" w:hAnsiTheme="minorEastAsia" w:eastAsiaTheme="minorEastAsia" w:cstheme="minorEastAsia"/>
          <w:bCs w:val="0"/>
          <w:szCs w:val="32"/>
        </w:rPr>
      </w:pPr>
      <w:r/>
      <w:bookmarkStart w:id="60" w:name="_Toc351203493"/>
      <w:r>
        <w:rPr>
          <w:rFonts w:hint="eastAsia" w:asciiTheme="minorEastAsia" w:hAnsiTheme="minorEastAsia" w:eastAsiaTheme="minorEastAsia" w:cstheme="minorEastAsia"/>
          <w:bCs w:val="0"/>
          <w:szCs w:val="32"/>
        </w:rPr>
        <w:t xml:space="preserve">十三、合同份数</w:t>
      </w:r>
      <w:bookmarkEnd w:id="60"/>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本合同一式份，均具有同等法律效力，发包人执份，承包人执份。</w:t>
      </w:r>
      <w:r/>
    </w:p>
    <w:p>
      <w:pPr>
        <w:ind w:firstLine="420"/>
        <w:spacing w:line="332" w:lineRule="auto"/>
        <w:rPr>
          <w:rFonts w:asciiTheme="minorEastAsia" w:hAnsiTheme="minorEastAsia" w:eastAsiaTheme="minorEastAsia" w:cstheme="minorEastAsia"/>
          <w:bCs/>
          <w:szCs w:val="30"/>
        </w:rPr>
      </w:pPr>
      <w:r>
        <w:rPr>
          <w:rFonts w:asciiTheme="minorEastAsia" w:hAnsiTheme="minorEastAsia" w:eastAsiaTheme="minorEastAsia" w:cstheme="minorEastAsia"/>
          <w:bCs/>
          <w:szCs w:val="30"/>
        </w:rPr>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发包人：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（公章）　　　　　　　　　　</w:t>
      </w:r>
      <w:r>
        <w:rPr>
          <w:rFonts w:cs="宋体" w:asciiTheme="minorEastAsia" w:hAnsiTheme="minorEastAsia" w:eastAsiaTheme="minorEastAsia"/>
          <w:bCs/>
          <w:szCs w:val="21"/>
        </w:rPr>
        <w:t xml:space="preserve">承包人：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（公章）</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法定代表人或其委托代理人：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（签字）　　</w:t>
      </w:r>
      <w:r>
        <w:rPr>
          <w:rFonts w:cs="宋体" w:asciiTheme="minorEastAsia" w:hAnsiTheme="minorEastAsia" w:eastAsiaTheme="minorEastAsia"/>
          <w:bCs/>
          <w:szCs w:val="21"/>
        </w:rPr>
        <w:t xml:space="preserve">法定代表人或其委托代理人：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（签字）</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组织机构代码：</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组织机构代码：</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地址：</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地址：</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邮政编码：</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邮政编码：</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法定代表人：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法定代表人：</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委托代理人：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委托代理人：</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电话：</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电话：</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传真：</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传真：</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电子信箱：</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电子信箱：</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开户银行：</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开户银行：</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账号：</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账号：</w:t>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u w:val="single"/>
        </w:rPr>
      </w:pPr>
      <w:r>
        <w:rPr>
          <w:rFonts w:asciiTheme="minorEastAsia" w:hAnsiTheme="minorEastAsia" w:eastAsiaTheme="minorEastAsia" w:cstheme="minorEastAsia"/>
          <w:szCs w:val="30"/>
          <w:u w:val="single"/>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tabs>
          <w:tab w:val="left" w:pos="4410" w:leader="none"/>
        </w:tabs>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ind w:right="-36" w:firstLine="529"/>
        <w:spacing w:line="332" w:lineRule="auto"/>
        <w:tabs>
          <w:tab w:val="left" w:pos="0" w:leader="none"/>
        </w:tabs>
        <w:rPr>
          <w:rFonts w:asciiTheme="minorEastAsia" w:hAnsiTheme="minorEastAsia" w:eastAsiaTheme="minorEastAsia" w:cstheme="minorEastAsia"/>
        </w:rPr>
      </w:pPr>
      <w:r>
        <w:rPr>
          <w:rFonts w:asciiTheme="minorEastAsia" w:hAnsiTheme="minorEastAsia" w:eastAsiaTheme="minorEastAsia" w:cstheme="minorEastAsia"/>
        </w:rPr>
      </w:r>
      <w:r/>
    </w:p>
    <w:p>
      <w:pPr>
        <w:pStyle w:val="791"/>
        <w:jc w:val="center"/>
        <w:spacing w:line="320" w:lineRule="exact"/>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bookmarkStart w:id="61" w:name="_Toc498006745"/>
      <w:r/>
      <w:bookmarkStart w:id="62" w:name="_Toc7799"/>
      <w:r/>
      <w:r/>
    </w:p>
    <w:p>
      <w:pPr>
        <w:pStyle w:val="791"/>
        <w:jc w:val="center"/>
        <w:spacing w:line="320" w:lineRule="exac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第二部分 通用合同条款</w:t>
      </w:r>
      <w:bookmarkEnd w:id="61"/>
      <w:r/>
      <w:bookmarkEnd w:id="62"/>
      <w:r/>
      <w:r/>
    </w:p>
    <w:p>
      <w:pPr>
        <w:ind w:firstLine="420"/>
        <w:spacing w:line="32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2"/>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采用《建设工程施工合同（示范文本）》（GF—2017—0201）</w:t>
      </w:r>
      <w:r>
        <w:rPr>
          <w:rFonts w:hint="eastAsia" w:asciiTheme="minorEastAsia" w:hAnsiTheme="minorEastAsia" w:eastAsiaTheme="minorEastAsia" w:cstheme="minorEastAsia"/>
          <w:b/>
          <w:szCs w:val="21"/>
        </w:rPr>
        <w:t xml:space="preserve">。</w:t>
      </w:r>
      <w:r/>
    </w:p>
    <w:p>
      <w:pPr>
        <w:pStyle w:val="791"/>
        <w:ind w:left="0" w:firstLine="0"/>
        <w:spacing w:line="320" w:lineRule="exact"/>
        <w:rPr>
          <w:rFonts w:asciiTheme="minorEastAsia" w:hAnsiTheme="minorEastAsia" w:eastAsiaTheme="minorEastAsia" w:cstheme="minorEastAsia"/>
        </w:rPr>
      </w:pPr>
      <w:r/>
      <w:bookmarkStart w:id="63" w:name="_Toc24191"/>
      <w:r/>
      <w:bookmarkStart w:id="64" w:name="_Toc498006746"/>
      <w:r/>
      <w:bookmarkEnd w:id="63"/>
      <w:r/>
      <w:bookmarkEnd w:id="64"/>
      <w:r/>
      <w:r/>
    </w:p>
    <w:p>
      <w:pPr>
        <w:pStyle w:val="791"/>
        <w:jc w:val="center"/>
        <w:spacing w:line="320" w:lineRule="exact"/>
        <w:rPr>
          <w:rFonts w:asciiTheme="minorEastAsia" w:hAnsiTheme="minorEastAsia" w:eastAsiaTheme="minorEastAsia" w:cstheme="minorEastAsia"/>
          <w:szCs w:val="44"/>
        </w:rPr>
      </w:pPr>
      <w:r>
        <w:rPr>
          <w:rFonts w:hint="eastAsia" w:asciiTheme="minorEastAsia" w:hAnsiTheme="minorEastAsia" w:eastAsiaTheme="minorEastAsia" w:cstheme="minorEastAsia"/>
          <w:szCs w:val="44"/>
        </w:rPr>
        <w:t xml:space="preserve">第三部分 专用合同条款</w:t>
      </w:r>
      <w:r/>
    </w:p>
    <w:p>
      <w:pPr>
        <w:pStyle w:val="792"/>
        <w:spacing w:before="0" w:after="0" w:line="332" w:lineRule="auto"/>
        <w:rPr>
          <w:rFonts w:asciiTheme="minorEastAsia" w:hAnsiTheme="minorEastAsia" w:eastAsiaTheme="minorEastAsia" w:cstheme="minorEastAsia"/>
          <w:bCs w:val="0"/>
          <w:szCs w:val="32"/>
        </w:rPr>
      </w:pPr>
      <w:r/>
      <w:bookmarkStart w:id="65" w:name="_Toc351203633"/>
      <w:r/>
      <w:r/>
    </w:p>
    <w:p>
      <w:pPr>
        <w:pStyle w:val="792"/>
        <w:spacing w:before="0" w:after="0" w:line="332" w:lineRule="auto"/>
        <w:rPr>
          <w:rFonts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rPr>
        <w:t xml:space="preserve">1</w:t>
      </w:r>
      <w:bookmarkStart w:id="66" w:name="_Toc297048342"/>
      <w:r/>
      <w:bookmarkStart w:id="67" w:name="_Toc292559866"/>
      <w:r/>
      <w:bookmarkStart w:id="68" w:name="_Toc296503156"/>
      <w:r/>
      <w:bookmarkStart w:id="69" w:name="_Toc296891196"/>
      <w:r/>
      <w:bookmarkStart w:id="70" w:name="_Toc296346657"/>
      <w:r/>
      <w:bookmarkStart w:id="71" w:name="_Toc296890984"/>
      <w:r/>
      <w:bookmarkStart w:id="72" w:name="_Toc296347155"/>
      <w:r/>
      <w:bookmarkStart w:id="73" w:name="_Toc296944495"/>
      <w:r/>
      <w:bookmarkStart w:id="74" w:name="_Toc297120456"/>
      <w:r/>
      <w:bookmarkStart w:id="75" w:name="_Toc292559361"/>
      <w:r>
        <w:rPr>
          <w:rFonts w:hint="eastAsia" w:asciiTheme="minorEastAsia" w:hAnsiTheme="minorEastAsia" w:eastAsiaTheme="minorEastAsia" w:cstheme="minorEastAsia"/>
          <w:bCs w:val="0"/>
          <w:szCs w:val="32"/>
        </w:rPr>
        <w:t xml:space="preserve">. 一般约定</w:t>
      </w:r>
      <w:bookmarkEnd w:id="65"/>
      <w:r/>
      <w:bookmarkEnd w:id="66"/>
      <w:r/>
      <w:bookmarkEnd w:id="67"/>
      <w:r/>
      <w:bookmarkEnd w:id="68"/>
      <w:r/>
      <w:bookmarkEnd w:id="69"/>
      <w:r/>
      <w:bookmarkEnd w:id="70"/>
      <w:r/>
      <w:bookmarkEnd w:id="71"/>
      <w:r/>
      <w:bookmarkEnd w:id="72"/>
      <w:r/>
      <w:bookmarkEnd w:id="73"/>
      <w:r/>
      <w:bookmarkEnd w:id="74"/>
      <w:r/>
      <w:bookmarkEnd w:id="7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 词语定义</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1.1.1合同</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1.1.1.10其他合同文件包括：</w:t>
      </w:r>
      <w:r>
        <w:rPr>
          <w:rFonts w:hint="eastAsia" w:asciiTheme="minorEastAsia" w:hAnsiTheme="minorEastAsia" w:eastAsiaTheme="minorEastAsia" w:cstheme="minorEastAsia"/>
          <w:szCs w:val="32"/>
          <w:u w:val="single"/>
        </w:rPr>
        <w:t xml:space="preserve"> （1）本合同协议书（2）成交（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 合同当事人及其他相关方</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1.1.2.4监理人：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名    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资质类别和等级：；</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1.1.2.5 设计人：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名    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资质类别和等级：；</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 工程和设备</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1.1.3.7 作为施工现场组成部分的其他场所包括：。</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1.1.3.9 永久占地包括：。</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1.1.3.10 临时占地包括：。</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1.3法律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适用于合同的其他规范性文件：</w:t>
      </w:r>
      <w:r>
        <w:rPr>
          <w:rFonts w:hint="eastAsia" w:asciiTheme="minorEastAsia" w:hAnsiTheme="minorEastAsia" w:eastAsiaTheme="minorEastAsia" w:cstheme="minorEastAsia"/>
          <w:szCs w:val="32"/>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 标准和规范</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1.4.1适用于工程的标准规范包括：</w:t>
      </w:r>
      <w:r>
        <w:rPr>
          <w:rFonts w:hint="eastAsia" w:asciiTheme="minorEastAsia" w:hAnsiTheme="minorEastAsia" w:eastAsiaTheme="minorEastAsia" w:cstheme="minorEastAsia"/>
          <w:szCs w:val="32"/>
          <w:u w:val="single"/>
        </w:rPr>
        <w:t xml:space="preserve">现行有关房屋建筑和市政工程的标准和规范、规程；建筑质量验收评定标准，施工图纸以及设计文件所载明的标准、规范、规程等</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1.4.2 发包人提供国外标准、规范的名称：。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发包人提供国外标准、规范的份数：；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发包人提供国外标准、规范的名称：。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1.4.3发包人对工程的技术标准和功能要求的特殊要求：。</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 合同文件的优先顺序</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合同文件组成及优先顺序为：</w:t>
      </w:r>
      <w:r>
        <w:rPr>
          <w:rFonts w:hint="eastAsia" w:asciiTheme="minorEastAsia" w:hAnsiTheme="minorEastAsia" w:eastAsiaTheme="minorEastAsia" w:cstheme="minorEastAsia"/>
          <w:szCs w:val="32"/>
          <w:u w:val="single"/>
        </w:rPr>
        <w:t xml:space="preserve">按规定执行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 图纸和承包人文件</w:t>
      </w:r>
      <w:r>
        <w:rPr>
          <w:rFonts w:hint="eastAsia" w:asciiTheme="minorEastAsia" w:hAnsiTheme="minorEastAsia" w:eastAsiaTheme="minorEastAsia" w:cstheme="minorEastAsia"/>
          <w:szCs w:val="32"/>
        </w:rPr>
        <w:tab/>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 图纸的提供</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发包人向承包人提供图纸的期限：</w:t>
      </w:r>
      <w:r>
        <w:rPr>
          <w:rFonts w:hint="eastAsia" w:asciiTheme="minorEastAsia" w:hAnsiTheme="minorEastAsia" w:eastAsiaTheme="minorEastAsia" w:cstheme="minorEastAsia"/>
          <w:szCs w:val="32"/>
          <w:u w:val="single"/>
        </w:rPr>
        <w:t xml:space="preserve">      开工前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发包人向承包人提供图纸的数量：</w:t>
      </w:r>
      <w:r>
        <w:rPr>
          <w:rFonts w:hint="eastAsia" w:asciiTheme="minorEastAsia" w:hAnsiTheme="minorEastAsia" w:eastAsiaTheme="minorEastAsia" w:cstheme="minorEastAsia"/>
          <w:szCs w:val="32"/>
          <w:u w:val="single"/>
        </w:rPr>
        <w:t xml:space="preserve">       两套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发包人向承包人提供图纸的内容：</w:t>
      </w:r>
      <w:r>
        <w:rPr>
          <w:rFonts w:hint="eastAsia" w:asciiTheme="minorEastAsia" w:hAnsiTheme="minorEastAsia" w:eastAsiaTheme="minorEastAsia" w:cstheme="minorEastAsia"/>
          <w:szCs w:val="32"/>
          <w:u w:val="single"/>
        </w:rPr>
        <w:t xml:space="preserve"> 全套图纸（含图纸会审纪要和设计交底等）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1.6.4 承包人文件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需要由承包人提供的文件，包括：</w:t>
      </w:r>
      <w:r>
        <w:rPr>
          <w:rFonts w:hint="eastAsia" w:asciiTheme="minorEastAsia" w:hAnsiTheme="minorEastAsia" w:eastAsiaTheme="minorEastAsia" w:cstheme="minorEastAsia"/>
          <w:szCs w:val="32"/>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承包人提供的文件的期限为：</w:t>
      </w:r>
      <w:r>
        <w:rPr>
          <w:rFonts w:hint="eastAsia" w:asciiTheme="minorEastAsia" w:hAnsiTheme="minorEastAsia" w:eastAsiaTheme="minorEastAsia" w:cstheme="minorEastAsia"/>
          <w:szCs w:val="32"/>
          <w:u w:val="single"/>
        </w:rPr>
        <w:t xml:space="preserve">签订合同后10日历天内提供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承包人提供的文件的数量为：</w:t>
      </w:r>
      <w:r>
        <w:rPr>
          <w:rFonts w:hint="eastAsia" w:asciiTheme="minorEastAsia" w:hAnsiTheme="minorEastAsia" w:eastAsiaTheme="minorEastAsia" w:cstheme="minorEastAsia"/>
          <w:szCs w:val="32"/>
          <w:u w:val="single"/>
        </w:rPr>
        <w:t xml:space="preserve">             叁套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承包人提供的文件的形式为：</w:t>
      </w:r>
      <w:r>
        <w:rPr>
          <w:rFonts w:hint="eastAsia" w:asciiTheme="minorEastAsia" w:hAnsiTheme="minorEastAsia" w:eastAsiaTheme="minorEastAsia" w:cstheme="minorEastAsia"/>
          <w:szCs w:val="32"/>
          <w:u w:val="single"/>
        </w:rPr>
        <w:t xml:space="preserve">    纸质书面材料并签字盖章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发包人审批承包人文件的期限：</w:t>
      </w:r>
      <w:r>
        <w:rPr>
          <w:rFonts w:hint="eastAsia" w:asciiTheme="minorEastAsia" w:hAnsiTheme="minorEastAsia" w:eastAsiaTheme="minorEastAsia" w:cstheme="minorEastAsia"/>
          <w:szCs w:val="32"/>
          <w:u w:val="single"/>
        </w:rPr>
        <w:t xml:space="preserve">7天</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1.6.5 现场图纸准备</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关于现场图纸准备的约定：</w:t>
      </w:r>
      <w:r>
        <w:rPr>
          <w:rFonts w:hint="eastAsia" w:asciiTheme="minorEastAsia" w:hAnsiTheme="minorEastAsia" w:eastAsiaTheme="minorEastAsia" w:cstheme="minorEastAsia"/>
          <w:szCs w:val="32"/>
          <w:u w:val="single"/>
        </w:rPr>
        <w:t xml:space="preserve">承包人应在施工现场另外保存一套完整的图纸和承包人文件，供发包人、监理人及有关人员进行工程检查时使用</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 联络</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1.7.1发包人和承包人应当在</w:t>
      </w:r>
      <w:r>
        <w:rPr>
          <w:rFonts w:hint="eastAsia" w:asciiTheme="minorEastAsia" w:hAnsiTheme="minorEastAsia" w:eastAsiaTheme="minorEastAsia" w:cstheme="minorEastAsia"/>
          <w:szCs w:val="32"/>
          <w:u w:val="single"/>
        </w:rPr>
        <w:t xml:space="preserve">5</w:t>
      </w:r>
      <w:r>
        <w:rPr>
          <w:rFonts w:hint="eastAsia" w:asciiTheme="minorEastAsia" w:hAnsiTheme="minorEastAsia" w:eastAsiaTheme="minorEastAsia" w:cstheme="minorEastAsia"/>
          <w:szCs w:val="32"/>
        </w:rPr>
        <w:t xml:space="preserve">天内将与合同有关的通知、批准、证明、证书、指示、指令、要求、请求、同意、意见、确定和决定等书面函件送达对方当事人。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1.7.2 发包人接收文件的地点：</w:t>
      </w:r>
      <w:r>
        <w:rPr>
          <w:rFonts w:hint="eastAsia" w:asciiTheme="minorEastAsia" w:hAnsiTheme="minorEastAsia" w:eastAsiaTheme="minorEastAsia" w:cstheme="minorEastAsia"/>
          <w:szCs w:val="32"/>
          <w:u w:val="single"/>
        </w:rPr>
        <w:t xml:space="preserve">施工现场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发包人指定的接收人为：。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承包人接收文件的地点：</w:t>
      </w:r>
      <w:r>
        <w:rPr>
          <w:rFonts w:hint="eastAsia" w:asciiTheme="minorEastAsia" w:hAnsiTheme="minorEastAsia" w:eastAsiaTheme="minorEastAsia" w:cstheme="minorEastAsia"/>
          <w:szCs w:val="32"/>
          <w:u w:val="single"/>
        </w:rPr>
        <w:t xml:space="preserve">施工现场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承包人指定的接收人为：。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监理人接收文件的地点：</w:t>
      </w:r>
      <w:r>
        <w:rPr>
          <w:rFonts w:hint="eastAsia" w:asciiTheme="minorEastAsia" w:hAnsiTheme="minorEastAsia" w:eastAsiaTheme="minorEastAsia" w:cstheme="minorEastAsia"/>
          <w:szCs w:val="32"/>
          <w:u w:val="single"/>
        </w:rPr>
        <w:t xml:space="preserve">施工现场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监理人指定的接收人为：。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1.10 交通运输</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76" w:name="_Toc300934943"/>
      <w:r/>
      <w:bookmarkStart w:id="77" w:name="_Toc312677986"/>
      <w:r/>
      <w:bookmarkStart w:id="78" w:name="_Toc318581155"/>
      <w:r/>
      <w:bookmarkStart w:id="79" w:name="_Toc304295521"/>
      <w:r/>
      <w:bookmarkStart w:id="80" w:name="_Toc303539100"/>
      <w:r>
        <w:rPr>
          <w:rFonts w:hint="eastAsia" w:asciiTheme="minorEastAsia" w:hAnsiTheme="minorEastAsia" w:eastAsiaTheme="minorEastAsia" w:cstheme="minorEastAsia"/>
          <w:szCs w:val="32"/>
        </w:rPr>
        <w:t xml:space="preserve">.10.1 出入现场的权利</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关于出入现场的权利的约定：</w:t>
      </w:r>
      <w:r>
        <w:rPr>
          <w:rFonts w:hint="eastAsia" w:asciiTheme="minorEastAsia" w:hAnsiTheme="minorEastAsia" w:eastAsiaTheme="minorEastAsia" w:cstheme="minorEastAsia"/>
          <w:szCs w:val="32"/>
          <w:u w:val="single"/>
        </w:rPr>
        <w:t xml:space="preserve">承包人与管理部门联系并承担费用，其他执行通用条款</w:t>
      </w:r>
      <w:r>
        <w:rPr>
          <w:rFonts w:hint="eastAsia" w:asciiTheme="minorEastAsia" w:hAnsiTheme="minorEastAsia" w:eastAsiaTheme="minorEastAsia" w:cstheme="minorEastAsia"/>
          <w:szCs w:val="32"/>
        </w:rPr>
        <w:t xml:space="preserve">。</w:t>
      </w:r>
      <w:bookmarkEnd w:id="76"/>
      <w:r/>
      <w:bookmarkEnd w:id="77"/>
      <w:r/>
      <w:bookmarkEnd w:id="78"/>
      <w:r/>
      <w:bookmarkEnd w:id="79"/>
      <w:r/>
      <w:bookmarkEnd w:id="80"/>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81" w:name="_Toc300934944"/>
      <w:r/>
      <w:bookmarkStart w:id="82" w:name="_Toc303539101"/>
      <w:r/>
      <w:bookmarkStart w:id="83" w:name="_Toc304295522"/>
      <w:r/>
      <w:bookmarkStart w:id="84" w:name="_Toc312677987"/>
      <w:r/>
      <w:bookmarkStart w:id="85" w:name="_Toc318581156"/>
      <w:r>
        <w:rPr>
          <w:rFonts w:hint="eastAsia" w:asciiTheme="minorEastAsia" w:hAnsiTheme="minorEastAsia" w:eastAsiaTheme="minorEastAsia" w:cstheme="minorEastAsia"/>
          <w:szCs w:val="32"/>
        </w:rPr>
        <w:t xml:space="preserve">.10.3 场内交通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关于场外交通和场内交通的边界的约定：</w:t>
      </w:r>
      <w:r>
        <w:rPr>
          <w:rFonts w:hint="eastAsia" w:asciiTheme="minorEastAsia" w:hAnsiTheme="minorEastAsia" w:eastAsiaTheme="minorEastAsia" w:cstheme="minorEastAsia"/>
          <w:szCs w:val="32"/>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w:t>
      </w:r>
      <w:r>
        <w:rPr>
          <w:rFonts w:hint="eastAsia" w:asciiTheme="minorEastAsia" w:hAnsiTheme="minorEastAsia" w:eastAsiaTheme="minorEastAsia" w:cstheme="minorEastAsia"/>
          <w:szCs w:val="32"/>
          <w:u w:val="single"/>
        </w:rPr>
        <w:t xml:space="preserve">生</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关于发包人向承包人免费提供满足工程施工需要的场内道路和交通设施的约定：。</w:t>
      </w:r>
      <w:bookmarkStart w:id="86" w:name="_Toc318581157"/>
      <w:r/>
      <w:bookmarkEnd w:id="81"/>
      <w:r/>
      <w:bookmarkEnd w:id="82"/>
      <w:r/>
      <w:bookmarkEnd w:id="83"/>
      <w:r/>
      <w:bookmarkEnd w:id="84"/>
      <w:r/>
      <w:bookmarkEnd w:id="85"/>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1.10.4超大件和超重件的运输</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运输超大件或超重件所需的道路和桥梁临时加固改造费用和其他有关费用由</w:t>
      </w:r>
      <w:r>
        <w:rPr>
          <w:rFonts w:hint="eastAsia" w:asciiTheme="minorEastAsia" w:hAnsiTheme="minorEastAsia" w:eastAsiaTheme="minorEastAsia" w:cstheme="minorEastAsia"/>
          <w:szCs w:val="32"/>
          <w:u w:val="single"/>
        </w:rPr>
        <w:t xml:space="preserve">承包人</w:t>
      </w:r>
      <w:r>
        <w:rPr>
          <w:rFonts w:hint="eastAsia" w:asciiTheme="minorEastAsia" w:hAnsiTheme="minorEastAsia" w:eastAsiaTheme="minorEastAsia" w:cstheme="minorEastAsia"/>
          <w:szCs w:val="32"/>
        </w:rPr>
        <w:t xml:space="preserve">承担。</w:t>
      </w:r>
      <w:bookmarkEnd w:id="8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 知识产权</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u w:val="single"/>
        </w:rPr>
        <w:t xml:space="preserve">发包人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关于发包人提供的上述文件的使用限制的要求：</w:t>
      </w:r>
      <w:r>
        <w:rPr>
          <w:rFonts w:hint="eastAsia" w:asciiTheme="minorEastAsia" w:hAnsiTheme="minorEastAsia" w:eastAsiaTheme="minorEastAsia" w:cstheme="minorEastAsia"/>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1.11.2 关于承包人为实施工程所编制文件的著作权的归属：</w:t>
      </w:r>
      <w:r>
        <w:rPr>
          <w:rFonts w:hint="eastAsia" w:asciiTheme="minorEastAsia" w:hAnsiTheme="minorEastAsia" w:eastAsiaTheme="minorEastAsia" w:cstheme="minorEastAsia"/>
          <w:szCs w:val="32"/>
          <w:u w:val="single"/>
        </w:rPr>
        <w:t xml:space="preserve">发包人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关于承包人提供的上述文件的使用限制的要求：</w:t>
      </w:r>
      <w:r>
        <w:rPr>
          <w:rFonts w:hint="eastAsia" w:asciiTheme="minorEastAsia" w:hAnsiTheme="minorEastAsia" w:eastAsiaTheme="minorEastAsia" w:cstheme="minorEastAsia"/>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1.11.4 承包人在施工过程中所采用的专利、专有技术、技术秘密的使用费的承担方式：</w:t>
      </w:r>
      <w:r>
        <w:rPr>
          <w:rFonts w:hint="eastAsia" w:asciiTheme="minorEastAsia" w:hAnsiTheme="minorEastAsia" w:eastAsiaTheme="minorEastAsia" w:cstheme="minorEastAsia"/>
          <w:szCs w:val="32"/>
          <w:u w:val="single"/>
        </w:rPr>
        <w:t xml:space="preserve">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1.13工程量清单错误的修正</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出现工程量清单错误时，是否调整合同价格：</w:t>
      </w:r>
      <w:r>
        <w:rPr>
          <w:rFonts w:hint="eastAsia" w:asciiTheme="minorEastAsia" w:hAnsiTheme="minorEastAsia" w:eastAsiaTheme="minorEastAsia" w:cstheme="minorEastAsia"/>
          <w:szCs w:val="32"/>
          <w:u w:val="single"/>
        </w:rPr>
        <w:t xml:space="preserve">是</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允许调整合同价格的工程量偏差范围：</w:t>
      </w:r>
      <w:r>
        <w:rPr>
          <w:rFonts w:hint="eastAsia" w:asciiTheme="minorEastAsia" w:hAnsiTheme="minorEastAsia" w:eastAsiaTheme="minorEastAsia" w:cstheme="minorEastAsia"/>
          <w:szCs w:val="32"/>
          <w:u w:val="single"/>
        </w:rPr>
        <w:t xml:space="preserve">  按实调整   </w:t>
      </w:r>
      <w:r>
        <w:rPr>
          <w:rFonts w:hint="eastAsia" w:asciiTheme="minorEastAsia" w:hAnsiTheme="minorEastAsia" w:eastAsiaTheme="minorEastAsia" w:cstheme="minorEastAsia"/>
          <w:szCs w:val="32"/>
        </w:rPr>
        <w:t xml:space="preserve">。</w:t>
      </w:r>
      <w:r/>
    </w:p>
    <w:p>
      <w:pPr>
        <w:pStyle w:val="792"/>
        <w:spacing w:before="0" w:after="0" w:line="332" w:lineRule="auto"/>
        <w:rPr>
          <w:rFonts w:asciiTheme="minorEastAsia" w:hAnsiTheme="minorEastAsia" w:eastAsiaTheme="minorEastAsia" w:cstheme="minorEastAsia"/>
          <w:bCs w:val="0"/>
          <w:szCs w:val="32"/>
        </w:rPr>
      </w:pPr>
      <w:r/>
      <w:bookmarkStart w:id="87" w:name="_Toc351203634"/>
      <w:r>
        <w:rPr>
          <w:rFonts w:hint="eastAsia" w:asciiTheme="minorEastAsia" w:hAnsiTheme="minorEastAsia" w:eastAsiaTheme="minorEastAsia" w:cstheme="minorEastAsia"/>
          <w:bCs w:val="0"/>
          <w:szCs w:val="32"/>
        </w:rPr>
        <w:t xml:space="preserve">2</w:t>
      </w:r>
      <w:bookmarkStart w:id="88" w:name="_Toc296347156"/>
      <w:r/>
      <w:bookmarkStart w:id="89" w:name="_Toc296944496"/>
      <w:r/>
      <w:bookmarkStart w:id="90" w:name="_Toc296891197"/>
      <w:r/>
      <w:bookmarkStart w:id="91" w:name="_Toc297048343"/>
      <w:r/>
      <w:bookmarkStart w:id="92" w:name="_Toc296346658"/>
      <w:r/>
      <w:bookmarkStart w:id="93" w:name="_Toc296890985"/>
      <w:r/>
      <w:bookmarkStart w:id="94" w:name="_Toc292559362"/>
      <w:r/>
      <w:bookmarkStart w:id="95" w:name="_Toc296503157"/>
      <w:r/>
      <w:bookmarkStart w:id="96" w:name="_Toc297120457"/>
      <w:r/>
      <w:bookmarkStart w:id="97" w:name="_Toc292559867"/>
      <w:r>
        <w:rPr>
          <w:rFonts w:hint="eastAsia" w:asciiTheme="minorEastAsia" w:hAnsiTheme="minorEastAsia" w:eastAsiaTheme="minorEastAsia" w:cstheme="minorEastAsia"/>
          <w:bCs w:val="0"/>
          <w:szCs w:val="32"/>
        </w:rPr>
        <w:t xml:space="preserve">. 发包人</w:t>
      </w:r>
      <w:bookmarkEnd w:id="87"/>
      <w:r/>
      <w:bookmarkEnd w:id="88"/>
      <w:r/>
      <w:bookmarkEnd w:id="89"/>
      <w:r/>
      <w:bookmarkEnd w:id="90"/>
      <w:r/>
      <w:bookmarkEnd w:id="91"/>
      <w:r/>
      <w:bookmarkEnd w:id="92"/>
      <w:r/>
      <w:bookmarkEnd w:id="93"/>
      <w:r/>
      <w:bookmarkEnd w:id="94"/>
      <w:r/>
      <w:bookmarkEnd w:id="95"/>
      <w:r/>
      <w:bookmarkEnd w:id="96"/>
      <w:r/>
      <w:bookmarkEnd w:id="97"/>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2.2 发包人代表</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发包人代表：</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身份证号：；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职    务：；</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b/>
          <w:szCs w:val="32"/>
        </w:rPr>
      </w:pPr>
      <w:r>
        <w:rPr>
          <w:rFonts w:hint="eastAsia" w:asciiTheme="minorEastAsia" w:hAnsiTheme="minorEastAsia" w:eastAsiaTheme="minorEastAsia" w:cstheme="minorEastAsia"/>
          <w:szCs w:val="32"/>
        </w:rPr>
        <w:t xml:space="preserve">发包人对发包人代表的授权范围如下：</w:t>
      </w:r>
      <w:r>
        <w:rPr>
          <w:rFonts w:hint="eastAsia" w:asciiTheme="minorEastAsia" w:hAnsiTheme="minorEastAsia" w:eastAsiaTheme="minorEastAsia" w:cstheme="minorEastAsia"/>
          <w:szCs w:val="32"/>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 施工现场、施工条件和基础资料的提供</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2.4.1 提供施工现场</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关于发包人移交施工现场的期限要求：</w:t>
      </w:r>
      <w:r>
        <w:rPr>
          <w:rFonts w:hint="eastAsia" w:asciiTheme="minorEastAsia" w:hAnsiTheme="minorEastAsia" w:eastAsiaTheme="minorEastAsia" w:cstheme="minorEastAsia"/>
          <w:szCs w:val="32"/>
          <w:u w:val="single"/>
        </w:rPr>
        <w:t xml:space="preserve">  开工前壹周内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2.4.2 提供施工条件</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关于发包人应负责提供施工所需要的条件，包括：</w:t>
      </w:r>
      <w:r>
        <w:rPr>
          <w:rFonts w:hint="eastAsia" w:asciiTheme="minorEastAsia" w:hAnsiTheme="minorEastAsia" w:eastAsiaTheme="minorEastAsia" w:cstheme="minorEastAsia"/>
          <w:szCs w:val="32"/>
          <w:u w:val="single"/>
        </w:rPr>
        <w:t xml:space="preserve">现场临时设施及材料堆放等场地承包人自行解决，发包人不参与协调或提供。发包人不提供水、电接入点，施工用水、用电接入费或自发电增加费由施工方承担，其他按采购文件执行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2.5 资金来源证明及支付担保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发包人提供资金来源证明的期限要求：</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发包人是否提供支付担保：</w:t>
      </w:r>
      <w:r>
        <w:rPr>
          <w:rFonts w:hint="eastAsia" w:asciiTheme="minorEastAsia" w:hAnsiTheme="minorEastAsia" w:eastAsiaTheme="minorEastAsia" w:cstheme="minorEastAsia"/>
          <w:szCs w:val="32"/>
          <w:u w:val="single"/>
        </w:rPr>
        <w:t xml:space="preserve">    否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发包人提供支付担保的形式：</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r/>
    </w:p>
    <w:p>
      <w:pPr>
        <w:pStyle w:val="792"/>
        <w:spacing w:before="0" w:after="0" w:line="332" w:lineRule="auto"/>
        <w:rPr>
          <w:rFonts w:asciiTheme="minorEastAsia" w:hAnsiTheme="minorEastAsia" w:eastAsiaTheme="minorEastAsia" w:cstheme="minorEastAsia"/>
          <w:bCs w:val="0"/>
          <w:szCs w:val="32"/>
        </w:rPr>
      </w:pPr>
      <w:r/>
      <w:bookmarkStart w:id="98" w:name="_Toc351203635"/>
      <w:r>
        <w:rPr>
          <w:rFonts w:hint="eastAsia" w:asciiTheme="minorEastAsia" w:hAnsiTheme="minorEastAsia" w:eastAsiaTheme="minorEastAsia" w:cstheme="minorEastAsia"/>
          <w:bCs w:val="0"/>
          <w:szCs w:val="32"/>
        </w:rPr>
        <w:t xml:space="preserve">3</w:t>
      </w:r>
      <w:bookmarkStart w:id="99" w:name="_Toc296890986"/>
      <w:r/>
      <w:bookmarkStart w:id="100" w:name="_Toc292559868"/>
      <w:r/>
      <w:bookmarkStart w:id="101" w:name="_Toc292559363"/>
      <w:r/>
      <w:bookmarkStart w:id="102" w:name="_Toc296891198"/>
      <w:r/>
      <w:bookmarkStart w:id="103" w:name="_Toc296503158"/>
      <w:r/>
      <w:bookmarkStart w:id="104" w:name="_Toc296347157"/>
      <w:r/>
      <w:bookmarkStart w:id="105" w:name="_Toc297120458"/>
      <w:r/>
      <w:bookmarkStart w:id="106" w:name="_Toc296346659"/>
      <w:r/>
      <w:bookmarkStart w:id="107" w:name="_Toc297048344"/>
      <w:r/>
      <w:bookmarkStart w:id="108" w:name="_Toc296944497"/>
      <w:r>
        <w:rPr>
          <w:rFonts w:hint="eastAsia" w:asciiTheme="minorEastAsia" w:hAnsiTheme="minorEastAsia" w:eastAsiaTheme="minorEastAsia" w:cstheme="minorEastAsia"/>
          <w:bCs w:val="0"/>
          <w:szCs w:val="32"/>
        </w:rPr>
        <w:t xml:space="preserve">. 承包人</w:t>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3.1 承包人的一般义务</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（9）承包人提交的竣工资料的内容：</w:t>
      </w:r>
      <w:r>
        <w:rPr>
          <w:rFonts w:hint="eastAsia" w:asciiTheme="minorEastAsia" w:hAnsiTheme="minorEastAsia" w:eastAsiaTheme="minorEastAsia" w:cstheme="minorEastAsia"/>
          <w:szCs w:val="32"/>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承包人需要提交的竣工资料套数：</w:t>
      </w:r>
      <w:r>
        <w:rPr>
          <w:rFonts w:hint="eastAsia" w:asciiTheme="minorEastAsia" w:hAnsiTheme="minorEastAsia" w:eastAsiaTheme="minorEastAsia" w:cstheme="minorEastAsia"/>
          <w:szCs w:val="32"/>
          <w:u w:val="single"/>
        </w:rPr>
        <w:t xml:space="preserve">     肆套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承包人提交的竣工资料的费用承担：</w:t>
      </w:r>
      <w:r>
        <w:rPr>
          <w:rFonts w:hint="eastAsia" w:asciiTheme="minorEastAsia" w:hAnsiTheme="minorEastAsia" w:eastAsiaTheme="minorEastAsia" w:cstheme="minorEastAsia"/>
          <w:szCs w:val="32"/>
          <w:u w:val="single"/>
        </w:rPr>
        <w:t xml:space="preserve">  由承包人自行承担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承包人提交的竣工资料移交时间：</w:t>
      </w:r>
      <w:r>
        <w:rPr>
          <w:rFonts w:hint="eastAsia" w:asciiTheme="minorEastAsia" w:hAnsiTheme="minorEastAsia" w:eastAsiaTheme="minorEastAsia" w:cstheme="minorEastAsia"/>
          <w:szCs w:val="32"/>
          <w:u w:val="single"/>
        </w:rPr>
        <w:t xml:space="preserve"> 按照法律法规和当地竣工验收备案部门的有关规定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承包人提交的竣工资料形式要求：</w:t>
      </w:r>
      <w:r>
        <w:rPr>
          <w:rFonts w:hint="eastAsia" w:asciiTheme="minorEastAsia" w:hAnsiTheme="minorEastAsia" w:eastAsiaTheme="minorEastAsia" w:cstheme="minorEastAsia"/>
          <w:szCs w:val="32"/>
          <w:u w:val="single"/>
        </w:rPr>
        <w:t xml:space="preserve">    书面资料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（10）承包人应履行的其他义务：</w:t>
      </w:r>
      <w:r>
        <w:rPr>
          <w:rFonts w:hint="eastAsia" w:asciiTheme="minorEastAsia" w:hAnsiTheme="minorEastAsia" w:eastAsiaTheme="minorEastAsia" w:cstheme="minorEastAsia"/>
          <w:szCs w:val="32"/>
          <w:u w:val="single"/>
        </w:rPr>
        <w:t xml:space="preserve"> 建设单位按约定拨付工程款，并按中</w:t>
      </w:r>
      <w:r>
        <w:rPr>
          <w:rFonts w:hint="eastAsia" w:asciiTheme="minorEastAsia" w:hAnsiTheme="minorEastAsia" w:eastAsiaTheme="minorEastAsia" w:cstheme="minorEastAsia"/>
          <w:szCs w:val="32"/>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由承包人承担由此产生的一切后果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 项目经理</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3.2.1 项目经理：</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身份证号：；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建造师执业资格等级：；</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建造师注册证书号：；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建造师执业印章号：；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安全生产考核合格证书号：；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承包人对项目经理的授权范围如下：</w:t>
      </w:r>
      <w:r>
        <w:rPr>
          <w:rFonts w:hint="eastAsia" w:asciiTheme="minorEastAsia" w:hAnsiTheme="minorEastAsia" w:eastAsiaTheme="minorEastAsia" w:cstheme="minorEastAsia"/>
          <w:szCs w:val="32"/>
          <w:u w:val="single"/>
        </w:rPr>
        <w:t xml:space="preserve">代表承包商履行合同所必需的一切权力</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关于项目经理每月在施工现场的时间要求：</w:t>
      </w:r>
      <w:r>
        <w:rPr>
          <w:rFonts w:hint="eastAsia" w:asciiTheme="minorEastAsia" w:hAnsiTheme="minorEastAsia" w:eastAsiaTheme="minorEastAsia" w:cstheme="minorEastAsia"/>
          <w:szCs w:val="32"/>
          <w:u w:val="single"/>
        </w:rPr>
        <w:t xml:space="preserve">开工之日起到竣工结束，在保证工程质量、安全、进度的情况下， 项目经理每周至少 5 日，每天不少于 8 小时在现场组织施工</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承包人未提交劳动合同，以及没有为项目经理缴纳社会保险证明的违约责任：</w:t>
      </w:r>
      <w:r>
        <w:rPr>
          <w:rFonts w:hint="eastAsia" w:asciiTheme="minorEastAsia" w:hAnsiTheme="minorEastAsia" w:eastAsiaTheme="minorEastAsia" w:cstheme="minorEastAsia"/>
          <w:szCs w:val="32"/>
          <w:u w:val="single"/>
        </w:rPr>
        <w:t xml:space="preserve">由承包人承担违约责任，责令限期提交劳动合同并补缴社会保险，并扣除履约保证金的 10%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项目经理未经批准，擅自离开施工现场的违约责任：</w:t>
      </w:r>
      <w:r>
        <w:rPr>
          <w:rFonts w:hint="eastAsia" w:asciiTheme="minorEastAsia" w:hAnsiTheme="minorEastAsia" w:eastAsiaTheme="minorEastAsia" w:cstheme="minorEastAsia"/>
          <w:szCs w:val="32"/>
          <w:u w:val="single"/>
        </w:rPr>
        <w:t xml:space="preserve">由承包人承担违约责任，发包人有权处违约金 2000 元/人•次(人民币)</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3.2.3 承包人擅自更换项目经理的违约责任：</w:t>
      </w:r>
      <w:r>
        <w:rPr>
          <w:rFonts w:hint="eastAsia" w:asciiTheme="minorEastAsia" w:hAnsiTheme="minorEastAsia" w:eastAsiaTheme="minorEastAsia" w:cstheme="minorEastAsia"/>
          <w:szCs w:val="32"/>
          <w:u w:val="single"/>
        </w:rPr>
        <w:t xml:space="preserve">由承包人承担违约责任，并扣除履约保证金的50%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3.2.4 承包人无正当理由拒绝更换项目经理的违约责任：</w:t>
      </w:r>
      <w:r>
        <w:rPr>
          <w:rFonts w:hint="eastAsia" w:asciiTheme="minorEastAsia" w:hAnsiTheme="minorEastAsia" w:eastAsiaTheme="minorEastAsia" w:cstheme="minorEastAsia"/>
          <w:szCs w:val="32"/>
          <w:u w:val="single"/>
        </w:rPr>
        <w:t xml:space="preserve">由承包人承担违约责任，并扣除履约保证金的50%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 承包人人员</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3.3.1 承包人提交项目管理机构及施工现场管理人员安排报告的期限：</w:t>
      </w:r>
      <w:r>
        <w:rPr>
          <w:rFonts w:hint="eastAsia" w:asciiTheme="minorEastAsia" w:hAnsiTheme="minorEastAsia" w:eastAsiaTheme="minorEastAsia" w:cstheme="minorEastAsia"/>
          <w:szCs w:val="32"/>
          <w:u w:val="single"/>
        </w:rPr>
        <w:t xml:space="preserve">承包人应在接到开工通知后7天内，向监理人提交承包人项目管理机构及施工现场人员安排的报告</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3.3.3 承包人无正当理由拒绝撤换主要施工管理人员的违约责任：</w:t>
      </w:r>
      <w:r>
        <w:rPr>
          <w:rFonts w:hint="eastAsia" w:asciiTheme="minorEastAsia" w:hAnsiTheme="minorEastAsia" w:eastAsiaTheme="minorEastAsia" w:cstheme="minorEastAsia"/>
          <w:szCs w:val="32"/>
          <w:u w:val="single"/>
        </w:rPr>
        <w:t xml:space="preserve">由承包人承担违约责任，并扣除履约保证金的20%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3.3.4 承包人主要施工管理人员离开施工现场的批准要求：</w:t>
      </w:r>
      <w:r>
        <w:rPr>
          <w:rFonts w:hint="eastAsia" w:asciiTheme="minorEastAsia" w:hAnsiTheme="minorEastAsia" w:eastAsiaTheme="minorEastAsia" w:cstheme="minorEastAsia"/>
          <w:szCs w:val="32"/>
          <w:u w:val="single"/>
        </w:rPr>
        <w:t xml:space="preserve">应事先通知监理人，并取得发包人的书面同意，书面请假手续同时报招标人或监理备案，其它按通用条款执行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3.3.5承包人擅自更换主要施工管理人员的违约责任：</w:t>
      </w:r>
      <w:r>
        <w:rPr>
          <w:rFonts w:hint="eastAsia" w:asciiTheme="minorEastAsia" w:hAnsiTheme="minorEastAsia" w:eastAsiaTheme="minorEastAsia" w:cstheme="minorEastAsia"/>
          <w:szCs w:val="32"/>
          <w:u w:val="single"/>
        </w:rPr>
        <w:t xml:space="preserve">由承包人承担违约责任，并扣除履约保证金的20%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承包人主要施工管理人员擅自离开施工现场的违约责任：</w:t>
      </w:r>
      <w:r>
        <w:rPr>
          <w:rFonts w:hint="eastAsia" w:asciiTheme="minorEastAsia" w:hAnsiTheme="minorEastAsia" w:eastAsiaTheme="minorEastAsia" w:cstheme="minorEastAsia"/>
          <w:szCs w:val="32"/>
          <w:u w:val="single"/>
        </w:rPr>
        <w:t xml:space="preserve">由承包人承担违约责任，发包人有权处违约金 500 元/人•次(人民币)</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bookmarkStart w:id="109" w:name="_Toc296503159"/>
      <w:r/>
      <w:bookmarkStart w:id="110" w:name="_Toc300934945"/>
      <w:r/>
      <w:bookmarkStart w:id="111" w:name="_Toc312677988"/>
      <w:r/>
      <w:bookmarkStart w:id="112" w:name="_Toc304295523"/>
      <w:r/>
      <w:bookmarkStart w:id="113" w:name="_Toc296890987"/>
      <w:r/>
      <w:bookmarkStart w:id="114" w:name="_Toc297123492"/>
      <w:r/>
      <w:bookmarkStart w:id="115" w:name="_Toc296891199"/>
      <w:r/>
      <w:bookmarkStart w:id="116" w:name="_Toc303539102"/>
      <w:r/>
      <w:bookmarkStart w:id="117" w:name="_Toc292559869"/>
      <w:r/>
      <w:bookmarkStart w:id="118" w:name="_Toc297120459"/>
      <w:r/>
      <w:bookmarkStart w:id="119" w:name="_Toc292559364"/>
      <w:r/>
      <w:bookmarkStart w:id="120" w:name="_Toc296944498"/>
      <w:r/>
      <w:bookmarkStart w:id="121" w:name="_Toc296347158"/>
      <w:r/>
      <w:bookmarkStart w:id="122" w:name="_Toc297048345"/>
      <w:r/>
      <w:bookmarkStart w:id="123" w:name="_Toc296346660"/>
      <w:r/>
      <w:bookmarkStart w:id="124" w:name="_Toc297216151"/>
      <w:r>
        <w:rPr>
          <w:rFonts w:hint="eastAsia" w:asciiTheme="minorEastAsia" w:hAnsiTheme="minorEastAsia" w:eastAsiaTheme="minorEastAsia" w:cstheme="minorEastAsia"/>
          <w:szCs w:val="32"/>
        </w:rPr>
        <w:t xml:space="preserve">.5 分包</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bookmarkStart w:id="125" w:name="_Toc297123493"/>
      <w:r/>
      <w:bookmarkStart w:id="126" w:name="_Toc292559870"/>
      <w:r/>
      <w:bookmarkStart w:id="127" w:name="_Toc318581158"/>
      <w:r/>
      <w:bookmarkStart w:id="128" w:name="_Toc297048346"/>
      <w:r/>
      <w:bookmarkStart w:id="129" w:name="_Toc296503160"/>
      <w:r/>
      <w:bookmarkStart w:id="130" w:name="_Toc296890988"/>
      <w:r/>
      <w:bookmarkStart w:id="131" w:name="_Toc296944499"/>
      <w:r/>
      <w:bookmarkStart w:id="132" w:name="_Toc312677989"/>
      <w:r/>
      <w:bookmarkStart w:id="133" w:name="_Toc292559365"/>
      <w:r/>
      <w:bookmarkStart w:id="134" w:name="_Toc296891200"/>
      <w:r/>
      <w:bookmarkStart w:id="135" w:name="_Toc300934946"/>
      <w:r/>
      <w:bookmarkStart w:id="136" w:name="_Toc297120460"/>
      <w:r/>
      <w:bookmarkStart w:id="137" w:name="_Toc303539103"/>
      <w:r/>
      <w:bookmarkStart w:id="138" w:name="_Toc304295524"/>
      <w:r/>
      <w:bookmarkStart w:id="139" w:name="_Toc297216152"/>
      <w:r/>
      <w:bookmarkStart w:id="140" w:name="_Toc296346661"/>
      <w:r/>
      <w:bookmarkStart w:id="141" w:name="_Toc296347159"/>
      <w:r>
        <w:rPr>
          <w:rFonts w:hint="eastAsia" w:asciiTheme="minorEastAsia" w:hAnsiTheme="minorEastAsia" w:eastAsiaTheme="minorEastAsia" w:cstheme="minorEastAsia"/>
          <w:szCs w:val="32"/>
        </w:rPr>
        <w:t xml:space="preserve">.5.1 分包的一般约定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禁止分包的工程包括：法律法规禁止分包的工程。</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主体结构、关键性工作的范围：</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
    </w:p>
    <w:p>
      <w:pPr>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    3</w:t>
      </w:r>
      <w:bookmarkStart w:id="142" w:name="_Toc318581159"/>
      <w:r/>
      <w:bookmarkStart w:id="143" w:name="_Toc312677990"/>
      <w:r>
        <w:rPr>
          <w:rFonts w:hint="eastAsia" w:asciiTheme="minorEastAsia" w:hAnsiTheme="minorEastAsia" w:eastAsiaTheme="minorEastAsia" w:cstheme="minorEastAsia"/>
          <w:szCs w:val="32"/>
        </w:rPr>
        <w:t xml:space="preserve">.5.2分包的确定</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允许分包的专业工程包括：</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其他关于分包的约定：</w:t>
      </w:r>
      <w:r>
        <w:rPr>
          <w:rFonts w:hint="eastAsia" w:asciiTheme="minorEastAsia" w:hAnsiTheme="minorEastAsia" w:eastAsiaTheme="minorEastAsia" w:cstheme="minorEastAsia"/>
          <w:szCs w:val="32"/>
          <w:u w:val="single"/>
        </w:rPr>
        <w:t xml:space="preserve">非主体、非关键性工程可以分包，分包单位须具有相关资质且得到招标人认可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3.5.4 分包合同价款</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关于分包合同价款支付的约定：</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bookmarkEnd w:id="142"/>
      <w:r/>
      <w:bookmarkEnd w:id="143"/>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3.6 工程照管与成品、半成品保护</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承包人负责照管工程及工程相关的材料、工程设备的起始时间：</w:t>
      </w:r>
      <w:r>
        <w:rPr>
          <w:rFonts w:hint="eastAsia" w:asciiTheme="minorEastAsia" w:hAnsiTheme="minorEastAsia" w:eastAsiaTheme="minorEastAsia" w:cstheme="minorEastAsia"/>
          <w:szCs w:val="32"/>
          <w:u w:val="single"/>
        </w:rPr>
        <w:t xml:space="preserve">发包人向承包人移交施工现场之日起</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3.7 履约担保</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承包人是否提供履约担保：</w:t>
      </w:r>
      <w:r>
        <w:rPr>
          <w:rFonts w:hint="eastAsia" w:asciiTheme="minorEastAsia" w:hAnsiTheme="minorEastAsia" w:eastAsiaTheme="minorEastAsia" w:cstheme="minorEastAsia"/>
          <w:szCs w:val="32"/>
          <w:u w:val="single"/>
        </w:rPr>
        <w:t xml:space="preserve">是</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承包人提供履约担保的形式、金额及期限的：</w:t>
      </w:r>
      <w:r>
        <w:rPr>
          <w:rFonts w:hint="eastAsia" w:asciiTheme="minorEastAsia" w:hAnsiTheme="minorEastAsia" w:eastAsiaTheme="minorEastAsia" w:cstheme="minorEastAsia"/>
          <w:szCs w:val="32"/>
          <w:u w:val="single"/>
        </w:rPr>
        <w:t xml:space="preserve">详见本文件第三章供应商须知前附表</w:t>
      </w:r>
      <w:r>
        <w:rPr>
          <w:rFonts w:hint="eastAsia" w:asciiTheme="minorEastAsia" w:hAnsiTheme="minorEastAsia" w:eastAsiaTheme="minorEastAsia" w:cstheme="minorEastAsia"/>
          <w:szCs w:val="32"/>
        </w:rPr>
        <w:t xml:space="preserve">。</w:t>
      </w:r>
      <w:r/>
    </w:p>
    <w:p>
      <w:pPr>
        <w:pStyle w:val="792"/>
        <w:spacing w:before="0" w:after="0" w:line="332" w:lineRule="auto"/>
        <w:rPr>
          <w:rFonts w:asciiTheme="minorEastAsia" w:hAnsiTheme="minorEastAsia" w:eastAsiaTheme="minorEastAsia" w:cstheme="minorEastAsia"/>
          <w:bCs w:val="0"/>
          <w:szCs w:val="32"/>
        </w:rPr>
      </w:pPr>
      <w:r/>
      <w:bookmarkStart w:id="144" w:name="_Toc351203636"/>
      <w:r>
        <w:rPr>
          <w:rFonts w:hint="eastAsia" w:asciiTheme="minorEastAsia" w:hAnsiTheme="minorEastAsia" w:eastAsiaTheme="minorEastAsia" w:cstheme="minorEastAsia"/>
          <w:bCs w:val="0"/>
          <w:szCs w:val="32"/>
        </w:rPr>
        <w:t xml:space="preserve">4</w:t>
      </w:r>
      <w:bookmarkStart w:id="145" w:name="_Toc296891202"/>
      <w:r/>
      <w:bookmarkStart w:id="146" w:name="_Toc296346663"/>
      <w:r/>
      <w:bookmarkStart w:id="147" w:name="_Toc292559366"/>
      <w:r/>
      <w:bookmarkStart w:id="148" w:name="_Toc292559871"/>
      <w:r/>
      <w:bookmarkStart w:id="149" w:name="_Toc296347161"/>
      <w:r/>
      <w:bookmarkStart w:id="150" w:name="_Toc296503162"/>
      <w:r/>
      <w:bookmarkStart w:id="151" w:name="_Toc297120462"/>
      <w:r/>
      <w:bookmarkStart w:id="152" w:name="_Toc296890990"/>
      <w:r/>
      <w:bookmarkStart w:id="153" w:name="_Toc267251413"/>
      <w:r/>
      <w:bookmarkStart w:id="154" w:name="_Toc296944501"/>
      <w:r/>
      <w:bookmarkStart w:id="155" w:name="_Toc297048348"/>
      <w:r>
        <w:rPr>
          <w:rFonts w:hint="eastAsia" w:asciiTheme="minorEastAsia" w:hAnsiTheme="minorEastAsia" w:eastAsiaTheme="minorEastAsia" w:cstheme="minorEastAsia"/>
          <w:bCs w:val="0"/>
          <w:szCs w:val="32"/>
        </w:rPr>
        <w:t xml:space="preserve">. 监</w:t>
      </w:r>
      <w:bookmarkEnd w:id="145"/>
      <w:r/>
      <w:bookmarkEnd w:id="146"/>
      <w:r/>
      <w:bookmarkEnd w:id="147"/>
      <w:r/>
      <w:bookmarkEnd w:id="148"/>
      <w:r/>
      <w:bookmarkEnd w:id="149"/>
      <w:r/>
      <w:bookmarkEnd w:id="150"/>
      <w:r/>
      <w:bookmarkEnd w:id="151"/>
      <w:r/>
      <w:bookmarkEnd w:id="152"/>
      <w:r/>
      <w:bookmarkEnd w:id="153"/>
      <w:r/>
      <w:bookmarkEnd w:id="154"/>
      <w:r/>
      <w:bookmarkEnd w:id="155"/>
      <w:r>
        <w:rPr>
          <w:rFonts w:hint="eastAsia" w:asciiTheme="minorEastAsia" w:hAnsiTheme="minorEastAsia" w:eastAsiaTheme="minorEastAsia" w:cstheme="minorEastAsia"/>
          <w:bCs w:val="0"/>
          <w:szCs w:val="32"/>
        </w:rPr>
        <w:t xml:space="preserve">理人</w:t>
      </w:r>
      <w:bookmarkEnd w:id="144"/>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4.1监理人的一般规定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关于监理人的监理内容：</w:t>
      </w:r>
      <w:r>
        <w:rPr>
          <w:rFonts w:hint="eastAsia" w:asciiTheme="minorEastAsia" w:hAnsiTheme="minorEastAsia" w:eastAsiaTheme="minorEastAsia" w:cstheme="minorEastAsia"/>
          <w:szCs w:val="32"/>
          <w:u w:val="single"/>
        </w:rPr>
        <w:t xml:space="preserve">  见监理合同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关于监理人的监理权限：</w:t>
      </w:r>
      <w:r>
        <w:rPr>
          <w:rFonts w:hint="eastAsia" w:asciiTheme="minorEastAsia" w:hAnsiTheme="minorEastAsia" w:eastAsiaTheme="minorEastAsia" w:cstheme="minorEastAsia"/>
          <w:szCs w:val="32"/>
          <w:u w:val="single"/>
        </w:rPr>
        <w:t xml:space="preserve">对本工程施工阶段的质量、进度、造价进行控制，以及对合同、安全、信息和现场进行管理，涉及工期、质量标准、造价变更的需发包人书面确认</w:t>
      </w:r>
      <w:r>
        <w:rPr>
          <w:rFonts w:hint="eastAsia" w:asciiTheme="minorEastAsia" w:hAnsiTheme="minorEastAsia" w:eastAsiaTheme="minorEastAsia" w:cstheme="minorEastAsia"/>
          <w:szCs w:val="32"/>
        </w:rPr>
        <w:t xml:space="preserve">。 </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关于监理人在施工现场的办公场所、生活场所的提供和费用承担的约定：</w:t>
      </w:r>
      <w:r>
        <w:rPr>
          <w:rFonts w:hint="eastAsia" w:asciiTheme="minorEastAsia" w:hAnsiTheme="minorEastAsia" w:eastAsiaTheme="minorEastAsia" w:cstheme="minorEastAsia"/>
          <w:szCs w:val="32"/>
          <w:u w:val="single"/>
        </w:rPr>
        <w:t xml:space="preserve"> 由承包人提供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4.2 监理人员</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总监理工程师：</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职    务：；</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监理工程师执业资格证书号：；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关于监理人的其他约定：。</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4.4 商定或确定</w:t>
      </w:r>
      <w:r/>
    </w:p>
    <w:p>
      <w:pPr>
        <w:ind w:firstLine="420"/>
        <w:spacing w:line="332" w:lineRule="auto"/>
        <w:rPr>
          <w:rFonts w:asciiTheme="minorEastAsia" w:hAnsiTheme="minorEastAsia" w:eastAsiaTheme="minorEastAsia" w:cstheme="minorEastAsia"/>
          <w:szCs w:val="32"/>
        </w:rPr>
      </w:pPr>
      <w:r/>
      <w:bookmarkStart w:id="156" w:name="_Toc267251418"/>
      <w:r>
        <w:rPr>
          <w:rFonts w:hint="eastAsia" w:asciiTheme="minorEastAsia" w:hAnsiTheme="minorEastAsia" w:eastAsiaTheme="minorEastAsia" w:cstheme="minorEastAsia"/>
          <w:szCs w:val="32"/>
        </w:rPr>
        <w:t xml:space="preserve">在发包人和承包人不能通过协商达成一致意见时，发包人授权监理人对以下事项进行确定：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r/>
    </w:p>
    <w:p>
      <w:pPr>
        <w:pStyle w:val="792"/>
        <w:spacing w:before="0" w:after="0" w:line="332" w:lineRule="auto"/>
        <w:rPr>
          <w:rFonts w:asciiTheme="minorEastAsia" w:hAnsiTheme="minorEastAsia" w:eastAsiaTheme="minorEastAsia" w:cstheme="minorEastAsia"/>
          <w:bCs w:val="0"/>
          <w:szCs w:val="32"/>
        </w:rPr>
      </w:pPr>
      <w:r/>
      <w:bookmarkStart w:id="157" w:name="_Toc351203637"/>
      <w:r>
        <w:rPr>
          <w:rFonts w:hint="eastAsia" w:asciiTheme="minorEastAsia" w:hAnsiTheme="minorEastAsia" w:eastAsiaTheme="minorEastAsia" w:cstheme="minorEastAsia"/>
          <w:bCs w:val="0"/>
          <w:szCs w:val="32"/>
        </w:rPr>
        <w:t xml:space="preserve">5</w:t>
      </w:r>
      <w:bookmarkStart w:id="158" w:name="_Toc297048349"/>
      <w:r/>
      <w:bookmarkStart w:id="159" w:name="_Toc296890991"/>
      <w:r/>
      <w:bookmarkStart w:id="160" w:name="_Toc297120463"/>
      <w:r/>
      <w:bookmarkStart w:id="161" w:name="_Toc296503163"/>
      <w:r/>
      <w:bookmarkStart w:id="162" w:name="_Toc296346664"/>
      <w:r/>
      <w:bookmarkStart w:id="163" w:name="_Toc296944502"/>
      <w:r/>
      <w:bookmarkStart w:id="164" w:name="_Toc296891203"/>
      <w:r/>
      <w:bookmarkStart w:id="165" w:name="_Toc292559367"/>
      <w:r/>
      <w:bookmarkStart w:id="166" w:name="_Toc296347162"/>
      <w:r/>
      <w:bookmarkStart w:id="167" w:name="_Toc292559872"/>
      <w:r/>
      <w:bookmarkEnd w:id="156"/>
      <w:r>
        <w:rPr>
          <w:rFonts w:hint="eastAsia" w:asciiTheme="minorEastAsia" w:hAnsiTheme="minorEastAsia" w:eastAsiaTheme="minorEastAsia" w:cstheme="minorEastAsia"/>
          <w:bCs w:val="0"/>
          <w:szCs w:val="32"/>
        </w:rPr>
        <w:t xml:space="preserve">. 工程质量</w:t>
      </w:r>
      <w:bookmarkEnd w:id="157"/>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5.1 质量要求：</w:t>
      </w:r>
      <w:r>
        <w:rPr>
          <w:rFonts w:hint="eastAsia" w:asciiTheme="minorEastAsia" w:hAnsiTheme="minorEastAsia" w:eastAsiaTheme="minorEastAsia" w:cstheme="minorEastAsia"/>
          <w:szCs w:val="32"/>
          <w:u w:val="single"/>
        </w:rPr>
        <w:t xml:space="preserve">合格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w:t>
      </w:r>
      <w:bookmarkStart w:id="168" w:name="_Toc297123496"/>
      <w:r/>
      <w:bookmarkStart w:id="169" w:name="_Toc300934949"/>
      <w:r/>
      <w:bookmarkStart w:id="170" w:name="_Toc318581164"/>
      <w:r/>
      <w:bookmarkStart w:id="171" w:name="_Toc297216155"/>
      <w:r/>
      <w:bookmarkStart w:id="172" w:name="_Toc304295527"/>
      <w:r/>
      <w:bookmarkStart w:id="173" w:name="_Toc312677997"/>
      <w:r/>
      <w:bookmarkStart w:id="174" w:name="_Toc303539106"/>
      <w:r>
        <w:rPr>
          <w:rFonts w:hint="eastAsia" w:asciiTheme="minorEastAsia" w:hAnsiTheme="minorEastAsia" w:eastAsiaTheme="minorEastAsia" w:cstheme="minorEastAsia"/>
          <w:szCs w:val="32"/>
        </w:rPr>
        <w:t xml:space="preserve">.1.1 特殊质量标准和要求：。</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关于工程奖项的约定：。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5.3 隐蔽工程检查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5.3.2承包人提前通知监理人隐蔽工程检查的期限的约定：</w:t>
      </w:r>
      <w:r>
        <w:rPr>
          <w:rFonts w:hint="eastAsia" w:asciiTheme="minorEastAsia" w:hAnsiTheme="minorEastAsia" w:eastAsiaTheme="minorEastAsia" w:cstheme="minorEastAsia"/>
          <w:szCs w:val="32"/>
          <w:u w:val="single"/>
        </w:rPr>
        <w:t xml:space="preserve">提前24小时通知</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监理人不能按时进行检查时，应提前</w:t>
      </w:r>
      <w:r>
        <w:rPr>
          <w:rFonts w:hint="eastAsia" w:asciiTheme="minorEastAsia" w:hAnsiTheme="minorEastAsia" w:eastAsiaTheme="minorEastAsia" w:cstheme="minorEastAsia"/>
          <w:szCs w:val="32"/>
          <w:u w:val="single"/>
        </w:rPr>
        <w:t xml:space="preserve">12</w:t>
      </w:r>
      <w:r>
        <w:rPr>
          <w:rFonts w:hint="eastAsia" w:asciiTheme="minorEastAsia" w:hAnsiTheme="minorEastAsia" w:eastAsiaTheme="minorEastAsia" w:cstheme="minorEastAsia"/>
          <w:szCs w:val="32"/>
        </w:rPr>
        <w:t xml:space="preserve">小时提交书面延期要求。</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关于延期最长不得超过：</w:t>
      </w:r>
      <w:r>
        <w:rPr>
          <w:rFonts w:hint="eastAsia" w:asciiTheme="minorEastAsia" w:hAnsiTheme="minorEastAsia" w:eastAsiaTheme="minorEastAsia" w:cstheme="minorEastAsia"/>
          <w:szCs w:val="32"/>
          <w:u w:val="single"/>
        </w:rPr>
        <w:t xml:space="preserve">48</w:t>
      </w:r>
      <w:r>
        <w:rPr>
          <w:rFonts w:hint="eastAsia" w:asciiTheme="minorEastAsia" w:hAnsiTheme="minorEastAsia" w:eastAsiaTheme="minorEastAsia" w:cstheme="minorEastAsia"/>
          <w:szCs w:val="32"/>
        </w:rPr>
        <w:t xml:space="preserve">小时。</w:t>
      </w:r>
      <w:r/>
    </w:p>
    <w:p>
      <w:pPr>
        <w:pStyle w:val="792"/>
        <w:spacing w:before="0" w:after="0" w:line="332" w:lineRule="auto"/>
        <w:rPr>
          <w:rFonts w:asciiTheme="minorEastAsia" w:hAnsiTheme="minorEastAsia" w:eastAsiaTheme="minorEastAsia" w:cstheme="minorEastAsia"/>
          <w:bCs w:val="0"/>
          <w:szCs w:val="32"/>
        </w:rPr>
      </w:pPr>
      <w:r/>
      <w:bookmarkStart w:id="175" w:name="_Toc351203638"/>
      <w:r>
        <w:rPr>
          <w:rFonts w:hint="eastAsia" w:asciiTheme="minorEastAsia" w:hAnsiTheme="minorEastAsia" w:eastAsiaTheme="minorEastAsia" w:cstheme="minorEastAsia"/>
          <w:bCs w:val="0"/>
          <w:szCs w:val="32"/>
        </w:rPr>
        <w:t xml:space="preserve">6. 安全文明施工与环境保护</w:t>
      </w:r>
      <w:bookmarkEnd w:id="17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6.1安全文明施工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6.1.1 项目安全生产的达标目标及相应事项的约定：</w:t>
      </w:r>
      <w:r>
        <w:rPr>
          <w:rFonts w:hint="eastAsia" w:asciiTheme="minorEastAsia" w:hAnsiTheme="minorEastAsia" w:eastAsiaTheme="minorEastAsia" w:cstheme="minorEastAsia"/>
          <w:szCs w:val="32"/>
          <w:u w:val="single"/>
        </w:rPr>
        <w:t xml:space="preserve">无安全事故</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2）承包人必须成立项目安全管理小组，所有全部工程施工过程均必须有安全管理人员在施工现场，实施安全监督。</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3）承包人在施工组织安排时，要充分考虑施工条件的影响。施工现场内、外的设置临时交通安全设施等。</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4）承包人对本工程的质量安全负全责。</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6.1.4 关于治安保卫的特别约定：</w:t>
      </w:r>
      <w:r>
        <w:rPr>
          <w:rFonts w:hint="eastAsia" w:asciiTheme="minorEastAsia" w:hAnsiTheme="minorEastAsia" w:eastAsiaTheme="minorEastAsia" w:cstheme="minorEastAsia"/>
          <w:szCs w:val="32"/>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关于编制施工场地治安管理计划的约定：</w:t>
      </w:r>
      <w:r>
        <w:rPr>
          <w:rFonts w:hint="eastAsia" w:asciiTheme="minorEastAsia" w:hAnsiTheme="minorEastAsia" w:eastAsiaTheme="minorEastAsia" w:cstheme="minorEastAsia"/>
          <w:szCs w:val="32"/>
          <w:u w:val="single"/>
        </w:rPr>
        <w:t xml:space="preserve">承包人须编制施工场地治安管理计划，建立健全施工现场治安保卫制度及管理责任制，并制定应对突发治安事件的应急预案</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6.1.5 文明施工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合同当事人对文明施工的要求：</w:t>
      </w:r>
      <w:r>
        <w:rPr>
          <w:rFonts w:hint="eastAsia" w:asciiTheme="minorEastAsia" w:hAnsiTheme="minorEastAsia" w:eastAsiaTheme="minorEastAsia" w:cstheme="minorEastAsia"/>
          <w:szCs w:val="32"/>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6.1.6 关于安全文明施工费支付比例和支付期限的约定：</w:t>
      </w:r>
      <w:r>
        <w:rPr>
          <w:rFonts w:hint="eastAsia" w:asciiTheme="minorEastAsia" w:hAnsiTheme="minorEastAsia" w:eastAsiaTheme="minorEastAsia" w:cstheme="minorEastAsia"/>
          <w:szCs w:val="32"/>
          <w:u w:val="single"/>
        </w:rPr>
        <w:t xml:space="preserve">按国家规定比例，该费用包含在首次付款中</w:t>
      </w:r>
      <w:r>
        <w:rPr>
          <w:rFonts w:hint="eastAsia" w:asciiTheme="minorEastAsia" w:hAnsiTheme="minorEastAsia" w:eastAsiaTheme="minorEastAsia" w:cstheme="minorEastAsia"/>
          <w:szCs w:val="32"/>
        </w:rPr>
        <w:t xml:space="preserve">。</w:t>
      </w:r>
      <w:bookmarkEnd w:id="168"/>
      <w:r/>
      <w:bookmarkEnd w:id="169"/>
      <w:r/>
      <w:bookmarkEnd w:id="170"/>
      <w:r/>
      <w:bookmarkEnd w:id="171"/>
      <w:r/>
      <w:bookmarkEnd w:id="172"/>
      <w:r/>
      <w:bookmarkEnd w:id="173"/>
      <w:r/>
      <w:bookmarkEnd w:id="174"/>
      <w:r/>
      <w:r/>
    </w:p>
    <w:p>
      <w:pPr>
        <w:pStyle w:val="792"/>
        <w:spacing w:before="0" w:after="0" w:line="332" w:lineRule="auto"/>
        <w:rPr>
          <w:rFonts w:asciiTheme="minorEastAsia" w:hAnsiTheme="minorEastAsia" w:eastAsiaTheme="minorEastAsia" w:cstheme="minorEastAsia"/>
          <w:bCs w:val="0"/>
          <w:szCs w:val="32"/>
        </w:rPr>
      </w:pPr>
      <w:r/>
      <w:bookmarkStart w:id="176" w:name="_Toc351203639"/>
      <w:r>
        <w:rPr>
          <w:rFonts w:hint="eastAsia" w:asciiTheme="minorEastAsia" w:hAnsiTheme="minorEastAsia" w:eastAsiaTheme="minorEastAsia" w:cstheme="minorEastAsia"/>
          <w:bCs w:val="0"/>
          <w:szCs w:val="32"/>
        </w:rPr>
        <w:t xml:space="preserve">7. 工期和进度</w:t>
      </w:r>
      <w:bookmarkEnd w:id="17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 施工组织设计</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7.1.1 合同当事人约定的施工组织设计应包括的其他内容：</w:t>
      </w:r>
      <w:r>
        <w:rPr>
          <w:rFonts w:hint="eastAsia" w:asciiTheme="minorEastAsia" w:hAnsiTheme="minorEastAsia" w:eastAsiaTheme="minorEastAsia" w:cstheme="minorEastAsia"/>
          <w:szCs w:val="32"/>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7.1.2 施工组织设计的提交和修改</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承包人提交详细施工组织设计的期限的约定：</w:t>
      </w:r>
      <w:r>
        <w:rPr>
          <w:rFonts w:hint="eastAsia" w:asciiTheme="minorEastAsia" w:hAnsiTheme="minorEastAsia" w:eastAsiaTheme="minorEastAsia" w:cstheme="minorEastAsia"/>
          <w:szCs w:val="32"/>
          <w:u w:val="single"/>
        </w:rPr>
        <w:t xml:space="preserve"> 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发包人和监理人在收到详细的施工组织设计后确认或提出修改意见的期限：</w:t>
      </w:r>
      <w:r>
        <w:rPr>
          <w:rFonts w:hint="eastAsia" w:asciiTheme="minorEastAsia" w:hAnsiTheme="minorEastAsia" w:eastAsiaTheme="minorEastAsia" w:cstheme="minorEastAsia"/>
          <w:szCs w:val="32"/>
          <w:u w:val="single"/>
        </w:rPr>
        <w:t xml:space="preserve">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177" w:name="_Toc304295541"/>
      <w:r/>
      <w:bookmarkStart w:id="178" w:name="_Toc300934966"/>
      <w:r/>
      <w:bookmarkStart w:id="179" w:name="_Toc297123514"/>
      <w:r/>
      <w:bookmarkStart w:id="180" w:name="_Toc312677479"/>
      <w:r/>
      <w:bookmarkStart w:id="181" w:name="_Toc312678005"/>
      <w:r/>
      <w:bookmarkStart w:id="182" w:name="_Toc303539123"/>
      <w:r/>
      <w:bookmarkStart w:id="183" w:name="_Toc297216173"/>
      <w:r>
        <w:rPr>
          <w:rFonts w:hint="eastAsia" w:asciiTheme="minorEastAsia" w:hAnsiTheme="minorEastAsia" w:eastAsiaTheme="minorEastAsia" w:cstheme="minorEastAsia"/>
          <w:szCs w:val="32"/>
        </w:rPr>
        <w:t xml:space="preserve">.2 施工进度计划</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7.2.2 施工进度计划的修订</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发包人和监理人在收到修订的施工进度计划后确认或提出修改意见的期限：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 开工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7.3.1 开工准备</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关于承包人提交工程开工报审表的期限：</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tabs>
          <w:tab w:val="left" w:pos="623" w:leader="none"/>
        </w:tabs>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关于发包人应完成的其他开工准备工作及期限：</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关于承包人应完成的其他开工准备工作及期限：</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7.3.2开工通知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因发包人原因造成监理人未能在计划开工日期之日起</w:t>
      </w:r>
      <w:r>
        <w:rPr>
          <w:rFonts w:hint="eastAsia" w:asciiTheme="minorEastAsia" w:hAnsiTheme="minorEastAsia" w:eastAsiaTheme="minorEastAsia" w:cstheme="minorEastAsia"/>
          <w:szCs w:val="32"/>
          <w:u w:val="single"/>
        </w:rPr>
        <w:t xml:space="preserve">90</w:t>
      </w:r>
      <w:r>
        <w:rPr>
          <w:rFonts w:hint="eastAsia" w:asciiTheme="minorEastAsia" w:hAnsiTheme="minorEastAsia" w:eastAsiaTheme="minorEastAsia" w:cstheme="minorEastAsia"/>
          <w:szCs w:val="32"/>
        </w:rPr>
        <w:t xml:space="preserve">天内发出开工通知的，承包人有权提出价格调整要求，或者解除合同。</w:t>
      </w:r>
      <w:bookmarkEnd w:id="177"/>
      <w:r/>
      <w:bookmarkEnd w:id="178"/>
      <w:r/>
      <w:bookmarkEnd w:id="179"/>
      <w:r/>
      <w:bookmarkEnd w:id="180"/>
      <w:r/>
      <w:bookmarkEnd w:id="181"/>
      <w:r/>
      <w:bookmarkEnd w:id="182"/>
      <w:r/>
      <w:bookmarkEnd w:id="183"/>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7.4 测量放线</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184" w:name="_Toc303539125"/>
      <w:r/>
      <w:bookmarkStart w:id="185" w:name="_Toc300934968"/>
      <w:r/>
      <w:bookmarkStart w:id="186" w:name="_Toc297123516"/>
      <w:r/>
      <w:bookmarkStart w:id="187" w:name="_Toc312678010"/>
      <w:r/>
      <w:bookmarkStart w:id="188" w:name="_Toc312677484"/>
      <w:r/>
      <w:bookmarkStart w:id="189" w:name="_Toc304295546"/>
      <w:r/>
      <w:bookmarkStart w:id="190" w:name="_Toc297216175"/>
      <w:r>
        <w:rPr>
          <w:rFonts w:hint="eastAsia" w:asciiTheme="minorEastAsia" w:hAnsiTheme="minorEastAsia" w:eastAsiaTheme="minorEastAsia" w:cstheme="minorEastAsia"/>
          <w:szCs w:val="32"/>
        </w:rPr>
        <w:t xml:space="preserve">.5 工期延误</w:t>
      </w:r>
      <w:bookmarkEnd w:id="184"/>
      <w:r/>
      <w:bookmarkEnd w:id="185"/>
      <w:r/>
      <w:bookmarkEnd w:id="186"/>
      <w:r/>
      <w:bookmarkEnd w:id="187"/>
      <w:r/>
      <w:bookmarkEnd w:id="188"/>
      <w:r/>
      <w:bookmarkEnd w:id="189"/>
      <w:r/>
      <w:bookmarkEnd w:id="190"/>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7.5.1 因发包人原因导致工期延误</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（7）因发包人原因导致工期延误的其他情形：</w:t>
      </w:r>
      <w:r>
        <w:rPr>
          <w:rFonts w:hint="eastAsia" w:asciiTheme="minorEastAsia" w:hAnsiTheme="minorEastAsia" w:eastAsiaTheme="minorEastAsia" w:cstheme="minorEastAsia"/>
          <w:szCs w:val="32"/>
          <w:u w:val="single"/>
        </w:rPr>
        <w:t xml:space="preserve"> 工期顺延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191" w:name="_Toc318581169"/>
      <w:r/>
      <w:bookmarkStart w:id="192" w:name="_Toc312677486"/>
      <w:r/>
      <w:bookmarkStart w:id="193" w:name="_Toc312678012"/>
      <w:r/>
      <w:bookmarkStart w:id="194" w:name="_Toc297123518"/>
      <w:r/>
      <w:bookmarkStart w:id="195" w:name="_Toc303539127"/>
      <w:r/>
      <w:bookmarkStart w:id="196" w:name="_Toc304295548"/>
      <w:r/>
      <w:bookmarkStart w:id="197" w:name="_Toc300934970"/>
      <w:r/>
      <w:bookmarkStart w:id="198" w:name="_Toc297216177"/>
      <w:r>
        <w:rPr>
          <w:rFonts w:hint="eastAsia" w:asciiTheme="minorEastAsia" w:hAnsiTheme="minorEastAsia" w:eastAsiaTheme="minorEastAsia" w:cstheme="minorEastAsia"/>
          <w:szCs w:val="32"/>
        </w:rPr>
        <w:t xml:space="preserve">.5.2 因承包人原因导致工期延误</w:t>
      </w:r>
      <w:bookmarkEnd w:id="191"/>
      <w:r/>
      <w:bookmarkEnd w:id="192"/>
      <w:r/>
      <w:bookmarkEnd w:id="193"/>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w:t>
      </w:r>
      <w:bookmarkStart w:id="199" w:name="_Toc312677487"/>
      <w:r/>
      <w:bookmarkStart w:id="200" w:name="_Toc312678013"/>
      <w:r/>
      <w:bookmarkStart w:id="201" w:name="_Toc318581170"/>
      <w:r>
        <w:rPr>
          <w:rFonts w:hint="eastAsia" w:asciiTheme="minorEastAsia" w:hAnsiTheme="minorEastAsia" w:eastAsiaTheme="minorEastAsia" w:cstheme="minorEastAsia"/>
          <w:szCs w:val="32"/>
        </w:rPr>
        <w:t xml:space="preserve">承包人原因造成工期延误，逾期竣工违约金的计算方法为：</w:t>
      </w:r>
      <w:r>
        <w:rPr>
          <w:rFonts w:hint="eastAsia" w:asciiTheme="minorEastAsia" w:hAnsiTheme="minorEastAsia" w:eastAsiaTheme="minorEastAsia" w:cstheme="minorEastAsia"/>
          <w:szCs w:val="32"/>
          <w:u w:val="single"/>
        </w:rPr>
        <w:t xml:space="preserve"> 每天赔偿金额为0.5万元 </w:t>
      </w:r>
      <w:r>
        <w:rPr>
          <w:rFonts w:hint="eastAsia" w:asciiTheme="minorEastAsia" w:hAnsiTheme="minorEastAsia" w:eastAsiaTheme="minorEastAsia" w:cstheme="minorEastAsia"/>
          <w:szCs w:val="32"/>
        </w:rPr>
        <w:t xml:space="preserve">。</w:t>
      </w:r>
      <w:bookmarkEnd w:id="194"/>
      <w:r/>
      <w:bookmarkEnd w:id="195"/>
      <w:r/>
      <w:bookmarkEnd w:id="196"/>
      <w:r/>
      <w:bookmarkEnd w:id="197"/>
      <w:r/>
      <w:bookmarkEnd w:id="198"/>
      <w:r/>
      <w:bookmarkEnd w:id="199"/>
      <w:r/>
      <w:bookmarkEnd w:id="200"/>
      <w:r/>
      <w:bookmarkEnd w:id="201"/>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因承包人原因造成工期延误，逾</w:t>
      </w:r>
      <w:bookmarkStart w:id="202" w:name="_Toc312678014"/>
      <w:r/>
      <w:bookmarkStart w:id="203" w:name="_Toc318581171"/>
      <w:r>
        <w:rPr>
          <w:rFonts w:hint="eastAsia" w:asciiTheme="minorEastAsia" w:hAnsiTheme="minorEastAsia" w:eastAsiaTheme="minorEastAsia" w:cstheme="minorEastAsia"/>
          <w:szCs w:val="32"/>
        </w:rPr>
        <w:t xml:space="preserve">期竣工违约金的上限：</w:t>
      </w:r>
      <w:r>
        <w:rPr>
          <w:rFonts w:hint="eastAsia" w:asciiTheme="minorEastAsia" w:hAnsiTheme="minorEastAsia" w:eastAsiaTheme="minorEastAsia" w:cstheme="minorEastAsia"/>
          <w:szCs w:val="32"/>
          <w:u w:val="single"/>
        </w:rPr>
        <w:t xml:space="preserve"> 全部的履约保证金 </w:t>
      </w:r>
      <w:r>
        <w:rPr>
          <w:rFonts w:hint="eastAsia" w:asciiTheme="minorEastAsia" w:hAnsiTheme="minorEastAsia" w:eastAsiaTheme="minorEastAsia" w:cstheme="minorEastAsia"/>
          <w:szCs w:val="32"/>
        </w:rPr>
        <w:t xml:space="preserve">。</w:t>
      </w:r>
      <w:bookmarkEnd w:id="202"/>
      <w:r/>
      <w:bookmarkEnd w:id="203"/>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04" w:name="_Toc304295549"/>
      <w:r/>
      <w:bookmarkStart w:id="205" w:name="_Toc297123519"/>
      <w:r/>
      <w:bookmarkStart w:id="206" w:name="_Toc297216178"/>
      <w:r/>
      <w:bookmarkStart w:id="207" w:name="_Toc303539128"/>
      <w:r/>
      <w:bookmarkStart w:id="208" w:name="_Toc312678015"/>
      <w:r/>
      <w:bookmarkStart w:id="209" w:name="_Toc300934971"/>
      <w:r>
        <w:rPr>
          <w:rFonts w:hint="eastAsia" w:asciiTheme="minorEastAsia" w:hAnsiTheme="minorEastAsia" w:eastAsiaTheme="minorEastAsia" w:cstheme="minorEastAsia"/>
          <w:szCs w:val="32"/>
        </w:rPr>
        <w:t xml:space="preserve">.6 不</w:t>
      </w:r>
      <w:bookmarkEnd w:id="204"/>
      <w:r/>
      <w:bookmarkEnd w:id="205"/>
      <w:r/>
      <w:bookmarkEnd w:id="206"/>
      <w:r/>
      <w:bookmarkEnd w:id="207"/>
      <w:r/>
      <w:bookmarkEnd w:id="208"/>
      <w:r/>
      <w:bookmarkEnd w:id="209"/>
      <w:r>
        <w:rPr>
          <w:rFonts w:hint="eastAsia" w:asciiTheme="minorEastAsia" w:hAnsiTheme="minorEastAsia" w:eastAsiaTheme="minorEastAsia" w:cstheme="minorEastAsia"/>
          <w:szCs w:val="32"/>
        </w:rPr>
        <w:t xml:space="preserve">利物质条件</w:t>
      </w:r>
      <w:r/>
    </w:p>
    <w:p>
      <w:pPr>
        <w:ind w:firstLine="420"/>
        <w:jc w:val="left"/>
        <w:spacing w:line="332" w:lineRule="auto"/>
        <w:rPr>
          <w:rFonts w:asciiTheme="minorEastAsia" w:hAnsiTheme="minorEastAsia" w:eastAsiaTheme="minorEastAsia" w:cstheme="minorEastAsia"/>
          <w:szCs w:val="32"/>
        </w:rPr>
      </w:pPr>
      <w:r/>
      <w:bookmarkStart w:id="210" w:name="_Toc312678016"/>
      <w:r/>
      <w:bookmarkStart w:id="211" w:name="_Toc297123520"/>
      <w:r/>
      <w:bookmarkStart w:id="212" w:name="_Toc297216179"/>
      <w:r/>
      <w:bookmarkStart w:id="213" w:name="_Toc300934972"/>
      <w:r/>
      <w:bookmarkStart w:id="214" w:name="_Toc304295550"/>
      <w:r/>
      <w:bookmarkStart w:id="215" w:name="_Toc303539129"/>
      <w:r/>
      <w:bookmarkStart w:id="216" w:name="_Toc318581172"/>
      <w:r>
        <w:rPr>
          <w:rFonts w:hint="eastAsia" w:asciiTheme="minorEastAsia" w:hAnsiTheme="minorEastAsia" w:eastAsiaTheme="minorEastAsia" w:cstheme="minorEastAsia"/>
          <w:szCs w:val="32"/>
        </w:rPr>
        <w:t xml:space="preserve">不利物质条件的其他情形和有关约定：</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bookmarkEnd w:id="210"/>
      <w:r/>
      <w:bookmarkEnd w:id="211"/>
      <w:r/>
      <w:bookmarkEnd w:id="212"/>
      <w:r/>
      <w:bookmarkEnd w:id="213"/>
      <w:r/>
      <w:bookmarkEnd w:id="214"/>
      <w:r/>
      <w:bookmarkEnd w:id="215"/>
      <w:r/>
      <w:bookmarkEnd w:id="21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17" w:name="_Toc297216180"/>
      <w:r/>
      <w:bookmarkStart w:id="218" w:name="_Toc303539130"/>
      <w:r/>
      <w:bookmarkStart w:id="219" w:name="_Toc297123521"/>
      <w:r/>
      <w:bookmarkStart w:id="220" w:name="_Toc300934973"/>
      <w:r/>
      <w:bookmarkStart w:id="221" w:name="_Toc312678017"/>
      <w:r/>
      <w:bookmarkStart w:id="222" w:name="_Toc304295551"/>
      <w:r>
        <w:rPr>
          <w:rFonts w:hint="eastAsia" w:asciiTheme="minorEastAsia" w:hAnsiTheme="minorEastAsia" w:eastAsiaTheme="minorEastAsia" w:cstheme="minorEastAsia"/>
          <w:szCs w:val="32"/>
        </w:rPr>
        <w:t xml:space="preserve">.7异常恶劣的气候条件</w:t>
      </w:r>
      <w:bookmarkEnd w:id="217"/>
      <w:r/>
      <w:bookmarkEnd w:id="218"/>
      <w:r/>
      <w:bookmarkEnd w:id="219"/>
      <w:r/>
      <w:bookmarkEnd w:id="220"/>
      <w:r/>
      <w:bookmarkEnd w:id="221"/>
      <w:r/>
      <w:bookmarkEnd w:id="222"/>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发包人和承包人同意以下情形视为异常恶劣的气候条件：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u w:val="single"/>
        </w:rPr>
        <w:t xml:space="preserve">日降雨量大于50mm的雨日超1天；风速大于12 m/s的8级以上台风灾害；日气温超过 38℃的高温大于10天；日气温低于-20℃的严寒大于3天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u w:val="single"/>
        </w:rPr>
        <w:t xml:space="preserve">造成工程损坏的冰雹和大雪灾害：日降雪量10mm及以上</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u w:val="single"/>
        </w:rPr>
        <w:t xml:space="preserve">其它：异常恶劣气候灾害</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7.9 提前竣工的奖励</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7.9.2提前竣工的奖励：</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pStyle w:val="792"/>
        <w:spacing w:before="0" w:after="0" w:line="332" w:lineRule="auto"/>
        <w:rPr>
          <w:rFonts w:asciiTheme="minorEastAsia" w:hAnsiTheme="minorEastAsia" w:eastAsiaTheme="minorEastAsia" w:cstheme="minorEastAsia"/>
          <w:bCs w:val="0"/>
          <w:szCs w:val="32"/>
        </w:rPr>
      </w:pPr>
      <w:r/>
      <w:bookmarkStart w:id="223" w:name="_Toc351203640"/>
      <w:r>
        <w:rPr>
          <w:rFonts w:hint="eastAsia" w:asciiTheme="minorEastAsia" w:hAnsiTheme="minorEastAsia" w:eastAsiaTheme="minorEastAsia" w:cstheme="minorEastAsia"/>
          <w:bCs w:val="0"/>
          <w:szCs w:val="32"/>
        </w:rPr>
        <w:t xml:space="preserve">8. 材料与设备</w:t>
      </w:r>
      <w:bookmarkEnd w:id="158"/>
      <w:r/>
      <w:bookmarkEnd w:id="159"/>
      <w:r/>
      <w:bookmarkEnd w:id="160"/>
      <w:r/>
      <w:bookmarkEnd w:id="161"/>
      <w:r/>
      <w:bookmarkEnd w:id="162"/>
      <w:r/>
      <w:bookmarkEnd w:id="163"/>
      <w:r/>
      <w:bookmarkEnd w:id="164"/>
      <w:r/>
      <w:bookmarkEnd w:id="165"/>
      <w:r/>
      <w:bookmarkEnd w:id="166"/>
      <w:r/>
      <w:bookmarkEnd w:id="167"/>
      <w:r/>
      <w:bookmarkEnd w:id="223"/>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w:t>
      </w:r>
      <w:bookmarkStart w:id="224" w:name="_Toc303539136"/>
      <w:r/>
      <w:bookmarkStart w:id="225" w:name="_Toc297123527"/>
      <w:r/>
      <w:bookmarkStart w:id="226" w:name="_Toc296891207"/>
      <w:r/>
      <w:bookmarkStart w:id="227" w:name="_Toc297216186"/>
      <w:r/>
      <w:bookmarkStart w:id="228" w:name="_Toc312678019"/>
      <w:r/>
      <w:bookmarkStart w:id="229" w:name="_Toc292559877"/>
      <w:r/>
      <w:bookmarkStart w:id="230" w:name="_Toc292559372"/>
      <w:r/>
      <w:bookmarkStart w:id="231" w:name="_Toc297048353"/>
      <w:r/>
      <w:bookmarkStart w:id="232" w:name="_Toc296503167"/>
      <w:r/>
      <w:bookmarkStart w:id="233" w:name="_Toc296944506"/>
      <w:r/>
      <w:bookmarkStart w:id="234" w:name="_Toc297120467"/>
      <w:r/>
      <w:bookmarkStart w:id="235" w:name="_Toc312677493"/>
      <w:r/>
      <w:bookmarkStart w:id="236" w:name="_Toc296346668"/>
      <w:r/>
      <w:bookmarkStart w:id="237" w:name="_Toc280868654"/>
      <w:r/>
      <w:bookmarkStart w:id="238" w:name="_Toc304295556"/>
      <w:r/>
      <w:bookmarkStart w:id="239" w:name="_Toc300934979"/>
      <w:r/>
      <w:bookmarkStart w:id="240" w:name="_Toc296347166"/>
      <w:r/>
      <w:bookmarkStart w:id="241" w:name="_Toc296890995"/>
      <w:r/>
      <w:bookmarkStart w:id="242" w:name="_Toc280868656"/>
      <w:r/>
      <w:bookmarkStart w:id="243" w:name="_Toc280868655"/>
      <w:r/>
      <w:bookmarkStart w:id="244" w:name="_Toc267251424"/>
      <w:r>
        <w:rPr>
          <w:rFonts w:hint="eastAsia" w:asciiTheme="minorEastAsia" w:hAnsiTheme="minorEastAsia" w:eastAsiaTheme="minorEastAsia" w:cstheme="minorEastAsia"/>
          <w:szCs w:val="32"/>
        </w:rPr>
        <w:t xml:space="preserve">.4材料与工程设备的保管与使用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w:t>
      </w:r>
      <w:bookmarkStart w:id="245" w:name="_Toc292559373"/>
      <w:r/>
      <w:bookmarkStart w:id="246" w:name="_Toc292559878"/>
      <w:r/>
      <w:bookmarkStart w:id="247" w:name="_Toc303539137"/>
      <w:r/>
      <w:bookmarkStart w:id="248" w:name="_Toc296944507"/>
      <w:r/>
      <w:bookmarkStart w:id="249" w:name="_Toc297048354"/>
      <w:r/>
      <w:bookmarkStart w:id="250" w:name="_Toc304295557"/>
      <w:r/>
      <w:bookmarkStart w:id="251" w:name="_Toc296347167"/>
      <w:r/>
      <w:bookmarkStart w:id="252" w:name="_Toc312677494"/>
      <w:r/>
      <w:bookmarkStart w:id="253" w:name="_Toc296890996"/>
      <w:r/>
      <w:bookmarkStart w:id="254" w:name="_Toc318581173"/>
      <w:r/>
      <w:bookmarkStart w:id="255" w:name="_Toc297120468"/>
      <w:r/>
      <w:bookmarkStart w:id="256" w:name="_Toc296891208"/>
      <w:r/>
      <w:bookmarkStart w:id="257" w:name="_Toc297123528"/>
      <w:r/>
      <w:bookmarkStart w:id="258" w:name="_Toc297216187"/>
      <w:r/>
      <w:bookmarkStart w:id="259" w:name="_Toc300934980"/>
      <w:r/>
      <w:bookmarkStart w:id="260" w:name="_Toc296346669"/>
      <w:r/>
      <w:bookmarkStart w:id="261" w:name="_Toc296503168"/>
      <w:r/>
      <w:bookmarkStart w:id="262" w:name="_Toc312678020"/>
      <w:r>
        <w:rPr>
          <w:rFonts w:hint="eastAsia" w:asciiTheme="minorEastAsia" w:hAnsiTheme="minorEastAsia" w:eastAsiaTheme="minorEastAsia" w:cstheme="minorEastAsia"/>
          <w:szCs w:val="32"/>
        </w:rPr>
        <w:t xml:space="preserve">.4.1发包人供应的材料设备的保管费用的承担：</w:t>
      </w:r>
      <w:r>
        <w:rPr>
          <w:rFonts w:hint="eastAsia" w:asciiTheme="minorEastAsia" w:hAnsiTheme="minorEastAsia" w:eastAsiaTheme="minorEastAsia" w:cstheme="minorEastAsia"/>
          <w:szCs w:val="32"/>
          <w:u w:val="single"/>
        </w:rPr>
        <w:t xml:space="preserve">发包人供应的材料和工程设备，承包人清点后由承包人妥善保管，保管费用由承包人承担</w:t>
      </w:r>
      <w:r>
        <w:rPr>
          <w:rFonts w:hint="eastAsia" w:asciiTheme="minorEastAsia" w:hAnsiTheme="minorEastAsia" w:eastAsiaTheme="minorEastAsia" w:cstheme="minorEastAsia"/>
          <w:szCs w:val="32"/>
        </w:rPr>
        <w:t xml:space="preserve">。</w:t>
      </w:r>
      <w:bookmarkEnd w:id="245"/>
      <w:r/>
      <w:bookmarkEnd w:id="24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8.6 样品</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8.6.1</w:t>
      </w:r>
      <w:r>
        <w:rPr>
          <w:rFonts w:hint="eastAsia" w:asciiTheme="minorEastAsia" w:hAnsiTheme="minorEastAsia" w:eastAsiaTheme="minorEastAsia" w:cstheme="minorEastAsia"/>
          <w:szCs w:val="32"/>
        </w:rPr>
        <w:tab/>
        <w:t xml:space="preserve">样品的报送与封存</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需要承包人报送样品的材料或工程设备，样品的种类、名称、规格、数量要求：</w:t>
      </w:r>
      <w:r>
        <w:rPr>
          <w:rFonts w:hint="eastAsia" w:asciiTheme="minorEastAsia" w:hAnsiTheme="minorEastAsia" w:eastAsiaTheme="minorEastAsia" w:cstheme="minorEastAsia"/>
          <w:szCs w:val="32"/>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采购文件要求</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8.8 施工设备和临时设施</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8.8.1 承包人提供的施工设备和临时设施</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关于修建临时设施费用承担的约定：</w:t>
      </w:r>
      <w:r>
        <w:rPr>
          <w:rFonts w:hint="eastAsia" w:asciiTheme="minorEastAsia" w:hAnsiTheme="minorEastAsia" w:eastAsiaTheme="minorEastAsia" w:cstheme="minorEastAsia"/>
          <w:szCs w:val="32"/>
          <w:u w:val="single"/>
        </w:rPr>
        <w:t xml:space="preserve">承包人自行承担修建临时设施的费用，需要临时占地的，发包人可以帮助承包人进行协调，但费用由承包人承担</w:t>
      </w:r>
      <w:r>
        <w:rPr>
          <w:rFonts w:hint="eastAsia" w:asciiTheme="minorEastAsia" w:hAnsiTheme="minorEastAsia" w:eastAsiaTheme="minorEastAsia" w:cstheme="minorEastAsia"/>
          <w:szCs w:val="32"/>
        </w:rPr>
        <w:t xml:space="preserve">。</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pStyle w:val="792"/>
        <w:spacing w:before="0" w:after="0" w:line="332" w:lineRule="auto"/>
        <w:rPr>
          <w:rFonts w:asciiTheme="minorEastAsia" w:hAnsiTheme="minorEastAsia" w:eastAsiaTheme="minorEastAsia" w:cstheme="minorEastAsia"/>
          <w:bCs w:val="0"/>
          <w:szCs w:val="32"/>
        </w:rPr>
      </w:pPr>
      <w:r/>
      <w:bookmarkStart w:id="263" w:name="_Toc351203641"/>
      <w:r>
        <w:rPr>
          <w:rFonts w:hint="eastAsia" w:asciiTheme="minorEastAsia" w:hAnsiTheme="minorEastAsia" w:eastAsiaTheme="minorEastAsia" w:cstheme="minorEastAsia"/>
          <w:bCs w:val="0"/>
          <w:szCs w:val="32"/>
        </w:rPr>
        <w:t xml:space="preserve">9</w:t>
      </w:r>
      <w:bookmarkStart w:id="264" w:name="_Toc312678021"/>
      <w:r/>
      <w:bookmarkStart w:id="265" w:name="_Toc304295559"/>
      <w:r/>
      <w:bookmarkStart w:id="266" w:name="_Toc300934982"/>
      <w:r/>
      <w:bookmarkStart w:id="267" w:name="_Toc303539139"/>
      <w:r/>
      <w:bookmarkStart w:id="268" w:name="_Toc312677495"/>
      <w:r/>
      <w:bookmarkStart w:id="269" w:name="_Toc297216192"/>
      <w:r/>
      <w:bookmarkStart w:id="270" w:name="_Toc297123533"/>
      <w:r/>
      <w:bookmarkStart w:id="271" w:name="_Toc267251428"/>
      <w:r/>
      <w:bookmarkStart w:id="272" w:name="_Toc292559883"/>
      <w:r/>
      <w:bookmarkStart w:id="273" w:name="_Toc296346674"/>
      <w:r/>
      <w:bookmarkStart w:id="274" w:name="_Toc297048359"/>
      <w:r/>
      <w:bookmarkStart w:id="275" w:name="_Toc296347172"/>
      <w:r/>
      <w:bookmarkStart w:id="276" w:name="_Toc296944512"/>
      <w:r/>
      <w:bookmarkStart w:id="277" w:name="_Toc296891213"/>
      <w:r/>
      <w:bookmarkStart w:id="278" w:name="_Toc296503173"/>
      <w:r/>
      <w:bookmarkStart w:id="279" w:name="_Toc297120473"/>
      <w:r/>
      <w:bookmarkStart w:id="280" w:name="_Toc292559378"/>
      <w:r/>
      <w:bookmarkStart w:id="281" w:name="_Toc296891001"/>
      <w:r/>
      <w:bookmarkStart w:id="282" w:name="_Toc267251427"/>
      <w:r/>
      <w:bookmarkEnd w:id="242"/>
      <w:r/>
      <w:bookmarkEnd w:id="243"/>
      <w:r/>
      <w:bookmarkEnd w:id="244"/>
      <w:r>
        <w:rPr>
          <w:rFonts w:hint="eastAsia" w:asciiTheme="minorEastAsia" w:hAnsiTheme="minorEastAsia" w:eastAsiaTheme="minorEastAsia" w:cstheme="minorEastAsia"/>
          <w:bCs w:val="0"/>
          <w:szCs w:val="32"/>
        </w:rPr>
        <w:t xml:space="preserve">. 试验与检验</w:t>
      </w:r>
      <w:bookmarkEnd w:id="263"/>
      <w:r/>
      <w:bookmarkEnd w:id="264"/>
      <w:r/>
      <w:bookmarkEnd w:id="265"/>
      <w:r/>
      <w:bookmarkEnd w:id="266"/>
      <w:r/>
      <w:bookmarkEnd w:id="267"/>
      <w:r/>
      <w:bookmarkEnd w:id="268"/>
      <w:r/>
      <w:bookmarkEnd w:id="269"/>
      <w:r/>
      <w:bookmarkEnd w:id="270"/>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w:t>
      </w:r>
      <w:bookmarkStart w:id="283" w:name="_Toc312677496"/>
      <w:r/>
      <w:bookmarkStart w:id="284" w:name="_Toc303539140"/>
      <w:r/>
      <w:bookmarkStart w:id="285" w:name="_Toc297123534"/>
      <w:r/>
      <w:bookmarkStart w:id="286" w:name="_Toc300934983"/>
      <w:r/>
      <w:bookmarkStart w:id="287" w:name="_Toc312678022"/>
      <w:r/>
      <w:bookmarkStart w:id="288" w:name="_Toc297216193"/>
      <w:r/>
      <w:bookmarkStart w:id="289" w:name="_Toc304295560"/>
      <w:r>
        <w:rPr>
          <w:rFonts w:hint="eastAsia" w:asciiTheme="minorEastAsia" w:hAnsiTheme="minorEastAsia" w:eastAsiaTheme="minorEastAsia" w:cstheme="minorEastAsia"/>
          <w:szCs w:val="32"/>
        </w:rPr>
        <w:t xml:space="preserve">.1试验设备与试验人员</w:t>
      </w:r>
      <w:bookmarkEnd w:id="283"/>
      <w:r/>
      <w:bookmarkEnd w:id="284"/>
      <w:r/>
      <w:bookmarkEnd w:id="285"/>
      <w:r/>
      <w:bookmarkEnd w:id="286"/>
      <w:r/>
      <w:bookmarkEnd w:id="287"/>
      <w:r/>
      <w:bookmarkEnd w:id="288"/>
      <w:r/>
      <w:bookmarkEnd w:id="289"/>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w:t>
      </w:r>
      <w:bookmarkStart w:id="290" w:name="_Toc304295561"/>
      <w:r/>
      <w:bookmarkStart w:id="291" w:name="_Toc297123535"/>
      <w:r/>
      <w:bookmarkStart w:id="292" w:name="_Toc297216194"/>
      <w:r/>
      <w:bookmarkStart w:id="293" w:name="_Toc303539141"/>
      <w:r/>
      <w:bookmarkStart w:id="294" w:name="_Toc312677497"/>
      <w:r/>
      <w:bookmarkStart w:id="295" w:name="_Toc300934984"/>
      <w:r/>
      <w:bookmarkStart w:id="296" w:name="_Toc312678023"/>
      <w:r/>
      <w:bookmarkStart w:id="297" w:name="_Toc318581174"/>
      <w:r>
        <w:rPr>
          <w:rFonts w:hint="eastAsia" w:asciiTheme="minorEastAsia" w:hAnsiTheme="minorEastAsia" w:eastAsiaTheme="minorEastAsia" w:cstheme="minorEastAsia"/>
          <w:szCs w:val="32"/>
        </w:rPr>
        <w:t xml:space="preserve">.1.2 试验设备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施工现场需要配置的试验场所：</w:t>
      </w:r>
      <w:bookmarkStart w:id="298" w:name="_Toc312677498"/>
      <w:r/>
      <w:bookmarkStart w:id="299" w:name="_Toc304295562"/>
      <w:r/>
      <w:bookmarkStart w:id="300" w:name="_Toc300934985"/>
      <w:r/>
      <w:bookmarkStart w:id="301" w:name="_Toc303539142"/>
      <w:r/>
      <w:bookmarkStart w:id="302" w:name="_Toc297216195"/>
      <w:r/>
      <w:bookmarkStart w:id="303" w:name="_Toc312678024"/>
      <w:r/>
      <w:bookmarkStart w:id="304" w:name="_Toc297123536"/>
      <w:r/>
      <w:bookmarkEnd w:id="290"/>
      <w:r/>
      <w:bookmarkEnd w:id="291"/>
      <w:r/>
      <w:bookmarkEnd w:id="292"/>
      <w:r/>
      <w:bookmarkEnd w:id="293"/>
      <w:r/>
      <w:bookmarkEnd w:id="294"/>
      <w:r/>
      <w:bookmarkEnd w:id="295"/>
      <w:r/>
      <w:bookmarkEnd w:id="296"/>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施工现场需要配备的试验设备：。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施工现场需要具备的其他试验条件：。</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9.4 现场工艺试验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现场工艺试验的有关约定：。</w:t>
      </w:r>
      <w:bookmarkEnd w:id="297"/>
      <w:r/>
      <w:bookmarkEnd w:id="298"/>
      <w:r/>
      <w:bookmarkEnd w:id="299"/>
      <w:r/>
      <w:bookmarkEnd w:id="300"/>
      <w:r/>
      <w:bookmarkEnd w:id="301"/>
      <w:r/>
      <w:bookmarkEnd w:id="302"/>
      <w:r/>
      <w:bookmarkEnd w:id="303"/>
      <w:r/>
      <w:bookmarkEnd w:id="304"/>
      <w:r/>
      <w:r/>
    </w:p>
    <w:p>
      <w:pPr>
        <w:pStyle w:val="792"/>
        <w:spacing w:before="0" w:after="0" w:line="332" w:lineRule="auto"/>
        <w:rPr>
          <w:rFonts w:asciiTheme="minorEastAsia" w:hAnsiTheme="minorEastAsia" w:eastAsiaTheme="minorEastAsia" w:cstheme="minorEastAsia"/>
          <w:bCs w:val="0"/>
          <w:szCs w:val="32"/>
        </w:rPr>
      </w:pPr>
      <w:r/>
      <w:bookmarkStart w:id="305" w:name="_Toc351203642"/>
      <w:r>
        <w:rPr>
          <w:rFonts w:hint="eastAsia" w:asciiTheme="minorEastAsia" w:hAnsiTheme="minorEastAsia" w:eastAsiaTheme="minorEastAsia" w:cstheme="minorEastAsia"/>
          <w:bCs w:val="0"/>
          <w:szCs w:val="32"/>
        </w:rPr>
        <w:t xml:space="preserve">1</w:t>
      </w:r>
      <w:bookmarkStart w:id="306" w:name="_Toc296346694"/>
      <w:r/>
      <w:bookmarkStart w:id="307" w:name="_Toc292559398"/>
      <w:r/>
      <w:bookmarkStart w:id="308" w:name="_Toc297123540"/>
      <w:r/>
      <w:bookmarkStart w:id="309" w:name="_Toc300934989"/>
      <w:r/>
      <w:bookmarkStart w:id="310" w:name="_Toc312677499"/>
      <w:r/>
      <w:bookmarkStart w:id="311" w:name="_Toc296944532"/>
      <w:r/>
      <w:bookmarkStart w:id="312" w:name="_Toc296891021"/>
      <w:r/>
      <w:bookmarkStart w:id="313" w:name="_Toc312678025"/>
      <w:r/>
      <w:bookmarkStart w:id="314" w:name="_Toc297216199"/>
      <w:r/>
      <w:bookmarkStart w:id="315" w:name="_Toc304295566"/>
      <w:r/>
      <w:bookmarkStart w:id="316" w:name="_Toc292559903"/>
      <w:r/>
      <w:bookmarkStart w:id="317" w:name="_Toc296891233"/>
      <w:r/>
      <w:bookmarkStart w:id="318" w:name="_Toc297048379"/>
      <w:r/>
      <w:bookmarkStart w:id="319" w:name="_Toc297120493"/>
      <w:r/>
      <w:bookmarkStart w:id="320" w:name="_Toc296503193"/>
      <w:r/>
      <w:bookmarkStart w:id="321" w:name="_Toc296347192"/>
      <w:r/>
      <w:bookmarkStart w:id="322" w:name="_Toc303539146"/>
      <w:r/>
      <w:bookmarkStart w:id="323" w:name="_Toc267251433"/>
      <w:r/>
      <w:bookmarkStart w:id="324" w:name="_Toc267251441"/>
      <w:r/>
      <w:bookmarkStart w:id="325" w:name="_Toc267251439"/>
      <w:r/>
      <w:bookmarkStart w:id="326" w:name="_Toc267251435"/>
      <w:r/>
      <w:bookmarkStart w:id="327" w:name="_Toc267251440"/>
      <w:r/>
      <w:bookmarkStart w:id="328" w:name="_Toc267251437"/>
      <w:r/>
      <w:bookmarkStart w:id="329" w:name="_Toc267251442"/>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Theme="minorEastAsia" w:hAnsiTheme="minorEastAsia" w:eastAsiaTheme="minorEastAsia" w:cstheme="minorEastAsia"/>
          <w:bCs w:val="0"/>
          <w:szCs w:val="32"/>
        </w:rPr>
        <w:t xml:space="preserve">0. 变更</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330" w:name="_Toc296891022"/>
      <w:r/>
      <w:bookmarkStart w:id="331" w:name="_Toc296944533"/>
      <w:r/>
      <w:bookmarkStart w:id="332" w:name="_Toc312677500"/>
      <w:r/>
      <w:bookmarkStart w:id="333" w:name="_Toc300934990"/>
      <w:r/>
      <w:bookmarkStart w:id="334" w:name="_Toc297120494"/>
      <w:r/>
      <w:bookmarkStart w:id="335" w:name="_Toc296891234"/>
      <w:r/>
      <w:bookmarkStart w:id="336" w:name="_Toc303539147"/>
      <w:r/>
      <w:bookmarkStart w:id="337" w:name="_Toc296347193"/>
      <w:r/>
      <w:bookmarkStart w:id="338" w:name="_Toc304295567"/>
      <w:r/>
      <w:bookmarkStart w:id="339" w:name="_Toc296346695"/>
      <w:r/>
      <w:bookmarkStart w:id="340" w:name="_Toc297123541"/>
      <w:r/>
      <w:bookmarkStart w:id="341" w:name="_Toc292559904"/>
      <w:r/>
      <w:bookmarkStart w:id="342" w:name="_Toc296503194"/>
      <w:r/>
      <w:bookmarkStart w:id="343" w:name="_Toc297048380"/>
      <w:r/>
      <w:bookmarkStart w:id="344" w:name="_Toc297216200"/>
      <w:r/>
      <w:bookmarkStart w:id="345" w:name="_Toc312678026"/>
      <w:r/>
      <w:bookmarkStart w:id="346" w:name="_Toc292559399"/>
      <w:r>
        <w:rPr>
          <w:rFonts w:hint="eastAsia" w:asciiTheme="minorEastAsia" w:hAnsiTheme="minorEastAsia" w:eastAsiaTheme="minorEastAsia" w:cstheme="minorEastAsia"/>
          <w:szCs w:val="32"/>
        </w:rPr>
        <w:t xml:space="preserve">0.1变更的范围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关于变更的范围的约定：</w:t>
      </w:r>
      <w:r>
        <w:rPr>
          <w:rFonts w:hint="eastAsia" w:asciiTheme="minorEastAsia" w:hAnsiTheme="minorEastAsia" w:eastAsiaTheme="minorEastAsia" w:cstheme="minorEastAsia"/>
          <w:szCs w:val="32"/>
          <w:u w:val="single"/>
        </w:rPr>
        <w:t xml:space="preserve">因工程建设的需要，发包人提出的设计变更要求，承包人必须执行。否则</w:t>
      </w:r>
      <w:r>
        <w:rPr>
          <w:rFonts w:hint="eastAsia" w:asciiTheme="minorEastAsia" w:hAnsiTheme="minorEastAsia" w:eastAsiaTheme="minorEastAsia" w:cstheme="minorEastAsia"/>
          <w:szCs w:val="32"/>
          <w:u w:val="single"/>
        </w:rPr>
        <w:t xml:space="preserve">视为违约。其他执行合同通用条款</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10.4 变更估价</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10.4.1 变更估价原则</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关于变更估价的约定: </w:t>
      </w:r>
      <w:r>
        <w:rPr>
          <w:rFonts w:hint="eastAsia" w:asciiTheme="minorEastAsia" w:hAnsiTheme="minorEastAsia" w:eastAsiaTheme="minorEastAsia" w:cstheme="minorEastAsia"/>
          <w:szCs w:val="32"/>
          <w:u w:val="single"/>
        </w:rPr>
        <w:t xml:space="preserve">   按采购文件执行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347" w:name="_Toc297123544"/>
      <w:r/>
      <w:bookmarkStart w:id="348" w:name="_Toc297048383"/>
      <w:r/>
      <w:bookmarkStart w:id="349" w:name="_Toc296944536"/>
      <w:r/>
      <w:bookmarkStart w:id="350" w:name="_Toc300934993"/>
      <w:r/>
      <w:bookmarkStart w:id="351" w:name="_Toc296347196"/>
      <w:r/>
      <w:bookmarkStart w:id="352" w:name="_Toc303539150"/>
      <w:r/>
      <w:bookmarkStart w:id="353" w:name="_Toc297120497"/>
      <w:r/>
      <w:bookmarkStart w:id="354" w:name="_Toc296891025"/>
      <w:r/>
      <w:bookmarkStart w:id="355" w:name="_Toc297216203"/>
      <w:r/>
      <w:bookmarkStart w:id="356" w:name="_Toc296891237"/>
      <w:r/>
      <w:bookmarkStart w:id="357" w:name="_Toc292559907"/>
      <w:r/>
      <w:bookmarkStart w:id="358" w:name="_Toc296346698"/>
      <w:r/>
      <w:bookmarkStart w:id="359" w:name="_Toc296503197"/>
      <w:r/>
      <w:bookmarkStart w:id="360" w:name="_Toc292559402"/>
      <w:r/>
      <w:bookmarkStart w:id="361" w:name="_Toc304295570"/>
      <w:r/>
      <w:bookmarkStart w:id="362" w:name="_Toc312678029"/>
      <w:r/>
      <w:bookmarkStart w:id="363" w:name="_Toc312677503"/>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hint="eastAsia" w:asciiTheme="minorEastAsia" w:hAnsiTheme="minorEastAsia" w:eastAsiaTheme="minorEastAsia" w:cstheme="minorEastAsia"/>
          <w:szCs w:val="32"/>
        </w:rPr>
        <w:t xml:space="preserve">0.5承</w:t>
      </w:r>
      <w:bookmarkStart w:id="364" w:name="_Toc292559408"/>
      <w:r/>
      <w:bookmarkStart w:id="365" w:name="_Toc296891031"/>
      <w:r/>
      <w:bookmarkStart w:id="366" w:name="_Toc300934994"/>
      <w:r/>
      <w:bookmarkStart w:id="367" w:name="_Toc303539151"/>
      <w:r/>
      <w:bookmarkStart w:id="368" w:name="_Toc296891243"/>
      <w:r/>
      <w:bookmarkStart w:id="369" w:name="_Toc292559913"/>
      <w:r/>
      <w:bookmarkStart w:id="370" w:name="_Toc297048389"/>
      <w:r/>
      <w:bookmarkStart w:id="371" w:name="_Toc296347202"/>
      <w:r/>
      <w:bookmarkStart w:id="372" w:name="_Toc296503203"/>
      <w:r/>
      <w:bookmarkStart w:id="373" w:name="_Toc296346704"/>
      <w:r/>
      <w:bookmarkStart w:id="374" w:name="_Toc297216204"/>
      <w:r/>
      <w:bookmarkStart w:id="375" w:name="_Toc297123545"/>
      <w:r/>
      <w:bookmarkStart w:id="376" w:name="_Toc296944542"/>
      <w:r/>
      <w:bookmarkStart w:id="377" w:name="_Toc297120503"/>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Theme="minorEastAsia" w:hAnsiTheme="minorEastAsia" w:eastAsiaTheme="minorEastAsia" w:cstheme="minorEastAsia"/>
          <w:szCs w:val="32"/>
        </w:rPr>
        <w:t xml:space="preserve">包人的合理化建议</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监理人审查承包人合理化建议的期限：。</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发包人审批承包人合理化建议的期限：。</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w:t>
      </w:r>
      <w:bookmarkStart w:id="378" w:name="_Toc300934995"/>
      <w:r/>
      <w:bookmarkStart w:id="379" w:name="_Toc312678030"/>
      <w:r/>
      <w:bookmarkStart w:id="380" w:name="_Toc296347203"/>
      <w:r/>
      <w:bookmarkStart w:id="381" w:name="_Toc296891244"/>
      <w:r/>
      <w:bookmarkStart w:id="382" w:name="_Toc297120504"/>
      <w:r/>
      <w:bookmarkStart w:id="383" w:name="_Toc304295571"/>
      <w:r/>
      <w:bookmarkStart w:id="384" w:name="_Toc296944543"/>
      <w:r/>
      <w:bookmarkStart w:id="385" w:name="_Toc296503204"/>
      <w:r/>
      <w:bookmarkStart w:id="386" w:name="_Toc296891032"/>
      <w:r/>
      <w:bookmarkStart w:id="387" w:name="_Toc296346705"/>
      <w:r/>
      <w:bookmarkStart w:id="388" w:name="_Toc292559409"/>
      <w:r/>
      <w:bookmarkStart w:id="389" w:name="_Toc297123546"/>
      <w:r/>
      <w:bookmarkStart w:id="390" w:name="_Toc297216205"/>
      <w:r/>
      <w:bookmarkStart w:id="391" w:name="_Toc312677504"/>
      <w:r/>
      <w:bookmarkStart w:id="392" w:name="_Toc303539152"/>
      <w:r/>
      <w:bookmarkStart w:id="393" w:name="_Toc292559914"/>
      <w:r/>
      <w:bookmarkStart w:id="394" w:name="_Toc318581175"/>
      <w:r/>
      <w:bookmarkStart w:id="395" w:name="_Toc297048390"/>
      <w:r>
        <w:rPr>
          <w:rFonts w:hint="eastAsia" w:asciiTheme="minorEastAsia" w:hAnsiTheme="minorEastAsia" w:eastAsiaTheme="minorEastAsia" w:cstheme="minorEastAsia"/>
          <w:szCs w:val="32"/>
        </w:rPr>
        <w:t xml:space="preserve">包人提出的合理化建议降低了合同价格或者提高了工程经济效益的奖励的方法和金额为：</w:t>
      </w:r>
      <w:r/>
    </w:p>
    <w:p>
      <w:pPr>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396" w:name="_Toc312677507"/>
      <w:r/>
      <w:bookmarkStart w:id="397" w:name="_Toc297123548"/>
      <w:r/>
      <w:bookmarkStart w:id="398" w:name="_Toc296891239"/>
      <w:r/>
      <w:bookmarkStart w:id="399" w:name="_Toc296503199"/>
      <w:r/>
      <w:bookmarkStart w:id="400" w:name="_Toc297120499"/>
      <w:r/>
      <w:bookmarkStart w:id="401" w:name="_Toc300934997"/>
      <w:r/>
      <w:bookmarkStart w:id="402" w:name="_Toc296346700"/>
      <w:r/>
      <w:bookmarkStart w:id="403" w:name="_Toc303539154"/>
      <w:r/>
      <w:bookmarkStart w:id="404" w:name="_Toc297048385"/>
      <w:r/>
      <w:bookmarkStart w:id="405" w:name="_Toc292559909"/>
      <w:r/>
      <w:bookmarkStart w:id="406" w:name="_Toc312678033"/>
      <w:r/>
      <w:bookmarkStart w:id="407" w:name="_Toc296347198"/>
      <w:r/>
      <w:bookmarkStart w:id="408" w:name="_Toc296891027"/>
      <w:r/>
      <w:bookmarkStart w:id="409" w:name="_Toc292559404"/>
      <w:r/>
      <w:bookmarkStart w:id="410" w:name="_Toc304295574"/>
      <w:r/>
      <w:bookmarkStart w:id="411" w:name="_Toc297216207"/>
      <w:r/>
      <w:bookmarkStart w:id="412" w:name="_Toc296944538"/>
      <w:r>
        <w:rPr>
          <w:rFonts w:hint="eastAsia" w:asciiTheme="minorEastAsia" w:hAnsiTheme="minorEastAsia" w:eastAsiaTheme="minorEastAsia" w:cstheme="minorEastAsia"/>
          <w:szCs w:val="32"/>
        </w:rPr>
        <w:t xml:space="preserve">0.7 暂估价</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暂</w:t>
      </w:r>
      <w:bookmarkStart w:id="413" w:name="_Toc318581176"/>
      <w:r/>
      <w:bookmarkStart w:id="414" w:name="_Toc312677508"/>
      <w:r/>
      <w:bookmarkStart w:id="415" w:name="_Toc312678034"/>
      <w:r>
        <w:rPr>
          <w:rFonts w:hint="eastAsia" w:asciiTheme="minorEastAsia" w:hAnsiTheme="minorEastAsia" w:eastAsiaTheme="minorEastAsia" w:cstheme="minorEastAsia"/>
          <w:szCs w:val="32"/>
        </w:rPr>
        <w:t xml:space="preserve">估价材料和工程设备的明细详见附件11：《暂估价一览表》。</w:t>
      </w:r>
      <w:bookmarkEnd w:id="413"/>
      <w:r/>
      <w:bookmarkEnd w:id="414"/>
      <w:r/>
      <w:bookmarkEnd w:id="415"/>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416" w:name="_Toc312678035"/>
      <w:r/>
      <w:bookmarkStart w:id="417" w:name="_Toc318581177"/>
      <w:r/>
      <w:bookmarkStart w:id="418" w:name="_Toc312677509"/>
      <w:r>
        <w:rPr>
          <w:rFonts w:hint="eastAsia" w:asciiTheme="minorEastAsia" w:hAnsiTheme="minorEastAsia" w:eastAsiaTheme="minorEastAsia" w:cstheme="minorEastAsia"/>
          <w:szCs w:val="32"/>
        </w:rPr>
        <w:t xml:space="preserve">0.7.1 依法必须招标的暂估价项目</w:t>
      </w:r>
      <w:bookmarkEnd w:id="416"/>
      <w:r/>
      <w:bookmarkEnd w:id="417"/>
      <w:r/>
      <w:bookmarkEnd w:id="418"/>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对于依法必须招标的暂估价项目的确认和批准采取第</w:t>
      </w:r>
      <w:r>
        <w:rPr>
          <w:rFonts w:hint="eastAsia" w:asciiTheme="minorEastAsia" w:hAnsiTheme="minorEastAsia" w:eastAsiaTheme="minorEastAsia" w:cstheme="minorEastAsia"/>
          <w:szCs w:val="32"/>
          <w:u w:val="single"/>
        </w:rPr>
        <w:t xml:space="preserve"> 2 </w:t>
      </w:r>
      <w:r>
        <w:rPr>
          <w:rFonts w:hint="eastAsia" w:asciiTheme="minorEastAsia" w:hAnsiTheme="minorEastAsia" w:eastAsiaTheme="minorEastAsia" w:cstheme="minorEastAsia"/>
          <w:szCs w:val="32"/>
        </w:rPr>
        <w:t xml:space="preserve">种方式确定。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（1）通用条款第1种方式：由承包人单独招标；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（2）通用条款第2种方式：由发包人和承包人共同招标。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10.7.2 不属于依法必须招标的暂估价项目</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对于不属于依法必须招标的暂估价项目的确认和批准采取第</w:t>
      </w:r>
      <w:r>
        <w:rPr>
          <w:rFonts w:hint="eastAsia" w:asciiTheme="minorEastAsia" w:hAnsiTheme="minorEastAsia" w:eastAsiaTheme="minorEastAsia" w:cstheme="minorEastAsia"/>
          <w:szCs w:val="32"/>
          <w:u w:val="single"/>
        </w:rPr>
        <w:t xml:space="preserve">2</w:t>
      </w:r>
      <w:r>
        <w:rPr>
          <w:rFonts w:hint="eastAsia" w:asciiTheme="minorEastAsia" w:hAnsiTheme="minorEastAsia" w:eastAsiaTheme="minorEastAsia" w:cstheme="minorEastAsia"/>
          <w:szCs w:val="32"/>
        </w:rPr>
        <w:t xml:space="preserve">种方式确定。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（1）通用条款第1种方式；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（2）通用条款第2种方式：承包人按照第 10.7.1 项[依法必须招标的暂估价项目]约定的</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第1种方式确定暂估价项目；</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（3）通用条款第3种方式：承包人直接实施的暂估价项目。</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承包人直接实施的暂估价项目的约定：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10.8 暂列金额</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合同当事人关于暂列金额使用的约定：</w:t>
      </w:r>
      <w:r>
        <w:rPr>
          <w:rFonts w:hint="eastAsia" w:asciiTheme="minorEastAsia" w:hAnsiTheme="minorEastAsia" w:eastAsiaTheme="minorEastAsia" w:cstheme="minorEastAsia"/>
          <w:szCs w:val="32"/>
          <w:u w:val="single"/>
        </w:rPr>
        <w:t xml:space="preserve">无另有约定，执行合同通用条款</w:t>
      </w:r>
      <w:r>
        <w:rPr>
          <w:rFonts w:hint="eastAsia" w:asciiTheme="minorEastAsia" w:hAnsiTheme="minorEastAsia" w:eastAsiaTheme="minorEastAsia" w:cstheme="minorEastAsia"/>
          <w:szCs w:val="32"/>
        </w:rPr>
        <w:t xml:space="preserve">。</w:t>
      </w:r>
      <w:r/>
    </w:p>
    <w:p>
      <w:pPr>
        <w:pStyle w:val="792"/>
        <w:spacing w:before="0" w:after="0" w:line="332" w:lineRule="auto"/>
        <w:rPr>
          <w:rFonts w:asciiTheme="minorEastAsia" w:hAnsiTheme="minorEastAsia" w:eastAsiaTheme="minorEastAsia" w:cstheme="minorEastAsia"/>
          <w:bCs w:val="0"/>
          <w:szCs w:val="32"/>
        </w:rPr>
      </w:pPr>
      <w:r/>
      <w:bookmarkStart w:id="419" w:name="_Toc351203643"/>
      <w:r>
        <w:rPr>
          <w:rFonts w:hint="eastAsia" w:asciiTheme="minorEastAsia" w:hAnsiTheme="minorEastAsia" w:eastAsiaTheme="minorEastAsia" w:cstheme="minorEastAsia"/>
          <w:bCs w:val="0"/>
          <w:szCs w:val="32"/>
        </w:rPr>
        <w:t xml:space="preserve">11. 价格调整</w:t>
      </w:r>
      <w:bookmarkEnd w:id="419"/>
      <w:r/>
      <w:r/>
    </w:p>
    <w:p>
      <w:pPr>
        <w:ind w:firstLine="420"/>
        <w:spacing w:line="332" w:lineRule="auto"/>
        <w:rPr>
          <w:rFonts w:asciiTheme="minorEastAsia" w:hAnsiTheme="minorEastAsia" w:eastAsiaTheme="minorEastAsia" w:cstheme="minorEastAsia"/>
          <w:szCs w:val="32"/>
        </w:rPr>
      </w:pPr>
      <w:r/>
      <w:bookmarkStart w:id="420" w:name="_Toc292559911"/>
      <w:r/>
      <w:bookmarkStart w:id="421" w:name="_Toc297123550"/>
      <w:r/>
      <w:bookmarkStart w:id="422" w:name="_Toc297048387"/>
      <w:r/>
      <w:bookmarkStart w:id="423" w:name="_Toc296891029"/>
      <w:r/>
      <w:bookmarkStart w:id="424" w:name="_Toc297216209"/>
      <w:r/>
      <w:bookmarkStart w:id="425" w:name="_Toc312678039"/>
      <w:r/>
      <w:bookmarkStart w:id="426" w:name="_Toc296346702"/>
      <w:r/>
      <w:bookmarkStart w:id="427" w:name="_Toc296347200"/>
      <w:r/>
      <w:bookmarkStart w:id="428" w:name="_Toc297120501"/>
      <w:r/>
      <w:bookmarkStart w:id="429" w:name="_Toc296503201"/>
      <w:r/>
      <w:bookmarkStart w:id="430" w:name="_Toc292559406"/>
      <w:r/>
      <w:bookmarkStart w:id="431" w:name="_Toc304295577"/>
      <w:r/>
      <w:bookmarkStart w:id="432" w:name="_Toc300935000"/>
      <w:r/>
      <w:bookmarkStart w:id="433" w:name="_Toc296944540"/>
      <w:r/>
      <w:bookmarkStart w:id="434" w:name="_Toc296891241"/>
      <w:r/>
      <w:bookmarkStart w:id="435" w:name="_Toc303539157"/>
      <w:r>
        <w:rPr>
          <w:rFonts w:hint="eastAsia" w:asciiTheme="minorEastAsia" w:hAnsiTheme="minorEastAsia" w:eastAsiaTheme="minorEastAsia" w:cstheme="minorEastAsia"/>
          <w:szCs w:val="32"/>
        </w:rPr>
        <w:t xml:space="preserve">11.1 市场价格波动引起的调整</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市场价格波动是否调整合同价格的约定：</w:t>
      </w:r>
      <w:r>
        <w:rPr>
          <w:rFonts w:hint="eastAsia" w:asciiTheme="minorEastAsia" w:hAnsiTheme="minorEastAsia" w:eastAsiaTheme="minorEastAsia" w:cstheme="minorEastAsia"/>
          <w:szCs w:val="32"/>
          <w:u w:val="single"/>
        </w:rPr>
        <w:t xml:space="preserve">   否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因市场价格波动调整合同价格，采用以下第种方式对合同价格进行调整：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第1种方式：采用价格指数进行价格调整。</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关于各可调因子、定值和变值权重，以及基本价格指数及其来源的约定：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第2种方式：采用造价信息进行价格调整。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（2）关于基准价格的约定：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64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③承包人在已标价工程量清单或预算书中载明的材料单价等于基准单价的：专用合同条款合同履行期间材料单价涨跌幅以基准单价为基础超过±%时，其超过部分据实调整。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第3种方式：其他价格调整方式：。</w:t>
      </w:r>
      <w:bookmarkEnd w:id="323"/>
      <w:r/>
      <w:bookmarkEnd w:id="324"/>
      <w:r/>
      <w:bookmarkEnd w:id="325"/>
      <w:r/>
      <w:bookmarkEnd w:id="326"/>
      <w:r/>
      <w:bookmarkEnd w:id="327"/>
      <w:r/>
      <w:bookmarkEnd w:id="328"/>
      <w:r/>
      <w:r/>
    </w:p>
    <w:p>
      <w:pPr>
        <w:pStyle w:val="792"/>
        <w:spacing w:before="0" w:after="0" w:line="332" w:lineRule="auto"/>
        <w:rPr>
          <w:rFonts w:asciiTheme="minorEastAsia" w:hAnsiTheme="minorEastAsia" w:eastAsiaTheme="minorEastAsia" w:cstheme="minorEastAsia"/>
          <w:bCs w:val="0"/>
          <w:szCs w:val="32"/>
        </w:rPr>
      </w:pPr>
      <w:r/>
      <w:bookmarkStart w:id="436" w:name="_Toc297048391"/>
      <w:r/>
      <w:bookmarkStart w:id="437" w:name="_Toc296503205"/>
      <w:r/>
      <w:bookmarkStart w:id="438" w:name="_Toc292559410"/>
      <w:r/>
      <w:bookmarkStart w:id="439" w:name="_Toc296347204"/>
      <w:r/>
      <w:bookmarkStart w:id="440" w:name="_Toc296944544"/>
      <w:r/>
      <w:bookmarkStart w:id="441" w:name="_Toc296346706"/>
      <w:r/>
      <w:bookmarkStart w:id="442" w:name="_Toc292559915"/>
      <w:r/>
      <w:bookmarkStart w:id="443" w:name="_Toc296891033"/>
      <w:r/>
      <w:bookmarkStart w:id="444" w:name="_Toc296891245"/>
      <w:r/>
      <w:bookmarkStart w:id="445" w:name="_Toc297120505"/>
      <w:r/>
      <w:bookmarkStart w:id="446" w:name="_Toc304295579"/>
      <w:r/>
      <w:bookmarkStart w:id="447" w:name="_Toc303539159"/>
      <w:r/>
      <w:bookmarkStart w:id="448" w:name="_Toc300935002"/>
      <w:r/>
      <w:bookmarkStart w:id="449" w:name="_Toc297123552"/>
      <w:r/>
      <w:bookmarkStart w:id="450" w:name="_Toc351203644"/>
      <w:r/>
      <w:bookmarkStart w:id="451" w:name="_Toc312678040"/>
      <w:r/>
      <w:bookmarkStart w:id="452" w:name="_Toc297216211"/>
      <w:r>
        <w:rPr>
          <w:rFonts w:hint="eastAsia" w:asciiTheme="minorEastAsia" w:hAnsiTheme="minorEastAsia" w:eastAsiaTheme="minorEastAsia" w:cstheme="minorEastAsia"/>
          <w:bCs w:val="0"/>
          <w:szCs w:val="32"/>
        </w:rPr>
        <w:t xml:space="preserve">12. </w:t>
      </w:r>
      <w:bookmarkEnd w:id="436"/>
      <w:r/>
      <w:bookmarkEnd w:id="437"/>
      <w:r/>
      <w:bookmarkEnd w:id="438"/>
      <w:r/>
      <w:bookmarkEnd w:id="439"/>
      <w:r/>
      <w:bookmarkEnd w:id="440"/>
      <w:r/>
      <w:bookmarkEnd w:id="441"/>
      <w:r/>
      <w:bookmarkEnd w:id="442"/>
      <w:r/>
      <w:bookmarkEnd w:id="443"/>
      <w:r/>
      <w:bookmarkEnd w:id="444"/>
      <w:r/>
      <w:bookmarkEnd w:id="445"/>
      <w:r>
        <w:rPr>
          <w:rFonts w:hint="eastAsia" w:asciiTheme="minorEastAsia" w:hAnsiTheme="minorEastAsia" w:eastAsiaTheme="minorEastAsia" w:cstheme="minorEastAsia"/>
          <w:bCs w:val="0"/>
          <w:szCs w:val="32"/>
        </w:rPr>
        <w:t xml:space="preserve">合同价格、计量与支付</w:t>
      </w:r>
      <w:bookmarkEnd w:id="446"/>
      <w:r/>
      <w:bookmarkEnd w:id="447"/>
      <w:r/>
      <w:bookmarkEnd w:id="448"/>
      <w:r/>
      <w:bookmarkEnd w:id="449"/>
      <w:r/>
      <w:bookmarkEnd w:id="450"/>
      <w:r/>
      <w:bookmarkEnd w:id="451"/>
      <w:r/>
      <w:bookmarkEnd w:id="452"/>
      <w:r/>
      <w:r/>
    </w:p>
    <w:p>
      <w:pPr>
        <w:ind w:firstLine="420"/>
        <w:spacing w:line="332" w:lineRule="auto"/>
        <w:rPr>
          <w:rFonts w:asciiTheme="minorEastAsia" w:hAnsiTheme="minorEastAsia" w:eastAsiaTheme="minorEastAsia" w:cstheme="minorEastAsia"/>
          <w:szCs w:val="32"/>
        </w:rPr>
      </w:pPr>
      <w:r/>
      <w:bookmarkStart w:id="453" w:name="_Toc292559916"/>
      <w:r/>
      <w:bookmarkStart w:id="454" w:name="_Toc267251461"/>
      <w:r/>
      <w:bookmarkStart w:id="455" w:name="_Toc292559411"/>
      <w:r/>
      <w:bookmarkStart w:id="456" w:name="_Toc296346707"/>
      <w:r/>
      <w:bookmarkStart w:id="457" w:name="_Toc296347205"/>
      <w:r/>
      <w:bookmarkStart w:id="458" w:name="_Toc296944545"/>
      <w:r/>
      <w:bookmarkStart w:id="459" w:name="_Toc297120506"/>
      <w:r/>
      <w:bookmarkStart w:id="460" w:name="_Toc296891034"/>
      <w:r/>
      <w:bookmarkStart w:id="461" w:name="_Toc297048392"/>
      <w:r/>
      <w:bookmarkStart w:id="462" w:name="_Toc296891246"/>
      <w:r/>
      <w:bookmarkStart w:id="463" w:name="_Toc296503206"/>
      <w:r/>
      <w:bookmarkStart w:id="464" w:name="_Toc297216212"/>
      <w:r/>
      <w:bookmarkStart w:id="465" w:name="_Toc312678041"/>
      <w:r/>
      <w:bookmarkStart w:id="466" w:name="_Toc297123553"/>
      <w:r/>
      <w:bookmarkStart w:id="467" w:name="_Toc300935003"/>
      <w:r/>
      <w:bookmarkStart w:id="468" w:name="_Toc303539160"/>
      <w:r/>
      <w:bookmarkStart w:id="469" w:name="_Toc304295580"/>
      <w:r>
        <w:rPr>
          <w:rFonts w:hint="eastAsia" w:asciiTheme="minorEastAsia" w:hAnsiTheme="minorEastAsia" w:eastAsiaTheme="minorEastAsia" w:cstheme="minorEastAsia"/>
          <w:szCs w:val="32"/>
        </w:rPr>
        <w:t xml:space="preserve">12.1 合</w:t>
      </w:r>
      <w:bookmarkEnd w:id="453"/>
      <w:r/>
      <w:bookmarkEnd w:id="454"/>
      <w:r/>
      <w:bookmarkEnd w:id="455"/>
      <w:r>
        <w:rPr>
          <w:rFonts w:hint="eastAsia" w:asciiTheme="minorEastAsia" w:hAnsiTheme="minorEastAsia" w:eastAsiaTheme="minorEastAsia" w:cstheme="minorEastAsia"/>
          <w:szCs w:val="32"/>
        </w:rPr>
        <w:t xml:space="preserve">同价</w:t>
      </w:r>
      <w:bookmarkEnd w:id="456"/>
      <w:r/>
      <w:bookmarkEnd w:id="457"/>
      <w:r/>
      <w:bookmarkEnd w:id="458"/>
      <w:r/>
      <w:bookmarkEnd w:id="459"/>
      <w:r/>
      <w:bookmarkEnd w:id="460"/>
      <w:r/>
      <w:bookmarkEnd w:id="461"/>
      <w:r/>
      <w:bookmarkEnd w:id="462"/>
      <w:r/>
      <w:bookmarkEnd w:id="463"/>
      <w:r>
        <w:rPr>
          <w:rFonts w:hint="eastAsia" w:asciiTheme="minorEastAsia" w:hAnsiTheme="minorEastAsia" w:eastAsiaTheme="minorEastAsia" w:cstheme="minorEastAsia"/>
          <w:szCs w:val="32"/>
        </w:rPr>
        <w:t xml:space="preserve">格形式</w:t>
      </w:r>
      <w:bookmarkEnd w:id="464"/>
      <w:r/>
      <w:bookmarkEnd w:id="465"/>
      <w:r/>
      <w:bookmarkEnd w:id="466"/>
      <w:r/>
      <w:bookmarkEnd w:id="467"/>
      <w:r/>
      <w:bookmarkEnd w:id="468"/>
      <w:r/>
      <w:bookmarkEnd w:id="469"/>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1、单价合同。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综合单价包含的风险范围：</w:t>
      </w:r>
      <w:r>
        <w:rPr>
          <w:rFonts w:hint="eastAsia" w:asciiTheme="minorEastAsia" w:hAnsiTheme="minorEastAsia" w:eastAsiaTheme="minorEastAsia" w:cstheme="minorEastAsia"/>
          <w:szCs w:val="32"/>
          <w:u w:val="single"/>
        </w:rPr>
        <w:t xml:space="preserve">除采购文件约定工程价款调整以外的全部风险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风险费用的计算方法：</w:t>
      </w:r>
      <w:r>
        <w:rPr>
          <w:rFonts w:hint="eastAsia" w:asciiTheme="minorEastAsia" w:hAnsiTheme="minorEastAsia" w:eastAsiaTheme="minorEastAsia" w:cstheme="minorEastAsia"/>
          <w:szCs w:val="32"/>
          <w:u w:val="single"/>
        </w:rPr>
        <w:t xml:space="preserve">除采购文件约定工程价款调整以外的全部风险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风险范围以外合同价格的调整方法：</w:t>
      </w:r>
      <w:r>
        <w:rPr>
          <w:rFonts w:hint="eastAsia" w:asciiTheme="minorEastAsia" w:hAnsiTheme="minorEastAsia" w:eastAsiaTheme="minorEastAsia" w:cstheme="minorEastAsia"/>
          <w:szCs w:val="32"/>
          <w:u w:val="single"/>
        </w:rPr>
        <w:t xml:space="preserve">除采购文件约定工程价款调整以外的全部风险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总价包含的风险范围：</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风险费用的计算方法：</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风险范围以外合同价格的调整方法：</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3、其他价格方式：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bookmarkStart w:id="470" w:name="_Toc297216213"/>
      <w:r/>
      <w:bookmarkStart w:id="471" w:name="_Toc312678042"/>
      <w:r/>
      <w:bookmarkStart w:id="472" w:name="_Toc303539161"/>
      <w:r/>
      <w:bookmarkStart w:id="473" w:name="_Toc297123554"/>
      <w:r/>
      <w:bookmarkStart w:id="474" w:name="_Toc300935004"/>
      <w:r/>
      <w:bookmarkStart w:id="475" w:name="_Toc304295581"/>
      <w:r/>
      <w:bookmarkStart w:id="476" w:name="_Toc296346708"/>
      <w:r/>
      <w:bookmarkStart w:id="477" w:name="_Toc296944546"/>
      <w:r/>
      <w:bookmarkStart w:id="478" w:name="_Toc297048393"/>
      <w:r/>
      <w:bookmarkStart w:id="479" w:name="_Toc297120507"/>
      <w:r/>
      <w:bookmarkStart w:id="480" w:name="_Toc296891035"/>
      <w:r/>
      <w:bookmarkStart w:id="481" w:name="_Toc296503207"/>
      <w:r/>
      <w:bookmarkStart w:id="482" w:name="_Toc296347206"/>
      <w:r/>
      <w:bookmarkStart w:id="483" w:name="_Toc292559412"/>
      <w:r/>
      <w:bookmarkStart w:id="484" w:name="_Toc292559917"/>
      <w:r/>
      <w:bookmarkStart w:id="485" w:name="_Toc296891247"/>
      <w:r>
        <w:rPr>
          <w:rFonts w:hint="eastAsia" w:asciiTheme="minorEastAsia" w:hAnsiTheme="minorEastAsia" w:eastAsiaTheme="minorEastAsia" w:cstheme="minorEastAsia"/>
          <w:szCs w:val="32"/>
        </w:rPr>
        <w:t xml:space="preserve">12.2 预付款</w:t>
      </w:r>
      <w:bookmarkEnd w:id="470"/>
      <w:r/>
      <w:bookmarkEnd w:id="471"/>
      <w:r/>
      <w:bookmarkEnd w:id="472"/>
      <w:r/>
      <w:bookmarkEnd w:id="473"/>
      <w:r/>
      <w:bookmarkEnd w:id="474"/>
      <w:r/>
      <w:bookmarkEnd w:id="475"/>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12.2.1 预付款的支付</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预付款支付比例或金额：</w:t>
      </w:r>
      <w:r>
        <w:rPr>
          <w:rFonts w:hint="eastAsia" w:asciiTheme="minorEastAsia" w:hAnsiTheme="minorEastAsia" w:eastAsiaTheme="minorEastAsia" w:cstheme="minorEastAsia"/>
          <w:szCs w:val="32"/>
          <w:u w:val="single"/>
        </w:rPr>
        <w:t xml:space="preserve">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预付款支付期限：</w:t>
      </w:r>
      <w:r>
        <w:rPr>
          <w:rFonts w:hint="eastAsia" w:asciiTheme="minorEastAsia" w:hAnsiTheme="minorEastAsia" w:eastAsiaTheme="minorEastAsia" w:cstheme="minorEastAsia"/>
          <w:szCs w:val="32"/>
          <w:u w:val="single"/>
        </w:rPr>
        <w:t xml:space="preserve"> 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预付款扣回的方式：</w:t>
      </w:r>
      <w:r>
        <w:rPr>
          <w:rFonts w:hint="eastAsia" w:asciiTheme="minorEastAsia" w:hAnsiTheme="minorEastAsia" w:eastAsiaTheme="minorEastAsia" w:cstheme="minorEastAsia"/>
          <w:szCs w:val="32"/>
          <w:u w:val="single"/>
        </w:rPr>
        <w:t xml:space="preserve"> 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12.2.2 预付款担保</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承包人提交预付款担保的期限：</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预付款担保的形式为：</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bookmarkEnd w:id="476"/>
      <w:r/>
      <w:bookmarkEnd w:id="477"/>
      <w:r/>
      <w:bookmarkEnd w:id="478"/>
      <w:r/>
      <w:bookmarkEnd w:id="479"/>
      <w:r/>
      <w:bookmarkEnd w:id="480"/>
      <w:r/>
      <w:bookmarkEnd w:id="481"/>
      <w:r/>
      <w:bookmarkEnd w:id="482"/>
      <w:r/>
      <w:bookmarkEnd w:id="483"/>
      <w:r/>
      <w:bookmarkEnd w:id="484"/>
      <w:r/>
      <w:bookmarkEnd w:id="48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 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12.3.1 计量原则</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工程量计算规则：</w:t>
      </w:r>
      <w:r>
        <w:rPr>
          <w:rFonts w:hint="eastAsia" w:asciiTheme="minorEastAsia" w:hAnsiTheme="minorEastAsia" w:eastAsiaTheme="minorEastAsia" w:cstheme="minorEastAsia"/>
          <w:szCs w:val="32"/>
          <w:u w:val="single"/>
        </w:rPr>
        <w:t xml:space="preserve">《建设工程工程量清单计价标准》（GB/T50500-2024）及《房屋建筑与装饰工程工程量计算规范》（GB50854-2024）等9本工程量计算规范</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12.3.2 计量周期</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关于计量周期的约定：</w:t>
      </w:r>
      <w:r>
        <w:rPr>
          <w:rFonts w:hint="eastAsia" w:asciiTheme="minorEastAsia" w:hAnsiTheme="minorEastAsia" w:eastAsiaTheme="minorEastAsia" w:cstheme="minorEastAsia"/>
          <w:szCs w:val="32"/>
          <w:u w:val="single"/>
        </w:rPr>
        <w:t xml:space="preserve">    按月计量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12.3.3 单价合同的计量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关于单价合同计量的约定：。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12.3.4 总价合同的计量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关于总价合同计量的约定：。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12.3.5总价合同采用支付分解表计量支付的，是否适用第12.3.4 项〔总价合同的计量〕约定进行计量：。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12.3.6 其他价格形式合同的计量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其他价格形式的计量方式和程序：。</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 工程进度款支付</w:t>
      </w:r>
      <w:r/>
    </w:p>
    <w:p>
      <w:pPr>
        <w:ind w:firstLine="420"/>
        <w:jc w:val="left"/>
        <w:spacing w:line="332" w:lineRule="auto"/>
        <w:rPr>
          <w:rFonts w:asciiTheme="minorEastAsia" w:hAnsiTheme="minorEastAsia" w:eastAsiaTheme="minorEastAsia" w:cstheme="minorEastAsia"/>
          <w:szCs w:val="32"/>
        </w:rPr>
      </w:pPr>
      <w:r/>
      <w:bookmarkStart w:id="486" w:name="_Toc292559921"/>
      <w:r/>
      <w:bookmarkStart w:id="487" w:name="_Toc296347210"/>
      <w:r/>
      <w:bookmarkStart w:id="488" w:name="_Toc292559416"/>
      <w:r/>
      <w:bookmarkStart w:id="489" w:name="_Toc296503211"/>
      <w:r/>
      <w:bookmarkStart w:id="490" w:name="_Toc296891251"/>
      <w:r/>
      <w:bookmarkStart w:id="491" w:name="_Toc300935006"/>
      <w:r/>
      <w:bookmarkStart w:id="492" w:name="_Toc297123556"/>
      <w:r/>
      <w:bookmarkStart w:id="493" w:name="_Toc297216215"/>
      <w:r/>
      <w:bookmarkStart w:id="494" w:name="_Toc297120511"/>
      <w:r/>
      <w:bookmarkStart w:id="495" w:name="_Toc296891039"/>
      <w:r/>
      <w:bookmarkStart w:id="496" w:name="_Toc296346712"/>
      <w:r/>
      <w:bookmarkStart w:id="497" w:name="_Toc297048397"/>
      <w:r/>
      <w:bookmarkStart w:id="498" w:name="_Toc303539163"/>
      <w:r/>
      <w:bookmarkStart w:id="499" w:name="_Toc296944550"/>
      <w:r>
        <w:rPr>
          <w:rFonts w:hint="eastAsia" w:asciiTheme="minorEastAsia" w:hAnsiTheme="minorEastAsia" w:eastAsiaTheme="minorEastAsia" w:cstheme="minorEastAsia"/>
          <w:szCs w:val="32"/>
        </w:rPr>
        <w:t xml:space="preserve">12.4.1 付款周期</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关于付款周期的约定：</w:t>
      </w:r>
      <w:r>
        <w:rPr>
          <w:rFonts w:hint="eastAsia" w:asciiTheme="minorEastAsia" w:hAnsiTheme="minorEastAsia" w:eastAsiaTheme="minorEastAsia" w:cstheme="minorEastAsia"/>
          <w:szCs w:val="32"/>
          <w:u w:val="single"/>
        </w:rPr>
        <w:t xml:space="preserve"> 详见采购文件付款方式约定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12.4.2 进度付款申请单的编制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关于进度付款申请单编制的约定：</w:t>
      </w:r>
      <w:r>
        <w:rPr>
          <w:rFonts w:hint="eastAsia" w:asciiTheme="minorEastAsia" w:hAnsiTheme="minorEastAsia" w:eastAsiaTheme="minorEastAsia" w:cstheme="minorEastAsia"/>
          <w:szCs w:val="32"/>
          <w:u w:val="single"/>
        </w:rPr>
        <w:t xml:space="preserve"> 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rFonts w:hint="eastAsia" w:asciiTheme="minorEastAsia" w:hAnsiTheme="minorEastAsia" w:eastAsiaTheme="minorEastAsia" w:cstheme="minorEastAsia"/>
          <w:szCs w:val="32"/>
        </w:rPr>
        <w:t xml:space="preserve">2.4.3 进度付款申请单的提交</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（1）单价合同进度付款申请单提交的约定：</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（2）总价合同进度付款申请单提交的约定：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（3）其他价格形式合同进度付款申请单提交的约定：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12.4.4 进度款审核和支付</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（1）监理人审查并报送发包人的期限：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发包人完成审批并签发进度款支付证书的期限：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（2）发包人支付进度款的期限：</w:t>
      </w:r>
      <w:r>
        <w:rPr>
          <w:rFonts w:hint="eastAsia" w:asciiTheme="minorEastAsia" w:hAnsiTheme="minorEastAsia" w:eastAsiaTheme="minorEastAsia" w:cstheme="minorEastAsia"/>
          <w:szCs w:val="32"/>
          <w:u w:val="single"/>
        </w:rPr>
        <w:t xml:space="preserve"> 按通用条款执行 </w:t>
      </w:r>
      <w:r>
        <w:rPr>
          <w:rFonts w:hint="eastAsia" w:asciiTheme="minorEastAsia" w:hAnsiTheme="minorEastAsia" w:eastAsiaTheme="minorEastAsia" w:cstheme="minorEastAsia"/>
          <w:szCs w:val="32"/>
        </w:rPr>
        <w:t xml:space="preserve">。</w:t>
      </w:r>
      <w:r/>
    </w:p>
    <w:p>
      <w:pPr>
        <w:ind w:firstLine="52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发包人逾期支付进度款的违约金的计算方式：</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52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12.4.6 支付分解表的编制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2、总价合同支付分解表的编制与审批：</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3、单价合同的总价项目支付分解表的编制与审批：</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bookmarkEnd w:id="329"/>
      <w:r/>
      <w:r/>
    </w:p>
    <w:p>
      <w:pPr>
        <w:pStyle w:val="792"/>
        <w:spacing w:before="0" w:after="0" w:line="332" w:lineRule="auto"/>
        <w:rPr>
          <w:rFonts w:asciiTheme="minorEastAsia" w:hAnsiTheme="minorEastAsia" w:eastAsiaTheme="minorEastAsia" w:cstheme="minorEastAsia"/>
          <w:bCs w:val="0"/>
          <w:szCs w:val="32"/>
        </w:rPr>
      </w:pPr>
      <w:r/>
      <w:bookmarkStart w:id="500" w:name="_Toc292559929"/>
      <w:r/>
      <w:bookmarkStart w:id="501" w:name="_Toc296944558"/>
      <w:r/>
      <w:bookmarkStart w:id="502" w:name="_Toc296891259"/>
      <w:r/>
      <w:bookmarkStart w:id="503" w:name="_Toc297216223"/>
      <w:r/>
      <w:bookmarkStart w:id="504" w:name="_Toc297120519"/>
      <w:r/>
      <w:bookmarkStart w:id="505" w:name="_Toc304295593"/>
      <w:r/>
      <w:bookmarkStart w:id="506" w:name="_Toc296347218"/>
      <w:r/>
      <w:bookmarkStart w:id="507" w:name="_Toc296891047"/>
      <w:r/>
      <w:bookmarkStart w:id="508" w:name="_Toc303539172"/>
      <w:r/>
      <w:bookmarkStart w:id="509" w:name="_Toc312678053"/>
      <w:r/>
      <w:bookmarkStart w:id="510" w:name="_Toc300935015"/>
      <w:r/>
      <w:bookmarkStart w:id="511" w:name="_Toc296503219"/>
      <w:r/>
      <w:bookmarkStart w:id="512" w:name="_Toc351203645"/>
      <w:r/>
      <w:bookmarkStart w:id="513" w:name="_Toc297123564"/>
      <w:r/>
      <w:bookmarkStart w:id="514" w:name="_Toc292559424"/>
      <w:r/>
      <w:bookmarkStart w:id="515" w:name="_Toc296346720"/>
      <w:r/>
      <w:bookmarkStart w:id="516" w:name="_Toc297048405"/>
      <w:r>
        <w:rPr>
          <w:rFonts w:hint="eastAsia" w:asciiTheme="minorEastAsia" w:hAnsiTheme="minorEastAsia" w:eastAsiaTheme="minorEastAsia" w:cstheme="minorEastAsia"/>
          <w:bCs w:val="0"/>
          <w:szCs w:val="32"/>
        </w:rPr>
        <w:t xml:space="preserve">13. 验收和工程试车</w:t>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13.1 分部分项工程验收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13.1.2监理人不能按时进行验收时，应提前</w:t>
      </w:r>
      <w:r>
        <w:rPr>
          <w:rFonts w:hint="eastAsia" w:asciiTheme="minorEastAsia" w:hAnsiTheme="minorEastAsia" w:eastAsiaTheme="minorEastAsia" w:cstheme="minorEastAsia"/>
          <w:szCs w:val="32"/>
          <w:u w:val="single"/>
        </w:rPr>
        <w:t xml:space="preserve">12</w:t>
      </w:r>
      <w:r>
        <w:rPr>
          <w:rFonts w:hint="eastAsia" w:asciiTheme="minorEastAsia" w:hAnsiTheme="minorEastAsia" w:eastAsiaTheme="minorEastAsia" w:cstheme="minorEastAsia"/>
          <w:szCs w:val="32"/>
        </w:rPr>
        <w:t xml:space="preserve">小时提交书面延期要求。</w:t>
      </w:r>
      <w:r/>
    </w:p>
    <w:p>
      <w:pPr>
        <w:ind w:firstLine="420"/>
        <w:jc w:val="left"/>
        <w:spacing w:line="332" w:lineRule="auto"/>
        <w:rPr>
          <w:rFonts w:asciiTheme="minorEastAsia" w:hAnsiTheme="minorEastAsia" w:eastAsiaTheme="minorEastAsia" w:cstheme="minorEastAsia"/>
          <w:b/>
          <w:szCs w:val="32"/>
        </w:rPr>
      </w:pPr>
      <w:r>
        <w:rPr>
          <w:rFonts w:hint="eastAsia" w:asciiTheme="minorEastAsia" w:hAnsiTheme="minorEastAsia" w:eastAsiaTheme="minorEastAsia" w:cstheme="minorEastAsia"/>
          <w:szCs w:val="32"/>
        </w:rPr>
        <w:t xml:space="preserve">关于延期最长不得超过：</w:t>
      </w:r>
      <w:r>
        <w:rPr>
          <w:rFonts w:hint="eastAsia" w:asciiTheme="minorEastAsia" w:hAnsiTheme="minorEastAsia" w:eastAsiaTheme="minorEastAsia" w:cstheme="minorEastAsia"/>
          <w:szCs w:val="32"/>
          <w:u w:val="single"/>
        </w:rPr>
        <w:t xml:space="preserve">48</w:t>
      </w:r>
      <w:r>
        <w:rPr>
          <w:rFonts w:hint="eastAsia" w:asciiTheme="minorEastAsia" w:hAnsiTheme="minorEastAsia" w:eastAsiaTheme="minorEastAsia" w:cstheme="minorEastAsia"/>
          <w:szCs w:val="32"/>
        </w:rPr>
        <w:t xml:space="preserve">小时。</w:t>
      </w:r>
      <w:r/>
    </w:p>
    <w:p>
      <w:pPr>
        <w:ind w:firstLine="420"/>
        <w:spacing w:line="332" w:lineRule="auto"/>
        <w:rPr>
          <w:rFonts w:asciiTheme="minorEastAsia" w:hAnsiTheme="minorEastAsia" w:eastAsiaTheme="minorEastAsia" w:cstheme="minorEastAsia"/>
          <w:szCs w:val="32"/>
        </w:rPr>
      </w:pPr>
      <w:r/>
      <w:bookmarkStart w:id="517" w:name="_Toc304295596"/>
      <w:r/>
      <w:bookmarkStart w:id="518" w:name="_Toc300935016"/>
      <w:r/>
      <w:bookmarkStart w:id="519" w:name="_Toc296347222"/>
      <w:r/>
      <w:bookmarkStart w:id="520" w:name="_Toc296891051"/>
      <w:r/>
      <w:bookmarkStart w:id="521" w:name="_Toc297120523"/>
      <w:r/>
      <w:bookmarkStart w:id="522" w:name="_Toc292559933"/>
      <w:r/>
      <w:bookmarkStart w:id="523" w:name="_Toc296891263"/>
      <w:r/>
      <w:bookmarkStart w:id="524" w:name="_Toc297048409"/>
      <w:r/>
      <w:bookmarkStart w:id="525" w:name="_Toc297123565"/>
      <w:r/>
      <w:bookmarkStart w:id="526" w:name="_Toc296346724"/>
      <w:r/>
      <w:bookmarkStart w:id="527" w:name="_Toc292559428"/>
      <w:r/>
      <w:bookmarkStart w:id="528" w:name="_Toc296503223"/>
      <w:r/>
      <w:bookmarkStart w:id="529" w:name="_Toc312678056"/>
      <w:r/>
      <w:bookmarkStart w:id="530" w:name="_Toc297216224"/>
      <w:r/>
      <w:bookmarkStart w:id="531" w:name="_Toc303539173"/>
      <w:r/>
      <w:bookmarkStart w:id="532" w:name="_Toc296944562"/>
      <w:r/>
      <w:bookmarkStart w:id="533" w:name="_Toc267251476"/>
      <w:r/>
      <w:bookmarkStart w:id="534" w:name="_Toc267251471"/>
      <w:r/>
      <w:bookmarkStart w:id="535" w:name="_Toc267251472"/>
      <w:r/>
      <w:bookmarkStart w:id="536" w:name="_Toc267251475"/>
      <w:r/>
      <w:bookmarkStart w:id="537" w:name="_Toc267251470"/>
      <w:r/>
      <w:bookmarkStart w:id="538" w:name="_Toc267251474"/>
      <w:r/>
      <w:bookmarkStart w:id="539" w:name="_Toc267251473"/>
      <w:r>
        <w:rPr>
          <w:rFonts w:hint="eastAsia" w:asciiTheme="minorEastAsia" w:hAnsiTheme="minorEastAsia" w:eastAsiaTheme="minorEastAsia" w:cstheme="minorEastAsia"/>
          <w:szCs w:val="32"/>
        </w:rPr>
        <w:t xml:space="preserve">13.2 竣工验收</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ind w:firstLine="420"/>
        <w:jc w:val="left"/>
        <w:spacing w:line="332" w:lineRule="auto"/>
        <w:rPr>
          <w:rFonts w:asciiTheme="minorEastAsia" w:hAnsiTheme="minorEastAsia" w:eastAsiaTheme="minorEastAsia" w:cstheme="minorEastAsia"/>
          <w:szCs w:val="32"/>
        </w:rPr>
      </w:pPr>
      <w:r/>
      <w:bookmarkStart w:id="540" w:name="_Toc280868704"/>
      <w:r/>
      <w:bookmarkStart w:id="541" w:name="_Toc280868705"/>
      <w:r/>
      <w:bookmarkStart w:id="542" w:name="_Toc280868706"/>
      <w:r/>
      <w:bookmarkStart w:id="543" w:name="_Toc280868707"/>
      <w:r/>
      <w:bookmarkStart w:id="544" w:name="_Toc280868708"/>
      <w:r/>
      <w:bookmarkStart w:id="545" w:name="_Toc280868709"/>
      <w:r>
        <w:rPr>
          <w:rFonts w:hint="eastAsia" w:asciiTheme="minorEastAsia" w:hAnsiTheme="minorEastAsia" w:eastAsiaTheme="minorEastAsia" w:cstheme="minorEastAsia"/>
          <w:szCs w:val="32"/>
        </w:rPr>
        <w:t xml:space="preserve">13.2.2竣工验收程序</w:t>
      </w:r>
      <w:bookmarkEnd w:id="540"/>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关于竣工验收程序的约定：</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发包人不按照本项约定组织竣工验收、颁发工程接收证书的违约金的计算方法：</w:t>
      </w:r>
      <w:r>
        <w:rPr>
          <w:rFonts w:hint="eastAsia" w:asciiTheme="minorEastAsia" w:hAnsiTheme="minorEastAsia" w:eastAsiaTheme="minorEastAsia" w:cstheme="minorEastAsia"/>
          <w:szCs w:val="32"/>
          <w:u w:val="single"/>
        </w:rPr>
        <w:t xml:space="preserve">颁发工程接</w:t>
      </w:r>
      <w:r/>
    </w:p>
    <w:p>
      <w:pPr>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u w:val="single"/>
        </w:rPr>
        <w:t xml:space="preserve">受证书后 7 天内完成工程的移交 </w:t>
      </w:r>
      <w:r>
        <w:rPr>
          <w:rFonts w:hint="eastAsia" w:asciiTheme="minorEastAsia" w:hAnsiTheme="minorEastAsia" w:eastAsiaTheme="minorEastAsia" w:cstheme="minorEastAsia"/>
          <w:szCs w:val="32"/>
        </w:rPr>
        <w:t xml:space="preserve">。</w:t>
      </w:r>
      <w:bookmarkEnd w:id="541"/>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13.2.5移交、接收全部与部分工程</w:t>
      </w:r>
      <w:bookmarkEnd w:id="542"/>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承包人向发包人移交工程的期限：</w:t>
      </w:r>
      <w:r>
        <w:rPr>
          <w:rFonts w:hint="eastAsia" w:asciiTheme="minorEastAsia" w:hAnsiTheme="minorEastAsia" w:eastAsiaTheme="minorEastAsia" w:cstheme="minorEastAsia"/>
          <w:szCs w:val="32"/>
          <w:u w:val="single"/>
        </w:rPr>
        <w:t xml:space="preserve">颁发工程接受证书后 7 天内完成工程的移交</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发包人未按本合同约定接收全部或部分工程的，违约金的计算方法为：</w:t>
      </w:r>
      <w:r>
        <w:rPr>
          <w:rFonts w:hint="eastAsia" w:asciiTheme="minorEastAsia" w:hAnsiTheme="minorEastAsia" w:eastAsiaTheme="minorEastAsia" w:cstheme="minorEastAsia"/>
          <w:szCs w:val="32"/>
          <w:u w:val="single"/>
        </w:rPr>
        <w:t xml:space="preserve">如有，双方另行约定</w:t>
      </w:r>
      <w:r>
        <w:rPr>
          <w:rFonts w:hint="eastAsia" w:asciiTheme="minorEastAsia" w:hAnsiTheme="minorEastAsia" w:eastAsiaTheme="minorEastAsia" w:cstheme="minorEastAsia"/>
          <w:szCs w:val="32"/>
        </w:rPr>
        <w:t xml:space="preserve">。</w:t>
      </w:r>
      <w:bookmarkEnd w:id="543"/>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承包人未按时移交工程的，违约金的计算方法为：</w:t>
      </w:r>
      <w:r>
        <w:rPr>
          <w:rFonts w:hint="eastAsia" w:asciiTheme="minorEastAsia" w:hAnsiTheme="minorEastAsia" w:eastAsiaTheme="minorEastAsia" w:cstheme="minorEastAsia"/>
          <w:szCs w:val="32"/>
          <w:u w:val="single"/>
        </w:rPr>
        <w:t xml:space="preserve">每天赔偿金额为0.5万元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 工程试车</w:t>
      </w:r>
      <w:bookmarkEnd w:id="544"/>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13.3.1 试车程序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工程试车内容：</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（1）单机无负荷试车费用由</w:t>
      </w:r>
      <w:r>
        <w:rPr>
          <w:rFonts w:hint="eastAsia" w:asciiTheme="minorEastAsia" w:hAnsiTheme="minorEastAsia" w:eastAsiaTheme="minorEastAsia" w:cstheme="minorEastAsia"/>
          <w:szCs w:val="32"/>
          <w:u w:val="single"/>
        </w:rPr>
        <w:t xml:space="preserve">承包人</w:t>
      </w:r>
      <w:r>
        <w:rPr>
          <w:rFonts w:hint="eastAsia" w:asciiTheme="minorEastAsia" w:hAnsiTheme="minorEastAsia" w:eastAsiaTheme="minorEastAsia" w:cstheme="minorEastAsia"/>
          <w:szCs w:val="32"/>
        </w:rPr>
        <w:t xml:space="preserve">承担；</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（2）无负荷联动试车费用由</w:t>
      </w:r>
      <w:r>
        <w:rPr>
          <w:rFonts w:hint="eastAsia" w:asciiTheme="minorEastAsia" w:hAnsiTheme="minorEastAsia" w:eastAsiaTheme="minorEastAsia" w:cstheme="minorEastAsia"/>
          <w:szCs w:val="32"/>
          <w:u w:val="single"/>
        </w:rPr>
        <w:t xml:space="preserve">承包人</w:t>
      </w:r>
      <w:r>
        <w:rPr>
          <w:rFonts w:hint="eastAsia" w:asciiTheme="minorEastAsia" w:hAnsiTheme="minorEastAsia" w:eastAsiaTheme="minorEastAsia" w:cstheme="minorEastAsia"/>
          <w:szCs w:val="32"/>
        </w:rPr>
        <w:t xml:space="preserve">承担。</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13.3.3 投料试车</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关于投料试车相关事项的约定：</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13.6 竣工退场</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13.6.1 竣工退场</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承包人完成竣工退场的期限：</w:t>
      </w:r>
      <w:r>
        <w:rPr>
          <w:rFonts w:hint="eastAsia" w:asciiTheme="minorEastAsia" w:hAnsiTheme="minorEastAsia" w:eastAsiaTheme="minorEastAsia" w:cstheme="minorEastAsia"/>
          <w:szCs w:val="32"/>
          <w:u w:val="single"/>
        </w:rPr>
        <w:t xml:space="preserve"> 工程竣工验收合格一周内 </w:t>
      </w:r>
      <w:r>
        <w:rPr>
          <w:rFonts w:hint="eastAsia" w:asciiTheme="minorEastAsia" w:hAnsiTheme="minorEastAsia" w:eastAsiaTheme="minorEastAsia" w:cstheme="minorEastAsia"/>
          <w:szCs w:val="32"/>
        </w:rPr>
        <w:t xml:space="preserve">。</w:t>
      </w:r>
      <w:r/>
    </w:p>
    <w:p>
      <w:pPr>
        <w:pStyle w:val="792"/>
        <w:spacing w:before="0" w:after="0" w:line="332" w:lineRule="auto"/>
        <w:rPr>
          <w:rFonts w:asciiTheme="minorEastAsia" w:hAnsiTheme="minorEastAsia" w:eastAsiaTheme="minorEastAsia" w:cstheme="minorEastAsia"/>
          <w:bCs w:val="0"/>
          <w:szCs w:val="32"/>
        </w:rPr>
      </w:pPr>
      <w:r/>
      <w:bookmarkStart w:id="546" w:name="_Toc351203646"/>
      <w:r>
        <w:rPr>
          <w:rFonts w:hint="eastAsia" w:asciiTheme="minorEastAsia" w:hAnsiTheme="minorEastAsia" w:eastAsiaTheme="minorEastAsia" w:cstheme="minorEastAsia"/>
          <w:bCs w:val="0"/>
          <w:szCs w:val="32"/>
        </w:rPr>
        <w:t xml:space="preserve">14. 竣工结算</w:t>
      </w:r>
      <w:bookmarkEnd w:id="54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14.1 竣工结算申请</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承包人提交竣工结算申请单的期限：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竣工结算申请单应包括的内容：</w:t>
      </w:r>
      <w:r>
        <w:rPr>
          <w:rFonts w:hint="eastAsia" w:asciiTheme="minorEastAsia" w:hAnsiTheme="minorEastAsia" w:eastAsiaTheme="minorEastAsia" w:cstheme="minorEastAsia"/>
          <w:szCs w:val="32"/>
          <w:u w:val="single"/>
        </w:rPr>
        <w:t xml:space="preserve">无另有约定，按通用条款执行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14.2 竣工结算审核</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发包人审批竣工付款申请单的期限：</w:t>
      </w:r>
      <w:r>
        <w:rPr>
          <w:rFonts w:hint="eastAsia" w:asciiTheme="minorEastAsia" w:hAnsiTheme="minorEastAsia" w:eastAsiaTheme="minorEastAsia" w:cstheme="minorEastAsia"/>
          <w:szCs w:val="32"/>
          <w:u w:val="single"/>
        </w:rPr>
        <w:t xml:space="preserve"> 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发包人完成竣工付款的期限：</w:t>
      </w:r>
      <w:r>
        <w:rPr>
          <w:rFonts w:hint="eastAsia" w:asciiTheme="minorEastAsia" w:hAnsiTheme="minorEastAsia" w:eastAsiaTheme="minorEastAsia" w:cstheme="minorEastAsia"/>
          <w:szCs w:val="32"/>
          <w:u w:val="single"/>
        </w:rPr>
        <w:t xml:space="preserve">  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关于竣工付款证书异议部分复核的方式和程序：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14.4 最终结清</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14.4.1 最终结清申请单</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承包人提交最终结清申请单的份数：</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承包人提交最终结算申请单的期限：</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14.4.2 最终结清证书和支付</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（1）发包人完成最终结清申请单的审批并颁发最终结清证书的期限：</w:t>
      </w:r>
      <w:r>
        <w:rPr>
          <w:rFonts w:hint="eastAsia" w:asciiTheme="minorEastAsia" w:hAnsiTheme="minorEastAsia" w:eastAsiaTheme="minorEastAsia" w:cstheme="minorEastAsia"/>
          <w:szCs w:val="32"/>
          <w:u w:val="single"/>
        </w:rPr>
        <w:t xml:space="preserve">发包人在收到承包人最终结清申请单后完成审批</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（2）发包人完成支付的期限：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bookmarkEnd w:id="533"/>
      <w:r/>
      <w:bookmarkEnd w:id="534"/>
      <w:r/>
      <w:bookmarkEnd w:id="535"/>
      <w:r/>
      <w:bookmarkEnd w:id="536"/>
      <w:r/>
      <w:bookmarkEnd w:id="537"/>
      <w:r/>
      <w:bookmarkEnd w:id="538"/>
      <w:r/>
      <w:bookmarkEnd w:id="539"/>
      <w:r/>
      <w:bookmarkEnd w:id="545"/>
      <w:r/>
      <w:r/>
    </w:p>
    <w:p>
      <w:pPr>
        <w:pStyle w:val="792"/>
        <w:spacing w:before="0" w:after="0" w:line="332" w:lineRule="auto"/>
        <w:rPr>
          <w:rFonts w:asciiTheme="minorEastAsia" w:hAnsiTheme="minorEastAsia" w:eastAsiaTheme="minorEastAsia" w:cstheme="minorEastAsia"/>
          <w:bCs w:val="0"/>
          <w:szCs w:val="32"/>
        </w:rPr>
      </w:pPr>
      <w:r/>
      <w:bookmarkStart w:id="547" w:name="_Toc351203647"/>
      <w:r/>
      <w:bookmarkStart w:id="548" w:name="_Toc267251483"/>
      <w:r/>
      <w:bookmarkStart w:id="549" w:name="_Toc267251484"/>
      <w:r/>
      <w:bookmarkStart w:id="550" w:name="_Toc267251482"/>
      <w:r/>
      <w:bookmarkStart w:id="551" w:name="_Toc267251485"/>
      <w:r/>
      <w:bookmarkStart w:id="552" w:name="_Toc267251489"/>
      <w:r/>
      <w:bookmarkStart w:id="553" w:name="_Toc267251488"/>
      <w:r/>
      <w:bookmarkStart w:id="554" w:name="_Toc267251490"/>
      <w:r/>
      <w:bookmarkStart w:id="555" w:name="_Toc267251486"/>
      <w:r/>
      <w:bookmarkStart w:id="556" w:name="_Toc267251499"/>
      <w:r/>
      <w:bookmarkStart w:id="557" w:name="_Toc267251495"/>
      <w:r/>
      <w:bookmarkStart w:id="558" w:name="_Toc267251496"/>
      <w:r/>
      <w:bookmarkStart w:id="559" w:name="_Toc267251493"/>
      <w:r/>
      <w:bookmarkStart w:id="560" w:name="_Toc267251498"/>
      <w:r/>
      <w:bookmarkStart w:id="561" w:name="_Toc267251497"/>
      <w:r/>
      <w:bookmarkStart w:id="562" w:name="_Toc267251502"/>
      <w:r/>
      <w:bookmarkStart w:id="563" w:name="_Toc267251494"/>
      <w:r/>
      <w:bookmarkStart w:id="564" w:name="_Toc267251503"/>
      <w:r/>
      <w:bookmarkStart w:id="565" w:name="_Toc267251492"/>
      <w:r/>
      <w:bookmarkStart w:id="566" w:name="_Toc267251501"/>
      <w:r/>
      <w:bookmarkStart w:id="567" w:name="_Toc267251491"/>
      <w:r/>
      <w:bookmarkStart w:id="568" w:name="_Toc267251504"/>
      <w:r/>
      <w:bookmarkStart w:id="569" w:name="_Toc267251506"/>
      <w:r/>
      <w:bookmarkStart w:id="570" w:name="_Toc267251507"/>
      <w:r/>
      <w:bookmarkStart w:id="571" w:name="_Toc267251508"/>
      <w:r/>
      <w:bookmarkStart w:id="572" w:name="_Toc267251510"/>
      <w:r/>
      <w:bookmarkStart w:id="573" w:name="_Toc267251511"/>
      <w:r/>
      <w:bookmarkStart w:id="574" w:name="_Toc267251514"/>
      <w:r/>
      <w:bookmarkStart w:id="575" w:name="_Toc267251513"/>
      <w:r/>
      <w:bookmarkStart w:id="576" w:name="_Toc267251509"/>
      <w:r/>
      <w:bookmarkStart w:id="577" w:name="_Toc267251515"/>
      <w:r>
        <w:rPr>
          <w:rFonts w:hint="eastAsia" w:asciiTheme="minorEastAsia" w:hAnsiTheme="minorEastAsia" w:eastAsiaTheme="minorEastAsia" w:cstheme="minorEastAsia"/>
          <w:bCs w:val="0"/>
          <w:szCs w:val="32"/>
        </w:rPr>
        <w:t xml:space="preserve">15. 缺陷责任期与保修</w:t>
      </w:r>
      <w:bookmarkEnd w:id="547"/>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15.2缺陷责任期</w:t>
      </w:r>
      <w:bookmarkEnd w:id="548"/>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缺陷责任期的具体期限：</w:t>
      </w:r>
      <w:r>
        <w:rPr>
          <w:rFonts w:hint="eastAsia" w:asciiTheme="minorEastAsia" w:hAnsiTheme="minorEastAsia" w:eastAsiaTheme="minorEastAsia" w:cstheme="minorEastAsia"/>
          <w:szCs w:val="32"/>
          <w:u w:val="single"/>
        </w:rPr>
        <w:t xml:space="preserve"> 按照采购文件约定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15.3 质量保证金</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关于是否扣留质量保证金的约定：</w:t>
      </w:r>
      <w:r>
        <w:rPr>
          <w:rFonts w:hint="eastAsia" w:asciiTheme="minorEastAsia" w:hAnsiTheme="minorEastAsia" w:eastAsiaTheme="minorEastAsia" w:cstheme="minorEastAsia"/>
          <w:szCs w:val="32"/>
          <w:u w:val="single"/>
        </w:rPr>
        <w:t xml:space="preserve">是</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15.3.1 承包人提供质量保证金的方式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质量保证金采用以下第</w:t>
      </w:r>
      <w:r>
        <w:rPr>
          <w:rFonts w:hint="eastAsia" w:asciiTheme="minorEastAsia" w:hAnsiTheme="minorEastAsia" w:eastAsiaTheme="minorEastAsia" w:cstheme="minorEastAsia"/>
          <w:szCs w:val="32"/>
          <w:u w:val="single"/>
        </w:rPr>
        <w:t xml:space="preserve"> （</w:t>
      </w:r>
      <w:r>
        <w:rPr>
          <w:rFonts w:hint="eastAsia" w:asciiTheme="minorEastAsia" w:hAnsiTheme="minorEastAsia" w:cstheme="minorEastAsia"/>
          <w:szCs w:val="32"/>
          <w:u w:val="single"/>
        </w:rPr>
        <w:t xml:space="preserve">2</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种方式：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（1）质量保证金保函，保证金额为：</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w:t>
      </w:r>
      <w:r>
        <w:rPr>
          <w:rFonts w:hint="eastAsia" w:asciiTheme="minorEastAsia" w:hAnsiTheme="minorEastAsia" w:cstheme="minorEastAsia"/>
          <w:szCs w:val="32"/>
          <w:u w:val="single"/>
        </w:rPr>
        <w:t xml:space="preserve">3 </w:t>
      </w:r>
      <w:r>
        <w:rPr>
          <w:rFonts w:hint="eastAsia" w:asciiTheme="minorEastAsia" w:hAnsiTheme="minorEastAsia" w:eastAsiaTheme="minorEastAsia" w:cstheme="minorEastAsia"/>
          <w:szCs w:val="32"/>
        </w:rPr>
        <w:t xml:space="preserve">%的工程款；</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（3）其他方式:</w:t>
      </w:r>
      <w:r>
        <w:rPr>
          <w:rFonts w:hint="eastAsia" w:asciiTheme="minorEastAsia" w:hAnsiTheme="minorEastAsia" w:eastAsiaTheme="minorEastAsia" w:cstheme="minorEastAsia"/>
          <w:u w:val="single"/>
        </w:rPr>
        <w:t xml:space="preserve">详见招标文件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15.3.2 质量保证金的扣留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质量保证金的扣留采取以下第</w:t>
      </w:r>
      <w:r>
        <w:rPr>
          <w:rFonts w:hint="eastAsia" w:asciiTheme="minorEastAsia" w:hAnsiTheme="minorEastAsia" w:eastAsiaTheme="minorEastAsia" w:cstheme="minorEastAsia"/>
          <w:szCs w:val="32"/>
          <w:u w:val="single"/>
        </w:rPr>
        <w:t xml:space="preserve"> （2） </w:t>
      </w:r>
      <w:r>
        <w:rPr>
          <w:rFonts w:hint="eastAsia" w:asciiTheme="minorEastAsia" w:hAnsiTheme="minorEastAsia" w:eastAsiaTheme="minorEastAsia" w:cstheme="minorEastAsia"/>
          <w:szCs w:val="32"/>
        </w:rPr>
        <w:t xml:space="preserve">种方式：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（1）在支付工程进度款时逐次扣留，在此情形下，质量保证金的计算基数不包括预付款的支付、扣回以及价格调整的金额；</w:t>
      </w:r>
      <w:r/>
    </w:p>
    <w:p>
      <w:pPr>
        <w:ind w:firstLine="424"/>
        <w:spacing w:line="332"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（2）工程竣工结算时一次性扣留质量保证金</w:t>
      </w:r>
      <w:r>
        <w:rPr>
          <w:rFonts w:hint="eastAsia" w:asciiTheme="minorEastAsia" w:hAnsiTheme="minorEastAsia" w:cstheme="minorEastAsia"/>
        </w:rPr>
        <w:t xml:space="preserve">（履约保证金</w:t>
      </w:r>
      <w:r>
        <w:rPr>
          <w:rFonts w:hint="eastAsia" w:asciiTheme="minorEastAsia" w:hAnsiTheme="minorEastAsia" w:eastAsiaTheme="minorEastAsia" w:cstheme="minorEastAsia"/>
          <w:color w:val="000000" w:themeColor="text1"/>
          <w:szCs w:val="21"/>
        </w:rPr>
        <w:t xml:space="preserve">在成交人按承诺的工期、质量标准、规范要求完成项目并经竣工验收合格后无息返还。</w:t>
      </w:r>
      <w:r>
        <w:rPr>
          <w:rFonts w:hint="eastAsia" w:asciiTheme="minorEastAsia" w:hAnsiTheme="minorEastAsia" w:cstheme="minorEastAsia"/>
        </w:rPr>
        <w:t xml:space="preserve">）</w:t>
      </w:r>
      <w:r>
        <w:rPr>
          <w:rFonts w:hint="eastAsia" w:asciiTheme="minorEastAsia" w:hAnsiTheme="minorEastAsia" w:eastAsiaTheme="minorEastAsia" w:cstheme="minorEastAsia"/>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（3）其他扣留方式: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关于质量保证金的补充约定：。</w:t>
      </w:r>
      <w:bookmarkEnd w:id="549"/>
      <w:r/>
      <w:bookmarkEnd w:id="550"/>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15.4保修</w:t>
      </w:r>
      <w:bookmarkEnd w:id="551"/>
      <w:r/>
      <w:r/>
    </w:p>
    <w:p>
      <w:pPr>
        <w:ind w:firstLine="409"/>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15.4.1 保修责任</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工程保修期为：</w:t>
      </w:r>
      <w:r>
        <w:rPr>
          <w:rFonts w:hint="eastAsia" w:asciiTheme="minorEastAsia" w:hAnsiTheme="minorEastAsia" w:eastAsiaTheme="minorEastAsia" w:cstheme="minorEastAsia"/>
          <w:szCs w:val="32"/>
          <w:u w:val="single"/>
        </w:rPr>
        <w:t xml:space="preserve">（1）本合同工程保修期年，自工程竣工验收合格之日起计。（2）保修期内本合同</w:t>
      </w:r>
      <w:r>
        <w:rPr>
          <w:rFonts w:hint="eastAsia" w:asciiTheme="minorEastAsia" w:hAnsiTheme="minorEastAsia" w:eastAsiaTheme="minorEastAsia" w:cstheme="minorEastAsia"/>
          <w:szCs w:val="32"/>
          <w:u w:val="single"/>
        </w:rPr>
        <w:t xml:space="preserve">出现任何质量、缺陷等问题，由承包方承担维修、更换、退货等所发生的的一切实际费用，因工程质量问题造成第三方人身伤害、财产损失的，乙方还应予以赔偿</w:t>
      </w:r>
      <w:r>
        <w:rPr>
          <w:rFonts w:hint="eastAsia" w:asciiTheme="minorEastAsia" w:hAnsiTheme="minorEastAsia" w:eastAsiaTheme="minorEastAsia" w:cstheme="minorEastAsia"/>
          <w:szCs w:val="32"/>
        </w:rPr>
        <w:t xml:space="preserve">。</w:t>
      </w:r>
      <w:r/>
    </w:p>
    <w:p>
      <w:pPr>
        <w:ind w:firstLine="409"/>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15.4.3 修复通知</w:t>
      </w:r>
      <w:r/>
    </w:p>
    <w:p>
      <w:pPr>
        <w:ind w:firstLine="409"/>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承包人收到保修通知并到达工程现场的合理时间：</w:t>
      </w:r>
      <w:r>
        <w:rPr>
          <w:rFonts w:hint="eastAsia" w:asciiTheme="minorEastAsia" w:hAnsiTheme="minorEastAsia" w:eastAsiaTheme="minorEastAsia" w:cstheme="minorEastAsia"/>
          <w:szCs w:val="32"/>
          <w:u w:val="single"/>
        </w:rPr>
        <w:t xml:space="preserve">12小时内  </w:t>
      </w:r>
      <w:r>
        <w:rPr>
          <w:rFonts w:hint="eastAsia" w:asciiTheme="minorEastAsia" w:hAnsiTheme="minorEastAsia" w:eastAsiaTheme="minorEastAsia" w:cstheme="minorEastAsia"/>
          <w:szCs w:val="32"/>
        </w:rPr>
        <w:t xml:space="preserve">。</w:t>
      </w:r>
      <w:bookmarkEnd w:id="552"/>
      <w:r/>
      <w:bookmarkEnd w:id="553"/>
      <w:r/>
      <w:bookmarkEnd w:id="554"/>
      <w:r/>
      <w:bookmarkEnd w:id="555"/>
      <w:r/>
      <w:r/>
    </w:p>
    <w:p>
      <w:pPr>
        <w:pStyle w:val="792"/>
        <w:spacing w:before="0" w:after="0" w:line="332" w:lineRule="auto"/>
        <w:rPr>
          <w:rFonts w:asciiTheme="minorEastAsia" w:hAnsiTheme="minorEastAsia" w:eastAsiaTheme="minorEastAsia" w:cstheme="minorEastAsia"/>
          <w:bCs w:val="0"/>
          <w:szCs w:val="32"/>
        </w:rPr>
      </w:pPr>
      <w:r/>
      <w:bookmarkStart w:id="578" w:name="_Toc351203648"/>
      <w:r/>
      <w:bookmarkStart w:id="579" w:name="_Toc280868717"/>
      <w:r/>
      <w:bookmarkStart w:id="580" w:name="_Toc280868718"/>
      <w:r>
        <w:rPr>
          <w:rFonts w:hint="eastAsia" w:asciiTheme="minorEastAsia" w:hAnsiTheme="minorEastAsia" w:eastAsiaTheme="minorEastAsia" w:cstheme="minorEastAsia"/>
          <w:bCs w:val="0"/>
          <w:szCs w:val="32"/>
        </w:rPr>
        <w:t xml:space="preserve">16. 违约</w:t>
      </w:r>
      <w:bookmarkEnd w:id="578"/>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 发包人违约</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16.1.1发包人违约的情形</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发包人违约的其他情形：</w:t>
      </w:r>
      <w:r>
        <w:rPr>
          <w:rFonts w:hint="eastAsia" w:asciiTheme="minorEastAsia" w:hAnsiTheme="minorEastAsia" w:eastAsiaTheme="minorEastAsia" w:cstheme="minorEastAsia"/>
          <w:szCs w:val="32"/>
          <w:u w:val="single"/>
        </w:rPr>
        <w:t xml:space="preserve">    无     </w:t>
      </w:r>
      <w:r>
        <w:rPr>
          <w:rFonts w:hint="eastAsia" w:asciiTheme="minorEastAsia" w:hAnsiTheme="minorEastAsia" w:eastAsiaTheme="minorEastAsia" w:cstheme="minorEastAsia"/>
          <w:szCs w:val="32"/>
        </w:rPr>
        <w:t xml:space="preserve">。</w:t>
      </w:r>
      <w:r/>
    </w:p>
    <w:p>
      <w:pPr>
        <w:ind w:left="1050" w:hanging="105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    16.1.2 发包人违约的责任</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发包人违约责任的承担方式和计算方法：</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（1）因发包人原因未能在计划开工日期前7天内下达开工通知的违约责任：</w:t>
      </w:r>
      <w:r>
        <w:rPr>
          <w:rFonts w:hint="eastAsia" w:asciiTheme="minorEastAsia" w:hAnsiTheme="minorEastAsia" w:eastAsiaTheme="minorEastAsia" w:cstheme="minorEastAsia"/>
          <w:szCs w:val="32"/>
          <w:u w:val="single"/>
        </w:rPr>
        <w:t xml:space="preserve">工期顺延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（2）因发包人原因未能按合同约定支付合同价款的违约责任：</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Cs w:val="32"/>
          <w:u w:val="single"/>
        </w:rPr>
        <w:t xml:space="preserve">工期顺延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（5）因发包人违反合同约定造成暂停施工的违约责任：</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u w:val="single"/>
        </w:rPr>
        <w:t xml:space="preserve">工期顺延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（7）其他：</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16.1.3 因发包人违约解除合同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承包人按16.1.1项〔发包人违约的情形〕约定暂停施工满</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天后发包人仍不纠正其违约行为并致使合同目的不能实现的，承包人有权解除合同。</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 承包人违约</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16.2.1 承包人违约的情形</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承包人违约的其他情形：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16.2.2承包人违约的责任</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承包人违约责任的承担方式和计算方法：</w:t>
      </w:r>
      <w:r>
        <w:rPr>
          <w:rFonts w:hint="eastAsia" w:asciiTheme="minorEastAsia" w:hAnsiTheme="minorEastAsia" w:eastAsiaTheme="minorEastAsia" w:cstheme="minorEastAsia"/>
          <w:szCs w:val="32"/>
          <w:u w:val="single"/>
        </w:rPr>
        <w:t xml:space="preserve">承包人应承担因其违约行为而增加的费用和（或）延误的工期</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16.2.3 因承包人违约解除合同</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关于承包人违约解除合同的特别约定：</w:t>
      </w:r>
      <w:r>
        <w:rPr>
          <w:rFonts w:hint="eastAsia" w:asciiTheme="minorEastAsia" w:hAnsiTheme="minorEastAsia" w:eastAsiaTheme="minorEastAsia" w:cstheme="minorEastAsia"/>
          <w:szCs w:val="32"/>
          <w:u w:val="single"/>
        </w:rPr>
        <w:t xml:space="preserve">  按通用条款执行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Cs w:val="32"/>
          <w:u w:val="single"/>
        </w:rPr>
        <w:t xml:space="preserve">  双方约定   </w:t>
      </w:r>
      <w:r>
        <w:rPr>
          <w:rFonts w:hint="eastAsia" w:asciiTheme="minorEastAsia" w:hAnsiTheme="minorEastAsia" w:eastAsiaTheme="minorEastAsia" w:cstheme="minorEastAsia"/>
          <w:szCs w:val="32"/>
        </w:rPr>
        <w:t xml:space="preserve">。</w:t>
      </w:r>
      <w:r/>
    </w:p>
    <w:p>
      <w:pPr>
        <w:pStyle w:val="792"/>
        <w:spacing w:before="0" w:after="0" w:line="332" w:lineRule="auto"/>
        <w:rPr>
          <w:rFonts w:asciiTheme="minorEastAsia" w:hAnsiTheme="minorEastAsia" w:eastAsiaTheme="minorEastAsia" w:cstheme="minorEastAsia"/>
          <w:bCs w:val="0"/>
          <w:szCs w:val="32"/>
        </w:rPr>
      </w:pPr>
      <w:r/>
      <w:bookmarkStart w:id="581" w:name="_Toc351203649"/>
      <w:r>
        <w:rPr>
          <w:rFonts w:hint="eastAsia" w:asciiTheme="minorEastAsia" w:hAnsiTheme="minorEastAsia" w:eastAsiaTheme="minorEastAsia" w:cstheme="minorEastAsia"/>
          <w:bCs w:val="0"/>
          <w:szCs w:val="32"/>
        </w:rPr>
        <w:t xml:space="preserve">17. 不可抗力</w:t>
      </w:r>
      <w:bookmarkEnd w:id="579"/>
      <w:r/>
      <w:bookmarkEnd w:id="581"/>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17.1 不可抗力的确认</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除通用合同条款约定的不可抗力事件之外，视为不可抗力的其他情形：</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17.4 因不可抗力解除合同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合同解除后，发包人应在商定或确定发包人应支付款项后</w:t>
      </w:r>
      <w:r>
        <w:rPr>
          <w:rFonts w:hint="eastAsia" w:asciiTheme="minorEastAsia" w:hAnsiTheme="minorEastAsia" w:eastAsiaTheme="minorEastAsia" w:cstheme="minorEastAsia"/>
          <w:szCs w:val="32"/>
          <w:u w:val="single"/>
        </w:rPr>
        <w:t xml:space="preserve">28</w:t>
      </w:r>
      <w:r>
        <w:rPr>
          <w:rFonts w:hint="eastAsia" w:asciiTheme="minorEastAsia" w:hAnsiTheme="minorEastAsia" w:eastAsiaTheme="minorEastAsia" w:cstheme="minorEastAsia"/>
          <w:szCs w:val="32"/>
        </w:rPr>
        <w:t xml:space="preserve">天内完成款项的支付。</w:t>
      </w:r>
      <w:r/>
    </w:p>
    <w:p>
      <w:pPr>
        <w:pStyle w:val="792"/>
        <w:spacing w:before="0" w:after="0" w:line="332" w:lineRule="auto"/>
        <w:rPr>
          <w:rFonts w:asciiTheme="minorEastAsia" w:hAnsiTheme="minorEastAsia" w:eastAsiaTheme="minorEastAsia" w:cstheme="minorEastAsia"/>
          <w:bCs w:val="0"/>
          <w:szCs w:val="32"/>
        </w:rPr>
      </w:pPr>
      <w:r/>
      <w:bookmarkStart w:id="582" w:name="_Toc351203650"/>
      <w:r>
        <w:rPr>
          <w:rFonts w:hint="eastAsia" w:asciiTheme="minorEastAsia" w:hAnsiTheme="minorEastAsia" w:eastAsiaTheme="minorEastAsia" w:cstheme="minorEastAsia"/>
          <w:bCs w:val="0"/>
          <w:szCs w:val="32"/>
        </w:rPr>
        <w:t xml:space="preserve">18. 保险</w:t>
      </w:r>
      <w:bookmarkEnd w:id="580"/>
      <w:r/>
      <w:bookmarkEnd w:id="58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18.1 工程保险</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关于工程保险的特别约定：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18.2其他保险</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关于其他保险的约定：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承包人是否应为其施工设备等办理财产保险：</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18.3 通知义务</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关于变更保险合同时的通知义务的约定：</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pStyle w:val="792"/>
        <w:spacing w:before="0" w:after="0" w:line="332" w:lineRule="auto"/>
        <w:rPr>
          <w:rFonts w:asciiTheme="minorEastAsia" w:hAnsiTheme="minorEastAsia" w:eastAsiaTheme="minorEastAsia" w:cstheme="minorEastAsia"/>
          <w:bCs w:val="0"/>
          <w:szCs w:val="32"/>
        </w:rPr>
      </w:pPr>
      <w:r/>
      <w:bookmarkStart w:id="583" w:name="_Toc351203651"/>
      <w:r>
        <w:rPr>
          <w:rFonts w:hint="eastAsia" w:asciiTheme="minorEastAsia" w:hAnsiTheme="minorEastAsia" w:eastAsiaTheme="minorEastAsia" w:cstheme="minorEastAsia"/>
          <w:bCs w:val="0"/>
          <w:szCs w:val="32"/>
        </w:rPr>
        <w:t xml:space="preserve">20. 争议解决</w:t>
      </w:r>
      <w:bookmarkEnd w:id="568"/>
      <w:r/>
      <w:bookmarkEnd w:id="569"/>
      <w:r/>
      <w:bookmarkEnd w:id="583"/>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20.3 争</w:t>
      </w:r>
      <w:bookmarkEnd w:id="570"/>
      <w:r>
        <w:rPr>
          <w:rFonts w:hint="eastAsia" w:asciiTheme="minorEastAsia" w:hAnsiTheme="minorEastAsia" w:eastAsiaTheme="minorEastAsia" w:cstheme="minorEastAsia"/>
          <w:szCs w:val="32"/>
        </w:rPr>
        <w:t xml:space="preserve">议评审</w:t>
      </w:r>
      <w:r/>
    </w:p>
    <w:p>
      <w:pPr>
        <w:ind w:left="149" w:firstLine="31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合同当事人是否同意将工程争议提交争议评审小组决定：</w:t>
      </w:r>
      <w:r>
        <w:rPr>
          <w:rFonts w:hint="eastAsia" w:asciiTheme="minorEastAsia" w:hAnsiTheme="minorEastAsia" w:eastAsiaTheme="minorEastAsia" w:cstheme="minorEastAsia"/>
          <w:szCs w:val="32"/>
          <w:u w:val="single"/>
        </w:rPr>
        <w:t xml:space="preserve"> 否 </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20.3.1争议评审小组的确定</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争议评审小组成员的确定：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选定争议评审员的期限：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争议评审小组成员的报酬承担方式：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其他事项的约定：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20.3.2 争议评审小组的决定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合同当事人关于本项的约定：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20.4 仲裁或诉讼</w:t>
      </w:r>
      <w:bookmarkEnd w:id="571"/>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因合同及合同有关事项发生的争议，按下列第</w:t>
      </w:r>
      <w:r>
        <w:rPr>
          <w:rFonts w:hint="eastAsia" w:asciiTheme="minorEastAsia" w:hAnsiTheme="minorEastAsia" w:eastAsiaTheme="minorEastAsia" w:cstheme="minorEastAsia"/>
          <w:szCs w:val="32"/>
          <w:u w:val="single"/>
        </w:rPr>
        <w:t xml:space="preserve">1</w:t>
      </w:r>
      <w:r>
        <w:rPr>
          <w:rFonts w:hint="eastAsia" w:asciiTheme="minorEastAsia" w:hAnsiTheme="minorEastAsia" w:eastAsiaTheme="minorEastAsia" w:cstheme="minorEastAsia"/>
          <w:szCs w:val="32"/>
        </w:rPr>
        <w:t xml:space="preserve">种方式解决：</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（1）向</w:t>
      </w:r>
      <w:r>
        <w:rPr>
          <w:rFonts w:hint="eastAsia" w:asciiTheme="minorEastAsia" w:hAnsiTheme="minorEastAsia" w:eastAsiaTheme="minorEastAsia" w:cstheme="minorEastAsia"/>
          <w:szCs w:val="32"/>
          <w:u w:val="single"/>
        </w:rPr>
        <w:t xml:space="preserve">   泰州市  </w:t>
      </w:r>
      <w:r>
        <w:rPr>
          <w:rFonts w:hint="eastAsia" w:asciiTheme="minorEastAsia" w:hAnsiTheme="minorEastAsia" w:eastAsiaTheme="minorEastAsia" w:cstheme="minorEastAsia"/>
          <w:szCs w:val="32"/>
        </w:rPr>
        <w:t xml:space="preserve">仲裁委员会申请仲裁；</w:t>
      </w:r>
      <w:r/>
    </w:p>
    <w:p>
      <w:pPr>
        <w:ind w:firstLine="420"/>
        <w:spacing w:line="332"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（2）向</w:t>
      </w:r>
      <w:r>
        <w:rPr>
          <w:rFonts w:hint="eastAsia" w:asciiTheme="minorEastAsia" w:hAnsiTheme="minorEastAsia" w:eastAsiaTheme="minorEastAsia" w:cstheme="minorEastAsia"/>
          <w:u w:val="single"/>
        </w:rPr>
        <w:t xml:space="preserve">  有管辖权的  </w:t>
      </w:r>
      <w:r>
        <w:rPr>
          <w:rFonts w:hint="eastAsia" w:asciiTheme="minorEastAsia" w:hAnsiTheme="minorEastAsia" w:eastAsiaTheme="minorEastAsia" w:cstheme="minorEastAsia"/>
        </w:rPr>
        <w:t xml:space="preserve">人民法院起诉。</w:t>
      </w:r>
      <w:bookmarkEnd w:id="572"/>
      <w:r/>
      <w:bookmarkEnd w:id="573"/>
      <w:r/>
      <w:bookmarkEnd w:id="574"/>
      <w:r/>
      <w:bookmarkEnd w:id="575"/>
      <w:r/>
      <w:bookmarkEnd w:id="576"/>
      <w:r/>
      <w:bookmarkEnd w:id="577"/>
      <w:r/>
      <w:r/>
    </w:p>
    <w:p>
      <w:pPr>
        <w:pStyle w:val="792"/>
        <w:spacing w:before="0" w:after="0" w:line="332" w:lineRule="auto"/>
        <w:rPr>
          <w:rFonts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rPr>
        <w:t xml:space="preserve">21. 其他</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21.1围挡设置 </w:t>
      </w:r>
      <w:r/>
    </w:p>
    <w:p>
      <w:pPr>
        <w:ind w:firstLine="420"/>
        <w:spacing w:line="332"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32"/>
        </w:rPr>
        <w:t xml:space="preserve"> 承包人</w:t>
      </w:r>
      <w:r>
        <w:rPr>
          <w:rFonts w:hint="eastAsia" w:asciiTheme="minorEastAsia" w:hAnsiTheme="minorEastAsia" w:eastAsiaTheme="minorEastAsia" w:cstheme="minorEastAsia"/>
          <w:szCs w:val="21"/>
        </w:rPr>
        <w:t xml:space="preserve">将严格按照《泰州市建设工程施工现场围挡示范图集（2020年第一版）》以及本项目的工程量清单设置围挡。</w:t>
      </w:r>
      <w:r/>
    </w:p>
    <w:p>
      <w:pPr>
        <w:pStyle w:val="770"/>
        <w:rPr>
          <w:rFonts w:asciiTheme="minorEastAsia" w:hAnsiTheme="minorEastAsia" w:eastAsiaTheme="minorEastAsia" w:cstheme="minorEastAsia"/>
        </w:rPr>
      </w:pPr>
      <w:r>
        <w:rPr>
          <w:rFonts w:asciiTheme="minorEastAsia" w:hAnsiTheme="minorEastAsia" w:eastAsiaTheme="minorEastAsia" w:cstheme="minorEastAsia"/>
        </w:rPr>
      </w:r>
      <w:r/>
    </w:p>
    <w:p>
      <w:pPr>
        <w:jc w:val="left"/>
        <w:tabs>
          <w:tab w:val="left" w:pos="685" w:leader="none"/>
        </w:tabs>
        <w:rPr>
          <w:rFonts w:asciiTheme="minorEastAsia" w:hAnsiTheme="minorEastAsia" w:eastAsiaTheme="minorEastAsia" w:cstheme="minorEastAsia"/>
          <w:sz w:val="20"/>
          <w:szCs w:val="20"/>
        </w:rPr>
      </w:pPr>
      <w:r/>
      <w:bookmarkStart w:id="584" w:name="_Toc152045769"/>
      <w:r/>
      <w:bookmarkStart w:id="585" w:name="_Toc179632787"/>
      <w:r/>
      <w:bookmarkStart w:id="586" w:name="_Toc152042551"/>
      <w:r>
        <w:rPr>
          <w:rStyle w:val="951"/>
          <w:rFonts w:hint="eastAsia" w:asciiTheme="minorEastAsia" w:hAnsiTheme="minorEastAsia" w:eastAsiaTheme="minorEastAsia" w:cstheme="minorEastAsia"/>
        </w:rPr>
        <w:t xml:space="preserve">附件：履约担保格式</w:t>
      </w:r>
      <w:bookmarkEnd w:id="584"/>
      <w:r/>
      <w:bookmarkEnd w:id="585"/>
      <w:r/>
      <w:bookmarkEnd w:id="586"/>
      <w:r/>
      <w:r/>
    </w:p>
    <w:p>
      <w:pPr>
        <w:ind w:firstLine="420"/>
        <w:jc w:val="left"/>
        <w:tabs>
          <w:tab w:val="left" w:pos="685" w:leader="none"/>
        </w:tabs>
        <w:rPr>
          <w:rFonts w:asciiTheme="minorEastAsia" w:hAnsiTheme="minorEastAsia" w:eastAsiaTheme="minorEastAsia" w:cstheme="minorEastAsia"/>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color w:val="000000"/>
          <w:szCs w:val="21"/>
        </w:rPr>
        <w:t xml:space="preserve">按照《住房和城乡建设部关于印发工程保函示范文本的通知》（建市〔2021〕11号）中明确的格式递交</w:t>
      </w:r>
      <w:r/>
    </w:p>
    <w:p>
      <w:pPr>
        <w:pStyle w:val="735"/>
        <w:ind w:firstLine="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789"/>
        <w:rPr>
          <w:rFonts w:asciiTheme="minorEastAsia" w:hAnsiTheme="minorEastAsia" w:eastAsiaTheme="minorEastAsia" w:cstheme="minorEastAsia"/>
        </w:rPr>
      </w:pPr>
      <w:r/>
      <w:bookmarkStart w:id="587" w:name="_Toc30120"/>
      <w:r/>
      <w:bookmarkStart w:id="588" w:name="_Toc30868"/>
      <w:r>
        <w:rPr>
          <w:rFonts w:hint="eastAsia" w:asciiTheme="minorEastAsia" w:hAnsiTheme="minorEastAsia" w:eastAsiaTheme="minorEastAsia" w:cstheme="minorEastAsia"/>
        </w:rPr>
        <w:t xml:space="preserve">第十一章  响应文件格式</w:t>
      </w:r>
      <w:bookmarkEnd w:id="587"/>
      <w:r/>
      <w:bookmarkEnd w:id="588"/>
      <w:r/>
      <w:r/>
    </w:p>
    <w:p>
      <w:pPr>
        <w:rPr>
          <w:rFonts w:asciiTheme="minorEastAsia" w:hAnsiTheme="minorEastAsia" w:eastAsiaTheme="minorEastAsia" w:cstheme="minorEastAsia"/>
          <w:b/>
          <w:bCs/>
          <w:color w:val="000000"/>
          <w:sz w:val="28"/>
          <w:szCs w:val="28"/>
        </w:rPr>
      </w:pPr>
      <w:r>
        <w:rPr>
          <w:rFonts w:asciiTheme="minorEastAsia" w:hAnsiTheme="minorEastAsia" w:eastAsiaTheme="minorEastAsia" w:cstheme="minorEastAsia"/>
          <w:b/>
          <w:bCs/>
          <w:color w:val="000000"/>
          <w:sz w:val="28"/>
          <w:szCs w:val="28"/>
        </w:rPr>
      </w:r>
      <w:r/>
    </w:p>
    <w:p>
      <w:pPr>
        <w:rPr>
          <w:rFonts w:asciiTheme="minorEastAsia" w:hAnsiTheme="minorEastAsia" w:eastAsiaTheme="minorEastAsia" w:cstheme="minorEastAsia"/>
          <w:b/>
          <w:bCs/>
          <w:color w:val="000000"/>
          <w:sz w:val="52"/>
          <w:szCs w:val="52"/>
        </w:rPr>
      </w:pPr>
      <w:r>
        <w:rPr>
          <w:rFonts w:hint="eastAsia" w:asciiTheme="minorEastAsia" w:hAnsiTheme="minorEastAsia" w:eastAsiaTheme="minorEastAsia" w:cstheme="minorEastAsia"/>
          <w:b/>
          <w:sz w:val="24"/>
        </w:rPr>
        <w:t xml:space="preserve">（正本/副本）</w:t>
      </w:r>
      <w:r/>
    </w:p>
    <w:p>
      <w:pPr>
        <w:rPr>
          <w:rFonts w:asciiTheme="minorEastAsia" w:hAnsiTheme="minorEastAsia" w:eastAsiaTheme="minorEastAsia" w:cstheme="minorEastAsia"/>
          <w:b/>
          <w:bCs/>
          <w:color w:val="000000"/>
          <w:sz w:val="52"/>
          <w:szCs w:val="52"/>
        </w:rPr>
      </w:pPr>
      <w:r>
        <w:rPr>
          <w:rFonts w:asciiTheme="minorEastAsia" w:hAnsiTheme="minorEastAsia" w:eastAsiaTheme="minorEastAsia" w:cstheme="minorEastAsia"/>
          <w:b/>
          <w:bCs/>
          <w:color w:val="000000"/>
          <w:sz w:val="52"/>
          <w:szCs w:val="52"/>
        </w:rPr>
      </w:r>
      <w:r/>
    </w:p>
    <w:p>
      <w:pPr>
        <w:rPr>
          <w:rFonts w:asciiTheme="minorEastAsia" w:hAnsiTheme="minorEastAsia" w:eastAsiaTheme="minorEastAsia" w:cstheme="minorEastAsia"/>
          <w:b/>
          <w:bCs/>
          <w:color w:val="000000"/>
          <w:sz w:val="52"/>
          <w:szCs w:val="52"/>
        </w:rPr>
      </w:pPr>
      <w:r>
        <w:rPr>
          <w:rFonts w:asciiTheme="minorEastAsia" w:hAnsiTheme="minorEastAsia" w:eastAsiaTheme="minorEastAsia" w:cstheme="minorEastAsia"/>
          <w:b/>
          <w:bCs/>
          <w:color w:val="000000"/>
          <w:sz w:val="52"/>
          <w:szCs w:val="52"/>
        </w:rPr>
      </w:r>
      <w:r/>
    </w:p>
    <w:p>
      <w:pPr>
        <w:jc w:val="center"/>
        <w:spacing w:line="720" w:lineRule="exact"/>
        <w:rPr>
          <w:rFonts w:asciiTheme="minorEastAsia" w:hAnsiTheme="minorEastAsia" w:eastAsiaTheme="minorEastAsia" w:cstheme="minorEastAsia"/>
          <w:b/>
          <w:bCs/>
          <w:color w:val="000000"/>
          <w:sz w:val="52"/>
          <w:szCs w:val="52"/>
        </w:rPr>
      </w:pPr>
      <w:r>
        <w:rPr>
          <w:rFonts w:hint="eastAsia" w:asciiTheme="minorEastAsia" w:hAnsiTheme="minorEastAsia" w:eastAsiaTheme="minorEastAsia" w:cstheme="minorEastAsia"/>
          <w:b/>
          <w:bCs/>
          <w:color w:val="000000"/>
          <w:sz w:val="52"/>
          <w:szCs w:val="52"/>
        </w:rPr>
        <w:t xml:space="preserve">竞争性磋商响应文件</w:t>
      </w:r>
      <w:r/>
    </w:p>
    <w:p>
      <w:pPr>
        <w:rPr>
          <w:rFonts w:asciiTheme="minorEastAsia" w:hAnsiTheme="minorEastAsia" w:eastAsiaTheme="minorEastAsia" w:cstheme="minorEastAsia"/>
          <w:bCs/>
          <w:color w:val="000000"/>
          <w:sz w:val="72"/>
        </w:rPr>
      </w:pPr>
      <w:r>
        <w:rPr>
          <w:rFonts w:asciiTheme="minorEastAsia" w:hAnsiTheme="minorEastAsia" w:eastAsiaTheme="minorEastAsia" w:cstheme="minorEastAsia"/>
          <w:bCs/>
          <w:color w:val="000000"/>
          <w:sz w:val="72"/>
        </w:rPr>
      </w:r>
      <w:r/>
    </w:p>
    <w:p>
      <w:pPr>
        <w:rPr>
          <w:rFonts w:asciiTheme="minorEastAsia" w:hAnsiTheme="minorEastAsia" w:eastAsiaTheme="minorEastAsia" w:cstheme="minorEastAsia"/>
          <w:bCs/>
          <w:color w:val="000000"/>
          <w:sz w:val="72"/>
        </w:rPr>
      </w:pPr>
      <w:r>
        <w:rPr>
          <w:rFonts w:asciiTheme="minorEastAsia" w:hAnsiTheme="minorEastAsia" w:eastAsiaTheme="minorEastAsia" w:cstheme="minorEastAsia"/>
          <w:bCs/>
          <w:color w:val="000000"/>
          <w:sz w:val="72"/>
        </w:rPr>
      </w:r>
      <w:r/>
    </w:p>
    <w:p>
      <w:pPr>
        <w:rPr>
          <w:rFonts w:asciiTheme="minorEastAsia" w:hAnsiTheme="minorEastAsia" w:eastAsiaTheme="minorEastAsia" w:cstheme="minorEastAsia"/>
          <w:bCs/>
          <w:color w:val="000000"/>
          <w:sz w:val="72"/>
        </w:rPr>
      </w:pPr>
      <w:r>
        <w:rPr>
          <w:rFonts w:asciiTheme="minorEastAsia" w:hAnsiTheme="minorEastAsia" w:eastAsiaTheme="minorEastAsia" w:cstheme="minorEastAsia"/>
          <w:bCs/>
          <w:color w:val="000000"/>
          <w:sz w:val="72"/>
        </w:rPr>
      </w:r>
      <w:r/>
    </w:p>
    <w:p>
      <w:pPr>
        <w:ind w:firstLine="472"/>
        <w:rPr>
          <w:rFonts w:asciiTheme="minorEastAsia" w:hAnsiTheme="minorEastAsia" w:eastAsiaTheme="minorEastAsia" w:cstheme="minorEastAsia"/>
          <w:b/>
          <w:bCs/>
          <w:color w:val="ff0000"/>
          <w:sz w:val="24"/>
        </w:rPr>
      </w:pPr>
      <w:r>
        <w:rPr>
          <w:rFonts w:hint="eastAsia" w:asciiTheme="minorEastAsia" w:hAnsiTheme="minorEastAsia" w:eastAsiaTheme="minorEastAsia" w:cstheme="minorEastAsia"/>
          <w:b/>
          <w:bCs/>
          <w:sz w:val="24"/>
        </w:rPr>
        <w:t xml:space="preserve">项目编号：</w:t>
      </w:r>
      <w:r/>
    </w:p>
    <w:p>
      <w:pPr>
        <w:ind w:firstLine="482"/>
        <w:spacing w:line="560" w:lineRule="exact"/>
        <w:rPr>
          <w:rFonts w:asciiTheme="minorEastAsia" w:hAnsiTheme="minorEastAsia" w:eastAsiaTheme="minorEastAsia" w:cstheme="minorEastAsia"/>
          <w:bCs/>
          <w:color w:val="ff0000"/>
          <w:sz w:val="24"/>
        </w:rPr>
      </w:pPr>
      <w:r>
        <w:rPr>
          <w:rFonts w:hint="eastAsia" w:asciiTheme="minorEastAsia" w:hAnsiTheme="minorEastAsia" w:eastAsiaTheme="minorEastAsia" w:cstheme="minorEastAsia"/>
          <w:b/>
          <w:bCs/>
          <w:sz w:val="24"/>
        </w:rPr>
        <w:t xml:space="preserve">项目名称：</w:t>
      </w:r>
      <w:r/>
    </w:p>
    <w:p>
      <w:pPr>
        <w:ind w:firstLine="482"/>
        <w:spacing w:line="5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分 包 号： </w:t>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spacing w:line="520" w:lineRule="exact"/>
        <w:rPr>
          <w:rFonts w:asciiTheme="minorEastAsia" w:hAnsiTheme="minorEastAsia" w:eastAsiaTheme="minorEastAsia" w:cstheme="minorEastAsia"/>
          <w:b/>
          <w:sz w:val="24"/>
          <w:u w:val="single"/>
        </w:rPr>
      </w:pPr>
      <w:r>
        <w:rPr>
          <w:rFonts w:hint="eastAsia" w:asciiTheme="minorEastAsia" w:hAnsiTheme="minorEastAsia" w:eastAsiaTheme="minorEastAsia" w:cstheme="minorEastAsia"/>
          <w:b/>
          <w:sz w:val="24"/>
        </w:rPr>
        <w:t xml:space="preserve">响应单位名称： （盖单位章）</w:t>
      </w:r>
      <w:r/>
    </w:p>
    <w:p>
      <w:pPr>
        <w:spacing w:line="520" w:lineRule="exact"/>
        <w:rPr>
          <w:rFonts w:asciiTheme="minorEastAsia" w:hAnsiTheme="minorEastAsia" w:eastAsiaTheme="minorEastAsia" w:cstheme="minorEastAsia"/>
          <w:b/>
          <w:sz w:val="24"/>
          <w:u w:val="single"/>
        </w:rPr>
      </w:pPr>
      <w:r>
        <w:rPr>
          <w:rFonts w:hint="eastAsia" w:asciiTheme="minorEastAsia" w:hAnsiTheme="minorEastAsia" w:eastAsiaTheme="minorEastAsia" w:cstheme="minorEastAsia"/>
          <w:b/>
          <w:sz w:val="24"/>
        </w:rPr>
        <w:t xml:space="preserve">日      期： </w:t>
      </w:r>
      <w:r/>
    </w:p>
    <w:p>
      <w:pPr>
        <w:rPr>
          <w:rFonts w:asciiTheme="minorEastAsia" w:hAnsiTheme="minorEastAsia" w:eastAsiaTheme="minorEastAsia" w:cstheme="minorEastAsia"/>
          <w:b/>
          <w:bCs/>
          <w:sz w:val="44"/>
          <w:szCs w:val="44"/>
        </w:rPr>
      </w:pPr>
      <w:r>
        <w:rPr>
          <w:rFonts w:asciiTheme="minorEastAsia" w:hAnsiTheme="minorEastAsia" w:eastAsiaTheme="minorEastAsia" w:cstheme="minorEastAsia"/>
          <w:b/>
          <w:bCs/>
          <w:sz w:val="44"/>
          <w:szCs w:val="44"/>
        </w:rPr>
      </w:r>
      <w:r/>
    </w:p>
    <w:p>
      <w:pPr>
        <w:rPr>
          <w:rFonts w:asciiTheme="minorEastAsia" w:hAnsiTheme="minorEastAsia" w:eastAsiaTheme="minorEastAsia" w:cstheme="minorEastAsia"/>
          <w:bCs/>
          <w:color w:val="000000"/>
          <w:sz w:val="36"/>
          <w:szCs w:val="36"/>
        </w:rPr>
      </w:pPr>
      <w:r>
        <w:rPr>
          <w:rFonts w:asciiTheme="minorEastAsia" w:hAnsiTheme="minorEastAsia" w:eastAsiaTheme="minorEastAsia" w:cstheme="minorEastAsia"/>
          <w:bCs/>
          <w:color w:val="000000"/>
          <w:sz w:val="36"/>
          <w:szCs w:val="36"/>
        </w:rPr>
      </w:r>
      <w:r/>
    </w:p>
    <w:p>
      <w:pPr>
        <w:spacing w:line="500" w:lineRule="exact"/>
        <w:rPr>
          <w:rFonts w:asciiTheme="minorEastAsia" w:hAnsiTheme="minorEastAsia" w:eastAsiaTheme="minorEastAsia" w:cstheme="minorEastAsia"/>
          <w:b/>
          <w:spacing w:val="20"/>
          <w:sz w:val="24"/>
        </w:rPr>
      </w:pPr>
      <w:r>
        <w:rPr>
          <w:rFonts w:asciiTheme="minorEastAsia" w:hAnsiTheme="minorEastAsia" w:eastAsiaTheme="minorEastAsia" w:cstheme="minorEastAsia"/>
          <w:b/>
          <w:spacing w:val="20"/>
          <w:sz w:val="24"/>
        </w:rPr>
      </w:r>
      <w:r/>
    </w:p>
    <w:p>
      <w:pPr>
        <w:spacing w:line="520" w:lineRule="exact"/>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520" w:lineRule="exact"/>
        <w:rPr>
          <w:rFonts w:asciiTheme="minorEastAsia" w:hAnsiTheme="minorEastAsia" w:eastAsiaTheme="minorEastAsia" w:cstheme="minorEastAsia"/>
          <w:b/>
          <w:spacing w:val="20"/>
          <w:szCs w:val="21"/>
        </w:rPr>
      </w:pPr>
      <w:r>
        <w:rPr>
          <w:rFonts w:asciiTheme="minorEastAsia" w:hAnsiTheme="minorEastAsia" w:eastAsiaTheme="minorEastAsia" w:cstheme="minorEastAsia"/>
          <w:b/>
          <w:spacing w:val="20"/>
          <w:szCs w:val="21"/>
        </w:rPr>
      </w:r>
      <w:r/>
    </w:p>
    <w:p>
      <w:pPr>
        <w:pStyle w:val="1026"/>
        <w:spacing w:before="240" w:after="120" w:line="800" w:lineRule="exact"/>
        <w:rPr>
          <w:rFonts w:asciiTheme="minorEastAsia" w:hAnsiTheme="minorEastAsia" w:eastAsiaTheme="minorEastAsia" w:cstheme="minorEastAsia"/>
          <w:b/>
          <w:bCs/>
          <w:sz w:val="24"/>
          <w:szCs w:val="21"/>
        </w:rPr>
      </w:pPr>
      <w:r>
        <w:rPr>
          <w:rFonts w:hint="eastAsia" w:asciiTheme="minorEastAsia" w:hAnsiTheme="minorEastAsia" w:eastAsiaTheme="minorEastAsia" w:cstheme="minorEastAsia"/>
          <w:b/>
          <w:bCs/>
          <w:sz w:val="32"/>
        </w:rPr>
        <w:br w:type="page" w:clear="all"/>
      </w:r>
      <w:r>
        <w:rPr>
          <w:rFonts w:hint="eastAsia" w:asciiTheme="minorEastAsia" w:hAnsiTheme="minorEastAsia" w:eastAsiaTheme="minorEastAsia" w:cstheme="minorEastAsia"/>
          <w:b/>
          <w:bCs/>
          <w:sz w:val="24"/>
          <w:szCs w:val="21"/>
        </w:rPr>
        <w:t xml:space="preserve">附件一</w:t>
      </w:r>
      <w:r/>
    </w:p>
    <w:p>
      <w:pPr>
        <w:pStyle w:val="789"/>
        <w:rPr>
          <w:rFonts w:asciiTheme="minorEastAsia" w:hAnsiTheme="minorEastAsia" w:eastAsiaTheme="minorEastAsia" w:cstheme="minorEastAsia"/>
          <w:bCs/>
          <w:sz w:val="32"/>
          <w:szCs w:val="18"/>
        </w:rPr>
      </w:pPr>
      <w:r>
        <w:rPr>
          <w:rFonts w:hint="eastAsia" w:asciiTheme="minorEastAsia" w:hAnsiTheme="minorEastAsia" w:eastAsiaTheme="minorEastAsia" w:cstheme="minorEastAsia"/>
          <w:sz w:val="32"/>
          <w:szCs w:val="18"/>
        </w:rPr>
        <w:t xml:space="preserve">磋商报价表</w:t>
      </w:r>
      <w:r/>
    </w:p>
    <w:p>
      <w:pPr>
        <w:pStyle w:val="1024"/>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本次为首次报价                          货币单位：人民币元</w:t>
      </w:r>
      <w:r/>
    </w:p>
    <w:p>
      <w:pPr>
        <w:pStyle w:val="1024"/>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        </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tcPr>
          <w:p>
            <w:pPr>
              <w:pStyle w:val="1026"/>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tcPr>
          <w:p>
            <w:pPr>
              <w:pStyle w:val="1026"/>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tcPr>
          <w:p>
            <w:pPr>
              <w:pStyle w:val="1026"/>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tcPr>
          <w:p>
            <w:pPr>
              <w:pStyle w:val="1026"/>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2" w:space="0"/>
              <w:left w:val="single" w:color="000000" w:sz="2" w:space="0"/>
              <w:right w:val="single" w:color="000000" w:sz="2" w:space="0"/>
            </w:tcBorders>
            <w:tcW w:w="2509" w:type="dxa"/>
            <w:vAlign w:val="center"/>
            <w:textDirection w:val="lrTb"/>
            <w:noWrap/>
          </w:tcPr>
          <w:p>
            <w:pPr>
              <w:pStyle w:val="1026"/>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tcPr>
          <w:p>
            <w:pPr>
              <w:pStyle w:val="1026"/>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tcPr>
          <w:p>
            <w:pPr>
              <w:pStyle w:val="1026"/>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tcPr>
          <w:p>
            <w:pPr>
              <w:pStyle w:val="1026"/>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pStyle w:val="1024"/>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报价说明：</w:t>
      </w:r>
      <w:r/>
    </w:p>
    <w:p>
      <w:pPr>
        <w:pStyle w:val="1024"/>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1、报价包括完成项目的所有费用。采购人不再支付报价以外的任何费用。</w:t>
      </w:r>
      <w:r/>
    </w:p>
    <w:p>
      <w:pPr>
        <w:pStyle w:val="1024"/>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2、报价以总价为准，大小写不一致以大写为准；</w:t>
      </w:r>
      <w:r/>
    </w:p>
    <w:p>
      <w:pPr>
        <w:pStyle w:val="1024"/>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3、偏离说明：详见《偏离表》；</w:t>
      </w:r>
      <w:r/>
    </w:p>
    <w:p>
      <w:pPr>
        <w:pStyle w:val="1024"/>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4、如最后报价未列明单价，则最后所报各项单价计算方法为：（最后报价/ 最初报价）* 各项最初报价的单价。</w:t>
      </w:r>
      <w:r/>
    </w:p>
    <w:p>
      <w:pPr>
        <w:pStyle w:val="1024"/>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24"/>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供应商（电子签章）：</w:t>
      </w:r>
      <w:r/>
    </w:p>
    <w:p>
      <w:pPr>
        <w:pStyle w:val="789"/>
        <w:jc w:val="left"/>
        <w:rPr>
          <w:rFonts w:asciiTheme="minorEastAsia" w:hAnsiTheme="minorEastAsia" w:eastAsiaTheme="minorEastAsia" w:cstheme="minorEastAsia"/>
          <w:bCs/>
          <w:sz w:val="24"/>
          <w:szCs w:val="24"/>
        </w:rPr>
      </w:pPr>
      <w:r/>
      <w:bookmarkStart w:id="589" w:name="_Toc17349"/>
      <w:r/>
      <w:bookmarkStart w:id="590" w:name="_Toc21151"/>
      <w:r>
        <w:rPr>
          <w:rFonts w:hint="eastAsia" w:asciiTheme="minorEastAsia" w:hAnsiTheme="minorEastAsia" w:eastAsiaTheme="minorEastAsia" w:cstheme="minorEastAsia"/>
          <w:bCs/>
          <w:sz w:val="24"/>
          <w:szCs w:val="24"/>
        </w:rPr>
        <w:br w:type="page" w:clear="all"/>
      </w:r>
      <w:r>
        <w:rPr>
          <w:rFonts w:hint="eastAsia" w:asciiTheme="minorEastAsia" w:hAnsiTheme="minorEastAsia" w:eastAsiaTheme="minorEastAsia" w:cstheme="minorEastAsia"/>
          <w:bCs/>
          <w:sz w:val="24"/>
          <w:szCs w:val="24"/>
        </w:rPr>
        <w:t xml:space="preserve">附件二</w:t>
      </w:r>
      <w:bookmarkEnd w:id="589"/>
      <w:r/>
      <w:bookmarkEnd w:id="590"/>
      <w:r/>
      <w:r/>
    </w:p>
    <w:p>
      <w:pPr>
        <w:pStyle w:val="789"/>
        <w:rPr>
          <w:rFonts w:asciiTheme="minorEastAsia" w:hAnsiTheme="minorEastAsia" w:eastAsiaTheme="minorEastAsia" w:cstheme="minorEastAsia"/>
        </w:rPr>
      </w:pPr>
      <w:r>
        <w:rPr>
          <w:rFonts w:hint="eastAsia" w:asciiTheme="minorEastAsia" w:hAnsiTheme="minorEastAsia" w:eastAsiaTheme="minorEastAsia" w:cstheme="minorEastAsia"/>
        </w:rPr>
        <w:t xml:space="preserve">已标价工程量清单</w:t>
      </w:r>
      <w:r/>
    </w:p>
    <w:p>
      <w:pPr>
        <w:pStyle w:val="1024"/>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本次为首次报价</w:t>
      </w:r>
      <w:r/>
    </w:p>
    <w:p>
      <w:pPr>
        <w:pStyle w:val="1024"/>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pStyle w:val="1024"/>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      </w:t>
      </w:r>
      <w:r/>
    </w:p>
    <w:p>
      <w:pPr>
        <w:pStyle w:val="1024"/>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须附详细工程量清单。</w:t>
      </w:r>
      <w:r/>
    </w:p>
    <w:p>
      <w:pPr>
        <w:pStyle w:val="1024"/>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供应商（电子签章）：</w:t>
      </w:r>
      <w:r/>
    </w:p>
    <w:p>
      <w:pPr>
        <w:pStyle w:val="1024"/>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法定代表人或供应商授权代表（签名或印鉴）：</w:t>
      </w:r>
      <w:r/>
    </w:p>
    <w:p>
      <w:pPr>
        <w:pStyle w:val="1024"/>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w:t>
      </w:r>
      <w:r/>
    </w:p>
    <w:p>
      <w:pPr>
        <w:pStyle w:val="1024"/>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注：1．如果按单价计算的结果与总价不一致，以总价为准。</w:t>
      </w:r>
      <w:r/>
    </w:p>
    <w:p>
      <w:pPr>
        <w:pStyle w:val="1024"/>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2．如果不提供详细分项报价将视为没有实质性响应。</w:t>
      </w:r>
      <w:r/>
    </w:p>
    <w:p>
      <w:pPr>
        <w:pStyle w:val="1024"/>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供应商对以上数据的真实性负责。</w:t>
      </w:r>
      <w:r/>
    </w:p>
    <w:p>
      <w:pPr>
        <w:pStyle w:val="1024"/>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6"/>
        <w:spacing w:before="360" w:after="100" w:afterAutospacing="1" w:line="38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br w:type="page" w:clear="all"/>
      </w:r>
      <w:r>
        <w:rPr>
          <w:rFonts w:hint="eastAsia" w:asciiTheme="minorEastAsia" w:hAnsiTheme="minorEastAsia" w:eastAsiaTheme="minorEastAsia" w:cstheme="minorEastAsia"/>
          <w:b/>
          <w:bCs/>
          <w:sz w:val="24"/>
        </w:rPr>
        <w:t xml:space="preserve">附件三</w:t>
      </w:r>
      <w:r/>
    </w:p>
    <w:p>
      <w:pPr>
        <w:pStyle w:val="789"/>
        <w:spacing w:line="380" w:lineRule="exact"/>
        <w:rPr>
          <w:rFonts w:asciiTheme="minorEastAsia" w:hAnsiTheme="minorEastAsia" w:eastAsiaTheme="minorEastAsia" w:cstheme="minorEastAsia"/>
          <w:bCs/>
          <w:szCs w:val="24"/>
        </w:rPr>
      </w:pPr>
      <w:r/>
      <w:bookmarkStart w:id="591" w:name="_Toc6273"/>
      <w:r/>
      <w:bookmarkStart w:id="592" w:name="_Toc18211"/>
      <w:r/>
      <w:bookmarkStart w:id="593" w:name="_Toc5756"/>
      <w:r>
        <w:rPr>
          <w:rFonts w:hint="eastAsia" w:asciiTheme="minorEastAsia" w:hAnsiTheme="minorEastAsia" w:eastAsiaTheme="minorEastAsia" w:cstheme="minorEastAsia"/>
        </w:rPr>
        <w:t xml:space="preserve">承  诺  书</w:t>
      </w:r>
      <w:bookmarkEnd w:id="591"/>
      <w:r/>
      <w:bookmarkEnd w:id="592"/>
      <w:r/>
      <w:bookmarkEnd w:id="593"/>
      <w:r/>
      <w:r/>
    </w:p>
    <w:p>
      <w:pPr>
        <w:pStyle w:val="1024"/>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rPr>
        <w:t xml:space="preserve">                    （采购人）</w:t>
      </w:r>
      <w:r>
        <w:rPr>
          <w:rFonts w:hint="eastAsia" w:asciiTheme="minorEastAsia" w:hAnsiTheme="minorEastAsia" w:eastAsiaTheme="minorEastAsia" w:cstheme="minorEastAsia"/>
          <w:sz w:val="24"/>
          <w:szCs w:val="24"/>
        </w:rPr>
        <w:t xml:space="preserve">：</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根据贵方《</w:t>
      </w:r>
      <w:r>
        <w:rPr>
          <w:rFonts w:hint="eastAsia" w:asciiTheme="minorEastAsia" w:hAnsiTheme="minorEastAsia" w:eastAsiaTheme="minorEastAsia" w:cstheme="minorEastAsia"/>
          <w:bCs/>
          <w:sz w:val="24"/>
          <w:szCs w:val="24"/>
        </w:rPr>
        <w:t xml:space="preserve">磋商文件</w:t>
      </w:r>
      <w:r>
        <w:rPr>
          <w:rFonts w:hint="eastAsia" w:asciiTheme="minorEastAsia" w:hAnsiTheme="minorEastAsia" w:eastAsiaTheme="minorEastAsia" w:cstheme="minorEastAsia"/>
          <w:sz w:val="24"/>
          <w:szCs w:val="24"/>
        </w:rPr>
        <w:t xml:space="preserve">》（项目编号：             ）要求，本供应商正式提交以下首次响应文件。</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我单位符合《中华人民共和国政府采购法》第二十二条的规定，符合本项目供应商资格要求。</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我单位按照磋商文件的要求编制响应文件，并对其提交的响应文件的真实性、合法性承担法律责任。</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供应商兹宣布同意如下: </w:t>
      </w:r>
      <w:r/>
    </w:p>
    <w:p>
      <w:pPr>
        <w:pStyle w:val="1053"/>
        <w:ind w:firstLine="480"/>
        <w:spacing w:line="32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3134360</wp:posOffset>
                </wp:positionH>
                <wp:positionV relativeFrom="paragraph">
                  <wp:posOffset>297180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246.8pt;mso-position-horizontal:absolute;mso-position-vertical-relative:text;margin-top:23.4pt;mso-position-vertical:absolute;width:0.0pt;height:0.0pt;mso-wrap-distance-left:9.0pt;mso-wrap-distance-top:0.0pt;mso-wrap-distance-right:9.0pt;mso-wrap-distance-bottom:0.0pt;visibility:visible;" filled="f" strokecolor="#000000"/>
            </w:pict>
          </mc:Fallback>
        </mc:AlternateContent>
      </w:r>
      <w:r>
        <w:rPr>
          <w:rFonts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2800350</wp:posOffset>
                </wp:positionH>
                <wp:positionV relativeFrom="paragraph">
                  <wp:posOffset>594360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4" o:spid="_x0000_s4" o:spt="1" type="#_x0000_t1" style="position:absolute;z-index:251661312;o:allowoverlap:true;o:allowincell:true;mso-position-horizontal-relative:text;margin-left:220.5pt;mso-position-horizontal:absolute;mso-position-vertical-relative:text;margin-top:46.8pt;mso-position-vertical:absolute;width:0.1pt;height:0.0pt;mso-wrap-distance-left:9.0pt;mso-wrap-distance-top:0.0pt;mso-wrap-distance-right:9.0pt;mso-wrap-distance-bottom:0.0pt;visibility:visible;" filled="f" strokecolor="#000000"/>
            </w:pict>
          </mc:Fallback>
        </mc:AlternateContent>
      </w:r>
      <w:r>
        <w:rPr>
          <w:rFonts w:hint="eastAsia" w:asciiTheme="minorEastAsia" w:hAnsiTheme="minorEastAsia" w:eastAsiaTheme="minorEastAsia" w:cstheme="minorEastAsia"/>
          <w:sz w:val="24"/>
          <w:szCs w:val="24"/>
        </w:rPr>
        <w:t xml:space="preserve">一、完全承担根据《磋商文件》规定完成合同的责任和义务（如有偏离，将全部填写在偏离表中）。</w:t>
      </w:r>
      <w:r/>
    </w:p>
    <w:p>
      <w:pPr>
        <w:pStyle w:val="1053"/>
        <w:ind w:firstLine="480"/>
        <w:spacing w:line="32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5" o:spid="_x0000_s5" o:spt="1" type="#_x0000_t1" style="position:absolute;z-index:251662336;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6" o:spid="_x0000_s6" o:spt="1" type="#_x0000_t1" style="position:absolute;z-index:251663360;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hint="eastAsia" w:asciiTheme="minorEastAsia" w:hAnsiTheme="minorEastAsia" w:eastAsiaTheme="minorEastAsia" w:cstheme="minorEastAsia"/>
          <w:sz w:val="24"/>
          <w:szCs w:val="24"/>
        </w:rPr>
        <w:t xml:space="preserve">二、保证所提供的响应文件及所有材料的真实、合法、有效，并对其负责。</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三、已详细审核竞争性磋商文件（含竞争性磋商文件的澄清或者修改），本供应商完全理解并同意放弃对这方面不明及误解的权利。</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四、报价有效期为60日。</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五、同意向贵方提供贵方可能要求的与本次磋商采购有关的任何证据或资料。</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六、完全理解贵方不一定要接受最低的报价或收到的任何报价。</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七、本公司拟派往本工程的项目经理现阶段没有担任其他在建建设工程项目的项目经理。</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八、本公司并未发生重大工程质量、安全生产事故，被有关部门暂停投标资格并在暂停期内的。</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九、如我单位被确定为中标、成交供应商，代理机构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十、如我方成交：</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（1）我方承诺在收到成交通知书后，在成交通知书规定的期限内与你方签订合同。</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（2）随同本响应函递交的磋商报价表是本响应函的组成部分，对我方构成约束力。</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（3）我方承诺按照采购文件规定向你方递交履约担保。</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（4）我方承诺在合同约定的期限内完成全部合同内容。</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十一、本公司拟派往本工程的项目负责人未同时在两个或者两个以上单位受聘或者执业。</w:t>
      </w:r>
      <w:r/>
    </w:p>
    <w:p>
      <w:pPr>
        <w:pStyle w:val="1053"/>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二、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且同意提供贵方可能要求的与其投标有关的一切数据或资料。</w:t>
      </w:r>
      <w:r/>
    </w:p>
    <w:p>
      <w:pPr>
        <w:pStyle w:val="1024"/>
        <w:ind w:right="29" w:firstLine="480"/>
        <w:spacing w:line="32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ind w:right="29"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供应商（电子签章）：</w:t>
      </w:r>
      <w:r/>
    </w:p>
    <w:p>
      <w:pPr>
        <w:pStyle w:val="1024"/>
        <w:ind w:right="29"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法定代表人或授权代表（签名或印鉴）：</w:t>
      </w:r>
      <w:r/>
    </w:p>
    <w:p>
      <w:pPr>
        <w:pStyle w:val="1024"/>
        <w:ind w:right="29"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p>
      <w:pPr>
        <w:pStyle w:val="1024"/>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移动电话：</w:t>
      </w:r>
      <w:r/>
    </w:p>
    <w:p>
      <w:pPr>
        <w:pStyle w:val="1026"/>
        <w:ind w:right="28" w:firstLine="480"/>
        <w:spacing w:line="3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pStyle w:val="1026"/>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附件四</w:t>
      </w:r>
      <w:r/>
    </w:p>
    <w:p>
      <w:pPr>
        <w:pStyle w:val="789"/>
        <w:rPr>
          <w:rFonts w:asciiTheme="minorEastAsia" w:hAnsiTheme="minorEastAsia" w:eastAsiaTheme="minorEastAsia" w:cstheme="minorEastAsia"/>
          <w:szCs w:val="24"/>
        </w:rPr>
      </w:pPr>
      <w:r/>
      <w:bookmarkStart w:id="594" w:name="_Toc23499"/>
      <w:r/>
      <w:bookmarkStart w:id="595" w:name="_Toc21294"/>
      <w:r/>
      <w:bookmarkStart w:id="596" w:name="_Toc30554"/>
      <w:r>
        <w:rPr>
          <w:rFonts w:hint="eastAsia" w:asciiTheme="minorEastAsia" w:hAnsiTheme="minorEastAsia" w:eastAsiaTheme="minorEastAsia" w:cstheme="minorEastAsia"/>
        </w:rPr>
        <w:t xml:space="preserve">商 务 偏 离 表</w:t>
      </w:r>
      <w:bookmarkEnd w:id="594"/>
      <w:r/>
      <w:bookmarkEnd w:id="595"/>
      <w:r/>
      <w:bookmarkEnd w:id="596"/>
      <w:r/>
      <w:r/>
    </w:p>
    <w:p>
      <w:pPr>
        <w:pStyle w:val="1024"/>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pStyle w:val="1024"/>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pStyle w:val="1024"/>
        <w:spacing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528"/>
        <w:gridCol w:w="998"/>
        <w:gridCol w:w="4438"/>
        <w:gridCol w:w="1780"/>
        <w:gridCol w:w="1467"/>
        <w:gridCol w:w="52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4"/>
              <w:ind w:firstLine="0"/>
              <w:jc w:val="center"/>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4"/>
              <w:ind w:firstLine="0"/>
              <w:jc w:val="center"/>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4"/>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sz w:val="24"/>
                <w:szCs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4"/>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sz w:val="24"/>
                <w:szCs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4"/>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4"/>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4"/>
              <w:ind w:firstLine="0"/>
              <w:jc w:val="both"/>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4"/>
              <w:ind w:firstLine="0"/>
              <w:jc w:val="both"/>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4"/>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4"/>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4"/>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4"/>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4"/>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4"/>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4"/>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4"/>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4"/>
              <w:ind w:firstLine="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4"/>
              <w:ind w:firstLine="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pStyle w:val="1024"/>
        <w:rPr>
          <w:rFonts w:asciiTheme="minorEastAsia" w:hAnsiTheme="minorEastAsia" w:eastAsiaTheme="minorEastAsia" w:cstheme="minorEastAsia"/>
          <w:sz w:val="24"/>
          <w:szCs w:val="24"/>
          <w:u w:val="single"/>
        </w:rPr>
      </w:pPr>
      <w:r>
        <w:rPr>
          <w:rFonts w:asciiTheme="minorEastAsia" w:hAnsiTheme="minorEastAsia" w:eastAsiaTheme="minorEastAsia" w:cstheme="minorEastAsia"/>
          <w:sz w:val="24"/>
          <w:szCs w:val="24"/>
          <w:u w:val="single"/>
        </w:rPr>
      </w:r>
      <w:r/>
    </w:p>
    <w:p>
      <w:pPr>
        <w:pStyle w:val="1024"/>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4"/>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24"/>
        <w:ind w:right="29" w:firstLine="48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24"/>
        <w:ind w:right="29"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供应商（电子签章）：</w:t>
      </w:r>
      <w:r/>
    </w:p>
    <w:p>
      <w:pPr>
        <w:pStyle w:val="1024"/>
        <w:ind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法定代表人（签名或印鉴）：</w:t>
      </w:r>
      <w:r/>
    </w:p>
    <w:p>
      <w:pPr>
        <w:pStyle w:val="1024"/>
        <w:ind w:right="29"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pStyle w:val="1026"/>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1026"/>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6"/>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6"/>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7"/>
        <w:rPr>
          <w:rFonts w:asciiTheme="minorEastAsia" w:hAnsiTheme="minorEastAsia" w:eastAsiaTheme="minorEastAsia" w:cstheme="minorEastAsia"/>
        </w:rPr>
      </w:pPr>
      <w:r>
        <w:rPr>
          <w:rFonts w:asciiTheme="minorEastAsia" w:hAnsiTheme="minorEastAsia" w:eastAsiaTheme="minorEastAsia" w:cstheme="minorEastAsia"/>
        </w:rPr>
      </w:r>
      <w:r/>
    </w:p>
    <w:p>
      <w:pPr>
        <w:pStyle w:val="1026"/>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6"/>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clear="all"/>
      </w:r>
      <w:r>
        <w:rPr>
          <w:rFonts w:hint="eastAsia" w:asciiTheme="minorEastAsia" w:hAnsiTheme="minorEastAsia" w:eastAsiaTheme="minorEastAsia" w:cstheme="minorEastAsia"/>
          <w:b/>
          <w:sz w:val="24"/>
        </w:rPr>
        <w:t xml:space="preserve">附件五</w:t>
      </w:r>
      <w:r/>
    </w:p>
    <w:p>
      <w:pPr>
        <w:pStyle w:val="1026"/>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789"/>
        <w:rPr>
          <w:rFonts w:asciiTheme="minorEastAsia" w:hAnsiTheme="minorEastAsia" w:eastAsiaTheme="minorEastAsia" w:cstheme="minorEastAsia"/>
        </w:rPr>
      </w:pPr>
      <w:r/>
      <w:bookmarkStart w:id="597" w:name="_Toc735"/>
      <w:r/>
      <w:bookmarkStart w:id="598" w:name="_Toc14231"/>
      <w:r/>
      <w:bookmarkStart w:id="599" w:name="_Toc6957"/>
      <w:r>
        <w:rPr>
          <w:rFonts w:hint="eastAsia" w:asciiTheme="minorEastAsia" w:hAnsiTheme="minorEastAsia" w:eastAsiaTheme="minorEastAsia" w:cstheme="minorEastAsia"/>
        </w:rPr>
        <w:t xml:space="preserve">授  权  委  托  书</w:t>
      </w:r>
      <w:bookmarkEnd w:id="597"/>
      <w:r/>
      <w:bookmarkEnd w:id="598"/>
      <w:r/>
      <w:bookmarkEnd w:id="599"/>
      <w:r/>
      <w:r/>
    </w:p>
    <w:p>
      <w:pPr>
        <w:pStyle w:val="1026"/>
        <w:spacing w:line="3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6"/>
        <w:spacing w:line="3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6"/>
        <w:spacing w:line="48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（采购人）                </w:t>
      </w:r>
      <w:r>
        <w:rPr>
          <w:rFonts w:hint="eastAsia" w:asciiTheme="minorEastAsia" w:hAnsiTheme="minorEastAsia" w:eastAsiaTheme="minorEastAsia" w:cstheme="minorEastAsia"/>
          <w:sz w:val="24"/>
        </w:rPr>
        <w:t xml:space="preserve">：</w:t>
      </w:r>
      <w:r/>
    </w:p>
    <w:p>
      <w:pPr>
        <w:pStyle w:val="1026"/>
        <w:ind w:firstLine="732"/>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我（姓名）系 (供应商单位全称)法定代表人，现授权委托 (姓名)为我的代理人，以本单位的名义参加贵公司组织的</w:t>
      </w:r>
      <w:r>
        <w:rPr>
          <w:rFonts w:hint="eastAsia" w:asciiTheme="minorEastAsia" w:hAnsiTheme="minorEastAsia" w:eastAsiaTheme="minorEastAsia" w:cstheme="minorEastAsia"/>
          <w:bCs/>
          <w:sz w:val="24"/>
        </w:rPr>
        <w:t xml:space="preserve">采购项目的</w:t>
      </w:r>
      <w:r>
        <w:rPr>
          <w:rFonts w:hint="eastAsia" w:asciiTheme="minorEastAsia" w:hAnsiTheme="minorEastAsia" w:eastAsiaTheme="minorEastAsia" w:cstheme="minorEastAsia"/>
          <w:sz w:val="24"/>
        </w:rPr>
        <w:t xml:space="preserve">磋商活动</w:t>
      </w:r>
      <w:r>
        <w:rPr>
          <w:rFonts w:hint="eastAsia" w:asciiTheme="minorEastAsia" w:hAnsiTheme="minorEastAsia" w:eastAsiaTheme="minorEastAsia" w:cstheme="minorEastAsia"/>
          <w:bCs/>
          <w:sz w:val="24"/>
        </w:rPr>
        <w:t xml:space="preserve">，授权代理人所签署的一切文件和处理与之有关的</w:t>
      </w:r>
      <w:r>
        <w:rPr>
          <w:rFonts w:hint="eastAsia" w:asciiTheme="minorEastAsia" w:hAnsiTheme="minorEastAsia" w:eastAsiaTheme="minorEastAsia" w:cstheme="minorEastAsia"/>
          <w:sz w:val="24"/>
        </w:rPr>
        <w:t xml:space="preserve">一切事务，我单位均予承认，但代理人无转委托权。</w:t>
      </w:r>
      <w:r/>
    </w:p>
    <w:p>
      <w:pPr>
        <w:pStyle w:val="1026"/>
        <w:ind w:firstLine="732"/>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授权代理人</w:t>
      </w:r>
      <w:r>
        <w:rPr>
          <w:rFonts w:hint="eastAsia" w:asciiTheme="minorEastAsia" w:hAnsiTheme="minorEastAsia" w:eastAsiaTheme="minorEastAsia" w:cstheme="minorEastAsia"/>
          <w:sz w:val="24"/>
        </w:rPr>
        <w:t xml:space="preserve">从提交磋商响应文件时起至合同执行结束时止，全权代表我单位对上述项目的进行磋商、签约等，所签署的一切文件，我公司均承认有效。</w:t>
      </w:r>
      <w:r/>
    </w:p>
    <w:p>
      <w:pPr>
        <w:pStyle w:val="1026"/>
        <w:ind w:firstLine="732"/>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特此委托。</w:t>
      </w:r>
      <w:r/>
    </w:p>
    <w:p>
      <w:pPr>
        <w:pStyle w:val="1026"/>
        <w:ind w:firstLine="4324"/>
        <w:spacing w:line="6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6"/>
        <w:ind w:firstLine="4324"/>
        <w:spacing w:line="6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6"/>
        <w:spacing w:line="6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6"/>
        <w:ind w:firstLine="4324"/>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法定代表人（签名或印鉴）： </w:t>
      </w:r>
      <w:r/>
    </w:p>
    <w:p>
      <w:pPr>
        <w:pStyle w:val="1026"/>
        <w:ind w:firstLine="4324"/>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供应商（电子签章）：</w:t>
      </w:r>
      <w:r/>
    </w:p>
    <w:p>
      <w:pPr>
        <w:pStyle w:val="1026"/>
        <w:ind w:firstLine="5076"/>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pStyle w:val="1026"/>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附件六</w:t>
      </w:r>
      <w:r/>
    </w:p>
    <w:p>
      <w:pPr>
        <w:pStyle w:val="1027"/>
        <w:rPr>
          <w:rFonts w:asciiTheme="minorEastAsia" w:hAnsiTheme="minorEastAsia" w:eastAsiaTheme="minorEastAsia" w:cstheme="minorEastAsia"/>
        </w:rPr>
      </w:pPr>
      <w:r>
        <w:rPr>
          <w:rFonts w:asciiTheme="minorEastAsia" w:hAnsiTheme="minorEastAsia" w:eastAsiaTheme="minorEastAsia" w:cstheme="minorEastAsia"/>
        </w:rPr>
      </w:r>
      <w:r/>
    </w:p>
    <w:p>
      <w:pPr>
        <w:pStyle w:val="789"/>
        <w:rPr>
          <w:rFonts w:asciiTheme="minorEastAsia" w:hAnsiTheme="minorEastAsia" w:eastAsiaTheme="minorEastAsia" w:cstheme="minorEastAsia"/>
          <w:szCs w:val="24"/>
        </w:rPr>
      </w:pPr>
      <w:r/>
      <w:bookmarkStart w:id="600" w:name="_Toc19729"/>
      <w:r/>
      <w:bookmarkStart w:id="601" w:name="_Toc17059"/>
      <w:r/>
      <w:bookmarkStart w:id="602" w:name="_Toc8273"/>
      <w:r>
        <w:rPr>
          <w:rFonts w:hint="eastAsia" w:asciiTheme="minorEastAsia" w:hAnsiTheme="minorEastAsia" w:eastAsiaTheme="minorEastAsia" w:cstheme="minorEastAsia"/>
        </w:rPr>
        <w:t xml:space="preserve">具备履行合同所必需的设备和专业技术能力的声明</w:t>
      </w:r>
      <w:bookmarkEnd w:id="600"/>
      <w:r/>
      <w:bookmarkEnd w:id="601"/>
      <w:r/>
      <w:bookmarkEnd w:id="602"/>
      <w:r/>
      <w:r/>
    </w:p>
    <w:p>
      <w:pPr>
        <w:pStyle w:val="1026"/>
        <w:jc w:val="center"/>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（采购单位名称）</w:t>
      </w:r>
      <w:r>
        <w:rPr>
          <w:rFonts w:hint="eastAsia" w:asciiTheme="minorEastAsia" w:hAnsiTheme="minorEastAsia" w:eastAsiaTheme="minorEastAsia" w:cstheme="minorEastAsia"/>
          <w:sz w:val="24"/>
        </w:rPr>
        <w:t xml:space="preserve">：</w:t>
      </w:r>
      <w:r/>
    </w:p>
    <w:p>
      <w:pPr>
        <w:pStyle w:val="1026"/>
        <w:ind w:firstLine="42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我单位（供应商名称）郑重声明：我公司具备履行本项采购合同所必需的设备和专业技术能力，为履行本项采购合同我单位具备如下主要设备和主要专业技术能力：</w:t>
      </w:r>
      <w:r/>
    </w:p>
    <w:p>
      <w:pPr>
        <w:pStyle w:val="1026"/>
        <w:ind w:firstLine="42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主要设备有：                          。( 若有 )</w:t>
      </w:r>
      <w:r/>
    </w:p>
    <w:p>
      <w:pPr>
        <w:pStyle w:val="1026"/>
        <w:ind w:firstLine="42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主要专业技术能力有：                  。( 若有 )</w:t>
      </w:r>
      <w:r/>
    </w:p>
    <w:p>
      <w:pPr>
        <w:pStyle w:val="1026"/>
        <w:ind w:firstLine="42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6"/>
        <w:ind w:firstLine="42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6"/>
        <w:ind w:firstLine="42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声明人：（电子签章）</w:t>
      </w:r>
      <w:r/>
    </w:p>
    <w:p>
      <w:pPr>
        <w:pStyle w:val="1026"/>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pStyle w:val="1026"/>
        <w:ind w:firstLine="42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6"/>
        <w:jc w:val="left"/>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其他证明材料及文件：（如果供应商认为需要提供的话）</w:t>
      </w:r>
      <w:r/>
    </w:p>
    <w:p>
      <w:pPr>
        <w:pStyle w:val="1026"/>
        <w:jc w:val="left"/>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pStyle w:val="1026"/>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6"/>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6"/>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6"/>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6"/>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6"/>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6"/>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6"/>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7"/>
        <w:rPr>
          <w:rFonts w:asciiTheme="minorEastAsia" w:hAnsiTheme="minorEastAsia" w:eastAsiaTheme="minorEastAsia" w:cstheme="minorEastAsia"/>
          <w:b/>
          <w:szCs w:val="24"/>
        </w:rPr>
      </w:pPr>
      <w:r>
        <w:rPr>
          <w:rFonts w:asciiTheme="minorEastAsia" w:hAnsiTheme="minorEastAsia" w:eastAsiaTheme="minorEastAsia" w:cstheme="minorEastAsia"/>
          <w:b/>
          <w:szCs w:val="24"/>
        </w:rPr>
      </w:r>
      <w:r/>
    </w:p>
    <w:p>
      <w:pPr>
        <w:pStyle w:val="1026"/>
        <w:rPr>
          <w:rFonts w:asciiTheme="minorEastAsia" w:hAnsiTheme="minorEastAsia" w:eastAsiaTheme="minorEastAsia" w:cstheme="minorEastAsia"/>
        </w:rPr>
      </w:pPr>
      <w:r>
        <w:rPr>
          <w:rFonts w:asciiTheme="minorEastAsia" w:hAnsiTheme="minorEastAsia" w:eastAsiaTheme="minorEastAsia" w:cstheme="minorEastAsia"/>
        </w:rPr>
      </w:r>
      <w:r/>
    </w:p>
    <w:p>
      <w:pPr>
        <w:pStyle w:val="1026"/>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4"/>
        <w:ind w:firstLine="0"/>
        <w:spacing w:line="240" w:lineRule="auto"/>
        <w:rPr>
          <w:rFonts w:asciiTheme="minorEastAsia" w:hAnsiTheme="minorEastAsia" w:eastAsiaTheme="minorEastAsia" w:cstheme="minorEastAsia"/>
          <w:bCs w:val="0"/>
          <w:sz w:val="24"/>
          <w:szCs w:val="24"/>
        </w:rPr>
      </w:pPr>
      <w:r/>
      <w:bookmarkStart w:id="603" w:name="_Toc16987"/>
      <w:r/>
      <w:r/>
    </w:p>
    <w:p>
      <w:pPr>
        <w:pStyle w:val="1054"/>
        <w:ind w:firstLine="0"/>
        <w:spacing w:line="240" w:lineRule="auto"/>
        <w:rPr>
          <w:rFonts w:asciiTheme="minorEastAsia" w:hAnsiTheme="minorEastAsia" w:eastAsiaTheme="minorEastAsia" w:cstheme="minorEastAsia"/>
          <w:bCs w:val="0"/>
          <w:sz w:val="24"/>
          <w:szCs w:val="24"/>
        </w:rPr>
      </w:pPr>
      <w:r>
        <w:rPr>
          <w:rFonts w:hint="eastAsia" w:asciiTheme="minorEastAsia" w:hAnsiTheme="minorEastAsia" w:eastAsiaTheme="minorEastAsia" w:cstheme="minorEastAsia"/>
          <w:bCs w:val="0"/>
          <w:sz w:val="24"/>
          <w:szCs w:val="24"/>
        </w:rPr>
        <w:br w:type="page" w:clear="all"/>
      </w:r>
      <w:r>
        <w:rPr>
          <w:rFonts w:hint="eastAsia" w:asciiTheme="minorEastAsia" w:hAnsiTheme="minorEastAsia" w:eastAsiaTheme="minorEastAsia" w:cstheme="minorEastAsia"/>
          <w:bCs w:val="0"/>
          <w:sz w:val="24"/>
          <w:szCs w:val="24"/>
        </w:rPr>
        <w:t xml:space="preserve">附件七</w:t>
      </w:r>
      <w:bookmarkEnd w:id="603"/>
      <w:r/>
      <w:r/>
    </w:p>
    <w:p>
      <w:pPr>
        <w:pStyle w:val="1026"/>
        <w:rPr>
          <w:rFonts w:asciiTheme="minorEastAsia" w:hAnsiTheme="minorEastAsia" w:eastAsiaTheme="minorEastAsia" w:cstheme="minorEastAsia"/>
        </w:rPr>
      </w:pPr>
      <w:r>
        <w:rPr>
          <w:rFonts w:asciiTheme="minorEastAsia" w:hAnsiTheme="minorEastAsia" w:eastAsiaTheme="minorEastAsia" w:cstheme="minorEastAsia"/>
        </w:rPr>
      </w:r>
      <w:r/>
    </w:p>
    <w:p>
      <w:pPr>
        <w:pStyle w:val="789"/>
        <w:rPr>
          <w:rFonts w:asciiTheme="minorEastAsia" w:hAnsiTheme="minorEastAsia" w:eastAsiaTheme="minorEastAsia" w:cstheme="minorEastAsia"/>
          <w:b w:val="0"/>
          <w:szCs w:val="24"/>
        </w:rPr>
      </w:pPr>
      <w:r/>
      <w:bookmarkStart w:id="604" w:name="_Toc19960"/>
      <w:r/>
      <w:bookmarkStart w:id="605" w:name="_Toc8045"/>
      <w:r/>
      <w:bookmarkStart w:id="606" w:name="_Toc11288"/>
      <w:r>
        <w:rPr>
          <w:rFonts w:hint="eastAsia" w:asciiTheme="minorEastAsia" w:hAnsiTheme="minorEastAsia" w:eastAsiaTheme="minorEastAsia" w:cstheme="minorEastAsia"/>
        </w:rPr>
        <w:t xml:space="preserve">无重大违法记录声明</w:t>
      </w:r>
      <w:bookmarkEnd w:id="604"/>
      <w:r/>
      <w:bookmarkEnd w:id="605"/>
      <w:r/>
      <w:bookmarkEnd w:id="606"/>
      <w:r/>
      <w:r/>
    </w:p>
    <w:p>
      <w:pPr>
        <w:pStyle w:val="1026"/>
        <w:jc w:val="center"/>
        <w:tabs>
          <w:tab w:val="left" w:pos="6300" w:leader="none"/>
        </w:tabs>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6"/>
        <w:spacing w:line="560" w:lineRule="exact"/>
        <w:tabs>
          <w:tab w:val="left" w:pos="6300" w:leader="none"/>
        </w:tabs>
        <w:rPr>
          <w:rFonts w:asciiTheme="minorEastAsia" w:hAnsiTheme="minorEastAsia" w:eastAsiaTheme="minorEastAsia" w:cstheme="minorEastAsia"/>
          <w:sz w:val="24"/>
          <w:u w:val="single"/>
        </w:rPr>
      </w:pPr>
      <w:r>
        <w:rPr>
          <w:rFonts w:asciiTheme="minorEastAsia" w:hAnsiTheme="minorEastAsia" w:eastAsiaTheme="minorEastAsia" w:cstheme="minorEastAsia"/>
          <w:sz w:val="24"/>
          <w:u w:val="single"/>
        </w:rPr>
      </w:r>
      <w:r/>
    </w:p>
    <w:p>
      <w:pPr>
        <w:pStyle w:val="1026"/>
        <w:spacing w:line="560" w:lineRule="exact"/>
        <w:tabs>
          <w:tab w:val="left" w:pos="63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致：（采购代理机构名称）：</w:t>
      </w:r>
      <w:r/>
    </w:p>
    <w:p>
      <w:pPr>
        <w:pStyle w:val="1026"/>
        <w:spacing w:line="560" w:lineRule="exact"/>
        <w:tabs>
          <w:tab w:val="left" w:pos="6300" w:leader="none"/>
        </w:tabs>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（供应商名称）郑重声明，我方参加</w:t>
      </w:r>
      <w:r/>
    </w:p>
    <w:p>
      <w:pPr>
        <w:pStyle w:val="1026"/>
        <w:spacing w:line="560" w:lineRule="exact"/>
        <w:tabs>
          <w:tab w:val="left" w:pos="63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（项目名称）采购活动前三年内无重大违法活动记录，符合《政府采购法》规定的供应商资格条件。我方对此声明负全部法律责任。</w:t>
      </w:r>
      <w:r/>
    </w:p>
    <w:p>
      <w:pPr>
        <w:pStyle w:val="1026"/>
        <w:ind w:firstLine="525"/>
        <w:spacing w:line="560" w:lineRule="exact"/>
        <w:tabs>
          <w:tab w:val="left" w:pos="63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特此声明。</w:t>
      </w:r>
      <w:r/>
    </w:p>
    <w:p>
      <w:pPr>
        <w:pStyle w:val="1026"/>
        <w:ind w:right="1032"/>
        <w:spacing w:line="5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6"/>
        <w:ind w:right="1032"/>
        <w:spacing w:line="5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6"/>
        <w:ind w:right="1032" w:firstLine="5762"/>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供应商（电子签章）：</w:t>
      </w:r>
      <w:r/>
    </w:p>
    <w:p>
      <w:pPr>
        <w:pStyle w:val="1026"/>
        <w:ind w:right="1032" w:firstLine="3360"/>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法定代表人或被授权代表（签名或印鉴）：</w:t>
      </w:r>
      <w:r/>
    </w:p>
    <w:p>
      <w:pPr>
        <w:pStyle w:val="1026"/>
        <w:ind w:right="516" w:firstLine="7272"/>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 月  日</w:t>
      </w:r>
      <w:r/>
    </w:p>
    <w:p>
      <w:pPr>
        <w:pStyle w:val="1026"/>
        <w:spacing w:line="5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pStyle w:val="1026"/>
        <w:spacing w:line="5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附件八</w:t>
      </w:r>
      <w:r/>
    </w:p>
    <w:p>
      <w:pPr>
        <w:pStyle w:val="767"/>
        <w:jc w:val="center"/>
        <w:spacing w:before="0" w:beforeAutospacing="0" w:after="0" w:afterAutospacing="0" w:line="360" w:lineRule="auto"/>
        <w:widowControl w:val="off"/>
      </w:pPr>
      <w:r>
        <w:rPr>
          <w:rFonts w:hint="eastAsia" w:hAnsi="宋体" w:cs="宋体"/>
          <w:b/>
          <w:bCs/>
        </w:rPr>
        <w:t xml:space="preserve">中小微企业声明函（工程类项目）（采购包号：**）</w:t>
      </w:r>
      <w:r/>
    </w:p>
    <w:p>
      <w:pPr>
        <w:pStyle w:val="767"/>
        <w:jc w:val="center"/>
        <w:spacing w:before="0" w:beforeAutospacing="0" w:after="0" w:afterAutospacing="0" w:line="360" w:lineRule="auto"/>
        <w:widowControl w:val="off"/>
      </w:pPr>
      <w:r>
        <w:t xml:space="preserve"> </w:t>
      </w:r>
      <w:r/>
    </w:p>
    <w:p>
      <w:pPr>
        <w:pStyle w:val="767"/>
        <w:ind w:firstLine="360"/>
        <w:jc w:val="both"/>
        <w:spacing w:before="0" w:beforeAutospacing="0" w:after="0" w:afterAutospacing="0" w:line="360" w:lineRule="auto"/>
        <w:widowControl w:val="off"/>
      </w:pPr>
      <w:r>
        <w:rPr>
          <w:rFonts w:hint="eastAsia" w:hAnsi="宋体" w:cs="宋体"/>
        </w:rPr>
        <w:t xml:space="preserve">本公司（联合体）郑重声明，根据《政府采购促进中小企业发展管理办法》(财库〔2020〕46号)的规定，本公司（联合体）参加</w:t>
      </w:r>
      <w:r>
        <w:rPr>
          <w:rFonts w:hint="eastAsia" w:hAnsi="宋体" w:cs="宋体"/>
          <w:u w:val="single"/>
        </w:rPr>
        <w:t xml:space="preserve">（单位名称）</w:t>
      </w:r>
      <w:r>
        <w:rPr>
          <w:rFonts w:hint="eastAsia" w:hAnsi="宋体" w:cs="宋体"/>
        </w:rPr>
        <w:t xml:space="preserve">采购编号为</w:t>
      </w:r>
      <w:r>
        <w:rPr>
          <w:rFonts w:hint="eastAsia" w:hAnsi="宋体" w:cs="宋体"/>
          <w:u w:val="single"/>
        </w:rPr>
        <w:t xml:space="preserve">（采购编号）</w:t>
      </w:r>
      <w:r>
        <w:rPr>
          <w:rFonts w:hint="eastAsia" w:hAnsi="宋体" w:cs="宋体"/>
        </w:rPr>
        <w:t xml:space="preserve">，</w:t>
      </w:r>
      <w:r>
        <w:rPr>
          <w:rFonts w:hint="eastAsia" w:hAnsi="宋体" w:cs="宋体"/>
          <w:u w:val="single"/>
        </w:rPr>
        <w:t xml:space="preserve">      </w:t>
      </w:r>
      <w:r>
        <w:rPr>
          <w:rFonts w:hint="eastAsia" w:hAnsi="宋体" w:cs="宋体"/>
        </w:rPr>
        <w:t xml:space="preserve">项目（项目名称）（采购包号：**）的采购活动，工程的施工单位全部由符合政策的中小微企业承接。相关企业（含联合体中的中小微企业、签订采购包意向协议的中小微企业）的具体情况如下：</w:t>
      </w:r>
      <w:r/>
    </w:p>
    <w:p>
      <w:pPr>
        <w:pStyle w:val="767"/>
        <w:ind w:firstLine="360"/>
        <w:jc w:val="both"/>
        <w:spacing w:before="0" w:beforeAutospacing="0" w:after="0" w:afterAutospacing="0" w:line="360" w:lineRule="auto"/>
        <w:widowControl w:val="off"/>
      </w:pPr>
      <w:r>
        <w:rPr>
          <w:rFonts w:hint="eastAsia" w:hAnsi="宋体" w:cs="宋体"/>
        </w:rPr>
        <w:t xml:space="preserve">1.</w:t>
      </w:r>
      <w:r>
        <w:rPr>
          <w:rFonts w:hint="eastAsia" w:hAnsi="宋体" w:cs="宋体"/>
          <w:u w:val="single"/>
        </w:rPr>
        <w:t xml:space="preserve">（标的名称）</w:t>
      </w:r>
      <w:r>
        <w:rPr>
          <w:rFonts w:hint="eastAsia" w:hAnsi="宋体" w:cs="宋体"/>
          <w:i/>
          <w:iCs/>
        </w:rPr>
        <w:t xml:space="preserve">，</w:t>
      </w:r>
      <w:r>
        <w:rPr>
          <w:rFonts w:hint="eastAsia" w:hAnsi="宋体" w:cs="宋体"/>
        </w:rPr>
        <w:t xml:space="preserve">属于</w:t>
      </w:r>
      <w:r>
        <w:rPr>
          <w:rFonts w:hint="eastAsia" w:hAnsi="宋体" w:cs="宋体"/>
          <w:u w:val="single"/>
        </w:rPr>
        <w:t xml:space="preserve">（供应商填写招标文件中明确的所属行业）</w:t>
      </w:r>
      <w:r>
        <w:rPr>
          <w:rFonts w:hint="eastAsia" w:hAnsi="宋体" w:cs="宋体"/>
        </w:rPr>
        <w:t xml:space="preserve">行业；承接企业为</w:t>
      </w:r>
      <w:r>
        <w:rPr>
          <w:rFonts w:hint="eastAsia" w:hAnsi="宋体" w:cs="宋体"/>
          <w:u w:val="single"/>
        </w:rPr>
        <w:t xml:space="preserve">（企业名称）</w:t>
      </w:r>
      <w:r>
        <w:rPr>
          <w:rFonts w:hint="eastAsia" w:hAnsi="宋体" w:cs="宋体"/>
        </w:rPr>
        <w:t xml:space="preserve">，从业人员</w:t>
      </w:r>
      <w:r>
        <w:rPr>
          <w:rFonts w:hint="eastAsia" w:hAnsi="宋体" w:cs="宋体"/>
          <w:u w:val="single"/>
        </w:rPr>
        <w:t xml:space="preserve">      </w:t>
      </w:r>
      <w:r>
        <w:rPr>
          <w:rFonts w:hint="eastAsia" w:hAnsi="宋体" w:cs="宋体"/>
        </w:rPr>
        <w:t xml:space="preserve">人，营业收入为</w:t>
      </w:r>
      <w:r>
        <w:rPr>
          <w:rFonts w:hint="eastAsia" w:hAnsi="宋体" w:cs="宋体"/>
          <w:u w:val="single"/>
        </w:rPr>
        <w:t xml:space="preserve">     </w:t>
      </w:r>
      <w:r>
        <w:rPr>
          <w:rFonts w:hint="eastAsia" w:hAnsi="宋体" w:cs="宋体"/>
        </w:rPr>
        <w:t xml:space="preserve">万元，资产总额为</w:t>
      </w:r>
      <w:r>
        <w:rPr>
          <w:rFonts w:hint="eastAsia" w:hAnsi="宋体" w:cs="宋体"/>
          <w:u w:val="single"/>
        </w:rPr>
        <w:t xml:space="preserve">      </w:t>
      </w:r>
      <w:r>
        <w:rPr>
          <w:rFonts w:hint="eastAsia" w:hAnsi="宋体" w:cs="宋体"/>
        </w:rPr>
        <w:t xml:space="preserve">万元</w:t>
      </w:r>
      <w:r>
        <w:rPr>
          <w:rFonts w:hint="eastAsia" w:hAnsi="宋体" w:cs="宋体"/>
          <w:vertAlign w:val="superscript"/>
        </w:rPr>
        <w:t xml:space="preserve">1</w:t>
      </w:r>
      <w:r>
        <w:rPr>
          <w:rFonts w:hint="eastAsia" w:hAnsi="宋体" w:cs="宋体"/>
        </w:rPr>
        <w:t xml:space="preserve">，属于</w:t>
      </w:r>
      <w:r>
        <w:rPr>
          <w:rFonts w:hint="eastAsia" w:hAnsi="宋体" w:cs="宋体"/>
          <w:u w:val="single"/>
        </w:rPr>
        <w:t xml:space="preserve">（□中型企业 □小型企业 □微型企业）；</w:t>
      </w:r>
      <w:r/>
    </w:p>
    <w:p>
      <w:pPr>
        <w:pStyle w:val="767"/>
        <w:ind w:firstLine="360"/>
        <w:jc w:val="both"/>
        <w:spacing w:before="0" w:beforeAutospacing="0" w:after="0" w:afterAutospacing="0" w:line="360" w:lineRule="auto"/>
        <w:widowControl w:val="off"/>
      </w:pPr>
      <w:r>
        <w:rPr>
          <w:rFonts w:hint="eastAsia" w:hAnsi="宋体" w:cs="宋体"/>
        </w:rPr>
        <w:t xml:space="preserve">2.</w:t>
      </w:r>
      <w:r>
        <w:rPr>
          <w:rFonts w:hint="eastAsia" w:hAnsi="宋体" w:cs="宋体"/>
          <w:u w:val="single"/>
        </w:rPr>
        <w:t xml:space="preserve">（标的名称）</w:t>
      </w:r>
      <w:r>
        <w:rPr>
          <w:rFonts w:hint="eastAsia" w:hAnsi="宋体" w:cs="宋体"/>
          <w:i/>
          <w:iCs/>
        </w:rPr>
        <w:t xml:space="preserve">，</w:t>
      </w:r>
      <w:r>
        <w:rPr>
          <w:rFonts w:hint="eastAsia" w:hAnsi="宋体" w:cs="宋体"/>
        </w:rPr>
        <w:t xml:space="preserve">属于</w:t>
      </w:r>
      <w:r>
        <w:rPr>
          <w:rFonts w:hint="eastAsia" w:hAnsi="宋体" w:cs="宋体"/>
          <w:u w:val="single"/>
        </w:rPr>
        <w:t xml:space="preserve">（供应商填写招标文件中明确的所属行业）</w:t>
      </w:r>
      <w:r>
        <w:rPr>
          <w:rFonts w:hint="eastAsia" w:hAnsi="宋体" w:cs="宋体"/>
        </w:rPr>
        <w:t xml:space="preserve">行业；承接企业为</w:t>
      </w:r>
      <w:r>
        <w:rPr>
          <w:rFonts w:hint="eastAsia" w:hAnsi="宋体" w:cs="宋体"/>
          <w:u w:val="single"/>
        </w:rPr>
        <w:t xml:space="preserve">（企业名称）</w:t>
      </w:r>
      <w:r>
        <w:rPr>
          <w:rFonts w:hint="eastAsia" w:hAnsi="宋体" w:cs="宋体"/>
        </w:rPr>
        <w:t xml:space="preserve">，从业人员</w:t>
      </w:r>
      <w:r>
        <w:rPr>
          <w:rFonts w:hint="eastAsia" w:hAnsi="宋体" w:cs="宋体"/>
          <w:u w:val="single"/>
        </w:rPr>
        <w:t xml:space="preserve">      </w:t>
      </w:r>
      <w:r>
        <w:rPr>
          <w:rFonts w:hint="eastAsia" w:hAnsi="宋体" w:cs="宋体"/>
        </w:rPr>
        <w:t xml:space="preserve">人，营业收入为</w:t>
      </w:r>
      <w:r>
        <w:rPr>
          <w:rFonts w:hint="eastAsia" w:hAnsi="宋体" w:cs="宋体"/>
          <w:u w:val="single"/>
        </w:rPr>
        <w:t xml:space="preserve">     </w:t>
      </w:r>
      <w:r>
        <w:rPr>
          <w:rFonts w:hint="eastAsia" w:hAnsi="宋体" w:cs="宋体"/>
        </w:rPr>
        <w:t xml:space="preserve">万元，资产总额为</w:t>
      </w:r>
      <w:r>
        <w:rPr>
          <w:rFonts w:hint="eastAsia" w:hAnsi="宋体" w:cs="宋体"/>
          <w:u w:val="single"/>
        </w:rPr>
        <w:t xml:space="preserve">      </w:t>
      </w:r>
      <w:r>
        <w:rPr>
          <w:rFonts w:hint="eastAsia" w:hAnsi="宋体" w:cs="宋体"/>
        </w:rPr>
        <w:t xml:space="preserve">万元</w:t>
      </w:r>
      <w:r>
        <w:rPr>
          <w:rFonts w:hint="eastAsia" w:hAnsi="宋体" w:cs="宋体"/>
          <w:vertAlign w:val="superscript"/>
        </w:rPr>
        <w:t xml:space="preserve">1</w:t>
      </w:r>
      <w:r>
        <w:rPr>
          <w:rFonts w:hint="eastAsia" w:hAnsi="宋体" w:cs="宋体"/>
        </w:rPr>
        <w:t xml:space="preserve">，属于</w:t>
      </w:r>
      <w:r>
        <w:rPr>
          <w:rFonts w:hint="eastAsia" w:hAnsi="宋体" w:cs="宋体"/>
          <w:u w:val="single"/>
        </w:rPr>
        <w:t xml:space="preserve">（□中型企业 □小型企业 □微型企业）；</w:t>
      </w:r>
      <w:r/>
    </w:p>
    <w:p>
      <w:pPr>
        <w:pStyle w:val="767"/>
        <w:ind w:firstLine="360"/>
        <w:jc w:val="both"/>
        <w:spacing w:before="0" w:beforeAutospacing="0" w:after="0" w:afterAutospacing="0" w:line="360" w:lineRule="auto"/>
        <w:widowControl w:val="off"/>
      </w:pPr>
      <w:r>
        <w:rPr>
          <w:rFonts w:hint="eastAsia" w:hAnsi="宋体" w:cs="宋体"/>
        </w:rPr>
        <w:t xml:space="preserve">……</w:t>
      </w:r>
      <w:r/>
    </w:p>
    <w:p>
      <w:pPr>
        <w:pStyle w:val="767"/>
        <w:ind w:firstLine="360"/>
        <w:jc w:val="both"/>
        <w:spacing w:before="0" w:beforeAutospacing="0" w:after="0" w:afterAutospacing="0" w:line="360" w:lineRule="auto"/>
        <w:widowControl w:val="off"/>
      </w:pPr>
      <w:r>
        <w:rPr>
          <w:rFonts w:hint="eastAsia" w:hAnsi="宋体" w:cs="宋体"/>
        </w:rPr>
        <w:t xml:space="preserve">以上企业，不属于大企业的分支机构，不存在控股股东为大企业的情形，也不存在与大企业的负责人为同一人的情形。</w:t>
      </w:r>
      <w:r/>
    </w:p>
    <w:p>
      <w:pPr>
        <w:pStyle w:val="767"/>
        <w:ind w:firstLine="360"/>
        <w:jc w:val="both"/>
        <w:spacing w:before="0" w:beforeAutospacing="0" w:after="0" w:afterAutospacing="0" w:line="360" w:lineRule="auto"/>
        <w:widowControl w:val="off"/>
      </w:pPr>
      <w:r>
        <w:rPr>
          <w:rFonts w:hint="eastAsia" w:hAnsi="宋体" w:cs="宋体"/>
        </w:rPr>
        <w:t xml:space="preserve">本企业对上述声明内容的真实性负责。如有虚假，将依法承担相应责任</w:t>
      </w:r>
      <w:r/>
    </w:p>
    <w:p>
      <w:pPr>
        <w:pStyle w:val="767"/>
        <w:ind w:right="720"/>
        <w:jc w:val="both"/>
        <w:spacing w:before="0" w:beforeAutospacing="0" w:after="0" w:afterAutospacing="0" w:line="360" w:lineRule="auto"/>
        <w:widowControl w:val="off"/>
      </w:pPr>
      <w:r>
        <w:t xml:space="preserve"> </w:t>
      </w:r>
      <w:r/>
    </w:p>
    <w:p>
      <w:pPr>
        <w:pStyle w:val="767"/>
        <w:ind w:right="180" w:firstLine="360"/>
        <w:jc w:val="center"/>
        <w:spacing w:before="0" w:beforeAutospacing="0" w:after="0" w:afterAutospacing="0" w:line="360" w:lineRule="auto"/>
        <w:widowControl w:val="off"/>
      </w:pPr>
      <w:r>
        <w:rPr>
          <w:rFonts w:hint="eastAsia" w:hAnsi="宋体" w:cs="宋体"/>
        </w:rPr>
        <w:t xml:space="preserve">                                   企业名称（加盖CA电子公章）：</w:t>
      </w:r>
      <w:r/>
    </w:p>
    <w:p>
      <w:pPr>
        <w:pStyle w:val="767"/>
        <w:ind w:right="180" w:firstLine="360"/>
        <w:jc w:val="center"/>
        <w:spacing w:before="0" w:beforeAutospacing="0" w:after="0" w:afterAutospacing="0" w:line="360" w:lineRule="auto"/>
        <w:widowControl w:val="off"/>
      </w:pPr>
      <w:r>
        <w:rPr>
          <w:rFonts w:hint="eastAsia" w:hAnsi="宋体" w:cs="宋体"/>
          <w:shd w:val="clear" w:color="auto" w:fill="ffffff"/>
        </w:rPr>
        <w:t xml:space="preserve">                               日期：___年____月____日 </w:t>
      </w:r>
      <w:r/>
    </w:p>
    <w:p>
      <w:pPr>
        <w:pStyle w:val="767"/>
        <w:ind w:firstLine="480"/>
        <w:jc w:val="both"/>
        <w:spacing w:before="0" w:beforeAutospacing="0" w:after="0" w:afterAutospacing="0" w:line="0" w:lineRule="atLeast"/>
        <w:widowControl w:val="off"/>
      </w:pPr>
      <w:r>
        <w:t xml:space="preserve"> </w:t>
      </w:r>
      <w:r/>
    </w:p>
    <w:p>
      <w:pPr>
        <w:pStyle w:val="767"/>
        <w:ind w:firstLine="480"/>
        <w:jc w:val="both"/>
        <w:spacing w:before="0" w:beforeAutospacing="0" w:after="0" w:afterAutospacing="0" w:line="0" w:lineRule="atLeast"/>
        <w:widowControl w:val="off"/>
      </w:pPr>
      <w:r>
        <w:rPr>
          <w:rFonts w:hint="eastAsia" w:hAnsi="宋体" w:cs="宋体"/>
        </w:rPr>
        <w:t xml:space="preserve">备注：</w:t>
      </w:r>
      <w:r/>
    </w:p>
    <w:p>
      <w:pPr>
        <w:pStyle w:val="767"/>
        <w:ind w:firstLine="480"/>
        <w:jc w:val="both"/>
        <w:spacing w:before="0" w:beforeAutospacing="0" w:after="0" w:afterAutospacing="0" w:line="0" w:lineRule="atLeast"/>
        <w:widowControl w:val="off"/>
      </w:pPr>
      <w:r>
        <w:rPr>
          <w:rFonts w:hint="eastAsia" w:hAnsi="宋体" w:cs="宋体"/>
        </w:rPr>
        <w:t xml:space="preserve">1.从业人员、营业收入、资产总额填报上一年度数据，无上一年度数据的新成立企业可不填报。</w:t>
      </w:r>
      <w:r/>
    </w:p>
    <w:p>
      <w:pPr>
        <w:pStyle w:val="767"/>
        <w:ind w:firstLine="480"/>
        <w:jc w:val="both"/>
        <w:spacing w:before="0" w:beforeAutospacing="0" w:after="0" w:afterAutospacing="0" w:line="0" w:lineRule="atLeast"/>
        <w:widowControl w:val="off"/>
      </w:pPr>
      <w:r>
        <w:rPr>
          <w:rFonts w:hint="eastAsia" w:hAnsi="宋体" w:cs="宋体"/>
        </w:rPr>
        <w:t xml:space="preserve">2.专门面向中小微型企业采购的项目，供应商如不提供此声明函，则不能通过资格审查；非专门面向中小微型企业采购的项目，供应商如不提供此声明函，价格将不做相应扣除。</w:t>
      </w:r>
      <w:r/>
    </w:p>
    <w:p>
      <w:pPr>
        <w:pStyle w:val="767"/>
        <w:ind w:firstLine="480"/>
        <w:jc w:val="both"/>
        <w:spacing w:before="0" w:beforeAutospacing="0" w:after="0" w:afterAutospacing="0" w:line="0" w:lineRule="atLeast"/>
        <w:widowControl w:val="off"/>
      </w:pPr>
      <w:r>
        <w:rPr>
          <w:rFonts w:hint="eastAsia" w:hAnsi="宋体" w:cs="宋体"/>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1026"/>
        <w:spacing w:line="4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附件九</w:t>
      </w:r>
      <w:r/>
    </w:p>
    <w:p>
      <w:pPr>
        <w:pStyle w:val="789"/>
        <w:rPr>
          <w:rFonts w:asciiTheme="minorEastAsia" w:hAnsiTheme="minorEastAsia" w:eastAsiaTheme="minorEastAsia" w:cstheme="minorEastAsia"/>
          <w:szCs w:val="24"/>
        </w:rPr>
      </w:pPr>
      <w:r/>
      <w:bookmarkStart w:id="607" w:name="_Toc5488"/>
      <w:r/>
      <w:bookmarkStart w:id="608" w:name="_Toc6257"/>
      <w:r/>
      <w:bookmarkStart w:id="609" w:name="_Toc10995"/>
      <w:r>
        <w:rPr>
          <w:rFonts w:hint="eastAsia" w:asciiTheme="minorEastAsia" w:hAnsiTheme="minorEastAsia" w:eastAsiaTheme="minorEastAsia" w:cstheme="minorEastAsia"/>
        </w:rPr>
        <w:t xml:space="preserve">残疾人福利性单位声明函</w:t>
      </w:r>
      <w:bookmarkEnd w:id="607"/>
      <w:r/>
      <w:bookmarkEnd w:id="608"/>
      <w:r/>
      <w:bookmarkEnd w:id="609"/>
      <w:r/>
      <w:r/>
    </w:p>
    <w:p>
      <w:pPr>
        <w:pStyle w:val="1026"/>
        <w:ind w:firstLine="624"/>
        <w:spacing w:line="588" w:lineRule="exact"/>
        <w:rPr>
          <w:rFonts w:asciiTheme="minorEastAsia" w:hAnsiTheme="minorEastAsia" w:eastAsiaTheme="minorEastAsia" w:cstheme="minorEastAsia"/>
          <w:spacing w:val="6"/>
          <w:sz w:val="24"/>
        </w:rPr>
      </w:pPr>
      <w:r>
        <w:rPr>
          <w:rFonts w:asciiTheme="minorEastAsia" w:hAnsiTheme="minorEastAsia" w:eastAsiaTheme="minorEastAsia" w:cstheme="minorEastAsia"/>
          <w:spacing w:val="6"/>
          <w:sz w:val="24"/>
        </w:rPr>
      </w:r>
      <w:r/>
    </w:p>
    <w:p>
      <w:pPr>
        <w:pStyle w:val="1055"/>
        <w:ind w:right="641" w:firstLine="468"/>
        <w:spacing w:before="1" w:line="39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pacing w:val="-2"/>
          <w:sz w:val="24"/>
        </w:rPr>
        <w:t xml:space="preserve">财库〔</w:t>
      </w:r>
      <w:r>
        <w:rPr>
          <w:rFonts w:hint="eastAsia" w:asciiTheme="minorEastAsia" w:hAnsiTheme="minorEastAsia" w:eastAsiaTheme="minorEastAsia" w:cstheme="minorEastAsia"/>
          <w:sz w:val="24"/>
        </w:rPr>
        <w:t xml:space="preserve">2017</w:t>
      </w:r>
      <w:r>
        <w:rPr>
          <w:rFonts w:hint="eastAsia" w:asciiTheme="minorEastAsia" w:hAnsiTheme="minorEastAsia" w:eastAsiaTheme="minorEastAsia" w:cstheme="minorEastAsia"/>
          <w:spacing w:val="2"/>
          <w:sz w:val="24"/>
        </w:rPr>
        <w:t xml:space="preserve">〕 </w:t>
      </w:r>
      <w:r>
        <w:rPr>
          <w:rFonts w:hint="eastAsia" w:asciiTheme="minorEastAsia" w:hAnsiTheme="minorEastAsia" w:eastAsiaTheme="minorEastAsia" w:cstheme="minorEastAsia"/>
          <w:sz w:val="24"/>
        </w:rPr>
        <w:t xml:space="preserve">141</w:t>
      </w:r>
      <w:r>
        <w:rPr>
          <w:rFonts w:hint="eastAsia" w:asciiTheme="minorEastAsia" w:hAnsiTheme="minorEastAsia" w:eastAsiaTheme="minorEastAsia" w:cstheme="minorEastAsia"/>
          <w:spacing w:val="-28"/>
          <w:sz w:val="24"/>
        </w:rPr>
        <w:t xml:space="preserve"> 号</w:t>
      </w:r>
      <w:r>
        <w:rPr>
          <w:rFonts w:hint="eastAsia" w:asciiTheme="minorEastAsia" w:hAnsiTheme="minorEastAsia" w:eastAsiaTheme="minorEastAsia" w:cstheme="minorEastAsia"/>
          <w:spacing w:val="-3"/>
          <w:sz w:val="24"/>
        </w:rPr>
        <w:t xml:space="preserve">）的规定，本单位为符合条件的残疾人福利性单</w:t>
      </w:r>
      <w:r>
        <w:rPr>
          <w:rFonts w:hint="eastAsia" w:asciiTheme="minorEastAsia" w:hAnsiTheme="minorEastAsia" w:eastAsiaTheme="minorEastAsia" w:cstheme="minorEastAsia"/>
          <w:spacing w:val="-8"/>
          <w:sz w:val="24"/>
        </w:rPr>
        <w:t xml:space="preserve">位，且本单位参加单位的项目采购活动提供本单位制造的货物</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pacing w:val="-3"/>
          <w:sz w:val="24"/>
        </w:rPr>
        <w:t xml:space="preserve">由本单位承担工程</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pacing w:val="-2"/>
          <w:sz w:val="24"/>
        </w:rPr>
        <w:t xml:space="preserve">提供服务）</w:t>
      </w:r>
      <w:r>
        <w:rPr>
          <w:rFonts w:hint="eastAsia" w:asciiTheme="minorEastAsia" w:hAnsiTheme="minorEastAsia" w:eastAsiaTheme="minorEastAsia" w:cstheme="minorEastAsia"/>
          <w:spacing w:val="-3"/>
          <w:sz w:val="24"/>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rPr>
        <w:t xml:space="preserve">）。</w:t>
      </w:r>
      <w:r/>
    </w:p>
    <w:p>
      <w:pPr>
        <w:pStyle w:val="1055"/>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pStyle w:val="1055"/>
        <w:ind w:left="126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5"/>
        <w:ind w:left="1260"/>
        <w:spacing w:before="12"/>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5"/>
        <w:ind w:left="1260" w:right="639"/>
        <w:jc w:val="right"/>
        <w:tabs>
          <w:tab w:val="left" w:pos="5061"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w:t>
      </w:r>
      <w:r>
        <w:rPr>
          <w:rFonts w:hint="eastAsia" w:asciiTheme="minorEastAsia" w:hAnsiTheme="minorEastAsia" w:eastAsiaTheme="minorEastAsia" w:cstheme="minorEastAsia"/>
          <w:spacing w:val="-3"/>
          <w:sz w:val="24"/>
        </w:rPr>
        <w:t xml:space="preserve">应</w:t>
      </w:r>
      <w:r>
        <w:rPr>
          <w:rFonts w:hint="eastAsia" w:asciiTheme="minorEastAsia" w:hAnsiTheme="minorEastAsia" w:eastAsiaTheme="minorEastAsia" w:cstheme="minorEastAsia"/>
          <w:sz w:val="24"/>
        </w:rPr>
        <w:t xml:space="preserve">商：</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pacing w:val="-1"/>
          <w:sz w:val="24"/>
        </w:rPr>
        <w:t xml:space="preserve">（</w:t>
      </w:r>
      <w:r>
        <w:rPr>
          <w:rFonts w:hint="eastAsia" w:asciiTheme="minorEastAsia" w:hAnsiTheme="minorEastAsia" w:eastAsiaTheme="minorEastAsia" w:cstheme="minorEastAsia"/>
          <w:sz w:val="24"/>
        </w:rPr>
        <w:t xml:space="preserve">电子签章）</w:t>
      </w:r>
      <w:r/>
    </w:p>
    <w:p>
      <w:pPr>
        <w:pStyle w:val="1055"/>
        <w:ind w:left="1260"/>
        <w:spacing w:before="9"/>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5"/>
        <w:ind w:left="1260" w:right="639"/>
        <w:jc w:val="right"/>
        <w:spacing w:before="1"/>
        <w:tabs>
          <w:tab w:val="left" w:pos="4511"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w:t>
      </w:r>
      <w:r>
        <w:rPr>
          <w:rFonts w:hint="eastAsia" w:asciiTheme="minorEastAsia" w:hAnsiTheme="minorEastAsia" w:eastAsiaTheme="minorEastAsia" w:cstheme="minorEastAsia"/>
          <w:spacing w:val="-3"/>
          <w:sz w:val="24"/>
        </w:rPr>
        <w:t xml:space="preserve">定</w:t>
      </w:r>
      <w:r>
        <w:rPr>
          <w:rFonts w:hint="eastAsia" w:asciiTheme="minorEastAsia" w:hAnsiTheme="minorEastAsia" w:eastAsiaTheme="minorEastAsia" w:cstheme="minorEastAsia"/>
          <w:sz w:val="24"/>
        </w:rPr>
        <w:t xml:space="preserve">代表</w:t>
      </w:r>
      <w:r>
        <w:rPr>
          <w:rFonts w:hint="eastAsia" w:asciiTheme="minorEastAsia" w:hAnsiTheme="minorEastAsia" w:eastAsiaTheme="minorEastAsia" w:cstheme="minorEastAsia"/>
          <w:spacing w:val="-3"/>
          <w:sz w:val="24"/>
        </w:rPr>
        <w:t xml:space="preserve">人</w:t>
      </w:r>
      <w:r>
        <w:rPr>
          <w:rFonts w:hint="eastAsia" w:asciiTheme="minorEastAsia" w:hAnsiTheme="minorEastAsia" w:eastAsiaTheme="minorEastAsia" w:cstheme="minorEastAsia"/>
          <w:sz w:val="24"/>
        </w:rPr>
        <w:t xml:space="preserve">或授</w:t>
      </w:r>
      <w:r>
        <w:rPr>
          <w:rFonts w:hint="eastAsia" w:asciiTheme="minorEastAsia" w:hAnsiTheme="minorEastAsia" w:eastAsiaTheme="minorEastAsia" w:cstheme="minorEastAsia"/>
          <w:spacing w:val="-3"/>
          <w:sz w:val="24"/>
        </w:rPr>
        <w:t xml:space="preserve">权</w:t>
      </w:r>
      <w:r>
        <w:rPr>
          <w:rFonts w:hint="eastAsia" w:asciiTheme="minorEastAsia" w:hAnsiTheme="minorEastAsia" w:eastAsiaTheme="minorEastAsia" w:cstheme="minorEastAsia"/>
          <w:sz w:val="24"/>
        </w:rPr>
        <w:t xml:space="preserve">委托人</w:t>
      </w:r>
      <w:r>
        <w:rPr>
          <w:rFonts w:hint="eastAsia" w:asciiTheme="minorEastAsia" w:hAnsiTheme="minorEastAsia" w:eastAsiaTheme="minorEastAsia" w:cstheme="minorEastAsia"/>
          <w:spacing w:val="-3"/>
          <w:sz w:val="24"/>
        </w:rPr>
        <w:t xml:space="preserve">：</w:t>
      </w:r>
      <w:r>
        <w:rPr>
          <w:rFonts w:hint="eastAsia" w:asciiTheme="minorEastAsia" w:hAnsiTheme="minorEastAsia" w:eastAsiaTheme="minorEastAsia" w:cstheme="minorEastAsia"/>
          <w:spacing w:val="-3"/>
          <w:sz w:val="24"/>
          <w:u w:val="single"/>
        </w:rPr>
        <w:tab/>
      </w:r>
      <w:r>
        <w:rPr>
          <w:rFonts w:hint="eastAsia" w:asciiTheme="minorEastAsia" w:hAnsiTheme="minorEastAsia" w:eastAsiaTheme="minorEastAsia" w:cstheme="minorEastAsia"/>
          <w:spacing w:val="-1"/>
          <w:sz w:val="24"/>
        </w:rPr>
        <w:t xml:space="preserve">（</w:t>
      </w:r>
      <w:r>
        <w:rPr>
          <w:rFonts w:hint="eastAsia" w:asciiTheme="minorEastAsia" w:hAnsiTheme="minorEastAsia" w:eastAsiaTheme="minorEastAsia" w:cstheme="minorEastAsia"/>
          <w:sz w:val="24"/>
        </w:rPr>
        <w:t xml:space="preserve">签名或印鉴）</w:t>
      </w:r>
      <w:r/>
    </w:p>
    <w:p>
      <w:pPr>
        <w:pStyle w:val="1055"/>
        <w:ind w:left="126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5"/>
        <w:ind w:left="126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5"/>
        <w:ind w:left="1260"/>
        <w:spacing w:before="3"/>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6"/>
        <w:ind w:right="641"/>
        <w:jc w:val="right"/>
        <w:tabs>
          <w:tab w:val="left" w:pos="734" w:leader="none"/>
          <w:tab w:val="left" w:pos="1471"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rPr>
        <w:tab/>
        <w:t xml:space="preserve">月</w:t>
      </w:r>
      <w:r>
        <w:rPr>
          <w:rFonts w:hint="eastAsia" w:asciiTheme="minorEastAsia" w:hAnsiTheme="minorEastAsia" w:eastAsiaTheme="minorEastAsia" w:cstheme="minorEastAsia"/>
          <w:sz w:val="24"/>
        </w:rPr>
        <w:tab/>
        <w:t xml:space="preserve">日</w:t>
      </w:r>
      <w:r/>
    </w:p>
    <w:p>
      <w:pPr>
        <w:pStyle w:val="789"/>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附件十</w:t>
      </w:r>
      <w:r/>
    </w:p>
    <w:p>
      <w:pPr>
        <w:pStyle w:val="789"/>
        <w:rPr>
          <w:rFonts w:asciiTheme="minorEastAsia" w:hAnsiTheme="minorEastAsia" w:eastAsiaTheme="minorEastAsia" w:cstheme="minorEastAsia"/>
        </w:rPr>
      </w:pPr>
      <w:r/>
      <w:bookmarkStart w:id="610" w:name="_Toc11345"/>
      <w:r/>
      <w:bookmarkStart w:id="611" w:name="_Toc18910"/>
      <w:r/>
      <w:bookmarkStart w:id="612" w:name="_Toc11441"/>
      <w:r>
        <w:rPr>
          <w:rFonts w:hint="eastAsia" w:asciiTheme="minorEastAsia" w:hAnsiTheme="minorEastAsia" w:eastAsiaTheme="minorEastAsia" w:cstheme="minorEastAsia"/>
        </w:rPr>
        <w:t xml:space="preserve">监狱企业证明文件</w:t>
      </w:r>
      <w:bookmarkEnd w:id="610"/>
      <w:r/>
      <w:bookmarkEnd w:id="611"/>
      <w:r/>
      <w:bookmarkEnd w:id="612"/>
      <w:r/>
      <w:r/>
    </w:p>
    <w:p>
      <w:pPr>
        <w:pStyle w:val="1055"/>
        <w:ind w:left="1134"/>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55"/>
        <w:ind w:firstLine="518"/>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提供省级以上监狱管理局、戒毒管理局（含新疆生产建设兵团）出具的属于监狱企业的证明文件复印件（加盖供应商公章）</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文件中。</w:t>
      </w:r>
      <w:r/>
    </w:p>
    <w:p>
      <w:pPr>
        <w:pStyle w:val="767"/>
        <w:jc w:val="center"/>
        <w:spacing w:before="0" w:beforeAutospacing="0" w:after="0" w:afterAutospacing="0"/>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pStyle w:val="767"/>
        <w:jc w:val="center"/>
        <w:spacing w:before="0" w:beforeAutospacing="0" w:after="0" w:afterAutospacing="0"/>
        <w:widowControl w:val="off"/>
        <w:rPr>
          <w:rFonts w:asciiTheme="minorEastAsia" w:hAnsiTheme="minorEastAsia" w:eastAsiaTheme="minorEastAsia" w:cstheme="minorEastAsia"/>
          <w:b/>
          <w:sz w:val="36"/>
          <w:szCs w:val="20"/>
        </w:rPr>
      </w:pPr>
      <w:r>
        <w:rPr>
          <w:rFonts w:hint="eastAsia" w:asciiTheme="minorEastAsia" w:hAnsiTheme="minorEastAsia" w:eastAsiaTheme="minorEastAsia" w:cstheme="minorEastAsia"/>
          <w:b/>
          <w:sz w:val="36"/>
          <w:szCs w:val="20"/>
        </w:rPr>
        <w:t xml:space="preserve">技术偏离表</w:t>
      </w:r>
      <w:r/>
    </w:p>
    <w:p>
      <w:pPr>
        <w:pStyle w:val="767"/>
        <w:jc w:val="both"/>
        <w:spacing w:before="0" w:beforeAutospacing="0" w:after="0" w:afterAutospacing="0"/>
        <w:widowControl w:val="off"/>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格式自拟</w:t>
      </w:r>
      <w:r/>
    </w:p>
    <w:p>
      <w:pPr>
        <w:pStyle w:val="771"/>
        <w:rPr>
          <w:rFonts w:asciiTheme="minorEastAsia" w:hAnsiTheme="minorEastAsia" w:eastAsiaTheme="minorEastAsia" w:cstheme="minorEastAsia"/>
          <w:sz w:val="24"/>
        </w:rPr>
      </w:pPr>
      <w:r>
        <w:rPr>
          <w:rFonts w:asciiTheme="minorEastAsia" w:hAnsiTheme="minorEastAsia" w:eastAsiaTheme="minorEastAsia" w:cstheme="minorEastAsia"/>
          <w:sz w:val="24"/>
        </w:rPr>
      </w:r>
      <w:r/>
    </w:p>
    <w:sectPr>
      <w:footerReference w:type="default" r:id="rId11"/>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MS Mincho">
    <w:panose1 w:val="020206030504050903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Arial">
    <w:panose1 w:val="020B0604020202020204"/>
  </w:font>
  <w:font w:name="黑体">
    <w:panose1 w:val="02010609060101010101"/>
  </w:font>
  <w:font w:name="Verdana">
    <w:panose1 w:val="020B0604030504040204"/>
  </w:font>
  <w:font w:name="仿宋_GB2312">
    <w:panose1 w:val="02010609060101010101"/>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00"/>
                          </w:pPr>
                          <w:fldSimple w:instr="PAGE \* MERGEFORMAT">
                            <w:r>
                              <w:t xml:space="preserve">1</w:t>
                            </w:r>
                          </w:fldSimple>
                          <w:r/>
                          <w:r/>
                        </w:p>
                      </w:txbxContent>
                    </wps:txbx>
                    <wps:bodyPr wrap="square" lIns="0" tIns="0" rIns="0" bIns="0" upright="1"/>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pPr>
                    <w:fldSimple w:instr="PAGE \* MERGEFORMAT">
                      <w:r>
                        <w:t xml:space="preserve">1</w:t>
                      </w:r>
                    </w:fldSimple>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480"/>
      <w:jc w:val="center"/>
      <w:spacing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00"/>
                          </w:pPr>
                          <w:fldSimple w:instr="PAGE \* MERGEFORMAT">
                            <w:r>
                              <w:t xml:space="preserve">1</w:t>
                            </w:r>
                          </w:fldSimple>
                          <w:r/>
                          <w:r/>
                        </w:p>
                      </w:txbxContent>
                    </wps:txbx>
                    <wps:bodyPr wrap="square" lIns="0" tIns="0" rIns="0" bIns="0" upright="1"/>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pPr>
                    <w:fldSimple w:instr="PAGE \* MERGEFORMAT">
                      <w:r>
                        <w:t xml:space="preserve">1</w:t>
                      </w:r>
                    </w:fldSimple>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Subtitle Char"/>
    <w:basedOn w:val="728"/>
    <w:link w:val="758"/>
    <w:uiPriority w:val="11"/>
    <w:rPr>
      <w:sz w:val="24"/>
      <w:szCs w:val="24"/>
    </w:rPr>
  </w:style>
  <w:style w:type="character" w:styleId="723">
    <w:name w:val="Quote Char"/>
    <w:link w:val="813"/>
    <w:uiPriority w:val="29"/>
    <w:rPr>
      <w:i/>
    </w:rPr>
  </w:style>
  <w:style w:type="character" w:styleId="724">
    <w:name w:val="Intense Quote Char"/>
    <w:link w:val="815"/>
    <w:uiPriority w:val="30"/>
    <w:rPr>
      <w:i/>
    </w:rPr>
  </w:style>
  <w:style w:type="character" w:styleId="725">
    <w:name w:val="Endnote Text Char"/>
    <w:link w:val="752"/>
    <w:uiPriority w:val="99"/>
    <w:rPr>
      <w:sz w:val="20"/>
    </w:rPr>
  </w:style>
  <w:style w:type="paragraph" w:styleId="726">
    <w:name w:val="TOC Heading"/>
    <w:uiPriority w:val="39"/>
    <w:unhideWhenUsed/>
  </w:style>
  <w:style w:type="paragraph" w:styleId="727" w:default="1">
    <w:name w:val="Normal"/>
    <w:qFormat/>
    <w:pPr>
      <w:jc w:val="both"/>
      <w:widowControl w:val="off"/>
    </w:pPr>
    <w:rPr>
      <w:sz w:val="21"/>
      <w:szCs w:val="24"/>
    </w:rPr>
  </w:style>
  <w:style w:type="character" w:styleId="728" w:default="1">
    <w:name w:val="Default Paragraph Font"/>
    <w:uiPriority w:val="1"/>
    <w:semiHidden/>
    <w:unhideWhenUsed/>
  </w:style>
  <w:style w:type="table" w:styleId="729" w:default="1">
    <w:name w:val="Normal Table"/>
    <w:uiPriority w:val="99"/>
    <w:semiHidden/>
    <w:unhideWhenUsed/>
    <w:qFormat/>
    <w:tblPr>
      <w:tblInd w:w="0" w:type="dxa"/>
      <w:tblCellMar>
        <w:left w:w="108" w:type="dxa"/>
        <w:top w:w="0" w:type="dxa"/>
        <w:right w:w="108" w:type="dxa"/>
        <w:bottom w:w="0" w:type="dxa"/>
      </w:tblCellMar>
    </w:tblPr>
  </w:style>
  <w:style w:type="numbering" w:styleId="730" w:default="1">
    <w:name w:val="No List"/>
    <w:uiPriority w:val="99"/>
    <w:semiHidden/>
    <w:unhideWhenUsed/>
  </w:style>
  <w:style w:type="paragraph" w:styleId="731">
    <w:name w:val="List 3"/>
    <w:basedOn w:val="727"/>
    <w:qFormat/>
    <w:pPr>
      <w:contextualSpacing/>
      <w:ind w:left="100" w:hanging="200"/>
    </w:pPr>
  </w:style>
  <w:style w:type="paragraph" w:styleId="732">
    <w:name w:val="toc 7"/>
    <w:basedOn w:val="727"/>
    <w:next w:val="727"/>
    <w:qFormat/>
    <w:pPr>
      <w:ind w:left="1260"/>
      <w:jc w:val="left"/>
    </w:pPr>
    <w:rPr>
      <w:sz w:val="18"/>
      <w:szCs w:val="18"/>
    </w:rPr>
  </w:style>
  <w:style w:type="paragraph" w:styleId="733">
    <w:name w:val="Note Heading"/>
    <w:basedOn w:val="727"/>
    <w:next w:val="727"/>
    <w:qFormat/>
    <w:rPr>
      <w:rFonts w:ascii="Verdana" w:hAnsi="Verdana"/>
      <w:szCs w:val="20"/>
    </w:rPr>
  </w:style>
  <w:style w:type="paragraph" w:styleId="734">
    <w:name w:val="List Number"/>
    <w:basedOn w:val="727"/>
    <w:qFormat/>
    <w:pPr>
      <w:ind w:left="454" w:hanging="284"/>
      <w:jc w:val="left"/>
      <w:spacing w:after="50"/>
      <w:widowControl/>
      <w:tabs>
        <w:tab w:val="left" w:pos="454" w:leader="none"/>
        <w:tab w:val="left" w:pos="720" w:leader="none"/>
      </w:tabs>
    </w:pPr>
    <w:rPr>
      <w:sz w:val="24"/>
      <w:szCs w:val="20"/>
    </w:rPr>
  </w:style>
  <w:style w:type="paragraph" w:styleId="735">
    <w:name w:val="Normal Indent"/>
    <w:basedOn w:val="727"/>
    <w:next w:val="727"/>
    <w:link w:val="956"/>
    <w:qFormat/>
    <w:pPr>
      <w:ind w:firstLine="200"/>
    </w:pPr>
  </w:style>
  <w:style w:type="paragraph" w:styleId="736">
    <w:name w:val="index 5"/>
    <w:basedOn w:val="727"/>
    <w:next w:val="727"/>
    <w:qFormat/>
    <w:pPr>
      <w:ind w:left="1680"/>
    </w:pPr>
  </w:style>
  <w:style w:type="paragraph" w:styleId="737">
    <w:name w:val="annotation text"/>
    <w:basedOn w:val="727"/>
    <w:semiHidden/>
    <w:qFormat/>
    <w:pPr>
      <w:jc w:val="left"/>
    </w:pPr>
  </w:style>
  <w:style w:type="paragraph" w:styleId="738">
    <w:name w:val="Body Text 3"/>
    <w:basedOn w:val="727"/>
    <w:qFormat/>
    <w:pPr>
      <w:spacing w:after="120"/>
    </w:pPr>
    <w:rPr>
      <w:sz w:val="16"/>
      <w:szCs w:val="16"/>
    </w:rPr>
  </w:style>
  <w:style w:type="paragraph" w:styleId="739">
    <w:name w:val="Body Text"/>
    <w:basedOn w:val="727"/>
    <w:next w:val="727"/>
    <w:link w:val="957"/>
    <w:qFormat/>
    <w:pPr>
      <w:spacing w:after="120"/>
    </w:pPr>
  </w:style>
  <w:style w:type="paragraph" w:styleId="740">
    <w:name w:val="Body Text Indent"/>
    <w:basedOn w:val="727"/>
    <w:next w:val="741"/>
    <w:qFormat/>
    <w:pPr>
      <w:ind w:left="200"/>
      <w:spacing w:after="120"/>
    </w:pPr>
  </w:style>
  <w:style w:type="paragraph" w:styleId="741">
    <w:name w:val="envelope return"/>
    <w:basedOn w:val="742"/>
    <w:qFormat/>
    <w:rPr>
      <w:rFonts w:ascii="Arial" w:hAnsi="Arial"/>
    </w:rPr>
  </w:style>
  <w:style w:type="paragraph" w:styleId="742" w:customStyle="1">
    <w:name w:val="Normal_19"/>
    <w:next w:val="743"/>
    <w:qFormat/>
    <w:pPr>
      <w:jc w:val="both"/>
      <w:widowControl w:val="off"/>
    </w:pPr>
    <w:rPr>
      <w:rFonts w:ascii="Calibri" w:hAnsi="Calibri"/>
      <w:sz w:val="21"/>
      <w:szCs w:val="24"/>
    </w:rPr>
  </w:style>
  <w:style w:type="paragraph" w:styleId="743" w:customStyle="1">
    <w:name w:val="正文文本缩进1"/>
    <w:basedOn w:val="742"/>
    <w:next w:val="741"/>
    <w:qFormat/>
    <w:pPr>
      <w:ind w:firstLine="225"/>
    </w:pPr>
    <w:rPr>
      <w:rFonts w:ascii="仿宋_GB2312" w:eastAsia="仿宋_GB2312"/>
      <w:sz w:val="32"/>
    </w:rPr>
  </w:style>
  <w:style w:type="paragraph" w:styleId="744">
    <w:name w:val="List 2"/>
    <w:basedOn w:val="727"/>
    <w:qFormat/>
    <w:pPr>
      <w:ind w:left="400" w:hanging="200"/>
    </w:pPr>
  </w:style>
  <w:style w:type="paragraph" w:styleId="745">
    <w:name w:val="index 4"/>
    <w:basedOn w:val="727"/>
    <w:next w:val="727"/>
    <w:qFormat/>
    <w:pPr>
      <w:ind w:left="600"/>
    </w:pPr>
    <w:rPr>
      <w:rFonts w:ascii="Verdana" w:hAnsi="Verdana"/>
      <w:szCs w:val="20"/>
    </w:rPr>
  </w:style>
  <w:style w:type="paragraph" w:styleId="746">
    <w:name w:val="toc 5"/>
    <w:basedOn w:val="727"/>
    <w:next w:val="727"/>
    <w:qFormat/>
    <w:pPr>
      <w:ind w:left="840"/>
      <w:jc w:val="left"/>
    </w:pPr>
    <w:rPr>
      <w:sz w:val="18"/>
      <w:szCs w:val="18"/>
    </w:rPr>
  </w:style>
  <w:style w:type="paragraph" w:styleId="747">
    <w:name w:val="toc 3"/>
    <w:basedOn w:val="727"/>
    <w:next w:val="727"/>
    <w:qFormat/>
    <w:pPr>
      <w:ind w:left="420"/>
      <w:jc w:val="left"/>
    </w:pPr>
    <w:rPr>
      <w:i/>
      <w:iCs/>
      <w:sz w:val="20"/>
      <w:szCs w:val="20"/>
    </w:rPr>
  </w:style>
  <w:style w:type="paragraph" w:styleId="748">
    <w:name w:val="Plain Text"/>
    <w:basedOn w:val="727"/>
    <w:next w:val="735"/>
    <w:link w:val="958"/>
    <w:qFormat/>
    <w:rPr>
      <w:rFonts w:ascii="宋体"/>
    </w:rPr>
  </w:style>
  <w:style w:type="paragraph" w:styleId="749">
    <w:name w:val="toc 8"/>
    <w:basedOn w:val="727"/>
    <w:next w:val="727"/>
    <w:qFormat/>
    <w:pPr>
      <w:ind w:left="1470"/>
      <w:jc w:val="left"/>
    </w:pPr>
    <w:rPr>
      <w:sz w:val="18"/>
      <w:szCs w:val="18"/>
    </w:rPr>
  </w:style>
  <w:style w:type="paragraph" w:styleId="750">
    <w:name w:val="Date"/>
    <w:basedOn w:val="727"/>
    <w:next w:val="727"/>
    <w:qFormat/>
    <w:pPr>
      <w:ind w:left="100"/>
    </w:pPr>
    <w:rPr>
      <w:sz w:val="28"/>
      <w:szCs w:val="20"/>
    </w:rPr>
  </w:style>
  <w:style w:type="paragraph" w:styleId="751">
    <w:name w:val="Body Text Indent 2"/>
    <w:basedOn w:val="727"/>
    <w:qFormat/>
    <w:pPr>
      <w:ind w:firstLine="200"/>
      <w:jc w:val="left"/>
      <w:spacing w:line="360" w:lineRule="auto"/>
    </w:pPr>
    <w:rPr>
      <w:rFonts w:ascii="仿宋_GB2312" w:eastAsia="仿宋_GB2312"/>
      <w:b/>
      <w:bCs/>
      <w:sz w:val="24"/>
    </w:rPr>
  </w:style>
  <w:style w:type="paragraph" w:styleId="752">
    <w:name w:val="endnote text"/>
    <w:basedOn w:val="727"/>
    <w:link w:val="946"/>
    <w:uiPriority w:val="99"/>
    <w:semiHidden/>
    <w:unhideWhenUsed/>
    <w:qFormat/>
    <w:rPr>
      <w:sz w:val="20"/>
    </w:rPr>
  </w:style>
  <w:style w:type="paragraph" w:styleId="753">
    <w:name w:val="Balloon Text"/>
    <w:basedOn w:val="727"/>
    <w:qFormat/>
    <w:rPr>
      <w:sz w:val="18"/>
      <w:szCs w:val="18"/>
    </w:rPr>
  </w:style>
  <w:style w:type="paragraph" w:styleId="754">
    <w:name w:val="Footer"/>
    <w:basedOn w:val="727"/>
    <w:link w:val="1061"/>
    <w:uiPriority w:val="99"/>
    <w:semiHidden/>
    <w:unhideWhenUsed/>
    <w:qFormat/>
    <w:pPr>
      <w:jc w:val="left"/>
      <w:tabs>
        <w:tab w:val="center" w:pos="4153" w:leader="none"/>
        <w:tab w:val="right" w:pos="8306" w:leader="none"/>
      </w:tabs>
    </w:pPr>
    <w:rPr>
      <w:sz w:val="18"/>
      <w:szCs w:val="18"/>
    </w:rPr>
  </w:style>
  <w:style w:type="paragraph" w:styleId="755">
    <w:name w:val="Header"/>
    <w:basedOn w:val="727"/>
    <w:link w:val="106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56">
    <w:name w:val="toc 1"/>
    <w:basedOn w:val="727"/>
    <w:next w:val="727"/>
    <w:qFormat/>
    <w:pPr>
      <w:jc w:val="left"/>
      <w:spacing w:before="120" w:after="120"/>
    </w:pPr>
    <w:rPr>
      <w:b/>
      <w:bCs/>
      <w:caps/>
      <w:sz w:val="20"/>
      <w:szCs w:val="20"/>
    </w:rPr>
  </w:style>
  <w:style w:type="paragraph" w:styleId="757">
    <w:name w:val="toc 4"/>
    <w:basedOn w:val="727"/>
    <w:next w:val="727"/>
    <w:qFormat/>
    <w:pPr>
      <w:ind w:left="630"/>
      <w:jc w:val="left"/>
    </w:pPr>
    <w:rPr>
      <w:sz w:val="18"/>
      <w:szCs w:val="18"/>
    </w:rPr>
  </w:style>
  <w:style w:type="paragraph" w:styleId="758">
    <w:name w:val="Subtitle"/>
    <w:basedOn w:val="727"/>
    <w:next w:val="727"/>
    <w:link w:val="812"/>
    <w:uiPriority w:val="11"/>
    <w:qFormat/>
    <w:pPr>
      <w:spacing w:before="200" w:after="200"/>
    </w:pPr>
    <w:rPr>
      <w:sz w:val="24"/>
    </w:rPr>
  </w:style>
  <w:style w:type="paragraph" w:styleId="759">
    <w:name w:val="footnote text"/>
    <w:basedOn w:val="727"/>
    <w:link w:val="960"/>
    <w:qFormat/>
    <w:pPr>
      <w:jc w:val="left"/>
    </w:pPr>
    <w:rPr>
      <w:sz w:val="18"/>
      <w:szCs w:val="18"/>
    </w:rPr>
  </w:style>
  <w:style w:type="paragraph" w:styleId="760">
    <w:name w:val="toc 6"/>
    <w:basedOn w:val="727"/>
    <w:next w:val="727"/>
    <w:qFormat/>
    <w:pPr>
      <w:ind w:left="1050"/>
      <w:jc w:val="left"/>
    </w:pPr>
    <w:rPr>
      <w:sz w:val="18"/>
      <w:szCs w:val="18"/>
    </w:rPr>
  </w:style>
  <w:style w:type="paragraph" w:styleId="761">
    <w:name w:val="Body Text Indent 3"/>
    <w:basedOn w:val="727"/>
    <w:qFormat/>
    <w:pPr>
      <w:ind w:firstLine="570"/>
    </w:pPr>
    <w:rPr>
      <w:rFonts w:ascii="楷体_GB2312" w:eastAsia="楷体_GB2312"/>
      <w:sz w:val="32"/>
      <w:szCs w:val="20"/>
    </w:rPr>
  </w:style>
  <w:style w:type="paragraph" w:styleId="762">
    <w:name w:val="index 9"/>
    <w:basedOn w:val="727"/>
    <w:next w:val="727"/>
    <w:qFormat/>
    <w:pPr>
      <w:ind w:left="3360"/>
    </w:pPr>
  </w:style>
  <w:style w:type="paragraph" w:styleId="763">
    <w:name w:val="table of figures"/>
    <w:basedOn w:val="727"/>
    <w:next w:val="727"/>
    <w:uiPriority w:val="99"/>
    <w:unhideWhenUsed/>
    <w:qFormat/>
  </w:style>
  <w:style w:type="paragraph" w:styleId="764">
    <w:name w:val="toc 2"/>
    <w:basedOn w:val="727"/>
    <w:next w:val="727"/>
    <w:qFormat/>
    <w:pPr>
      <w:ind w:left="210"/>
      <w:jc w:val="left"/>
    </w:pPr>
    <w:rPr>
      <w:smallCaps/>
      <w:sz w:val="20"/>
      <w:szCs w:val="20"/>
    </w:rPr>
  </w:style>
  <w:style w:type="paragraph" w:styleId="765">
    <w:name w:val="toc 9"/>
    <w:basedOn w:val="727"/>
    <w:next w:val="727"/>
    <w:qFormat/>
    <w:pPr>
      <w:ind w:left="1680"/>
      <w:jc w:val="left"/>
    </w:pPr>
    <w:rPr>
      <w:sz w:val="18"/>
      <w:szCs w:val="18"/>
    </w:rPr>
  </w:style>
  <w:style w:type="paragraph" w:styleId="766">
    <w:name w:val="Body Text 2"/>
    <w:basedOn w:val="727"/>
    <w:qFormat/>
    <w:pPr>
      <w:jc w:val="left"/>
    </w:pPr>
    <w:rPr>
      <w:rFonts w:eastAsia="楷体_GB2312"/>
    </w:rPr>
  </w:style>
  <w:style w:type="paragraph" w:styleId="767">
    <w:name w:val="Normal (Web)"/>
    <w:basedOn w:val="727"/>
    <w:uiPriority w:val="99"/>
    <w:qFormat/>
    <w:pPr>
      <w:jc w:val="left"/>
      <w:spacing w:before="100" w:beforeAutospacing="1" w:after="100" w:afterAutospacing="1"/>
      <w:widowControl/>
    </w:pPr>
    <w:rPr>
      <w:rFonts w:ascii="宋体"/>
      <w:color w:val="000000"/>
      <w:sz w:val="24"/>
    </w:rPr>
  </w:style>
  <w:style w:type="paragraph" w:styleId="768">
    <w:name w:val="Title"/>
    <w:basedOn w:val="727"/>
    <w:link w:val="961"/>
    <w:qFormat/>
    <w:pPr>
      <w:jc w:val="center"/>
      <w:widowControl/>
    </w:pPr>
    <w:rPr>
      <w:b/>
      <w:sz w:val="24"/>
      <w:szCs w:val="20"/>
      <w:lang w:val="en-GB" w:eastAsia="en-GB"/>
    </w:rPr>
  </w:style>
  <w:style w:type="paragraph" w:styleId="769">
    <w:name w:val="annotation subject"/>
    <w:basedOn w:val="737"/>
    <w:next w:val="737"/>
    <w:semiHidden/>
    <w:qFormat/>
    <w:rPr>
      <w:b/>
      <w:bCs/>
    </w:rPr>
  </w:style>
  <w:style w:type="paragraph" w:styleId="770">
    <w:name w:val="Body Text First Indent"/>
    <w:basedOn w:val="739"/>
    <w:next w:val="771"/>
    <w:link w:val="962"/>
    <w:qFormat/>
    <w:pPr>
      <w:ind w:firstLine="420"/>
    </w:pPr>
  </w:style>
  <w:style w:type="paragraph" w:styleId="771">
    <w:name w:val="Body Text First Indent 2"/>
    <w:basedOn w:val="740"/>
    <w:next w:val="727"/>
    <w:semiHidden/>
    <w:qFormat/>
    <w:pPr>
      <w:ind w:firstLine="420"/>
    </w:pPr>
  </w:style>
  <w:style w:type="table" w:styleId="772">
    <w:name w:val="Table Grid"/>
    <w:basedOn w:val="72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uiPriority w:val="22"/>
    <w:qFormat/>
    <w:rPr>
      <w:b/>
      <w:bCs/>
    </w:rPr>
  </w:style>
  <w:style w:type="character" w:styleId="774">
    <w:name w:val="endnote reference"/>
    <w:basedOn w:val="728"/>
    <w:uiPriority w:val="99"/>
    <w:semiHidden/>
    <w:unhideWhenUsed/>
    <w:qFormat/>
    <w:rPr>
      <w:vertAlign w:val="superscript"/>
    </w:rPr>
  </w:style>
  <w:style w:type="character" w:styleId="775">
    <w:name w:val="page number"/>
    <w:basedOn w:val="728"/>
    <w:qFormat/>
  </w:style>
  <w:style w:type="character" w:styleId="776">
    <w:name w:val="FollowedHyperlink"/>
    <w:basedOn w:val="728"/>
    <w:qFormat/>
    <w:rPr>
      <w:color w:val="800080"/>
      <w:u w:val="none"/>
    </w:rPr>
  </w:style>
  <w:style w:type="character" w:styleId="777">
    <w:name w:val="Emphasis"/>
    <w:basedOn w:val="728"/>
    <w:qFormat/>
  </w:style>
  <w:style w:type="character" w:styleId="778">
    <w:name w:val="HTML Definition"/>
    <w:basedOn w:val="728"/>
    <w:qFormat/>
  </w:style>
  <w:style w:type="character" w:styleId="779">
    <w:name w:val="HTML Typewriter"/>
    <w:basedOn w:val="728"/>
    <w:qFormat/>
    <w:rPr>
      <w:rFonts w:ascii="monospace" w:hAnsi="monospace" w:eastAsia="monospace" w:cs="monospace"/>
      <w:sz w:val="20"/>
    </w:rPr>
  </w:style>
  <w:style w:type="character" w:styleId="780">
    <w:name w:val="HTML Acronym"/>
    <w:basedOn w:val="728"/>
    <w:qFormat/>
  </w:style>
  <w:style w:type="character" w:styleId="781">
    <w:name w:val="HTML Variable"/>
    <w:basedOn w:val="728"/>
    <w:qFormat/>
  </w:style>
  <w:style w:type="character" w:styleId="782">
    <w:name w:val="Hyperlink"/>
    <w:basedOn w:val="728"/>
    <w:qFormat/>
    <w:rPr>
      <w:color w:val="0000ff"/>
      <w:u w:val="none"/>
    </w:rPr>
  </w:style>
  <w:style w:type="character" w:styleId="783">
    <w:name w:val="HTML Code"/>
    <w:basedOn w:val="728"/>
    <w:qFormat/>
    <w:rPr>
      <w:rFonts w:hint="default" w:ascii="monospace" w:hAnsi="monospace" w:eastAsia="monospace" w:cs="monospace"/>
      <w:sz w:val="20"/>
    </w:rPr>
  </w:style>
  <w:style w:type="character" w:styleId="784">
    <w:name w:val="annotation reference"/>
    <w:qFormat/>
    <w:rPr>
      <w:sz w:val="21"/>
    </w:rPr>
  </w:style>
  <w:style w:type="character" w:styleId="785">
    <w:name w:val="HTML Cite"/>
    <w:basedOn w:val="728"/>
    <w:qFormat/>
  </w:style>
  <w:style w:type="character" w:styleId="786">
    <w:name w:val="footnote reference"/>
    <w:basedOn w:val="728"/>
    <w:qFormat/>
    <w:rPr>
      <w:vertAlign w:val="superscript"/>
    </w:rPr>
  </w:style>
  <w:style w:type="character" w:styleId="787">
    <w:name w:val="HTML Keyboard"/>
    <w:basedOn w:val="728"/>
    <w:qFormat/>
    <w:rPr>
      <w:rFonts w:hint="default" w:ascii="monospace" w:hAnsi="monospace" w:eastAsia="monospace" w:cs="monospace"/>
      <w:sz w:val="20"/>
    </w:rPr>
  </w:style>
  <w:style w:type="character" w:styleId="788">
    <w:name w:val="HTML Sample"/>
    <w:basedOn w:val="728"/>
    <w:qFormat/>
    <w:rPr>
      <w:rFonts w:hint="default" w:ascii="monospace" w:hAnsi="monospace" w:eastAsia="monospace" w:cs="monospace"/>
    </w:rPr>
  </w:style>
  <w:style w:type="paragraph" w:styleId="789" w:customStyle="1">
    <w:name w:val="Heading 1"/>
    <w:basedOn w:val="727"/>
    <w:next w:val="727"/>
    <w:link w:val="948"/>
    <w:qFormat/>
    <w:pPr>
      <w:jc w:val="center"/>
      <w:keepLines/>
      <w:keepNext/>
      <w:spacing w:line="360" w:lineRule="auto"/>
      <w:tabs>
        <w:tab w:val="left" w:pos="360" w:leader="none"/>
      </w:tabs>
      <w:outlineLvl w:val="0"/>
    </w:pPr>
    <w:rPr>
      <w:rFonts w:ascii="宋体" w:hAnsi="宋体"/>
      <w:b/>
      <w:color w:val="000000"/>
      <w:sz w:val="36"/>
      <w:szCs w:val="20"/>
    </w:rPr>
  </w:style>
  <w:style w:type="paragraph" w:styleId="790" w:customStyle="1">
    <w:name w:val="Heading 2"/>
    <w:basedOn w:val="727"/>
    <w:next w:val="727"/>
    <w:link w:val="949"/>
    <w:qFormat/>
    <w:pPr>
      <w:keepLines/>
      <w:keepNext/>
      <w:spacing w:before="260" w:after="260" w:line="412" w:lineRule="auto"/>
      <w:outlineLvl w:val="1"/>
    </w:pPr>
    <w:rPr>
      <w:rFonts w:ascii="Arial" w:hAnsi="Arial" w:eastAsia="黑体"/>
      <w:b/>
      <w:bCs/>
      <w:sz w:val="32"/>
      <w:szCs w:val="32"/>
    </w:rPr>
  </w:style>
  <w:style w:type="paragraph" w:styleId="791" w:customStyle="1">
    <w:name w:val="Heading 3"/>
    <w:basedOn w:val="727"/>
    <w:next w:val="727"/>
    <w:link w:val="950"/>
    <w:qFormat/>
    <w:pPr>
      <w:ind w:left="709" w:hanging="709"/>
      <w:spacing w:line="300" w:lineRule="auto"/>
      <w:tabs>
        <w:tab w:val="left" w:pos="709" w:leader="none"/>
      </w:tabs>
      <w:outlineLvl w:val="2"/>
    </w:pPr>
    <w:rPr>
      <w:rFonts w:ascii="黑体" w:eastAsia="黑体"/>
      <w:b/>
      <w:color w:val="000000"/>
      <w:sz w:val="28"/>
      <w:szCs w:val="20"/>
    </w:rPr>
  </w:style>
  <w:style w:type="paragraph" w:styleId="792" w:customStyle="1">
    <w:name w:val="Heading 4"/>
    <w:basedOn w:val="727"/>
    <w:next w:val="727"/>
    <w:link w:val="951"/>
    <w:qFormat/>
    <w:pPr>
      <w:keepLines/>
      <w:keepNext/>
      <w:spacing w:before="280" w:after="290" w:line="372" w:lineRule="auto"/>
      <w:outlineLvl w:val="3"/>
    </w:pPr>
    <w:rPr>
      <w:rFonts w:ascii="Arial" w:hAnsi="Arial" w:eastAsia="黑体"/>
      <w:b/>
      <w:bCs/>
      <w:sz w:val="28"/>
      <w:szCs w:val="28"/>
    </w:rPr>
  </w:style>
  <w:style w:type="paragraph" w:styleId="793" w:customStyle="1">
    <w:name w:val="Heading 5"/>
    <w:basedOn w:val="727"/>
    <w:next w:val="794"/>
    <w:link w:val="952"/>
    <w:qFormat/>
    <w:pPr>
      <w:ind w:left="2100" w:hanging="420"/>
      <w:keepLines/>
      <w:keepNext/>
      <w:spacing w:before="280" w:after="290"/>
      <w:tabs>
        <w:tab w:val="left" w:pos="2100" w:leader="none"/>
      </w:tabs>
      <w:outlineLvl w:val="4"/>
    </w:pPr>
    <w:rPr>
      <w:rFonts w:eastAsia="黑体"/>
      <w:b/>
      <w:bCs/>
      <w:sz w:val="28"/>
      <w:szCs w:val="28"/>
    </w:rPr>
  </w:style>
  <w:style w:type="paragraph" w:styleId="794" w:customStyle="1">
    <w:name w:val="文章正文"/>
    <w:basedOn w:val="727"/>
    <w:qFormat/>
    <w:pPr>
      <w:ind w:firstLine="560"/>
      <w:spacing w:line="360" w:lineRule="auto"/>
    </w:pPr>
    <w:rPr>
      <w:rFonts w:eastAsia="仿宋_GB2312"/>
      <w:sz w:val="28"/>
    </w:rPr>
  </w:style>
  <w:style w:type="paragraph" w:styleId="795" w:customStyle="1">
    <w:name w:val="Heading 6"/>
    <w:basedOn w:val="727"/>
    <w:next w:val="794"/>
    <w:link w:val="953"/>
    <w:qFormat/>
    <w:pPr>
      <w:ind w:left="2520" w:hanging="420"/>
      <w:keepLines/>
      <w:keepNext/>
      <w:spacing w:before="240" w:after="64" w:line="320" w:lineRule="auto"/>
      <w:tabs>
        <w:tab w:val="left" w:pos="2520" w:leader="none"/>
      </w:tabs>
      <w:outlineLvl w:val="5"/>
    </w:pPr>
    <w:rPr>
      <w:rFonts w:eastAsia="黑体"/>
      <w:b/>
      <w:bCs/>
      <w:sz w:val="28"/>
    </w:rPr>
  </w:style>
  <w:style w:type="paragraph" w:styleId="796" w:customStyle="1">
    <w:name w:val="Heading 7"/>
    <w:basedOn w:val="727"/>
    <w:next w:val="727"/>
    <w:link w:val="954"/>
    <w:qFormat/>
    <w:pPr>
      <w:ind w:left="2940" w:hanging="420"/>
      <w:keepLines/>
      <w:keepNext/>
      <w:spacing w:before="240" w:after="64" w:line="320" w:lineRule="auto"/>
      <w:tabs>
        <w:tab w:val="left" w:pos="2940" w:leader="none"/>
      </w:tabs>
      <w:outlineLvl w:val="6"/>
    </w:pPr>
    <w:rPr>
      <w:rFonts w:eastAsia="黑体"/>
      <w:b/>
      <w:bCs/>
      <w:sz w:val="24"/>
    </w:rPr>
  </w:style>
  <w:style w:type="paragraph" w:styleId="797" w:customStyle="1">
    <w:name w:val="Heading 8"/>
    <w:basedOn w:val="727"/>
    <w:next w:val="727"/>
    <w:link w:val="809"/>
    <w:uiPriority w:val="9"/>
    <w:unhideWhenUsed/>
    <w:qFormat/>
    <w:pPr>
      <w:keepLines/>
      <w:keepNext/>
      <w:spacing w:before="320" w:after="200"/>
      <w:outlineLvl w:val="7"/>
    </w:pPr>
    <w:rPr>
      <w:rFonts w:ascii="Arial" w:hAnsi="Arial" w:eastAsia="Arial" w:cs="Arial"/>
      <w:i/>
      <w:iCs/>
      <w:sz w:val="22"/>
      <w:szCs w:val="22"/>
    </w:rPr>
  </w:style>
  <w:style w:type="paragraph" w:styleId="798" w:customStyle="1">
    <w:name w:val="Heading 9"/>
    <w:basedOn w:val="727"/>
    <w:next w:val="727"/>
    <w:link w:val="955"/>
    <w:qFormat/>
    <w:pPr>
      <w:ind w:left="3780" w:hanging="420"/>
      <w:keepLines/>
      <w:keepNext/>
      <w:spacing w:before="240" w:after="64" w:line="320" w:lineRule="auto"/>
      <w:tabs>
        <w:tab w:val="left" w:pos="3780" w:leader="none"/>
      </w:tabs>
      <w:outlineLvl w:val="8"/>
    </w:pPr>
    <w:rPr>
      <w:sz w:val="24"/>
      <w:szCs w:val="21"/>
    </w:rPr>
  </w:style>
  <w:style w:type="paragraph" w:styleId="799" w:customStyle="1">
    <w:name w:val="Caption"/>
    <w:basedOn w:val="727"/>
    <w:next w:val="727"/>
    <w:uiPriority w:val="35"/>
    <w:semiHidden/>
    <w:unhideWhenUsed/>
    <w:qFormat/>
    <w:pPr>
      <w:spacing w:line="276" w:lineRule="auto"/>
    </w:pPr>
    <w:rPr>
      <w:b/>
      <w:bCs/>
      <w:color w:val="4f81bd" w:themeColor="accent1"/>
      <w:sz w:val="18"/>
      <w:szCs w:val="18"/>
    </w:rPr>
  </w:style>
  <w:style w:type="paragraph" w:styleId="800" w:customStyle="1">
    <w:name w:val="Footer"/>
    <w:basedOn w:val="727"/>
    <w:link w:val="959"/>
    <w:uiPriority w:val="99"/>
    <w:qFormat/>
    <w:pPr>
      <w:jc w:val="left"/>
      <w:tabs>
        <w:tab w:val="center" w:pos="4153" w:leader="none"/>
        <w:tab w:val="right" w:pos="8306" w:leader="none"/>
      </w:tabs>
    </w:pPr>
    <w:rPr>
      <w:sz w:val="18"/>
      <w:szCs w:val="18"/>
    </w:rPr>
  </w:style>
  <w:style w:type="paragraph" w:styleId="801" w:customStyle="1">
    <w:name w:val="Header"/>
    <w:basedOn w:val="727"/>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character" w:styleId="802" w:customStyle="1">
    <w:name w:val="Heading 1 Char"/>
    <w:basedOn w:val="728"/>
    <w:uiPriority w:val="9"/>
    <w:qFormat/>
    <w:rPr>
      <w:rFonts w:ascii="Arial" w:hAnsi="Arial" w:eastAsia="Arial" w:cs="Arial"/>
      <w:sz w:val="40"/>
      <w:szCs w:val="40"/>
    </w:rPr>
  </w:style>
  <w:style w:type="character" w:styleId="803" w:customStyle="1">
    <w:name w:val="Heading 2 Char"/>
    <w:basedOn w:val="728"/>
    <w:uiPriority w:val="9"/>
    <w:qFormat/>
    <w:rPr>
      <w:rFonts w:ascii="Arial" w:hAnsi="Arial" w:eastAsia="Arial" w:cs="Arial"/>
      <w:sz w:val="34"/>
    </w:rPr>
  </w:style>
  <w:style w:type="character" w:styleId="804" w:customStyle="1">
    <w:name w:val="Heading 3 Char"/>
    <w:basedOn w:val="728"/>
    <w:uiPriority w:val="9"/>
    <w:qFormat/>
    <w:rPr>
      <w:rFonts w:ascii="Arial" w:hAnsi="Arial" w:eastAsia="Arial" w:cs="Arial"/>
      <w:sz w:val="30"/>
      <w:szCs w:val="30"/>
    </w:rPr>
  </w:style>
  <w:style w:type="character" w:styleId="805" w:customStyle="1">
    <w:name w:val="Heading 4 Char"/>
    <w:basedOn w:val="728"/>
    <w:uiPriority w:val="9"/>
    <w:qFormat/>
    <w:rPr>
      <w:rFonts w:ascii="Arial" w:hAnsi="Arial" w:eastAsia="Arial" w:cs="Arial"/>
      <w:b/>
      <w:bCs/>
      <w:sz w:val="26"/>
      <w:szCs w:val="26"/>
    </w:rPr>
  </w:style>
  <w:style w:type="character" w:styleId="806" w:customStyle="1">
    <w:name w:val="Heading 5 Char"/>
    <w:basedOn w:val="728"/>
    <w:uiPriority w:val="9"/>
    <w:qFormat/>
    <w:rPr>
      <w:rFonts w:ascii="Arial" w:hAnsi="Arial" w:eastAsia="Arial" w:cs="Arial"/>
      <w:b/>
      <w:bCs/>
      <w:sz w:val="24"/>
      <w:szCs w:val="24"/>
    </w:rPr>
  </w:style>
  <w:style w:type="character" w:styleId="807" w:customStyle="1">
    <w:name w:val="Heading 6 Char"/>
    <w:basedOn w:val="728"/>
    <w:uiPriority w:val="9"/>
    <w:qFormat/>
    <w:rPr>
      <w:rFonts w:ascii="Arial" w:hAnsi="Arial" w:eastAsia="Arial" w:cs="Arial"/>
      <w:b/>
      <w:bCs/>
      <w:sz w:val="22"/>
      <w:szCs w:val="22"/>
    </w:rPr>
  </w:style>
  <w:style w:type="character" w:styleId="808" w:customStyle="1">
    <w:name w:val="Heading 7 Char"/>
    <w:basedOn w:val="728"/>
    <w:uiPriority w:val="9"/>
    <w:qFormat/>
    <w:rPr>
      <w:rFonts w:ascii="Arial" w:hAnsi="Arial" w:eastAsia="Arial" w:cs="Arial"/>
      <w:b/>
      <w:bCs/>
      <w:i/>
      <w:iCs/>
      <w:sz w:val="22"/>
      <w:szCs w:val="22"/>
    </w:rPr>
  </w:style>
  <w:style w:type="character" w:styleId="809" w:customStyle="1">
    <w:name w:val="Heading 8 Char"/>
    <w:basedOn w:val="728"/>
    <w:link w:val="797"/>
    <w:uiPriority w:val="9"/>
    <w:qFormat/>
    <w:rPr>
      <w:rFonts w:ascii="Arial" w:hAnsi="Arial" w:eastAsia="Arial" w:cs="Arial"/>
      <w:i/>
      <w:iCs/>
      <w:sz w:val="22"/>
      <w:szCs w:val="22"/>
    </w:rPr>
  </w:style>
  <w:style w:type="character" w:styleId="810" w:customStyle="1">
    <w:name w:val="Heading 9 Char"/>
    <w:basedOn w:val="728"/>
    <w:uiPriority w:val="9"/>
    <w:qFormat/>
    <w:rPr>
      <w:rFonts w:ascii="Arial" w:hAnsi="Arial" w:eastAsia="Arial" w:cs="Arial"/>
      <w:i/>
      <w:iCs/>
      <w:sz w:val="21"/>
      <w:szCs w:val="21"/>
    </w:rPr>
  </w:style>
  <w:style w:type="character" w:styleId="811" w:customStyle="1">
    <w:name w:val="Title Char"/>
    <w:basedOn w:val="728"/>
    <w:uiPriority w:val="10"/>
    <w:qFormat/>
    <w:rPr>
      <w:sz w:val="48"/>
      <w:szCs w:val="48"/>
    </w:rPr>
  </w:style>
  <w:style w:type="character" w:styleId="812" w:customStyle="1">
    <w:name w:val="副标题 Char"/>
    <w:basedOn w:val="728"/>
    <w:link w:val="758"/>
    <w:uiPriority w:val="11"/>
    <w:qFormat/>
    <w:rPr>
      <w:sz w:val="24"/>
      <w:szCs w:val="24"/>
    </w:rPr>
  </w:style>
  <w:style w:type="paragraph" w:styleId="813">
    <w:name w:val="Quote"/>
    <w:basedOn w:val="727"/>
    <w:next w:val="727"/>
    <w:link w:val="814"/>
    <w:uiPriority w:val="29"/>
    <w:qFormat/>
    <w:pPr>
      <w:ind w:left="720" w:right="720"/>
    </w:pPr>
    <w:rPr>
      <w:i/>
    </w:rPr>
  </w:style>
  <w:style w:type="character" w:styleId="814" w:customStyle="1">
    <w:name w:val="引用 Char"/>
    <w:link w:val="813"/>
    <w:uiPriority w:val="29"/>
    <w:qFormat/>
    <w:rPr>
      <w:i/>
    </w:rPr>
  </w:style>
  <w:style w:type="paragraph" w:styleId="815">
    <w:name w:val="Intense Quote"/>
    <w:basedOn w:val="727"/>
    <w:next w:val="727"/>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Char"/>
    <w:link w:val="815"/>
    <w:uiPriority w:val="30"/>
    <w:qFormat/>
    <w:rPr>
      <w:i/>
    </w:rPr>
  </w:style>
  <w:style w:type="character" w:styleId="817" w:customStyle="1">
    <w:name w:val="Header Char"/>
    <w:basedOn w:val="728"/>
    <w:uiPriority w:val="99"/>
    <w:qFormat/>
  </w:style>
  <w:style w:type="character" w:styleId="818" w:customStyle="1">
    <w:name w:val="Footer Char"/>
    <w:basedOn w:val="728"/>
    <w:uiPriority w:val="99"/>
    <w:qFormat/>
  </w:style>
  <w:style w:type="character" w:styleId="819" w:customStyle="1">
    <w:name w:val="Caption Char"/>
    <w:uiPriority w:val="99"/>
    <w:qFormat/>
  </w:style>
  <w:style w:type="table" w:styleId="820" w:customStyle="1">
    <w:name w:val="Table Grid Light"/>
    <w:basedOn w:val="72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1" w:customStyle="1">
    <w:name w:val="Plain Table 1"/>
    <w:basedOn w:val="72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29"/>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2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2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2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29"/>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29"/>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29"/>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29"/>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29"/>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29"/>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29"/>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2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29"/>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29"/>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29"/>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29"/>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29"/>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29"/>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basedOn w:val="72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29"/>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29"/>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29"/>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29"/>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29"/>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29"/>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29"/>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29"/>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9" w:customStyle="1">
    <w:name w:val="Grid Table 4 - Accent 2"/>
    <w:basedOn w:val="729"/>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0" w:customStyle="1">
    <w:name w:val="Grid Table 4 - Accent 3"/>
    <w:basedOn w:val="729"/>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1" w:customStyle="1">
    <w:name w:val="Grid Table 4 - Accent 4"/>
    <w:basedOn w:val="729"/>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basedOn w:val="729"/>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basedOn w:val="729"/>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basedOn w:val="72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2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basedOn w:val="72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basedOn w:val="72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basedOn w:val="72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basedOn w:val="72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basedOn w:val="72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basedOn w:val="729"/>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2" w:customStyle="1">
    <w:name w:val="Grid Table 6 Colorful - Accent 1"/>
    <w:basedOn w:val="729"/>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3" w:customStyle="1">
    <w:name w:val="Grid Table 6 Colorful - Accent 2"/>
    <w:basedOn w:val="729"/>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4" w:customStyle="1">
    <w:name w:val="Grid Table 6 Colorful - Accent 3"/>
    <w:basedOn w:val="729"/>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5" w:customStyle="1">
    <w:name w:val="Grid Table 6 Colorful - Accent 4"/>
    <w:basedOn w:val="729"/>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6" w:customStyle="1">
    <w:name w:val="Grid Table 6 Colorful - Accent 5"/>
    <w:basedOn w:val="729"/>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7" w:customStyle="1">
    <w:name w:val="Grid Table 6 Colorful - Accent 6"/>
    <w:basedOn w:val="729"/>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8" w:customStyle="1">
    <w:name w:val="Grid Table 7 Colorful"/>
    <w:basedOn w:val="72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29"/>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29"/>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29"/>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29"/>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29"/>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29"/>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basedOn w:val="729"/>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29"/>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29"/>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29"/>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29"/>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29"/>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29"/>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basedOn w:val="729"/>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3" w:customStyle="1">
    <w:name w:val="List Table 2 - Accent 1"/>
    <w:basedOn w:val="729"/>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basedOn w:val="729"/>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5" w:customStyle="1">
    <w:name w:val="List Table 2 - Accent 3"/>
    <w:basedOn w:val="729"/>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basedOn w:val="729"/>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basedOn w:val="729"/>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basedOn w:val="729"/>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basedOn w:val="72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29"/>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basedOn w:val="729"/>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29"/>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29"/>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29"/>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29"/>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basedOn w:val="72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29"/>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basedOn w:val="729"/>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basedOn w:val="729"/>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basedOn w:val="729"/>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basedOn w:val="729"/>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basedOn w:val="729"/>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basedOn w:val="729"/>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4" w:customStyle="1">
    <w:name w:val="List Table 5 Dark - Accent 1"/>
    <w:basedOn w:val="729"/>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5" w:customStyle="1">
    <w:name w:val="List Table 5 Dark - Accent 2"/>
    <w:basedOn w:val="729"/>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6" w:customStyle="1">
    <w:name w:val="List Table 5 Dark - Accent 3"/>
    <w:basedOn w:val="729"/>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7" w:customStyle="1">
    <w:name w:val="List Table 5 Dark - Accent 4"/>
    <w:basedOn w:val="729"/>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8" w:customStyle="1">
    <w:name w:val="List Table 5 Dark - Accent 5"/>
    <w:basedOn w:val="729"/>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9" w:customStyle="1">
    <w:name w:val="List Table 5 Dark - Accent 6"/>
    <w:basedOn w:val="729"/>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0" w:customStyle="1">
    <w:name w:val="List Table 6 Colorful"/>
    <w:basedOn w:val="729"/>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1" w:customStyle="1">
    <w:name w:val="List Table 6 Colorful - Accent 1"/>
    <w:basedOn w:val="729"/>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2" w:customStyle="1">
    <w:name w:val="List Table 6 Colorful - Accent 2"/>
    <w:basedOn w:val="729"/>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3" w:customStyle="1">
    <w:name w:val="List Table 6 Colorful - Accent 3"/>
    <w:basedOn w:val="729"/>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4" w:customStyle="1">
    <w:name w:val="List Table 6 Colorful - Accent 4"/>
    <w:basedOn w:val="729"/>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5" w:customStyle="1">
    <w:name w:val="List Table 6 Colorful - Accent 5"/>
    <w:basedOn w:val="729"/>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6" w:customStyle="1">
    <w:name w:val="List Table 6 Colorful - Accent 6"/>
    <w:basedOn w:val="729"/>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7" w:customStyle="1">
    <w:name w:val="List Table 7 Colorful"/>
    <w:basedOn w:val="729"/>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29"/>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29"/>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29"/>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29"/>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29"/>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29"/>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5" w:customStyle="1">
    <w:name w:val="Lined - Accent 1"/>
    <w:basedOn w:val="7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6" w:customStyle="1">
    <w:name w:val="Lined - Accent 2"/>
    <w:basedOn w:val="7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7" w:customStyle="1">
    <w:name w:val="Lined - Accent 3"/>
    <w:basedOn w:val="7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8" w:customStyle="1">
    <w:name w:val="Lined - Accent 4"/>
    <w:basedOn w:val="7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basedOn w:val="7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basedOn w:val="7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basedOn w:val="729"/>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2" w:customStyle="1">
    <w:name w:val="Bordered &amp; Lined - Accent 1"/>
    <w:basedOn w:val="729"/>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3" w:customStyle="1">
    <w:name w:val="Bordered &amp; Lined - Accent 2"/>
    <w:basedOn w:val="729"/>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4" w:customStyle="1">
    <w:name w:val="Bordered &amp; Lined - Accent 3"/>
    <w:basedOn w:val="729"/>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5" w:customStyle="1">
    <w:name w:val="Bordered &amp; Lined - Accent 4"/>
    <w:basedOn w:val="729"/>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basedOn w:val="729"/>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basedOn w:val="729"/>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basedOn w:val="729"/>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9" w:customStyle="1">
    <w:name w:val="Bordered - Accent 1"/>
    <w:basedOn w:val="729"/>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basedOn w:val="729"/>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1" w:customStyle="1">
    <w:name w:val="Bordered - Accent 3"/>
    <w:basedOn w:val="729"/>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2" w:customStyle="1">
    <w:name w:val="Bordered - Accent 4"/>
    <w:basedOn w:val="729"/>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basedOn w:val="729"/>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basedOn w:val="729"/>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uiPriority w:val="99"/>
    <w:qFormat/>
    <w:rPr>
      <w:sz w:val="18"/>
    </w:rPr>
  </w:style>
  <w:style w:type="character" w:styleId="946" w:customStyle="1">
    <w:name w:val="尾注文本 Char"/>
    <w:link w:val="752"/>
    <w:uiPriority w:val="99"/>
    <w:qFormat/>
    <w:rPr>
      <w:sz w:val="20"/>
    </w:rPr>
  </w:style>
  <w:style w:type="paragraph" w:styleId="947" w:customStyle="1">
    <w:name w:val="TOC 标题1"/>
    <w:uiPriority w:val="39"/>
    <w:unhideWhenUsed/>
    <w:qFormat/>
  </w:style>
  <w:style w:type="character" w:styleId="948" w:customStyle="1">
    <w:name w:val="标题 1 Char"/>
    <w:link w:val="789"/>
    <w:qFormat/>
    <w:rPr>
      <w:rFonts w:ascii="宋体" w:hAnsi="宋体" w:eastAsia="宋体"/>
      <w:b/>
      <w:color w:val="000000"/>
      <w:sz w:val="36"/>
      <w:szCs w:val="20"/>
    </w:rPr>
  </w:style>
  <w:style w:type="character" w:styleId="949" w:customStyle="1">
    <w:name w:val="标题 2 Char"/>
    <w:link w:val="790"/>
    <w:qFormat/>
    <w:rPr>
      <w:rFonts w:ascii="Arial" w:hAnsi="Arial" w:eastAsia="黑体"/>
      <w:b/>
      <w:bCs/>
      <w:sz w:val="32"/>
      <w:szCs w:val="32"/>
    </w:rPr>
  </w:style>
  <w:style w:type="character" w:styleId="950" w:customStyle="1">
    <w:name w:val="标题 3 Char"/>
    <w:link w:val="791"/>
    <w:qFormat/>
    <w:rPr>
      <w:rFonts w:ascii="黑体" w:eastAsia="黑体"/>
      <w:b/>
      <w:color w:val="000000"/>
      <w:sz w:val="28"/>
    </w:rPr>
  </w:style>
  <w:style w:type="character" w:styleId="951" w:customStyle="1">
    <w:name w:val="标题 4 Char"/>
    <w:link w:val="792"/>
    <w:qFormat/>
    <w:rPr>
      <w:rFonts w:ascii="Arial" w:hAnsi="Arial" w:eastAsia="黑体"/>
      <w:b/>
      <w:bCs/>
      <w:sz w:val="28"/>
      <w:szCs w:val="28"/>
    </w:rPr>
  </w:style>
  <w:style w:type="character" w:styleId="952" w:customStyle="1">
    <w:name w:val="标题 5 Char"/>
    <w:link w:val="793"/>
    <w:qFormat/>
    <w:rPr>
      <w:rFonts w:eastAsia="黑体"/>
      <w:b/>
      <w:bCs/>
      <w:sz w:val="28"/>
      <w:szCs w:val="28"/>
    </w:rPr>
  </w:style>
  <w:style w:type="character" w:styleId="953" w:customStyle="1">
    <w:name w:val="标题 6 Char"/>
    <w:link w:val="795"/>
    <w:qFormat/>
    <w:rPr>
      <w:rFonts w:eastAsia="黑体"/>
      <w:b/>
      <w:bCs/>
      <w:sz w:val="28"/>
      <w:szCs w:val="24"/>
    </w:rPr>
  </w:style>
  <w:style w:type="character" w:styleId="954" w:customStyle="1">
    <w:name w:val="标题 7 Char"/>
    <w:link w:val="796"/>
    <w:qFormat/>
    <w:rPr>
      <w:rFonts w:eastAsia="黑体"/>
      <w:b/>
      <w:bCs/>
      <w:sz w:val="24"/>
      <w:szCs w:val="24"/>
    </w:rPr>
  </w:style>
  <w:style w:type="character" w:styleId="955" w:customStyle="1">
    <w:name w:val="标题 9 Char"/>
    <w:link w:val="798"/>
    <w:qFormat/>
    <w:rPr>
      <w:sz w:val="24"/>
      <w:szCs w:val="21"/>
    </w:rPr>
  </w:style>
  <w:style w:type="character" w:styleId="956" w:customStyle="1">
    <w:name w:val="正文缩进 Char"/>
    <w:link w:val="735"/>
    <w:qFormat/>
    <w:rPr>
      <w:sz w:val="21"/>
      <w:szCs w:val="24"/>
    </w:rPr>
  </w:style>
  <w:style w:type="character" w:styleId="957" w:customStyle="1">
    <w:name w:val="正文文本 Char"/>
    <w:link w:val="739"/>
    <w:qFormat/>
    <w:rPr>
      <w:sz w:val="21"/>
      <w:szCs w:val="24"/>
    </w:rPr>
  </w:style>
  <w:style w:type="character" w:styleId="958" w:customStyle="1">
    <w:name w:val="纯文本 Char"/>
    <w:link w:val="748"/>
    <w:qFormat/>
    <w:rPr>
      <w:rFonts w:ascii="宋体" w:eastAsia="宋体"/>
      <w:sz w:val="21"/>
      <w:szCs w:val="24"/>
      <w:lang w:val="en-US" w:eastAsia="zh-CN" w:bidi="ar-SA"/>
    </w:rPr>
  </w:style>
  <w:style w:type="character" w:styleId="959" w:customStyle="1">
    <w:name w:val="页脚 Char"/>
    <w:link w:val="800"/>
    <w:uiPriority w:val="99"/>
    <w:qFormat/>
    <w:rPr>
      <w:sz w:val="18"/>
      <w:szCs w:val="18"/>
    </w:rPr>
  </w:style>
  <w:style w:type="character" w:styleId="960" w:customStyle="1">
    <w:name w:val="脚注文本 Char"/>
    <w:link w:val="759"/>
    <w:qFormat/>
    <w:rPr>
      <w:sz w:val="18"/>
      <w:szCs w:val="18"/>
    </w:rPr>
  </w:style>
  <w:style w:type="character" w:styleId="961" w:customStyle="1">
    <w:name w:val="标题 Char"/>
    <w:link w:val="768"/>
    <w:qFormat/>
    <w:rPr>
      <w:b/>
      <w:sz w:val="24"/>
      <w:lang w:val="en-GB" w:eastAsia="en-GB"/>
    </w:rPr>
  </w:style>
  <w:style w:type="character" w:styleId="962" w:customStyle="1">
    <w:name w:val="正文首行缩进 Char"/>
    <w:basedOn w:val="957"/>
    <w:link w:val="770"/>
    <w:qFormat/>
  </w:style>
  <w:style w:type="character" w:styleId="963" w:customStyle="1">
    <w:name w:val="超链接1"/>
    <w:basedOn w:val="964"/>
    <w:uiPriority w:val="99"/>
    <w:qFormat/>
    <w:rPr>
      <w:sz w:val="21"/>
      <w:szCs w:val="24"/>
      <w:lang w:val="en-US" w:eastAsia="zh-CN" w:bidi="ar-SA"/>
    </w:rPr>
  </w:style>
  <w:style w:type="character" w:styleId="964" w:customStyle="1">
    <w:name w:val="默认段落字体1"/>
    <w:semiHidden/>
    <w:qFormat/>
  </w:style>
  <w:style w:type="character" w:styleId="965" w:customStyle="1">
    <w:name w:val="_Style 82"/>
    <w:qFormat/>
    <w:rPr>
      <w:b/>
      <w:bCs/>
      <w:smallCaps/>
      <w:spacing w:val="5"/>
    </w:rPr>
  </w:style>
  <w:style w:type="character" w:styleId="966" w:customStyle="1">
    <w:name w:val="WPS Plain Char"/>
    <w:link w:val="967"/>
    <w:qFormat/>
    <w:rPr>
      <w:lang w:val="en-US" w:eastAsia="zh-CN" w:bidi="ar-SA"/>
    </w:rPr>
  </w:style>
  <w:style w:type="paragraph" w:styleId="967" w:customStyle="1">
    <w:name w:val="WPS Plain"/>
    <w:link w:val="966"/>
    <w:qFormat/>
  </w:style>
  <w:style w:type="character" w:styleId="968" w:customStyle="1">
    <w:name w:val="info1"/>
    <w:qFormat/>
    <w:rPr>
      <w:sz w:val="29"/>
      <w:szCs w:val="29"/>
    </w:rPr>
  </w:style>
  <w:style w:type="character" w:styleId="969" w:customStyle="1">
    <w:name w:val="Heading #3|1_"/>
    <w:link w:val="970"/>
    <w:qFormat/>
    <w:rPr>
      <w:rFonts w:ascii="宋体" w:hAnsi="宋体" w:eastAsia="宋体" w:cs="宋体"/>
      <w:sz w:val="42"/>
      <w:szCs w:val="42"/>
      <w:lang w:val="zh-TW" w:eastAsia="zh-TW" w:bidi="zh-TW"/>
    </w:rPr>
  </w:style>
  <w:style w:type="paragraph" w:styleId="970" w:customStyle="1">
    <w:name w:val="Heading #3|1"/>
    <w:basedOn w:val="727"/>
    <w:link w:val="969"/>
    <w:qFormat/>
    <w:pPr>
      <w:jc w:val="center"/>
      <w:spacing w:after="590" w:line="634" w:lineRule="exact"/>
      <w:outlineLvl w:val="2"/>
    </w:pPr>
    <w:rPr>
      <w:rFonts w:ascii="宋体" w:hAnsi="宋体" w:cs="宋体"/>
      <w:sz w:val="42"/>
      <w:szCs w:val="42"/>
      <w:lang w:val="zh-TW" w:eastAsia="zh-TW" w:bidi="zh-TW"/>
    </w:rPr>
  </w:style>
  <w:style w:type="character" w:styleId="971" w:customStyle="1">
    <w:name w:val="font01"/>
    <w:qFormat/>
    <w:rPr>
      <w:rFonts w:ascii="宋体" w:eastAsia="宋体" w:cs="宋体"/>
      <w:color w:val="000000"/>
      <w:sz w:val="22"/>
      <w:szCs w:val="22"/>
      <w:vertAlign w:val="superscript"/>
      <w:lang w:bidi="ar-SA"/>
    </w:rPr>
  </w:style>
  <w:style w:type="character" w:styleId="972" w:customStyle="1">
    <w:name w:val="bulletintext1"/>
    <w:qFormat/>
    <w:rPr>
      <w:color w:val="000000"/>
      <w:sz w:val="18"/>
      <w:szCs w:val="18"/>
    </w:rPr>
  </w:style>
  <w:style w:type="character" w:styleId="973" w:customStyle="1">
    <w:name w:val="font11"/>
    <w:qFormat/>
    <w:rPr>
      <w:rFonts w:ascii="宋体" w:eastAsia="宋体" w:cs="宋体"/>
      <w:color w:val="000000"/>
      <w:sz w:val="22"/>
      <w:szCs w:val="22"/>
      <w:lang w:bidi="ar-SA"/>
    </w:rPr>
  </w:style>
  <w:style w:type="character" w:styleId="974" w:customStyle="1">
    <w:name w:val="样式 宋体 小四"/>
    <w:qFormat/>
    <w:rPr>
      <w:rFonts w:ascii="宋体"/>
      <w:spacing w:val="6"/>
      <w:sz w:val="24"/>
      <w:szCs w:val="24"/>
    </w:rPr>
  </w:style>
  <w:style w:type="character" w:styleId="975" w:customStyle="1">
    <w:name w:val="列出段落 Char"/>
    <w:link w:val="976"/>
    <w:qFormat/>
    <w:rPr>
      <w:rFonts w:ascii="Calibri" w:hAnsi="Calibri"/>
      <w:sz w:val="24"/>
      <w:szCs w:val="24"/>
      <w:lang w:eastAsia="en-US" w:bidi="en-US"/>
    </w:rPr>
  </w:style>
  <w:style w:type="paragraph" w:styleId="976" w:customStyle="1">
    <w:name w:val="列出段落1"/>
    <w:basedOn w:val="727"/>
    <w:link w:val="975"/>
    <w:qFormat/>
    <w:pPr>
      <w:contextualSpacing/>
      <w:ind w:left="720"/>
      <w:jc w:val="left"/>
      <w:widowControl/>
    </w:pPr>
    <w:rPr>
      <w:rFonts w:ascii="Calibri" w:hAnsi="Calibri"/>
      <w:sz w:val="24"/>
      <w:lang w:eastAsia="en-US" w:bidi="en-US"/>
    </w:rPr>
  </w:style>
  <w:style w:type="character" w:styleId="977" w:customStyle="1">
    <w:name w:val="md"/>
    <w:basedOn w:val="728"/>
    <w:qFormat/>
  </w:style>
  <w:style w:type="character" w:styleId="978" w:customStyle="1">
    <w:name w:val="cart_title_smaller1"/>
    <w:qFormat/>
    <w:rPr>
      <w:color w:val="000000"/>
      <w:sz w:val="18"/>
      <w:szCs w:val="18"/>
      <w:u w:val="none"/>
    </w:rPr>
  </w:style>
  <w:style w:type="character" w:styleId="979" w:customStyle="1">
    <w:name w:val="表格标题 Char"/>
    <w:link w:val="980"/>
    <w:qFormat/>
    <w:rPr>
      <w:rFonts w:ascii="Cambria Math" w:hAnsi="Cambria Math" w:eastAsia="仿宋_GB2312"/>
      <w:b/>
      <w:sz w:val="21"/>
      <w:szCs w:val="24"/>
    </w:rPr>
  </w:style>
  <w:style w:type="paragraph" w:styleId="980" w:customStyle="1">
    <w:name w:val="表格标题"/>
    <w:basedOn w:val="727"/>
    <w:link w:val="979"/>
    <w:qFormat/>
    <w:pPr>
      <w:jc w:val="center"/>
    </w:pPr>
    <w:rPr>
      <w:rFonts w:ascii="Cambria Math" w:hAnsi="Cambria Math" w:eastAsia="仿宋_GB2312"/>
      <w:b/>
    </w:rPr>
  </w:style>
  <w:style w:type="character" w:styleId="981" w:customStyle="1">
    <w:name w:val="Body text|1_"/>
    <w:link w:val="982"/>
    <w:qFormat/>
    <w:rPr>
      <w:rFonts w:ascii="宋体" w:hAnsi="宋体" w:eastAsia="宋体" w:cs="宋体"/>
      <w:lang w:val="zh-TW" w:eastAsia="zh-TW" w:bidi="zh-TW"/>
    </w:rPr>
  </w:style>
  <w:style w:type="paragraph" w:styleId="982" w:customStyle="1">
    <w:name w:val="Body text|1"/>
    <w:basedOn w:val="727"/>
    <w:link w:val="981"/>
    <w:qFormat/>
    <w:pPr>
      <w:ind w:left="190" w:firstLine="650"/>
      <w:jc w:val="left"/>
      <w:spacing w:after="270" w:line="590" w:lineRule="exact"/>
    </w:pPr>
    <w:rPr>
      <w:rFonts w:ascii="宋体" w:hAnsi="宋体" w:cs="宋体"/>
      <w:sz w:val="20"/>
      <w:szCs w:val="20"/>
      <w:lang w:val="zh-TW" w:eastAsia="zh-TW" w:bidi="zh-TW"/>
    </w:rPr>
  </w:style>
  <w:style w:type="character" w:styleId="983" w:customStyle="1">
    <w:name w:val="Header or footer|1_"/>
    <w:link w:val="984"/>
    <w:qFormat/>
    <w:rPr>
      <w:sz w:val="26"/>
      <w:szCs w:val="26"/>
      <w:lang w:val="zh-TW" w:eastAsia="zh-TW" w:bidi="zh-TW"/>
    </w:rPr>
  </w:style>
  <w:style w:type="paragraph" w:styleId="984" w:customStyle="1">
    <w:name w:val="Header or footer|1"/>
    <w:basedOn w:val="727"/>
    <w:link w:val="983"/>
    <w:qFormat/>
    <w:pPr>
      <w:jc w:val="left"/>
    </w:pPr>
    <w:rPr>
      <w:sz w:val="26"/>
      <w:szCs w:val="26"/>
      <w:lang w:val="zh-TW" w:eastAsia="zh-TW" w:bidi="zh-TW"/>
    </w:rPr>
  </w:style>
  <w:style w:type="paragraph" w:styleId="985" w:customStyle="1">
    <w:name w:val="Char2 Char Char Char"/>
    <w:basedOn w:val="727"/>
    <w:qFormat/>
    <w:rPr>
      <w:rFonts w:ascii="仿宋_GB2312" w:eastAsia="仿宋_GB2312"/>
      <w:b/>
      <w:sz w:val="32"/>
      <w:szCs w:val="32"/>
    </w:rPr>
  </w:style>
  <w:style w:type="paragraph" w:styleId="986" w:customStyle="1">
    <w:name w:val="文件标题"/>
    <w:basedOn w:val="727"/>
    <w:qFormat/>
    <w:pPr>
      <w:jc w:val="center"/>
      <w:spacing w:after="240"/>
    </w:pPr>
    <w:rPr>
      <w:rFonts w:ascii="Arial Black" w:hAnsi="Arial Black"/>
      <w:sz w:val="48"/>
      <w:szCs w:val="20"/>
    </w:rPr>
  </w:style>
  <w:style w:type="paragraph" w:styleId="987" w:customStyle="1">
    <w:name w:val="xl29"/>
    <w:basedOn w:val="727"/>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988" w:customStyle="1">
    <w:name w:val="标准中文版式_正文"/>
    <w:basedOn w:val="727"/>
    <w:qFormat/>
    <w:pPr>
      <w:ind w:firstLine="200"/>
      <w:spacing w:before="30" w:line="360" w:lineRule="auto"/>
    </w:pPr>
    <w:rPr>
      <w:rFonts w:ascii="Arial" w:hAnsi="Arial"/>
      <w:sz w:val="24"/>
    </w:rPr>
  </w:style>
  <w:style w:type="paragraph" w:styleId="989" w:customStyle="1">
    <w:name w:val="默认段落字体 Para Char Char Char Char Char Char Char Char Char1 Char Char Char Char"/>
    <w:basedOn w:val="727"/>
    <w:qFormat/>
    <w:rPr>
      <w:rFonts w:ascii="Tahoma" w:hAnsi="Tahoma"/>
      <w:sz w:val="24"/>
      <w:szCs w:val="20"/>
    </w:rPr>
  </w:style>
  <w:style w:type="paragraph" w:styleId="990" w:customStyle="1">
    <w:name w:val="简单回函地址"/>
    <w:basedOn w:val="727"/>
    <w:qFormat/>
    <w:rPr>
      <w:rFonts w:cs="宋体"/>
      <w:szCs w:val="21"/>
    </w:rPr>
  </w:style>
  <w:style w:type="paragraph" w:styleId="991" w:customStyle="1">
    <w:name w:val="Char Char Char Char Char Char"/>
    <w:basedOn w:val="727"/>
    <w:qFormat/>
    <w:rPr>
      <w:szCs w:val="20"/>
    </w:rPr>
  </w:style>
  <w:style w:type="paragraph" w:styleId="992" w:customStyle="1">
    <w:name w:val="部分1"/>
    <w:basedOn w:val="727"/>
    <w:qFormat/>
    <w:pPr>
      <w:jc w:val="center"/>
      <w:keepNext/>
      <w:pageBreakBefore/>
      <w:spacing w:line="360" w:lineRule="auto"/>
      <w:tabs>
        <w:tab w:val="left" w:pos="720" w:leader="none"/>
      </w:tabs>
      <w:outlineLvl w:val="0"/>
    </w:pPr>
    <w:rPr>
      <w:rFonts w:eastAsia="黑体"/>
      <w:b/>
      <w:sz w:val="36"/>
      <w:szCs w:val="20"/>
    </w:rPr>
  </w:style>
  <w:style w:type="paragraph" w:styleId="993" w:customStyle="1">
    <w:name w:val="Char"/>
    <w:basedOn w:val="727"/>
    <w:qFormat/>
    <w:rPr>
      <w:rFonts w:ascii="仿宋_GB2312" w:eastAsia="仿宋_GB2312"/>
      <w:b/>
      <w:sz w:val="32"/>
      <w:szCs w:val="32"/>
    </w:rPr>
  </w:style>
  <w:style w:type="paragraph" w:styleId="994" w:customStyle="1">
    <w:name w:val="xl38"/>
    <w:basedOn w:val="727"/>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95" w:customStyle="1">
    <w:name w:val="xl28"/>
    <w:basedOn w:val="727"/>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996" w:customStyle="1">
    <w:name w:val="xl26"/>
    <w:basedOn w:val="72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997" w:customStyle="1">
    <w:name w:val="Section #"/>
    <w:next w:val="727"/>
    <w:qFormat/>
    <w:pPr>
      <w:jc w:val="center"/>
      <w:spacing w:after="113" w:line="340" w:lineRule="atLeast"/>
      <w:tabs>
        <w:tab w:val="left" w:pos="2636" w:leader="none"/>
        <w:tab w:val="left" w:pos="3090" w:leader="none"/>
      </w:tabs>
    </w:pPr>
    <w:rPr>
      <w:rFonts w:ascii="Optima" w:hAnsi="Optima"/>
      <w:b/>
      <w:sz w:val="30"/>
    </w:rPr>
  </w:style>
  <w:style w:type="paragraph" w:styleId="998">
    <w:name w:val="No Spacing"/>
    <w:qFormat/>
    <w:rPr>
      <w:sz w:val="22"/>
      <w:szCs w:val="22"/>
      <w:lang w:eastAsia="en-US" w:bidi="en-US"/>
    </w:rPr>
  </w:style>
  <w:style w:type="paragraph" w:styleId="999" w:customStyle="1">
    <w:name w:val="Char1"/>
    <w:basedOn w:val="727"/>
    <w:qFormat/>
    <w:rPr>
      <w:rFonts w:ascii="仿宋_GB2312" w:eastAsia="仿宋_GB2312"/>
      <w:b/>
      <w:sz w:val="32"/>
      <w:szCs w:val="32"/>
    </w:rPr>
  </w:style>
  <w:style w:type="paragraph" w:styleId="1000">
    <w:name w:val="List Paragraph"/>
    <w:basedOn w:val="727"/>
    <w:next w:val="762"/>
    <w:uiPriority w:val="34"/>
    <w:qFormat/>
    <w:pPr>
      <w:ind w:firstLine="200"/>
    </w:pPr>
    <w:rPr>
      <w:szCs w:val="22"/>
    </w:rPr>
  </w:style>
  <w:style w:type="paragraph" w:styleId="1001" w:customStyle="1">
    <w:name w:val="表格标题/图片标题/日期格式/图片居中"/>
    <w:qFormat/>
    <w:pPr>
      <w:jc w:val="center"/>
    </w:pPr>
    <w:rPr>
      <w:b/>
      <w:sz w:val="21"/>
      <w:szCs w:val="24"/>
    </w:rPr>
  </w:style>
  <w:style w:type="paragraph" w:styleId="1002" w:customStyle="1">
    <w:name w:val="xl25"/>
    <w:basedOn w:val="7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1003" w:customStyle="1">
    <w:name w:val="规范正文"/>
    <w:basedOn w:val="727"/>
    <w:qFormat/>
    <w:pPr>
      <w:ind w:left="480"/>
      <w:spacing w:line="360" w:lineRule="auto"/>
    </w:pPr>
    <w:rPr>
      <w:sz w:val="24"/>
      <w:szCs w:val="20"/>
    </w:rPr>
  </w:style>
  <w:style w:type="paragraph" w:styleId="1004" w:customStyle="1">
    <w:name w:val="表格文字"/>
    <w:basedOn w:val="727"/>
    <w:qFormat/>
    <w:pPr>
      <w:jc w:val="center"/>
    </w:pPr>
    <w:rPr>
      <w:rFonts w:ascii="Cambria Math" w:hAnsi="Cambria Math" w:eastAsia="仿宋_GB2312"/>
    </w:rPr>
  </w:style>
  <w:style w:type="paragraph" w:styleId="1005" w:customStyle="1">
    <w:name w:val="xl27"/>
    <w:basedOn w:val="727"/>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006" w:customStyle="1">
    <w:name w:val="HTML 预先格式化"/>
    <w:basedOn w:val="7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07" w:customStyle="1">
    <w:name w:val="正文 样式"/>
    <w:basedOn w:val="727"/>
    <w:qFormat/>
    <w:pPr>
      <w:ind w:firstLine="480"/>
      <w:spacing w:line="360" w:lineRule="auto"/>
    </w:pPr>
    <w:rPr>
      <w:rFonts w:ascii="Cambria Math" w:hAnsi="Cambria Math" w:eastAsia="仿宋_GB2312" w:cs="Cambria Math"/>
      <w:sz w:val="24"/>
    </w:rPr>
  </w:style>
  <w:style w:type="paragraph" w:styleId="1008" w:customStyle="1">
    <w:name w:val="正文缩进1"/>
    <w:next w:val="736"/>
    <w:qFormat/>
    <w:pPr>
      <w:ind w:left="200" w:firstLine="200"/>
      <w:jc w:val="both"/>
      <w:spacing w:before="50"/>
      <w:widowControl w:val="off"/>
    </w:pPr>
    <w:rPr>
      <w:sz w:val="24"/>
    </w:rPr>
  </w:style>
  <w:style w:type="paragraph" w:styleId="1009" w:customStyle="1">
    <w:name w:val="flName"/>
    <w:basedOn w:val="727"/>
    <w:qFormat/>
    <w:pPr>
      <w:ind w:firstLine="200"/>
      <w:jc w:val="center"/>
      <w:spacing w:before="320" w:after="160" w:line="360" w:lineRule="atLeast"/>
    </w:pPr>
    <w:rPr>
      <w:rFonts w:ascii="Arial" w:hAnsi="Arial" w:eastAsia="黑体"/>
      <w:sz w:val="32"/>
    </w:rPr>
  </w:style>
  <w:style w:type="paragraph" w:styleId="1010" w:customStyle="1">
    <w:name w:val="正文2"/>
    <w:basedOn w:val="727"/>
    <w:qFormat/>
    <w:pPr>
      <w:ind w:firstLine="200"/>
      <w:spacing w:before="156" w:line="360" w:lineRule="auto"/>
    </w:pPr>
    <w:rPr>
      <w:sz w:val="24"/>
      <w:szCs w:val="20"/>
    </w:rPr>
  </w:style>
  <w:style w:type="paragraph" w:styleId="1011" w:customStyle="1">
    <w:name w:val="普通正文"/>
    <w:basedOn w:val="727"/>
    <w:qFormat/>
    <w:pPr>
      <w:ind w:firstLine="480"/>
      <w:jc w:val="left"/>
      <w:spacing w:before="120" w:after="120" w:line="360" w:lineRule="auto"/>
    </w:pPr>
    <w:rPr>
      <w:rFonts w:ascii="Arial" w:hAnsi="Arial"/>
      <w:sz w:val="24"/>
    </w:rPr>
  </w:style>
  <w:style w:type="paragraph" w:styleId="1012" w:customStyle="1">
    <w:name w:val="xl24"/>
    <w:basedOn w:val="7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13" w:customStyle="1">
    <w:name w:val="表内文字"/>
    <w:basedOn w:val="727"/>
    <w:qFormat/>
    <w:pPr>
      <w:jc w:val="center"/>
      <w:spacing w:before="50" w:after="50"/>
    </w:pPr>
    <w:rPr>
      <w:rFonts w:ascii="宋体"/>
      <w:sz w:val="24"/>
      <w:szCs w:val="20"/>
    </w:rPr>
  </w:style>
  <w:style w:type="paragraph" w:styleId="1014" w:customStyle="1">
    <w:name w:val="正文段"/>
    <w:basedOn w:val="727"/>
    <w:qFormat/>
    <w:pPr>
      <w:ind w:firstLine="200"/>
      <w:spacing w:after="50"/>
      <w:widowControl/>
    </w:pPr>
    <w:rPr>
      <w:sz w:val="24"/>
      <w:szCs w:val="20"/>
    </w:rPr>
  </w:style>
  <w:style w:type="paragraph" w:styleId="1015" w:customStyle="1">
    <w:name w:val="xl30"/>
    <w:basedOn w:val="727"/>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016" w:customStyle="1">
    <w:name w:val="Proposals body"/>
    <w:basedOn w:val="727"/>
    <w:next w:val="727"/>
    <w:qFormat/>
    <w:pPr>
      <w:jc w:val="left"/>
      <w:spacing w:line="360" w:lineRule="auto"/>
      <w:widowControl/>
    </w:pPr>
    <w:rPr>
      <w:rFonts w:ascii="宋体"/>
      <w:color w:val="000000"/>
      <w:sz w:val="24"/>
      <w:szCs w:val="20"/>
    </w:rPr>
  </w:style>
  <w:style w:type="paragraph" w:styleId="1017" w:customStyle="1">
    <w:name w:val="正文格式"/>
    <w:basedOn w:val="727"/>
    <w:qFormat/>
    <w:pPr>
      <w:ind w:firstLine="480"/>
      <w:spacing w:line="360" w:lineRule="auto"/>
    </w:pPr>
    <w:rPr>
      <w:rFonts w:ascii="Cambria Math" w:hAnsi="Cambria Math" w:eastAsia="仿宋_GB2312" w:cs="Cambria Math"/>
      <w:sz w:val="24"/>
      <w:szCs w:val="20"/>
    </w:rPr>
  </w:style>
  <w:style w:type="paragraph" w:styleId="1018" w:customStyle="1">
    <w:name w:val="Char21"/>
    <w:basedOn w:val="727"/>
    <w:qFormat/>
    <w:rPr>
      <w:szCs w:val="20"/>
    </w:rPr>
  </w:style>
  <w:style w:type="paragraph" w:styleId="1019" w:customStyle="1">
    <w:name w:val="纯文本1"/>
    <w:basedOn w:val="727"/>
    <w:qFormat/>
    <w:rPr>
      <w:rFonts w:ascii="宋体" w:hAnsi="Courier New" w:eastAsia="楷体_GB2312" w:cs="宋体"/>
      <w:sz w:val="28"/>
      <w:szCs w:val="21"/>
    </w:rPr>
  </w:style>
  <w:style w:type="paragraph" w:styleId="1020" w:customStyle="1">
    <w:name w:val="Char2"/>
    <w:basedOn w:val="727"/>
    <w:qFormat/>
    <w:rPr>
      <w:rFonts w:ascii="仿宋_GB2312" w:eastAsia="仿宋_GB2312"/>
      <w:b/>
      <w:sz w:val="32"/>
      <w:szCs w:val="32"/>
    </w:rPr>
  </w:style>
  <w:style w:type="paragraph" w:styleId="1021" w:customStyle="1">
    <w:name w:val="正文（缩进）"/>
    <w:basedOn w:val="727"/>
    <w:qFormat/>
    <w:pPr>
      <w:ind w:firstLine="480"/>
      <w:spacing w:before="156" w:after="156"/>
    </w:pPr>
    <w:rPr>
      <w:rFonts w:ascii="Calibri" w:hAnsi="Calibri"/>
      <w:szCs w:val="20"/>
    </w:rPr>
  </w:style>
  <w:style w:type="character" w:styleId="1022" w:customStyle="1">
    <w:name w:val="NormalCharacter"/>
    <w:qFormat/>
  </w:style>
  <w:style w:type="character" w:styleId="1023" w:customStyle="1">
    <w:name w:val="UserStyle_9"/>
    <w:qFormat/>
  </w:style>
  <w:style w:type="paragraph" w:styleId="1024" w:customStyle="1">
    <w:name w:val="正文1"/>
    <w:qFormat/>
    <w:pPr>
      <w:contextualSpacing/>
      <w:ind w:firstLine="200"/>
      <w:spacing w:before="120" w:after="120" w:line="180" w:lineRule="auto"/>
    </w:pPr>
    <w:rPr>
      <w:rFonts w:eastAsia="Adobe 仿宋 Std R"/>
      <w:sz w:val="21"/>
      <w:szCs w:val="21"/>
    </w:rPr>
  </w:style>
  <w:style w:type="paragraph" w:styleId="1025" w:customStyle="1">
    <w:name w:val="Table Paragraph"/>
    <w:basedOn w:val="1026"/>
    <w:uiPriority w:val="1"/>
    <w:qFormat/>
    <w:rPr>
      <w:rFonts w:ascii="宋体" w:hAnsi="宋体" w:cs="宋体"/>
      <w:lang w:val="zh-CN" w:bidi="zh-CN"/>
    </w:rPr>
  </w:style>
  <w:style w:type="paragraph" w:styleId="1026" w:customStyle="1">
    <w:name w:val="正文11"/>
    <w:next w:val="1027"/>
    <w:qFormat/>
    <w:pPr>
      <w:jc w:val="both"/>
      <w:widowControl w:val="off"/>
    </w:pPr>
    <w:rPr>
      <w:sz w:val="21"/>
      <w:szCs w:val="24"/>
    </w:rPr>
  </w:style>
  <w:style w:type="paragraph" w:styleId="1027" w:customStyle="1">
    <w:name w:val="目录 11"/>
    <w:basedOn w:val="1026"/>
    <w:next w:val="1026"/>
    <w:qFormat/>
    <w:pPr>
      <w:jc w:val="left"/>
      <w:spacing w:after="100" w:line="276" w:lineRule="auto"/>
      <w:widowControl/>
      <w:tabs>
        <w:tab w:val="left" w:pos="142" w:leader="none"/>
        <w:tab w:val="right" w:pos="9617" w:leader="dot"/>
      </w:tabs>
    </w:pPr>
    <w:rPr>
      <w:rFonts w:eastAsia="黑体"/>
      <w:sz w:val="24"/>
      <w:szCs w:val="22"/>
    </w:rPr>
  </w:style>
  <w:style w:type="character" w:styleId="1028" w:customStyle="1">
    <w:name w:val="hour_am"/>
    <w:basedOn w:val="728"/>
    <w:qFormat/>
  </w:style>
  <w:style w:type="character" w:styleId="1029" w:customStyle="1">
    <w:name w:val="hover"/>
    <w:basedOn w:val="728"/>
    <w:qFormat/>
    <w:rPr>
      <w:shd w:val="clear" w:color="auto" w:fill="eeeeee"/>
    </w:rPr>
  </w:style>
  <w:style w:type="character" w:styleId="1030" w:customStyle="1">
    <w:name w:val="hover1"/>
    <w:basedOn w:val="728"/>
    <w:qFormat/>
    <w:rPr>
      <w:color w:val="5fb878"/>
    </w:rPr>
  </w:style>
  <w:style w:type="character" w:styleId="1031" w:customStyle="1">
    <w:name w:val="hover2"/>
    <w:basedOn w:val="728"/>
    <w:qFormat/>
    <w:rPr>
      <w:color w:val="5fb878"/>
    </w:rPr>
  </w:style>
  <w:style w:type="character" w:styleId="1032" w:customStyle="1">
    <w:name w:val="hover3"/>
    <w:basedOn w:val="728"/>
    <w:qFormat/>
    <w:rPr>
      <w:color w:val="ffffff"/>
    </w:rPr>
  </w:style>
  <w:style w:type="character" w:styleId="1033" w:customStyle="1">
    <w:name w:val="old"/>
    <w:basedOn w:val="728"/>
    <w:qFormat/>
    <w:rPr>
      <w:color w:val="999999"/>
    </w:rPr>
  </w:style>
  <w:style w:type="character" w:styleId="1034" w:customStyle="1">
    <w:name w:val="glyphicon"/>
    <w:basedOn w:val="728"/>
    <w:qFormat/>
  </w:style>
  <w:style w:type="character" w:styleId="1035" w:customStyle="1">
    <w:name w:val="hour_pm"/>
    <w:basedOn w:val="728"/>
    <w:qFormat/>
  </w:style>
  <w:style w:type="paragraph" w:styleId="1036" w:customStyle="1">
    <w:name w:val="无间隔1"/>
    <w:uiPriority w:val="99"/>
    <w:qFormat/>
    <w:pPr>
      <w:jc w:val="both"/>
      <w:widowControl w:val="off"/>
    </w:pPr>
    <w:rPr>
      <w:sz w:val="21"/>
      <w:szCs w:val="24"/>
    </w:rPr>
  </w:style>
  <w:style w:type="paragraph" w:styleId="1037" w:customStyle="1">
    <w:name w:val="样式 标题 2 + Times New Roman 四号 非加粗 段前: 5 磅 段后: 0 磅 行距: 固定值 20..."/>
    <w:basedOn w:val="790"/>
    <w:qFormat/>
    <w:pPr>
      <w:spacing w:before="100" w:after="0" w:line="400" w:lineRule="exact"/>
    </w:pPr>
    <w:rPr>
      <w:rFonts w:ascii="Times New Roman" w:hAnsi="Times New Roman" w:cs="宋体"/>
      <w:b w:val="0"/>
      <w:bCs w:val="0"/>
      <w:sz w:val="28"/>
      <w:szCs w:val="20"/>
    </w:rPr>
  </w:style>
  <w:style w:type="paragraph" w:styleId="1038" w:customStyle="1">
    <w:name w:val="正文_0"/>
    <w:qFormat/>
    <w:pPr>
      <w:jc w:val="both"/>
      <w:widowControl w:val="off"/>
    </w:pPr>
    <w:rPr>
      <w:rFonts w:ascii="Calibri" w:hAnsi="Calibri"/>
      <w:sz w:val="21"/>
      <w:szCs w:val="22"/>
    </w:rPr>
  </w:style>
  <w:style w:type="character" w:styleId="1039" w:customStyle="1">
    <w:name w:val="hover4"/>
    <w:basedOn w:val="728"/>
    <w:qFormat/>
    <w:rPr>
      <w:color w:val="5fb878"/>
    </w:rPr>
  </w:style>
  <w:style w:type="character" w:styleId="1040" w:customStyle="1">
    <w:name w:val="hover5"/>
    <w:basedOn w:val="728"/>
    <w:qFormat/>
    <w:rPr>
      <w:color w:val="5fb878"/>
    </w:rPr>
  </w:style>
  <w:style w:type="character" w:styleId="1041" w:customStyle="1">
    <w:name w:val="first-child"/>
    <w:basedOn w:val="728"/>
    <w:qFormat/>
  </w:style>
  <w:style w:type="character" w:styleId="1042" w:customStyle="1">
    <w:name w:val="layui-this2"/>
    <w:basedOn w:val="728"/>
    <w:qFormat/>
    <w:rPr>
      <w:shd w:val="clear" w:color="auto" w:fill="ffffff"/>
    </w:rPr>
  </w:style>
  <w:style w:type="character" w:styleId="1043" w:customStyle="1">
    <w:name w:val="active"/>
    <w:basedOn w:val="728"/>
    <w:qFormat/>
    <w:rPr>
      <w:color w:val="ffffff"/>
      <w:shd w:val="clear" w:color="auto" w:fill="0f5bb9"/>
    </w:rPr>
  </w:style>
  <w:style w:type="character" w:styleId="1044" w:customStyle="1">
    <w:name w:val="active16"/>
    <w:basedOn w:val="728"/>
    <w:qFormat/>
    <w:rPr>
      <w:color w:val="ffffff"/>
      <w:shd w:val="clear" w:color="auto" w:fill="0f5bb9"/>
    </w:rPr>
  </w:style>
  <w:style w:type="paragraph" w:styleId="1045" w:customStyle="1">
    <w:name w:val="正文首行缩进 21"/>
    <w:basedOn w:val="743"/>
    <w:qFormat/>
    <w:pPr>
      <w:ind w:left="420" w:firstLine="420"/>
      <w:jc w:val="left"/>
      <w:spacing w:after="120"/>
    </w:pPr>
    <w:rPr>
      <w:rFonts w:eastAsia="宋体"/>
      <w:sz w:val="21"/>
    </w:rPr>
  </w:style>
  <w:style w:type="paragraph" w:styleId="1046" w:customStyle="1">
    <w:name w:val="寄信人地址1"/>
    <w:basedOn w:val="727"/>
    <w:uiPriority w:val="99"/>
    <w:unhideWhenUsed/>
    <w:qFormat/>
    <w:rPr>
      <w:rFonts w:ascii="Arial" w:hAnsi="Arial"/>
    </w:rPr>
  </w:style>
  <w:style w:type="paragraph" w:styleId="1047" w:customStyle="1">
    <w:name w:val="普通(网站)1"/>
    <w:basedOn w:val="727"/>
    <w:qFormat/>
    <w:pPr>
      <w:jc w:val="left"/>
      <w:spacing w:before="100" w:beforeAutospacing="1" w:after="100" w:afterAutospacing="1"/>
      <w:widowControl/>
    </w:pPr>
    <w:rPr>
      <w:rFonts w:ascii="宋体" w:hAnsi="宋体"/>
      <w:color w:val="000000"/>
      <w:sz w:val="24"/>
    </w:rPr>
  </w:style>
  <w:style w:type="paragraph" w:styleId="1048" w:customStyle="1">
    <w:name w:val="纯文本1111"/>
    <w:basedOn w:val="727"/>
    <w:uiPriority w:val="99"/>
    <w:qFormat/>
    <w:rPr>
      <w:rFonts w:ascii="宋体" w:hAnsi="Courier New"/>
      <w:sz w:val="24"/>
    </w:rPr>
  </w:style>
  <w:style w:type="paragraph" w:styleId="1049" w:customStyle="1">
    <w:name w:val="段"/>
    <w:next w:val="727"/>
    <w:qFormat/>
    <w:pPr>
      <w:ind w:firstLine="200"/>
      <w:jc w:val="both"/>
      <w:spacing w:line="360" w:lineRule="auto"/>
    </w:pPr>
    <w:rPr>
      <w:rFonts w:ascii="宋体"/>
      <w:sz w:val="24"/>
      <w:szCs w:val="22"/>
    </w:rPr>
  </w:style>
  <w:style w:type="paragraph" w:styleId="1050" w:customStyle="1">
    <w:name w:val="纯文本11"/>
    <w:basedOn w:val="727"/>
    <w:uiPriority w:val="99"/>
    <w:qFormat/>
    <w:rPr>
      <w:rFonts w:ascii="宋体"/>
    </w:rPr>
  </w:style>
  <w:style w:type="paragraph" w:styleId="1051" w:customStyle="1">
    <w:name w:val="正文文本缩进 31"/>
    <w:basedOn w:val="1026"/>
    <w:qFormat/>
    <w:pPr>
      <w:ind w:firstLine="600"/>
      <w:spacing w:before="50" w:after="50" w:line="400" w:lineRule="exact"/>
    </w:pPr>
    <w:rPr>
      <w:rFonts w:ascii="仿宋_GB2312" w:hAnsi="宋体" w:eastAsia="仿宋_GB2312"/>
      <w:sz w:val="32"/>
    </w:rPr>
  </w:style>
  <w:style w:type="paragraph" w:styleId="1052" w:customStyle="1">
    <w:name w:val="black1"/>
    <w:basedOn w:val="1026"/>
    <w:qFormat/>
    <w:pPr>
      <w:jc w:val="left"/>
      <w:spacing w:before="100" w:beforeAutospacing="1" w:after="100" w:afterAutospacing="1"/>
      <w:widowControl/>
    </w:pPr>
    <w:rPr>
      <w:rFonts w:ascii="宋体" w:hAnsi="宋体"/>
      <w:sz w:val="24"/>
    </w:rPr>
  </w:style>
  <w:style w:type="paragraph" w:styleId="1053" w:customStyle="1">
    <w:name w:val="页脚1"/>
    <w:basedOn w:val="1024"/>
    <w:qFormat/>
    <w:pPr>
      <w:spacing w:line="240" w:lineRule="auto"/>
      <w:tabs>
        <w:tab w:val="center" w:pos="4153" w:leader="none"/>
        <w:tab w:val="right" w:pos="8306" w:leader="none"/>
      </w:tabs>
    </w:pPr>
    <w:rPr>
      <w:sz w:val="18"/>
      <w:szCs w:val="18"/>
    </w:rPr>
  </w:style>
  <w:style w:type="paragraph" w:styleId="1054" w:customStyle="1">
    <w:name w:val="副标题1"/>
    <w:basedOn w:val="1026"/>
    <w:next w:val="1026"/>
    <w:qFormat/>
    <w:pPr>
      <w:ind w:firstLine="200"/>
      <w:jc w:val="left"/>
      <w:spacing w:line="400" w:lineRule="exact"/>
      <w:outlineLvl w:val="1"/>
    </w:pPr>
    <w:rPr>
      <w:rFonts w:ascii="Cambria" w:hAnsi="Cambria" w:eastAsia="黑体"/>
      <w:b/>
      <w:bCs/>
      <w:sz w:val="32"/>
      <w:szCs w:val="32"/>
    </w:rPr>
  </w:style>
  <w:style w:type="paragraph" w:styleId="1055" w:customStyle="1">
    <w:name w:val="正文文本1"/>
    <w:basedOn w:val="1026"/>
    <w:next w:val="727"/>
    <w:qFormat/>
    <w:pPr>
      <w:spacing w:after="120"/>
    </w:pPr>
    <w:rPr>
      <w:sz w:val="15"/>
    </w:rPr>
  </w:style>
  <w:style w:type="paragraph" w:styleId="1056" w:customStyle="1">
    <w:name w:val="一级条标题"/>
    <w:basedOn w:val="1057"/>
    <w:next w:val="1049"/>
    <w:qFormat/>
    <w:pPr>
      <w:outlineLvl w:val="2"/>
    </w:pPr>
  </w:style>
  <w:style w:type="paragraph" w:styleId="1057" w:customStyle="1">
    <w:name w:val="章标题"/>
    <w:next w:val="727"/>
    <w:qFormat/>
    <w:pPr>
      <w:ind w:left="1320" w:hanging="420"/>
      <w:jc w:val="both"/>
      <w:spacing w:before="50" w:after="50"/>
      <w:tabs>
        <w:tab w:val="left" w:pos="1200" w:leader="none"/>
      </w:tabs>
      <w:outlineLvl w:val="1"/>
    </w:pPr>
    <w:rPr>
      <w:rFonts w:ascii="黑体" w:eastAsia="黑体"/>
      <w:sz w:val="21"/>
    </w:rPr>
  </w:style>
  <w:style w:type="paragraph" w:styleId="1058" w:customStyle="1">
    <w:name w:val="Heading 21"/>
    <w:basedOn w:val="727"/>
    <w:next w:val="727"/>
    <w:qFormat/>
    <w:pPr>
      <w:jc w:val="left"/>
      <w:keepLines/>
      <w:keepNext/>
      <w:spacing w:before="260" w:after="260" w:line="415" w:lineRule="auto"/>
      <w:outlineLvl w:val="1"/>
    </w:pPr>
    <w:rPr>
      <w:rFonts w:ascii="Arial" w:hAnsi="Arial" w:eastAsia="仿宋_GB2312" w:cs="Arial"/>
      <w:sz w:val="28"/>
      <w:szCs w:val="44"/>
    </w:rPr>
  </w:style>
  <w:style w:type="paragraph" w:styleId="1059" w:customStyle="1">
    <w:name w:val="Heading 31"/>
    <w:basedOn w:val="727"/>
    <w:next w:val="727"/>
    <w:qFormat/>
    <w:pPr>
      <w:keepLines/>
      <w:keepNext/>
      <w:spacing w:before="260" w:after="260" w:line="415" w:lineRule="auto"/>
      <w:outlineLvl w:val="2"/>
    </w:pPr>
    <w:rPr>
      <w:sz w:val="32"/>
      <w:szCs w:val="32"/>
    </w:rPr>
  </w:style>
  <w:style w:type="character" w:styleId="1060" w:customStyle="1">
    <w:name w:val="页眉 Char"/>
    <w:basedOn w:val="728"/>
    <w:link w:val="755"/>
    <w:uiPriority w:val="99"/>
    <w:semiHidden/>
    <w:qFormat/>
    <w:rPr>
      <w:sz w:val="18"/>
      <w:szCs w:val="18"/>
    </w:rPr>
  </w:style>
  <w:style w:type="character" w:styleId="1061" w:customStyle="1">
    <w:name w:val="页脚 Char1"/>
    <w:basedOn w:val="728"/>
    <w:link w:val="754"/>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hyperlink" Target="http://www.ccgp-jiangsu.gov.cn/jiangsu/paying.html" TargetMode="External"/><Relationship Id="rId15" Type="http://schemas.openxmlformats.org/officeDocument/2006/relationships/hyperlink" Target="https://www.crcrfsp.com/" TargetMode="External"/><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hyperlink" Target="http://jsxcmm." TargetMode="External"/><Relationship Id="rId18" Type="http://schemas.openxmlformats.org/officeDocument/2006/relationships/hyperlink" Target="http://jszfcg.jsczt.cn/" TargetMode="External"/><Relationship Id="rId19" Type="http://schemas.openxmlformats.org/officeDocument/2006/relationships/hyperlink" Target="http://jszfcg.jsczt.cn/&#65289;" TargetMode="External"/><Relationship Id="rId20" Type="http://schemas.openxmlformats.org/officeDocument/2006/relationships/hyperlink" Target="http://jszfcg.jsczt.cn/" TargetMode="External"/><Relationship Id="rId21" Type="http://schemas.openxmlformats.org/officeDocument/2006/relationships/hyperlink" Target="http://jszfcg.jsczt.cn/" TargetMode="External"/><Relationship Id="rId22" Type="http://schemas.openxmlformats.org/officeDocument/2006/relationships/hyperlink" Target="http://czj.taizhou.gov.cn/art/2022/12/9/art_61762_3436049.html" TargetMode="External"/><Relationship Id="rId23"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钱晨</cp:lastModifiedBy>
  <cp:revision>81</cp:revision>
  <dcterms:created xsi:type="dcterms:W3CDTF">2021-03-25T00:40:00Z</dcterms:created>
  <dcterms:modified xsi:type="dcterms:W3CDTF">2026-07-15T09:02:45Z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CBFEFD762AD04B5BA717CFE49D6AB3A0_13</vt:lpwstr>
  </property>
  <property fmtid="{D5CDD505-2E9C-101B-9397-08002B2CF9AE}" pid="4" name="KSOTemplateDocerSaveRecord">
    <vt:lpwstr>eyJoZGlkIjoiNzAxYTZkZjA4YzIzMmVkZDMwNDRkNjQxOTBlOWQ2OWEiLCJ1c2VySWQiOiIyNTA1NTE2NDIifQ==</vt:lpwstr>
  </property>
</Properties>
</file>