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Style w:val="1287"/>
        </w:rPr>
      </w:pPr>
      <w:r/>
      <w:r/>
    </w:p>
    <w:p>
      <w:pPr>
        <w:rPr>
          <w:color w:val="000000"/>
        </w:rPr>
      </w:pPr>
      <w:r/>
      <w:bookmarkStart w:id="0" w:name="EB3ace3d43b98b41779337deb808be6fa3"/>
      <w:r/>
      <w:bookmarkEnd w:id="0"/>
      <w:r/>
      <w:bookmarkStart w:id="1" w:name="EB57dd2a69e2b54b0cb3f5c2f03a1ab7bf"/>
      <w:r/>
      <w:bookmarkEnd w:id="1"/>
      <w:r/>
      <w:r/>
    </w:p>
    <w:p>
      <w:pPr>
        <w:rPr>
          <w:color w:val="000000"/>
        </w:rPr>
      </w:pPr>
      <w:r>
        <w:rPr>
          <w:color w:val="000000"/>
        </w:rPr>
      </w:r>
      <w:r/>
    </w:p>
    <w:p>
      <w:pPr>
        <w:jc w:val="center"/>
        <w:spacing w:before="120" w:after="120" w:line="360" w:lineRule="auto"/>
        <w:rPr>
          <w:rFonts w:ascii="Arial" w:hAnsi="Arial" w:eastAsia="黑体" w:cs="黑体"/>
          <w:b/>
          <w:color w:val="000000"/>
          <w:sz w:val="84"/>
          <w:szCs w:val="24"/>
        </w:rPr>
      </w:pPr>
      <w:r>
        <w:rPr>
          <w:rFonts w:hint="eastAsia" w:ascii="Arial" w:hAnsi="Arial" w:eastAsia="黑体" w:cs="黑体"/>
          <w:b/>
          <w:color w:val="000000"/>
          <w:sz w:val="84"/>
          <w:szCs w:val="24"/>
        </w:rPr>
        <w:t xml:space="preserve">招　标　文　件</w:t>
      </w:r>
      <w:r/>
    </w:p>
    <w:p>
      <w:pPr>
        <w:rPr>
          <w:rFonts w:ascii="Times New Roman" w:hAnsi="Times New Roman" w:cs="宋体"/>
          <w:b/>
          <w:color w:val="000000"/>
          <w:sz w:val="30"/>
          <w:szCs w:val="30"/>
        </w:rPr>
      </w:pPr>
      <w:r>
        <w:rPr>
          <w:rFonts w:ascii="Times New Roman" w:hAnsi="Times New Roman" w:cs="宋体"/>
          <w:b/>
          <w:color w:val="000000"/>
          <w:sz w:val="30"/>
          <w:szCs w:val="30"/>
        </w:rPr>
      </w:r>
      <w:r/>
    </w:p>
    <w:p>
      <w:pPr>
        <w:rPr>
          <w:rFonts w:ascii="Times New Roman" w:hAnsi="Times New Roman" w:cs="宋体"/>
          <w:b/>
          <w:color w:val="000000"/>
          <w:sz w:val="30"/>
          <w:szCs w:val="30"/>
        </w:rPr>
      </w:pPr>
      <w:r>
        <w:rPr>
          <w:rFonts w:ascii="Times New Roman" w:hAnsi="Times New Roman" w:cs="宋体"/>
          <w:b/>
          <w:color w:val="000000"/>
          <w:sz w:val="30"/>
          <w:szCs w:val="30"/>
        </w:rPr>
      </w:r>
      <w:r/>
    </w:p>
    <w:p>
      <w:pPr>
        <w:jc w:val="center"/>
        <w:rPr>
          <w:rFonts w:hint="eastAsia" w:ascii="Times New Roman" w:hAnsi="Times New Roman" w:cs="宋体"/>
          <w:b/>
          <w:color w:val="000000"/>
          <w:sz w:val="30"/>
          <w:szCs w:val="30"/>
        </w:rPr>
      </w:pPr>
      <w:r>
        <w:rPr>
          <w:rFonts w:hint="eastAsia" w:ascii="Times New Roman" w:hAnsi="Times New Roman" w:cs="宋体"/>
          <w:b/>
          <w:color w:val="000000"/>
          <w:sz w:val="30"/>
          <w:szCs w:val="30"/>
        </w:rPr>
      </w:r>
      <w:r/>
    </w:p>
    <w:p>
      <w:pPr>
        <w:jc w:val="center"/>
        <w:rPr>
          <w:rFonts w:hint="eastAsia" w:ascii="Times New Roman" w:hAnsi="Times New Roman" w:cs="宋体"/>
          <w:b/>
          <w:color w:val="000000"/>
          <w:sz w:val="30"/>
          <w:szCs w:val="30"/>
        </w:rPr>
      </w:pPr>
      <w:r>
        <w:rPr>
          <w:rFonts w:hint="eastAsia" w:ascii="Times New Roman" w:hAnsi="Times New Roman" w:cs="宋体"/>
          <w:b/>
          <w:color w:val="000000"/>
          <w:sz w:val="30"/>
          <w:szCs w:val="30"/>
        </w:rPr>
      </w:r>
      <w:r/>
    </w:p>
    <w:p>
      <w:pPr>
        <w:jc w:val="center"/>
        <w:rPr>
          <w:rFonts w:hint="eastAsia" w:eastAsia="宋体"/>
          <w:b/>
          <w:color w:val="000000"/>
          <w:sz w:val="30"/>
          <w:szCs w:val="30"/>
          <w:lang w:eastAsia="zh-CN"/>
        </w:rPr>
      </w:pPr>
      <w:r>
        <w:rPr>
          <w:rFonts w:hint="eastAsia" w:ascii="Times New Roman" w:hAnsi="Times New Roman" w:cs="宋体"/>
          <w:b/>
          <w:color w:val="000000"/>
          <w:sz w:val="30"/>
          <w:szCs w:val="30"/>
        </w:rPr>
        <w:t xml:space="preserve">项目名称：</w:t>
      </w:r>
      <w:r>
        <w:rPr>
          <w:rFonts w:hint="eastAsia" w:ascii="Times New Roman" w:hAnsi="Times New Roman"/>
          <w:b/>
          <w:color w:val="000000"/>
          <w:sz w:val="30"/>
          <w:szCs w:val="30"/>
          <w:lang w:eastAsia="zh-CN"/>
        </w:rPr>
        <w:t xml:space="preserve">2026年泗洪县高层住宅电梯更新项目(第二批次)</w:t>
      </w:r>
      <w:r/>
    </w:p>
    <w:p>
      <w:pPr>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ind w:firstLine="602"/>
        <w:rPr>
          <w:rFonts w:hint="eastAsia" w:ascii="Times New Roman" w:hAnsi="Times New Roman" w:eastAsia="宋体" w:cs="宋体"/>
          <w:b/>
          <w:color w:val="000000"/>
          <w:sz w:val="30"/>
          <w:szCs w:val="30"/>
          <w:lang w:eastAsia="zh-CN"/>
        </w:rPr>
      </w:pPr>
      <w:r>
        <w:rPr>
          <w:rFonts w:hint="eastAsia" w:ascii="Times New Roman" w:hAnsi="Times New Roman" w:cs="宋体"/>
          <w:b/>
          <w:color w:val="000000"/>
          <w:sz w:val="30"/>
          <w:szCs w:val="30"/>
        </w:rPr>
        <w:t xml:space="preserve">项目编号：JSZC-321324-JZCG-G2026-0019</w:t>
      </w:r>
      <w:r/>
    </w:p>
    <w:p>
      <w:pPr>
        <w:ind w:left="2800" w:hanging="2800"/>
        <w:rPr>
          <w:rFonts w:ascii="Times New Roman" w:hAnsi="Times New Roman"/>
          <w:color w:val="000000"/>
          <w:sz w:val="28"/>
          <w:szCs w:val="28"/>
        </w:rPr>
      </w:pPr>
      <w:r>
        <w:rPr>
          <w:rFonts w:ascii="Times New Roman" w:hAnsi="Times New Roman"/>
          <w:color w:val="000000"/>
          <w:sz w:val="28"/>
          <w:szCs w:val="28"/>
        </w:rPr>
      </w:r>
      <w:r/>
    </w:p>
    <w:p>
      <w:pPr>
        <w:jc w:val="center"/>
        <w:rPr>
          <w:rFonts w:ascii="方正仿宋_GB2312" w:hAnsi="方正仿宋_GB2312" w:eastAsia="方正仿宋_GB2312" w:cs="方正仿宋_GB2312"/>
          <w:b/>
          <w:color w:val="000000" w:themeColor="text1"/>
          <w:sz w:val="30"/>
          <w:szCs w:val="30"/>
          <w14:textFill>
            <w14:solidFill>
              <w14:schemeClr w14:val="tx1"/>
            </w14:solidFill>
          </w14:textFill>
        </w:rPr>
      </w:pPr>
      <w:r>
        <w:rPr>
          <w:rFonts w:hint="eastAsia" w:ascii="方正仿宋_GB2312" w:hAnsi="方正仿宋_GB2312" w:eastAsia="方正仿宋_GB2312" w:cs="方正仿宋_GB2312"/>
          <w:b/>
          <w:color w:val="000000" w:themeColor="text1"/>
          <w:sz w:val="30"/>
          <w:szCs w:val="30"/>
          <w14:textFill>
            <w14:solidFill>
              <w14:schemeClr w14:val="tx1"/>
            </w14:solidFill>
          </w14:textFill>
        </w:rPr>
        <w:t xml:space="preserve">（货物类项目，本项目</w:t>
      </w:r>
      <w:r>
        <w:rPr>
          <w:rFonts w:hint="eastAsia" w:ascii="方正仿宋_GB2312" w:hAnsi="方正仿宋_GB2312" w:eastAsia="方正仿宋_GB2312" w:cs="方正仿宋_GB2312"/>
          <w:b/>
          <w:color w:val="000000" w:themeColor="text1"/>
          <w:sz w:val="30"/>
          <w:szCs w:val="30"/>
          <w:u w:val="single"/>
          <w14:textFill>
            <w14:solidFill>
              <w14:schemeClr w14:val="tx1"/>
            </w14:solidFill>
          </w14:textFill>
        </w:rPr>
        <w:t xml:space="preserve"> 非 </w:t>
      </w:r>
      <w:r>
        <w:rPr>
          <w:rFonts w:hint="eastAsia" w:ascii="方正仿宋_GB2312" w:hAnsi="方正仿宋_GB2312" w:eastAsia="方正仿宋_GB2312" w:cs="方正仿宋_GB2312"/>
          <w:b/>
          <w:color w:val="000000" w:themeColor="text1"/>
          <w:sz w:val="30"/>
          <w:szCs w:val="30"/>
          <w14:textFill>
            <w14:solidFill>
              <w14:schemeClr w14:val="tx1"/>
            </w14:solidFill>
          </w14:textFill>
        </w:rPr>
        <w:t xml:space="preserve">专门面向中小企业采购）</w:t>
      </w:r>
      <w:r/>
    </w:p>
    <w:p>
      <w:pPr>
        <w:rPr>
          <w:b/>
          <w:color w:val="000000"/>
          <w:sz w:val="28"/>
          <w:szCs w:val="28"/>
        </w:rPr>
      </w:pPr>
      <w:r>
        <w:rPr>
          <w:b/>
          <w:color w:val="000000"/>
          <w:sz w:val="28"/>
          <w:szCs w:val="28"/>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Style w:val="822"/>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tcPr>
          <w:p>
            <w:pPr>
              <w:jc w:val="left"/>
              <w:spacing w:line="500" w:lineRule="exact"/>
              <w:rPr>
                <w:rFonts w:hint="eastAsia"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tcPr>
          <w:p>
            <w:pPr>
              <w:jc w:val="left"/>
              <w:spacing w:line="500" w:lineRule="exact"/>
              <w:rPr>
                <w:rFonts w:hint="eastAsia" w:ascii="仿宋" w:hAnsi="仿宋" w:cs="仿宋"/>
                <w:b/>
                <w:color w:val="000000"/>
                <w:sz w:val="32"/>
                <w:szCs w:val="32"/>
              </w:rPr>
            </w:pPr>
            <w:r>
              <w:rPr>
                <w:rFonts w:hint="eastAsia" w:ascii="仿宋" w:hAnsi="仿宋" w:cs="仿宋"/>
                <w:b/>
                <w:color w:val="000000"/>
                <w:sz w:val="32"/>
                <w:szCs w:val="32"/>
              </w:rPr>
              <w:t xml:space="preserve">泗洪县住房和城乡建设局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tcPr>
          <w:p>
            <w:pPr>
              <w:jc w:val="left"/>
              <w:spacing w:line="500" w:lineRule="exact"/>
              <w:rPr>
                <w:rFonts w:hint="eastAsia" w:ascii="仿宋" w:hAnsi="仿宋" w:cs="仿宋"/>
                <w:b/>
                <w:color w:val="000000"/>
                <w:sz w:val="32"/>
                <w:szCs w:val="32"/>
              </w:rPr>
            </w:pPr>
            <w:r>
              <w:rPr>
                <w:rFonts w:hint="eastAsia" w:ascii="仿宋" w:hAnsi="仿宋" w:cs="仿宋"/>
                <w:b/>
                <w:color w:val="000000"/>
                <w:sz w:val="32"/>
                <w:szCs w:val="32"/>
              </w:rPr>
              <w:t xml:space="preserve">泗洪县公共资源交易中心</w:t>
            </w:r>
            <w:r/>
          </w:p>
        </w:tc>
      </w:tr>
    </w:tbl>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964"/>
        <w:jc w:val="left"/>
        <w:spacing w:before="120" w:after="120" w:line="360" w:lineRule="auto"/>
        <w:rPr>
          <w:rFonts w:ascii="Arial" w:hAnsi="Arial"/>
          <w:b/>
          <w:color w:val="000000"/>
          <w:sz w:val="32"/>
          <w:szCs w:val="24"/>
        </w:rPr>
      </w:pPr>
      <w:r>
        <w:rPr>
          <w:rFonts w:ascii="Arial" w:hAnsi="Arial"/>
          <w:b/>
          <w:color w:val="000000"/>
          <w:sz w:val="32"/>
          <w:szCs w:val="24"/>
        </w:rPr>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spacing w:before="120" w:after="120" w:line="360" w:lineRule="auto"/>
        <w:rPr>
          <w:rFonts w:ascii="Arial" w:hAnsi="Arial"/>
          <w:b/>
          <w:color w:val="000000"/>
          <w:sz w:val="32"/>
          <w:szCs w:val="24"/>
        </w:rPr>
      </w:pPr>
      <w:r>
        <w:rPr>
          <w:rFonts w:ascii="Arial" w:hAnsi="Arial"/>
          <w:b/>
          <w:color w:val="000000"/>
          <w:sz w:val="32"/>
          <w:szCs w:val="24"/>
        </w:rPr>
        <w:t xml:space="preserve">202</w:t>
      </w:r>
      <w:r>
        <w:rPr>
          <w:rFonts w:hint="eastAsia" w:ascii="Arial" w:hAnsi="Arial"/>
          <w:b/>
          <w:color w:val="000000"/>
          <w:sz w:val="32"/>
          <w:szCs w:val="24"/>
        </w:rPr>
        <w:t xml:space="preserve">6</w:t>
      </w:r>
      <w:r>
        <w:rPr>
          <w:rFonts w:hint="eastAsia" w:ascii="Arial" w:hAnsi="Arial" w:cs="宋体"/>
          <w:b/>
          <w:color w:val="000000"/>
          <w:sz w:val="32"/>
          <w:szCs w:val="24"/>
        </w:rPr>
        <w:t xml:space="preserve">年</w:t>
      </w:r>
      <w:r>
        <w:rPr>
          <w:rFonts w:hint="eastAsia" w:ascii="Arial" w:hAnsi="Arial" w:cs="宋体"/>
          <w:b/>
          <w:color w:val="auto"/>
          <w:sz w:val="32"/>
          <w:szCs w:val="24"/>
        </w:rPr>
        <w:t xml:space="preserve">0</w:t>
      </w:r>
      <w:r>
        <w:rPr>
          <w:rFonts w:hint="eastAsia" w:ascii="Arial" w:hAnsi="Arial" w:cs="宋体"/>
          <w:b/>
          <w:color w:val="auto"/>
          <w:sz w:val="32"/>
          <w:szCs w:val="24"/>
          <w:lang w:val="en-US" w:eastAsia="zh-CN"/>
        </w:rPr>
        <w:t xml:space="preserve">8</w:t>
      </w:r>
      <w:r>
        <w:rPr>
          <w:rFonts w:hint="eastAsia" w:ascii="Arial" w:hAnsi="Arial" w:cs="宋体"/>
          <w:b/>
          <w:color w:val="auto"/>
          <w:sz w:val="32"/>
          <w:szCs w:val="24"/>
        </w:rPr>
        <w:t xml:space="preserve">月</w:t>
      </w:r>
      <w:r>
        <w:rPr>
          <w:rFonts w:hint="eastAsia" w:ascii="Arial" w:hAnsi="Arial" w:cs="宋体"/>
          <w:b/>
          <w:color w:val="auto"/>
          <w:sz w:val="32"/>
          <w:szCs w:val="24"/>
          <w:lang w:val="en-US" w:eastAsia="zh-CN"/>
        </w:rPr>
        <w:t xml:space="preserve">25</w:t>
      </w:r>
      <w:r>
        <w:rPr>
          <w:rFonts w:hint="eastAsia" w:ascii="Arial" w:hAnsi="Arial" w:cs="宋体"/>
          <w:b/>
          <w:color w:val="auto"/>
          <w:sz w:val="32"/>
          <w:szCs w:val="24"/>
        </w:rPr>
        <w:t xml:space="preserve">日</w:t>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keepLines/>
        <w:keepNext/>
        <w:pageBreakBefore/>
        <w:rPr>
          <w:b/>
          <w:color w:val="000000"/>
          <w:sz w:val="44"/>
          <w:szCs w:val="44"/>
        </w:rPr>
      </w:pPr>
      <w:r>
        <w:rPr>
          <w:rFonts w:hint="eastAsia"/>
          <w:b/>
          <w:color w:val="000000"/>
          <w:sz w:val="44"/>
          <w:szCs w:val="44"/>
        </w:rPr>
        <w:t xml:space="preserve">目 录</w:t>
      </w:r>
      <w:r/>
    </w:p>
    <w:p>
      <w:pPr>
        <w:pStyle w:val="920"/>
        <w:spacing w:line="600" w:lineRule="exact"/>
        <w:tabs>
          <w:tab w:val="right" w:pos="9185" w:leader="dot"/>
        </w:tabs>
        <w:rPr>
          <w:rFonts w:ascii="Times New Roman" w:hAnsi="Times New Roman" w:eastAsia="黑体"/>
          <w:b w:val="0"/>
          <w:bCs w:val="0"/>
          <w:color w:val="000000"/>
          <w:sz w:val="32"/>
        </w:rPr>
      </w:pPr>
      <w:r>
        <w:rPr>
          <w:color w:val="000000"/>
        </w:rPr>
        <w:fldChar w:fldCharType="begin"/>
      </w:r>
      <w:r>
        <w:rPr>
          <w:color w:val="000000"/>
        </w:rPr>
        <w:instrText xml:space="preserve">TOC \o "1-1" \h \u </w:instrText>
      </w:r>
      <w:r>
        <w:rPr>
          <w:color w:val="000000"/>
        </w:rPr>
        <w:fldChar w:fldCharType="separate"/>
      </w:r>
      <w:r>
        <w:fldChar w:fldCharType="begin"/>
      </w:r>
      <w:r>
        <w:instrText xml:space="preserve"> HYPERLINK \l "_Toc10813" </w:instrText>
      </w:r>
      <w:r>
        <w:fldChar w:fldCharType="separate"/>
      </w:r>
      <w:r>
        <w:rPr>
          <w:rFonts w:hint="eastAsia" w:ascii="Times New Roman" w:hAnsi="Times New Roman" w:eastAsia="黑体"/>
          <w:b w:val="0"/>
          <w:bCs w:val="0"/>
          <w:color w:val="000000"/>
          <w:sz w:val="32"/>
        </w:rPr>
        <w:t xml:space="preserve">第一章  投标邀请</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_Toc10813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920"/>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"_Toc9425" </w:instrText>
      </w:r>
      <w:r>
        <w:fldChar w:fldCharType="separate"/>
      </w:r>
      <w:r>
        <w:rPr>
          <w:rFonts w:hint="eastAsia" w:ascii="Times New Roman" w:hAnsi="Times New Roman" w:eastAsia="黑体"/>
          <w:b w:val="0"/>
          <w:bCs w:val="0"/>
          <w:color w:val="000000"/>
          <w:sz w:val="32"/>
        </w:rPr>
        <w:t xml:space="preserve">第二章  投标人须知</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_Toc9425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6</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920"/>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"_Toc17996" </w:instrText>
      </w:r>
      <w:r>
        <w:fldChar w:fldCharType="separate"/>
      </w:r>
      <w:r>
        <w:rPr>
          <w:rStyle w:val="843"/>
          <w:rFonts w:hint="eastAsia" w:ascii="Times New Roman" w:hAnsi="Times New Roman" w:eastAsia="黑体" w:cs="Times New Roman"/>
          <w:b w:val="0"/>
          <w:bCs w:val="0"/>
          <w:sz w:val="32"/>
          <w:szCs w:val="44"/>
        </w:rPr>
        <w:t xml:space="preserve">第三章  评标方法与评标标准</w:t>
      </w:r>
      <w:r>
        <w:rPr>
          <w:rStyle w:val="843"/>
          <w:rFonts w:ascii="Times New Roman" w:hAnsi="Times New Roman" w:eastAsia="黑体"/>
          <w:b w:val="0"/>
          <w:bCs w:val="0"/>
          <w:sz w:val="32"/>
        </w:rPr>
        <w:tab/>
      </w:r>
      <w:r>
        <w:rPr>
          <w:rStyle w:val="843"/>
          <w:rFonts w:ascii="Times New Roman" w:hAnsi="Times New Roman" w:eastAsia="黑体"/>
          <w:b w:val="0"/>
          <w:bCs w:val="0"/>
          <w:sz w:val="32"/>
        </w:rPr>
        <w:fldChar w:fldCharType="begin"/>
      </w:r>
      <w:r>
        <w:rPr>
          <w:rStyle w:val="843"/>
          <w:rFonts w:ascii="Times New Roman" w:hAnsi="Times New Roman" w:eastAsia="黑体"/>
          <w:b w:val="0"/>
          <w:bCs w:val="0"/>
          <w:sz w:val="32"/>
        </w:rPr>
        <w:instrText xml:space="preserve"> PAGEREF _Toc17996 \h </w:instrText>
      </w:r>
      <w:r>
        <w:rPr>
          <w:rStyle w:val="843"/>
          <w:rFonts w:ascii="Times New Roman" w:hAnsi="Times New Roman" w:eastAsia="黑体"/>
          <w:b w:val="0"/>
          <w:bCs w:val="0"/>
          <w:sz w:val="32"/>
        </w:rPr>
        <w:fldChar w:fldCharType="separate"/>
      </w:r>
      <w:r>
        <w:rPr>
          <w:rStyle w:val="843"/>
          <w:rFonts w:ascii="Times New Roman" w:hAnsi="Times New Roman" w:eastAsia="黑体"/>
          <w:b w:val="0"/>
          <w:bCs w:val="0"/>
          <w:sz w:val="32"/>
        </w:rPr>
        <w:t xml:space="preserve">23</w:t>
      </w:r>
      <w:r>
        <w:rPr>
          <w:rStyle w:val="843"/>
          <w:rFonts w:ascii="Times New Roman" w:hAnsi="Times New Roman" w:eastAsia="黑体"/>
          <w:b w:val="0"/>
          <w:bCs w:val="0"/>
          <w:sz w:val="32"/>
        </w:rPr>
        <w:fldChar w:fldCharType="end"/>
      </w:r>
      <w:r>
        <w:rPr>
          <w:rStyle w:val="843"/>
          <w:rFonts w:ascii="Times New Roman" w:hAnsi="Times New Roman" w:eastAsia="黑体"/>
          <w:b w:val="0"/>
          <w:bCs w:val="0"/>
          <w:sz w:val="32"/>
        </w:rPr>
        <w:fldChar w:fldCharType="end"/>
      </w:r>
      <w:r/>
    </w:p>
    <w:p>
      <w:pPr>
        <w:pStyle w:val="920"/>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"_Toc22314" </w:instrText>
      </w:r>
      <w:r>
        <w:fldChar w:fldCharType="separate"/>
      </w:r>
      <w:r>
        <w:rPr>
          <w:rFonts w:hint="eastAsia" w:ascii="Times New Roman" w:hAnsi="Times New Roman" w:eastAsia="黑体"/>
          <w:b w:val="0"/>
          <w:bCs w:val="0"/>
          <w:color w:val="000000"/>
          <w:sz w:val="32"/>
          <w:szCs w:val="44"/>
        </w:rPr>
        <w:t xml:space="preserve">第四章  采购需求</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_Toc22314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25</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920"/>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"_Toc2513" </w:instrText>
      </w:r>
      <w:r>
        <w:fldChar w:fldCharType="separate"/>
      </w:r>
      <w:r>
        <w:rPr>
          <w:rFonts w:hint="eastAsia" w:ascii="Times New Roman" w:hAnsi="Times New Roman" w:eastAsia="黑体"/>
          <w:b w:val="0"/>
          <w:bCs w:val="0"/>
          <w:color w:val="000000"/>
          <w:sz w:val="32"/>
          <w:szCs w:val="44"/>
        </w:rPr>
        <w:t xml:space="preserve">第五章合同文本</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_Toc2513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46</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920"/>
        <w:spacing w:line="600" w:lineRule="exact"/>
        <w:tabs>
          <w:tab w:val="right" w:pos="9185" w:leader="dot"/>
        </w:tabs>
        <w:rPr>
          <w:color w:val="000000"/>
        </w:rPr>
      </w:pPr>
      <w:r>
        <w:fldChar w:fldCharType="begin"/>
      </w:r>
      <w:r>
        <w:instrText xml:space="preserve"> HYPERLINK \l "_Toc12937" </w:instrText>
      </w:r>
      <w:r>
        <w:fldChar w:fldCharType="separate"/>
      </w:r>
      <w:r>
        <w:rPr>
          <w:rFonts w:hint="eastAsia" w:ascii="Times New Roman" w:hAnsi="Times New Roman" w:eastAsia="黑体"/>
          <w:b w:val="0"/>
          <w:bCs w:val="0"/>
          <w:color w:val="000000"/>
          <w:sz w:val="32"/>
          <w:szCs w:val="44"/>
        </w:rPr>
        <w:t xml:space="preserve">第六章  投标文件格式</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_Toc12937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65</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rPr>
          <w:color w:val="000000"/>
        </w:rPr>
      </w:pPr>
      <w:r>
        <w:rPr>
          <w:color w:val="000000"/>
        </w:rPr>
        <w:fldChar w:fldCharType="end"/>
      </w:r>
      <w:r/>
    </w:p>
    <w:p>
      <w:pPr>
        <w:jc w:val="center"/>
        <w:keepLines/>
        <w:keepNext/>
        <w:pageBreakBefore/>
        <w:rPr>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61"/>
        <w:jc w:val="center"/>
        <w:spacing w:before="200"/>
        <w:rPr>
          <w:rFonts w:eastAsia="黑体"/>
          <w:color w:val="000000"/>
          <w:sz w:val="44"/>
        </w:rPr>
      </w:pPr>
      <w:r/>
      <w:bookmarkStart w:id="4" w:name="_Toc25722"/>
      <w:r/>
      <w:bookmarkStart w:id="5" w:name="_Toc30943"/>
      <w:r/>
      <w:bookmarkStart w:id="6" w:name="_Toc10813"/>
      <w:r>
        <w:rPr>
          <w:rFonts w:hint="eastAsia" w:eastAsia="黑体"/>
          <w:color w:val="000000"/>
          <w:sz w:val="44"/>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泗洪县住房和城乡建设局</w:t>
      </w:r>
      <w:r>
        <w:rPr>
          <w:rFonts w:hint="eastAsia" w:ascii="宋体" w:hAnsi="宋体"/>
          <w:color w:val="000000"/>
          <w:sz w:val="24"/>
          <w:szCs w:val="24"/>
        </w:rPr>
        <w:t xml:space="preserve">的委托，</w:t>
      </w:r>
      <w:r>
        <w:rPr>
          <w:rFonts w:hint="eastAsia" w:ascii="Times New Roman" w:hAnsi="Times New Roman" w:cs="方正仿宋_GBK"/>
          <w:color w:val="000000"/>
          <w:sz w:val="24"/>
          <w:szCs w:val="24"/>
          <w:u w:val="single"/>
        </w:rPr>
        <w:t xml:space="preserve">泗洪县公共资源交易中心</w:t>
      </w:r>
      <w:r>
        <w:rPr>
          <w:rFonts w:hint="eastAsia" w:ascii="Times New Roman" w:hAnsi="Times New Roman" w:cs="方正仿宋_GBK"/>
          <w:color w:val="000000"/>
          <w:sz w:val="24"/>
          <w:szCs w:val="24"/>
        </w:rPr>
        <w:t xml:space="preserve">就</w:t>
      </w:r>
      <w:r>
        <w:rPr>
          <w:rFonts w:hint="eastAsia" w:ascii="宋体" w:hAnsi="宋体"/>
          <w:color w:val="000000"/>
          <w:sz w:val="24"/>
          <w:szCs w:val="24"/>
          <w:u w:val="single"/>
          <w:lang w:eastAsia="zh-CN"/>
        </w:rPr>
        <w:t xml:space="preserve">2026年泗洪县高层住宅电梯更新项目(第二批次)</w:t>
      </w:r>
      <w:r>
        <w:rPr>
          <w:rFonts w:hint="eastAsia" w:ascii="宋体" w:hAnsi="宋体"/>
          <w:color w:val="000000"/>
          <w:sz w:val="24"/>
          <w:szCs w:val="24"/>
        </w:rPr>
        <w:t xml:space="preserve">(</w:t>
      </w:r>
      <w:r>
        <w:rPr>
          <w:rFonts w:hint="eastAsia" w:ascii="宋体" w:hAnsi="宋体"/>
          <w:color w:val="000000"/>
          <w:sz w:val="24"/>
          <w:szCs w:val="24"/>
          <w:u w:val="single"/>
        </w:rPr>
        <w:t xml:space="preserve">JSZC-321324-JZCG-G2026-0019</w:t>
      </w:r>
      <w:r>
        <w:rPr>
          <w:rFonts w:hint="eastAsia" w:ascii="宋体" w:hAnsi="宋体"/>
          <w:color w:val="000000"/>
          <w:sz w:val="24"/>
          <w:szCs w:val="24"/>
        </w:rPr>
        <w:t xml:space="preserve">)</w:t>
      </w:r>
      <w:r>
        <w:rPr>
          <w:rFonts w:hint="eastAsia" w:ascii="Times New Roman" w:hAnsi="Times New Roman" w:cs="方正仿宋_GBK"/>
          <w:color w:val="000000"/>
          <w:sz w:val="24"/>
          <w:szCs w:val="24"/>
        </w:rPr>
        <w:t xml:space="preserve">进行公开招标采购，欢迎符合条件的投标人投标。</w:t>
      </w:r>
      <w:r/>
    </w:p>
    <w:p>
      <w:pPr>
        <w:ind w:firstLine="480"/>
        <w:spacing w:line="480" w:lineRule="exact"/>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spacing w:line="480" w:lineRule="exact"/>
        <w:rPr>
          <w:rFonts w:hint="eastAsia" w:ascii="方正仿宋_GBK" w:hAnsi="方正仿宋_GBK" w:eastAsia="方正仿宋_GBK" w:cs="方正仿宋_GBK"/>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2026年泗洪县高层住宅电梯更新项目(第二批次)</w:t>
      </w:r>
      <w:r>
        <w:rPr>
          <w:rFonts w:hint="eastAsia" w:ascii="Times New Roman" w:hAnsi="Times New Roman" w:cs="方正仿宋_GBK"/>
          <w:color w:val="000000"/>
          <w:sz w:val="24"/>
          <w:szCs w:val="24"/>
        </w:rPr>
        <w:t xml:space="preserve">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w:t>
      </w:r>
      <w:r>
        <w:rPr>
          <w:rFonts w:hint="eastAsia" w:ascii="Times New Roman" w:hAnsi="Times New Roman" w:cs="方正仿宋_GBK"/>
          <w:color w:val="auto"/>
          <w:sz w:val="24"/>
          <w:szCs w:val="24"/>
        </w:rPr>
        <w:t xml:space="preserve">并于</w:t>
      </w:r>
      <w:r>
        <w:rPr>
          <w:rFonts w:hint="eastAsia" w:ascii="宋体" w:hAnsi="宋体"/>
          <w:color w:val="auto"/>
          <w:sz w:val="24"/>
          <w:szCs w:val="24"/>
          <w:u w:val="single"/>
        </w:rPr>
        <w:t xml:space="preserve">2026</w:t>
      </w:r>
      <w:r>
        <w:rPr>
          <w:rFonts w:hint="eastAsia" w:ascii="宋体" w:hAnsi="宋体"/>
          <w:bCs/>
          <w:color w:val="auto"/>
          <w:sz w:val="24"/>
          <w:szCs w:val="24"/>
          <w:u w:val="single"/>
        </w:rPr>
        <w:t xml:space="preserve">年0</w:t>
      </w:r>
      <w:r>
        <w:rPr>
          <w:rFonts w:hint="eastAsia" w:ascii="宋体" w:hAnsi="宋体"/>
          <w:bCs/>
          <w:color w:val="auto"/>
          <w:sz w:val="24"/>
          <w:szCs w:val="24"/>
          <w:u w:val="single"/>
          <w:lang w:val="en-US" w:eastAsia="zh-CN"/>
        </w:rPr>
        <w:t xml:space="preserve">9</w:t>
      </w:r>
      <w:r>
        <w:rPr>
          <w:rFonts w:hint="eastAsia" w:ascii="宋体" w:hAnsi="宋体"/>
          <w:bCs/>
          <w:color w:val="auto"/>
          <w:sz w:val="24"/>
          <w:szCs w:val="24"/>
          <w:u w:val="single"/>
        </w:rPr>
        <w:t xml:space="preserve">月</w:t>
      </w:r>
      <w:r>
        <w:rPr>
          <w:rFonts w:hint="eastAsia" w:ascii="宋体" w:hAnsi="宋体"/>
          <w:bCs/>
          <w:color w:val="auto"/>
          <w:sz w:val="24"/>
          <w:szCs w:val="24"/>
          <w:u w:val="single"/>
          <w:lang w:val="en-US" w:eastAsia="zh-CN"/>
        </w:rPr>
        <w:t xml:space="preserve">17</w:t>
      </w:r>
      <w:r>
        <w:rPr>
          <w:rFonts w:hint="eastAsia" w:ascii="宋体" w:hAnsi="宋体"/>
          <w:bCs/>
          <w:color w:val="auto"/>
          <w:sz w:val="24"/>
          <w:szCs w:val="24"/>
          <w:u w:val="single"/>
        </w:rPr>
        <w:t xml:space="preserve">日09点00分（</w:t>
      </w:r>
      <w:r>
        <w:rPr>
          <w:rFonts w:hint="eastAsia" w:ascii="宋体" w:hAnsi="宋体"/>
          <w:bCs/>
          <w:color w:val="auto"/>
          <w:sz w:val="24"/>
          <w:szCs w:val="24"/>
        </w:rPr>
        <w:t xml:space="preserve">北京时间）</w:t>
      </w:r>
      <w:r>
        <w:rPr>
          <w:rFonts w:hint="eastAsia" w:ascii="Times New Roman" w:hAnsi="Times New Roman" w:cs="方正仿宋_GBK"/>
          <w:bCs/>
          <w:color w:val="auto"/>
          <w:sz w:val="24"/>
          <w:szCs w:val="24"/>
        </w:rPr>
        <w:t xml:space="preserve">前递交投标文件</w:t>
      </w:r>
      <w:r>
        <w:rPr>
          <w:rFonts w:hint="eastAsia" w:ascii="Times New Roman" w:hAnsi="Times New Roman" w:cs="方正仿宋_GBK"/>
          <w:color w:val="auto"/>
          <w:sz w:val="24"/>
          <w:szCs w:val="24"/>
        </w:rPr>
        <w:t xml:space="preserve">。</w:t>
      </w:r>
      <w:r/>
    </w:p>
    <w:p>
      <w:pPr>
        <w:pStyle w:val="862"/>
        <w:ind w:firstLine="643"/>
        <w:spacing w:before="0" w:after="0" w:line="480" w:lineRule="exact"/>
        <w:rPr>
          <w:rFonts w:eastAsia="宋体" w:cs="Arial"/>
          <w:bCs/>
          <w:color w:val="auto"/>
          <w:szCs w:val="22"/>
        </w:rPr>
      </w:pPr>
      <w:r/>
      <w:bookmarkStart w:id="7" w:name="_Toc38985263"/>
      <w:r/>
      <w:bookmarkStart w:id="8" w:name="_Toc35393621"/>
      <w:r/>
      <w:bookmarkStart w:id="9" w:name="_Toc28359079"/>
      <w:r/>
      <w:bookmarkStart w:id="10" w:name="_Toc28359002"/>
      <w:r/>
      <w:bookmarkStart w:id="11" w:name="_Toc2584"/>
      <w:r/>
      <w:bookmarkStart w:id="12" w:name="_Toc35393790"/>
      <w:r/>
      <w:bookmarkStart w:id="13" w:name="_Hlk24379207"/>
      <w:r>
        <w:rPr>
          <w:rFonts w:hint="eastAsia" w:eastAsia="宋体" w:cs="Arial"/>
          <w:bCs/>
          <w:color w:val="auto"/>
          <w:szCs w:val="22"/>
        </w:rPr>
        <w:t xml:space="preserve">一、项目基本情况</w:t>
      </w:r>
      <w:bookmarkEnd w:id="7"/>
      <w:r/>
      <w:bookmarkEnd w:id="8"/>
      <w:r/>
      <w:bookmarkEnd w:id="9"/>
      <w:r/>
      <w:bookmarkEnd w:id="10"/>
      <w:r/>
      <w:bookmarkEnd w:id="11"/>
      <w:r/>
      <w:bookmarkEnd w:id="12"/>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1.项目编号：JSZC-321324-JZCG-G2026-0019 </w:t>
      </w:r>
      <w:r/>
    </w:p>
    <w:p>
      <w:pPr>
        <w:ind w:firstLine="480"/>
        <w:spacing w:line="480" w:lineRule="exact"/>
        <w:rPr>
          <w:rFonts w:hint="eastAsia" w:ascii="Times New Roman" w:hAnsi="Times New Roman" w:eastAsia="宋体" w:cs="仿宋"/>
          <w:color w:val="auto"/>
          <w:sz w:val="24"/>
          <w:szCs w:val="24"/>
          <w:lang w:eastAsia="zh-CN"/>
        </w:rPr>
      </w:pPr>
      <w:r>
        <w:rPr>
          <w:rFonts w:hint="eastAsia" w:ascii="Times New Roman" w:hAnsi="Times New Roman" w:cs="仿宋"/>
          <w:color w:val="auto"/>
          <w:sz w:val="24"/>
          <w:szCs w:val="24"/>
        </w:rPr>
        <w:t xml:space="preserve">2.项目名称：</w:t>
      </w:r>
      <w:bookmarkEnd w:id="13"/>
      <w:r>
        <w:rPr>
          <w:rFonts w:hint="eastAsia" w:ascii="Times New Roman" w:hAnsi="Times New Roman" w:cs="仿宋"/>
          <w:color w:val="auto"/>
          <w:sz w:val="24"/>
          <w:szCs w:val="24"/>
          <w:lang w:eastAsia="zh-CN"/>
        </w:rPr>
        <w:t xml:space="preserve">2026年泗洪县高层住宅电梯更新项目(第二批次)</w:t>
      </w:r>
      <w:r/>
    </w:p>
    <w:p>
      <w:pPr>
        <w:ind w:firstLine="480"/>
        <w:spacing w:line="480" w:lineRule="exact"/>
        <w:rPr>
          <w:rFonts w:hint="eastAsia" w:ascii="仿宋" w:hAnsi="仿宋" w:eastAsia="宋体"/>
          <w:color w:val="auto"/>
          <w:sz w:val="24"/>
          <w:szCs w:val="24"/>
          <w:lang w:eastAsia="zh-CN"/>
        </w:rPr>
      </w:pPr>
      <w:r>
        <w:rPr>
          <w:rFonts w:hint="eastAsia" w:ascii="Times New Roman" w:hAnsi="Times New Roman" w:cs="仿宋"/>
          <w:color w:val="auto"/>
          <w:sz w:val="24"/>
          <w:szCs w:val="24"/>
        </w:rPr>
        <w:t xml:space="preserve">3.预算金额：</w:t>
      </w:r>
      <w:r>
        <w:rPr>
          <w:rFonts w:hint="eastAsia" w:ascii="Times New Roman" w:hAnsi="Times New Roman" w:cs="仿宋"/>
          <w:color w:val="auto"/>
          <w:sz w:val="24"/>
          <w:szCs w:val="24"/>
          <w:lang w:eastAsia="zh-CN"/>
        </w:rPr>
        <w:t xml:space="preserve">185万元</w:t>
      </w:r>
      <w:r/>
    </w:p>
    <w:p>
      <w:pPr>
        <w:ind w:firstLine="480"/>
        <w:spacing w:line="480" w:lineRule="exact"/>
        <w:rPr>
          <w:rFonts w:hint="eastAsia" w:ascii="仿宋" w:hAnsi="仿宋"/>
          <w:color w:val="auto"/>
          <w:sz w:val="24"/>
          <w:szCs w:val="24"/>
        </w:rPr>
      </w:pPr>
      <w:r>
        <w:rPr>
          <w:rFonts w:hint="eastAsia" w:ascii="Times New Roman" w:hAnsi="Times New Roman" w:cs="仿宋"/>
          <w:color w:val="auto"/>
          <w:sz w:val="24"/>
          <w:szCs w:val="24"/>
        </w:rPr>
        <w:t xml:space="preserve">4.</w:t>
      </w:r>
      <w:r>
        <w:rPr>
          <w:rFonts w:ascii="宋体" w:hAnsi="宋体" w:cs="宋体"/>
          <w:color w:val="auto"/>
          <w:sz w:val="24"/>
          <w:szCs w:val="24"/>
        </w:rPr>
        <w:t xml:space="preserve">最高限价（如有）：</w:t>
      </w:r>
      <w:r>
        <w:rPr>
          <w:rFonts w:hint="eastAsia" w:ascii="Times New Roman" w:hAnsi="Times New Roman" w:cs="仿宋"/>
          <w:color w:val="auto"/>
          <w:sz w:val="24"/>
          <w:szCs w:val="24"/>
        </w:rPr>
        <w:t xml:space="preserve">本项目设定最高限价，最高限价为</w:t>
      </w:r>
      <w:r>
        <w:rPr>
          <w:rFonts w:hint="eastAsia" w:ascii="仿宋_GB2312"/>
          <w:color w:val="auto"/>
          <w:sz w:val="24"/>
        </w:rPr>
        <w:t xml:space="preserve">：</w:t>
      </w:r>
      <w:bookmarkStart w:id="14" w:name="EB6c1f3d39c6914ae1bada8ccaa777b37a"/>
      <w:r>
        <w:rPr>
          <w:rFonts w:hint="eastAsia" w:ascii="仿宋_GB2312"/>
          <w:color w:val="auto"/>
          <w:sz w:val="24"/>
          <w:lang w:eastAsia="zh-CN"/>
        </w:rPr>
        <w:t xml:space="preserve">185万元</w:t>
      </w:r>
      <w:r>
        <w:rPr>
          <w:rFonts w:hint="eastAsia" w:ascii="仿宋_GB2312"/>
          <w:color w:val="auto"/>
          <w:sz w:val="24"/>
        </w:rPr>
        <w:t xml:space="preserve">。</w:t>
      </w:r>
      <w:bookmarkEnd w:id="14"/>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rPr>
          <w:rFonts w:ascii="宋体" w:hAnsi="宋体" w:cs="宋体"/>
          <w:color w:val="000000"/>
          <w:sz w:val="24"/>
          <w:szCs w:val="24"/>
        </w:rPr>
        <w:t xml:space="preserve">采购需求：</w:t>
      </w:r>
      <w:bookmarkStart w:id="15" w:name="OLE_LINK2"/>
      <w:r>
        <w:rPr>
          <w:rFonts w:hint="eastAsia" w:ascii="Times New Roman" w:hAnsi="Times New Roman" w:cs="仿宋"/>
          <w:sz w:val="24"/>
          <w:szCs w:val="24"/>
        </w:rPr>
        <w:t xml:space="preserve">泗洪县住房和城乡建设局拟对泗洪县城区老旧小区高层住宅</w:t>
      </w:r>
      <w:r>
        <w:rPr>
          <w:rFonts w:hint="eastAsia" w:ascii="Times New Roman" w:hAnsi="Times New Roman" w:cs="仿宋"/>
          <w:sz w:val="24"/>
          <w:szCs w:val="24"/>
          <w:lang w:eastAsia="zh-CN"/>
        </w:rPr>
        <w:t xml:space="preserve">（城市花园、衡山花园以及缔景花园3个小区）</w:t>
      </w:r>
      <w:r>
        <w:rPr>
          <w:rFonts w:hint="eastAsia" w:ascii="Times New Roman" w:hAnsi="Times New Roman" w:cs="仿宋"/>
          <w:sz w:val="24"/>
          <w:szCs w:val="24"/>
          <w:lang w:val="en-US" w:eastAsia="zh-CN"/>
        </w:rPr>
        <w:t xml:space="preserve">10</w:t>
      </w:r>
      <w:r>
        <w:rPr>
          <w:rFonts w:hint="eastAsia" w:ascii="Times New Roman" w:hAnsi="Times New Roman" w:cs="仿宋"/>
          <w:sz w:val="24"/>
          <w:szCs w:val="24"/>
        </w:rPr>
        <w:t xml:space="preserve">部电梯进行更新，采购内容包含原有电梯拆除、井道及机房改造、新电梯采购、安装及维保等</w:t>
      </w:r>
      <w:bookmarkEnd w:id="15"/>
      <w:r>
        <w:rPr>
          <w:rFonts w:hint="eastAsia" w:ascii="Times New Roman" w:hAnsi="Times New Roman" w:cs="仿宋"/>
          <w:color w:val="000000"/>
          <w:sz w:val="24"/>
          <w:szCs w:val="24"/>
        </w:rPr>
        <w:t xml:space="preserve">，详见采购需求。</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6.合同履行期限：合同签订后</w:t>
      </w:r>
      <w:r>
        <w:rPr>
          <w:rFonts w:hint="eastAsia" w:ascii="Times New Roman" w:hAnsi="Times New Roman" w:cs="仿宋"/>
          <w:color w:val="000000"/>
          <w:sz w:val="24"/>
          <w:szCs w:val="24"/>
          <w:lang w:eastAsia="zh-CN"/>
        </w:rPr>
        <w:t xml:space="preserve">60日历天</w:t>
      </w:r>
      <w:r>
        <w:rPr>
          <w:rFonts w:hint="eastAsia" w:ascii="Times New Roman" w:hAnsi="Times New Roman" w:cs="仿宋"/>
          <w:color w:val="000000"/>
          <w:sz w:val="24"/>
          <w:szCs w:val="24"/>
        </w:rPr>
        <w:t xml:space="preserve">内完成供货安装调试。</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rPr>
          <w:rFonts w:ascii="宋体" w:hAnsi="宋体" w:cs="宋体"/>
          <w:color w:val="000000"/>
          <w:sz w:val="24"/>
          <w:szCs w:val="24"/>
        </w:rPr>
        <w:t xml:space="preserve">本项目（是/否）接受联合体投标：否</w:t>
      </w:r>
      <w:r>
        <w:rPr>
          <w:rFonts w:hint="eastAsia" w:ascii="Times New Roman" w:hAnsi="Times New Roman" w:cs="仿宋"/>
          <w:color w:val="000000"/>
          <w:sz w:val="24"/>
          <w:szCs w:val="24"/>
        </w:rPr>
        <w:t xml:space="preserve">。</w:t>
      </w:r>
      <w:r/>
    </w:p>
    <w:p>
      <w:pPr>
        <w:pStyle w:val="862"/>
        <w:ind w:firstLine="643"/>
        <w:spacing w:before="0" w:after="0" w:line="480" w:lineRule="exact"/>
        <w:rPr>
          <w:rFonts w:eastAsia="宋体" w:cs="Arial"/>
          <w:bCs/>
          <w:color w:val="000000"/>
          <w:szCs w:val="22"/>
        </w:rPr>
      </w:pPr>
      <w:r/>
      <w:bookmarkStart w:id="16" w:name="_Toc28359080"/>
      <w:r/>
      <w:bookmarkStart w:id="17" w:name="_Toc27291"/>
      <w:r/>
      <w:bookmarkStart w:id="18" w:name="_Toc28359003"/>
      <w:r/>
      <w:bookmarkStart w:id="19" w:name="_Toc35393791"/>
      <w:r/>
      <w:bookmarkStart w:id="20" w:name="_Toc38985264"/>
      <w:r/>
      <w:bookmarkStart w:id="21" w:name="_Toc35393622"/>
      <w:r>
        <w:rPr>
          <w:rFonts w:hint="eastAsia" w:eastAsia="宋体" w:cs="Arial"/>
          <w:bCs/>
          <w:color w:val="000000"/>
          <w:szCs w:val="22"/>
        </w:rPr>
        <w:t xml:space="preserve">二、申请人的资格要求</w:t>
      </w:r>
      <w:bookmarkEnd w:id="16"/>
      <w:r/>
      <w:bookmarkEnd w:id="17"/>
      <w:r/>
      <w:bookmarkEnd w:id="18"/>
      <w:r/>
      <w:bookmarkEnd w:id="19"/>
      <w:r/>
      <w:bookmarkEnd w:id="20"/>
      <w:r/>
      <w:bookmarkEnd w:id="21"/>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（一）满足《中华人民共和国政府采购法》第二十二条规定：</w:t>
      </w:r>
      <w:bookmarkStart w:id="22" w:name="_Toc28359004"/>
      <w:r/>
      <w:bookmarkStart w:id="23" w:name="_Toc28359081"/>
      <w:r/>
      <w:bookmarkStart w:id="24" w:name="_Toc35393623"/>
      <w:r/>
      <w:bookmarkStart w:id="25" w:name="_Toc35393792"/>
      <w:r/>
      <w:bookmarkStart w:id="26" w:name="_Toc38985265"/>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Times New Roman" w:hAnsi="Times New Roman" w:cs="仿宋"/>
          <w:color w:val="000000"/>
          <w:sz w:val="24"/>
        </w:rPr>
      </w:pPr>
      <w:r>
        <w:rPr>
          <w:rFonts w:ascii="宋体" w:hAnsi="宋体" w:cs="宋体"/>
          <w:color w:val="000000"/>
          <w:sz w:val="24"/>
        </w:rPr>
        <w:t xml:space="preserve">（二）</w:t>
      </w:r>
      <w:r>
        <w:rPr>
          <w:rFonts w:hint="eastAsia" w:ascii="Times New Roman" w:hAnsi="Times New Roman" w:cs="仿宋"/>
          <w:color w:val="000000"/>
          <w:sz w:val="24"/>
          <w:szCs w:val="24"/>
        </w:rPr>
        <w:t xml:space="preserve">落实政府采购政策需满足的资格要求：</w:t>
      </w:r>
      <w:r>
        <w:rPr>
          <w:rFonts w:hint="eastAsia" w:ascii="Times New Roman" w:hAnsi="Times New Roman" w:cs="仿宋"/>
          <w:bCs/>
          <w:color w:val="000000"/>
          <w:sz w:val="24"/>
          <w:szCs w:val="24"/>
        </w:rPr>
        <w:t xml:space="preserve">本项目</w:t>
      </w:r>
      <w:r>
        <w:rPr>
          <w:rFonts w:hint="eastAsia" w:ascii="Times New Roman" w:hAnsi="Times New Roman" w:cs="仿宋"/>
          <w:bCs/>
          <w:color w:val="000000"/>
          <w:sz w:val="24"/>
          <w:szCs w:val="24"/>
          <w:u w:val="single"/>
        </w:rPr>
        <w:t xml:space="preserve"> 非 </w:t>
      </w:r>
      <w:r>
        <w:rPr>
          <w:rFonts w:hint="eastAsia" w:ascii="Times New Roman" w:hAnsi="Times New Roman" w:cs="仿宋"/>
          <w:bCs/>
          <w:color w:val="000000"/>
          <w:sz w:val="24"/>
          <w:szCs w:val="24"/>
        </w:rPr>
        <w:t xml:space="preserve">专门面向中小企业采购，</w:t>
      </w:r>
      <w:r>
        <w:rPr>
          <w:rFonts w:hint="eastAsia" w:ascii="Times New Roman" w:hAnsi="Times New Roman" w:cs="仿宋"/>
          <w:color w:val="000000"/>
          <w:sz w:val="24"/>
          <w:szCs w:val="24"/>
        </w:rPr>
        <w:t xml:space="preserve">本项目</w:t>
      </w:r>
      <w:r>
        <w:rPr>
          <w:rFonts w:hint="eastAsia" w:ascii="Times New Roman" w:hAnsi="Times New Roman" w:cs="仿宋"/>
          <w:color w:val="000000"/>
          <w:sz w:val="24"/>
        </w:rPr>
        <w:t xml:space="preserve">对符合规定情形的小微企业报价给予</w:t>
      </w:r>
      <w:r>
        <w:rPr>
          <w:rFonts w:hint="eastAsia" w:ascii="Times New Roman" w:hAnsi="Times New Roman" w:cs="仿宋"/>
          <w:b/>
          <w:bCs/>
          <w:sz w:val="24"/>
          <w:u w:val="single"/>
        </w:rPr>
        <w:t xml:space="preserve">15%</w:t>
      </w:r>
      <w:r>
        <w:rPr>
          <w:rFonts w:hint="eastAsia" w:ascii="Times New Roman" w:hAnsi="Times New Roman" w:cs="仿宋"/>
          <w:color w:val="000000"/>
          <w:sz w:val="24"/>
        </w:rPr>
        <w:t xml:space="preserve">扣除，用扣除后的价格参加评审。</w:t>
      </w:r>
      <w:r/>
    </w:p>
    <w:p>
      <w:pPr>
        <w:ind w:firstLine="600"/>
        <w:spacing w:line="480" w:lineRule="exact"/>
        <w:rPr>
          <w:rFonts w:ascii="Times New Roman" w:hAnsi="Times New Roman" w:cs="仿宋"/>
          <w:color w:val="000000"/>
          <w:sz w:val="24"/>
          <w:szCs w:val="24"/>
        </w:rPr>
      </w:pPr>
      <w:r>
        <w:rPr>
          <w:rFonts w:ascii="宋体" w:hAnsi="宋体" w:cs="宋体"/>
          <w:color w:val="000000"/>
          <w:sz w:val="24"/>
        </w:rPr>
        <w:t xml:space="preserve">（三）</w:t>
      </w:r>
      <w:r>
        <w:rPr>
          <w:rFonts w:hint="eastAsia" w:ascii="Times New Roman" w:hAnsi="Times New Roman" w:cs="仿宋"/>
          <w:color w:val="000000"/>
          <w:sz w:val="24"/>
          <w:szCs w:val="24"/>
        </w:rPr>
        <w:t xml:space="preserve">本项目的特定资格要求：</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制造商参与投标的，须同时具备有效期内的《中华人民共和国特种设备制造许可证（电梯）》（许可内容：曳引式客梯）和《中华人民共和国特种设备安装改造维修许可证（电梯）》（许可内容：曳引驱动电梯），或具备有效期内的《中华人民共和国特种设备生产许可证（电梯）》[许可项目:电梯制造（含安装、修理、改造）曳引驱动乘客电梯]。</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2.非制造商参与投标的，须同时具备有效期内的以下证书：</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a）《中华人民共和国特种设备安装改造维修许可证（电梯）》（许可内容：曳引驱动电梯），或《中华人民共和国特种设备生产许可证（电梯）》[许可项目：电梯安装（含修理）曳引驱动乘客电梯]；</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b）所投电梯制造商具有《中华人民共和国特种设备制造许可证（电梯）》（许可内容：曳引式客梯），或《中华人民共和国特种设备生产许可证（电梯）》[许可项目：电梯制造（含安装、修理、改造）曳引驱动乘客电梯]。</w:t>
      </w:r>
      <w:r/>
    </w:p>
    <w:p>
      <w:pPr>
        <w:pStyle w:val="862"/>
        <w:ind w:firstLine="643"/>
        <w:spacing w:before="0" w:after="0" w:line="480" w:lineRule="exact"/>
        <w:rPr>
          <w:rFonts w:eastAsia="宋体" w:cs="Arial"/>
          <w:bCs/>
          <w:color w:val="000000"/>
          <w:szCs w:val="22"/>
        </w:rPr>
      </w:pPr>
      <w:r/>
      <w:bookmarkStart w:id="27" w:name="_Toc22204"/>
      <w:r>
        <w:rPr>
          <w:rFonts w:hint="eastAsia" w:eastAsia="宋体" w:cs="Arial"/>
          <w:bCs/>
          <w:color w:val="000000"/>
          <w:szCs w:val="22"/>
        </w:rPr>
        <w:t xml:space="preserve">三、获取招标文件</w:t>
      </w:r>
      <w:bookmarkEnd w:id="22"/>
      <w:r/>
      <w:bookmarkEnd w:id="23"/>
      <w:r/>
      <w:bookmarkEnd w:id="24"/>
      <w:r/>
      <w:bookmarkEnd w:id="25"/>
      <w:r/>
      <w:bookmarkEnd w:id="26"/>
      <w:r/>
      <w:bookmarkEnd w:id="27"/>
      <w:r/>
      <w:r/>
    </w:p>
    <w:p>
      <w:pPr>
        <w:ind w:firstLine="480"/>
        <w:spacing w:line="480" w:lineRule="exact"/>
        <w:rPr>
          <w:rFonts w:ascii="Times New Roman" w:hAnsi="Times New Roman" w:cs="仿宋"/>
          <w:color w:val="000000"/>
          <w:sz w:val="24"/>
          <w:szCs w:val="24"/>
        </w:rPr>
      </w:pPr>
      <w:r/>
      <w:bookmarkStart w:id="28" w:name="_Toc28359005"/>
      <w:r/>
      <w:bookmarkStart w:id="29" w:name="_Toc28359082"/>
      <w:r/>
      <w:bookmarkStart w:id="30" w:name="_Toc35393624"/>
      <w:r/>
      <w:bookmarkStart w:id="31" w:name="_Toc38985266"/>
      <w:r/>
      <w:bookmarkStart w:id="32" w:name="_Toc35393793"/>
      <w:r>
        <w:rPr>
          <w:rFonts w:hint="eastAsia" w:ascii="Times New Roman" w:hAnsi="Times New Roman" w:cs="仿宋"/>
          <w:color w:val="000000"/>
          <w:sz w:val="24"/>
          <w:szCs w:val="24"/>
        </w:rPr>
        <w:t xml:space="preserve">1.时间：招标公告发布之日起5个工作日。</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ascii="Times New Roman" w:hAnsi="Times New Roman" w:cs="仿宋"/>
          <w:color w:val="000000"/>
          <w:sz w:val="24"/>
          <w:szCs w:val="24"/>
        </w:rPr>
      </w:pPr>
      <w:r/>
      <w:bookmarkStart w:id="33" w:name="EB0c44ff4da61f4af989d119fe214be450"/>
      <w:r>
        <w:rPr>
          <w:rFonts w:hint="eastAsia" w:ascii="Times New Roman" w:hAnsi="Times New Roman" w:cs="仿宋"/>
          <w:color w:val="000000"/>
          <w:sz w:val="24"/>
          <w:szCs w:val="24"/>
        </w:rPr>
        <w:t xml:space="preserve">3.</w:t>
      </w:r>
      <w:r>
        <w:rPr>
          <w:rFonts w:hint="eastAsia" w:ascii="仿宋" w:hAnsi="仿宋" w:eastAsia="仿宋" w:cs="仿宋"/>
          <w:color w:val="000000"/>
          <w:sz w:val="24"/>
          <w:szCs w:val="24"/>
        </w:rPr>
        <w:t xml:space="preserve"> </w:t>
      </w:r>
      <w:r>
        <w:rPr>
          <w:rFonts w:hint="eastAsia" w:ascii="Times New Roman" w:hAnsi="Times New Roman" w:cs="仿宋"/>
          <w:color w:val="000000"/>
          <w:sz w:val="24"/>
          <w:szCs w:val="24"/>
        </w:rPr>
        <w:t xml:space="preserve">地点：“苏采云”系统（网址： http://jszfcg.jsczt.cn/）或宿迁市政府采购网点击“政府采购管理交易系统（苏采云）”，使用CA锁进入系统从“项目参与”--“采购项目”菜单中，找到本项目获取采购文件（后缀名为“.kedt”）。</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4.本项目共分一个采购包。投标人参与多个采购包投标的，应按采购包分别获取招标文件。投标人未按要求获取招标文件，后果自负（其投标文件不予接受）。</w:t>
      </w:r>
      <w:bookmarkEnd w:id="33"/>
      <w:r/>
      <w:r/>
    </w:p>
    <w:p>
      <w:pPr>
        <w:pStyle w:val="862"/>
        <w:ind w:firstLine="643"/>
        <w:spacing w:before="0" w:after="0" w:line="480" w:lineRule="exact"/>
        <w:rPr>
          <w:rFonts w:eastAsia="宋体" w:cs="Arial"/>
          <w:bCs/>
          <w:color w:val="000000"/>
          <w:szCs w:val="22"/>
        </w:rPr>
      </w:pPr>
      <w:r/>
      <w:bookmarkStart w:id="34" w:name="_Toc19148"/>
      <w:r>
        <w:rPr>
          <w:rFonts w:hint="eastAsia" w:eastAsia="宋体" w:cs="Arial"/>
          <w:bCs/>
          <w:color w:val="000000"/>
          <w:szCs w:val="22"/>
        </w:rPr>
        <w:t xml:space="preserve">四、提交投标文件</w:t>
      </w:r>
      <w:bookmarkEnd w:id="28"/>
      <w:r/>
      <w:bookmarkEnd w:id="29"/>
      <w:r>
        <w:rPr>
          <w:rFonts w:hint="eastAsia" w:eastAsia="宋体" w:cs="Arial"/>
          <w:bCs/>
          <w:color w:val="000000"/>
          <w:szCs w:val="22"/>
        </w:rPr>
        <w:t xml:space="preserve">截止时间、开标时间和地点</w:t>
      </w:r>
      <w:bookmarkEnd w:id="30"/>
      <w:r/>
      <w:bookmarkEnd w:id="31"/>
      <w:r/>
      <w:bookmarkEnd w:id="32"/>
      <w:r/>
      <w:bookmarkEnd w:id="34"/>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1.提交投标文件截止时间、开标时间：</w:t>
      </w:r>
      <w:r>
        <w:rPr>
          <w:rFonts w:hint="eastAsia" w:ascii="Times New Roman" w:hAnsi="Times New Roman" w:cs="仿宋"/>
          <w:color w:val="auto"/>
          <w:sz w:val="24"/>
          <w:szCs w:val="24"/>
        </w:rPr>
        <w:t xml:space="preserve">2026年0</w:t>
      </w:r>
      <w:r>
        <w:rPr>
          <w:rFonts w:hint="eastAsia" w:ascii="Times New Roman" w:hAnsi="Times New Roman" w:cs="仿宋"/>
          <w:color w:val="auto"/>
          <w:sz w:val="24"/>
          <w:szCs w:val="24"/>
          <w:lang w:val="en-US" w:eastAsia="zh-CN"/>
        </w:rPr>
        <w:t xml:space="preserve">9</w:t>
      </w:r>
      <w:r>
        <w:rPr>
          <w:rFonts w:hint="eastAsia" w:ascii="Times New Roman" w:hAnsi="Times New Roman" w:cs="仿宋"/>
          <w:color w:val="auto"/>
          <w:sz w:val="24"/>
          <w:szCs w:val="24"/>
        </w:rPr>
        <w:t xml:space="preserve">月</w:t>
      </w:r>
      <w:r>
        <w:rPr>
          <w:rFonts w:hint="eastAsia" w:ascii="Times New Roman" w:hAnsi="Times New Roman" w:cs="仿宋"/>
          <w:color w:val="auto"/>
          <w:sz w:val="24"/>
          <w:szCs w:val="24"/>
          <w:lang w:val="en-US" w:eastAsia="zh-CN"/>
        </w:rPr>
        <w:t xml:space="preserve">17</w:t>
      </w:r>
      <w:r>
        <w:rPr>
          <w:rFonts w:hint="eastAsia" w:ascii="Times New Roman" w:hAnsi="Times New Roman" w:cs="仿宋"/>
          <w:color w:val="auto"/>
          <w:sz w:val="24"/>
          <w:szCs w:val="24"/>
        </w:rPr>
        <w:t xml:space="preserve">日09点00分</w:t>
      </w:r>
      <w:r>
        <w:rPr>
          <w:rFonts w:hint="eastAsia" w:ascii="Times New Roman" w:hAnsi="Times New Roman" w:cs="仿宋"/>
          <w:color w:val="000000"/>
          <w:sz w:val="24"/>
          <w:szCs w:val="24"/>
        </w:rPr>
        <w:t xml:space="preserve">（北京时间）</w:t>
      </w:r>
      <w:bookmarkStart w:id="178" w:name="_GoBack"/>
      <w:r/>
      <w:bookmarkEnd w:id="178"/>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2.地点：“苏采云”政府采购交易系统网上开标大厅。</w:t>
      </w:r>
      <w:r/>
    </w:p>
    <w:p>
      <w:pPr>
        <w:pStyle w:val="862"/>
        <w:ind w:firstLine="643"/>
        <w:spacing w:before="0" w:after="0" w:line="480" w:lineRule="exact"/>
        <w:rPr>
          <w:rFonts w:eastAsia="宋体" w:cs="Arial"/>
          <w:bCs/>
          <w:color w:val="000000"/>
          <w:szCs w:val="22"/>
        </w:rPr>
      </w:pPr>
      <w:r/>
      <w:bookmarkStart w:id="35" w:name="_Toc38985267"/>
      <w:r/>
      <w:bookmarkStart w:id="36" w:name="_Toc28359007"/>
      <w:r/>
      <w:bookmarkStart w:id="37" w:name="_Toc35393794"/>
      <w:r/>
      <w:bookmarkStart w:id="38" w:name="_Toc24820"/>
      <w:r/>
      <w:bookmarkStart w:id="39" w:name="_Toc28359084"/>
      <w:r/>
      <w:bookmarkStart w:id="40" w:name="_Toc35393625"/>
      <w:r>
        <w:rPr>
          <w:rFonts w:hint="eastAsia" w:eastAsia="宋体" w:cs="Arial"/>
          <w:bCs/>
          <w:color w:val="000000"/>
          <w:szCs w:val="22"/>
        </w:rPr>
        <w:t xml:space="preserve">五、公告期限</w:t>
      </w:r>
      <w:bookmarkEnd w:id="35"/>
      <w:r/>
      <w:bookmarkEnd w:id="36"/>
      <w:r/>
      <w:bookmarkEnd w:id="37"/>
      <w:r/>
      <w:bookmarkEnd w:id="38"/>
      <w:r/>
      <w:bookmarkEnd w:id="39"/>
      <w:r/>
      <w:bookmarkEnd w:id="40"/>
      <w:r/>
      <w:r/>
    </w:p>
    <w:p>
      <w:pPr>
        <w:ind w:firstLine="480"/>
        <w:spacing w:line="480" w:lineRule="exact"/>
        <w:rPr>
          <w:rFonts w:ascii="Times New Roman" w:hAnsi="Times New Roman" w:cs="仿宋"/>
          <w:color w:val="000000"/>
          <w:sz w:val="24"/>
          <w:szCs w:val="24"/>
        </w:rPr>
      </w:pPr>
      <w:r/>
      <w:bookmarkStart w:id="41" w:name="_Toc35393795"/>
      <w:r/>
      <w:bookmarkStart w:id="42" w:name="_Toc38985268"/>
      <w:r/>
      <w:bookmarkStart w:id="43" w:name="_Toc35393626"/>
      <w:r>
        <w:rPr>
          <w:rFonts w:hint="eastAsia" w:ascii="Times New Roman" w:hAnsi="Times New Roman" w:cs="仿宋"/>
          <w:color w:val="000000"/>
          <w:sz w:val="24"/>
          <w:szCs w:val="24"/>
        </w:rPr>
        <w:t xml:space="preserve">招标公告及招标文件公告期限为自本公告发布之日起5个工作日。</w:t>
      </w:r>
      <w:r/>
    </w:p>
    <w:p>
      <w:pPr>
        <w:pStyle w:val="862"/>
        <w:ind w:firstLine="643"/>
        <w:spacing w:before="0" w:after="0" w:line="480" w:lineRule="exact"/>
        <w:rPr>
          <w:rFonts w:eastAsia="宋体" w:cs="Arial"/>
          <w:bCs/>
          <w:color w:val="000000"/>
          <w:szCs w:val="22"/>
        </w:rPr>
      </w:pPr>
      <w:r/>
      <w:bookmarkStart w:id="44" w:name="_Toc13415"/>
      <w:r>
        <w:rPr>
          <w:rFonts w:hint="eastAsia" w:eastAsia="宋体" w:cs="Arial"/>
          <w:bCs/>
          <w:color w:val="000000"/>
          <w:szCs w:val="22"/>
        </w:rPr>
        <w:t xml:space="preserve">六、其他补充事宜</w:t>
      </w:r>
      <w:bookmarkEnd w:id="41"/>
      <w:r/>
      <w:bookmarkEnd w:id="42"/>
      <w:r/>
      <w:bookmarkEnd w:id="43"/>
      <w:r/>
      <w:bookmarkEnd w:id="44"/>
      <w:r/>
      <w:r/>
    </w:p>
    <w:p>
      <w:pPr>
        <w:ind w:firstLine="480"/>
        <w:spacing w:line="480" w:lineRule="exact"/>
        <w:rPr>
          <w:rFonts w:ascii="Times New Roman" w:hAnsi="Times New Roman" w:cs="仿宋"/>
          <w:color w:val="000000"/>
          <w:sz w:val="24"/>
          <w:szCs w:val="24"/>
        </w:rPr>
      </w:pPr>
      <w:r/>
      <w:bookmarkStart w:id="45" w:name="EB64e1f522fd8c43fcb4d3ba471386b3e7"/>
      <w:r/>
      <w:bookmarkStart w:id="46" w:name="_Toc35393627"/>
      <w:r/>
      <w:bookmarkStart w:id="47" w:name="_Toc28359008"/>
      <w:r/>
      <w:bookmarkStart w:id="48" w:name="_Toc35393796"/>
      <w:r/>
      <w:bookmarkStart w:id="49" w:name="_Toc38985269"/>
      <w:r/>
      <w:bookmarkStart w:id="50" w:name="_Toc28359085"/>
      <w:r>
        <w:rPr>
          <w:rFonts w:hint="eastAsia" w:ascii="Times New Roman" w:hAnsi="Times New Roman" w:cs="仿宋"/>
          <w:color w:val="000000"/>
          <w:sz w:val="24"/>
          <w:szCs w:val="24"/>
        </w:rPr>
        <w:t xml:space="preserve">1.招标公告发布媒体：</w:t>
      </w:r>
      <w:bookmarkStart w:id="51" w:name="OLE_LINK3"/>
      <w:r>
        <w:rPr>
          <w:rFonts w:hint="eastAsia" w:ascii="Times New Roman" w:hAnsi="Times New Roman" w:cs="仿宋"/>
          <w:color w:val="000000"/>
          <w:sz w:val="24"/>
          <w:szCs w:val="24"/>
        </w:rPr>
        <w:t xml:space="preserve">江苏政府采购网</w:t>
      </w:r>
      <w:bookmarkEnd w:id="51"/>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w:t>
      </w:r>
      <w:r>
        <w:rPr>
          <w:rFonts w:ascii="Times New Roman" w:hAnsi="Times New Roman" w:cs="仿宋"/>
          <w:color w:val="000000"/>
          <w:sz w:val="24"/>
          <w:szCs w:val="24"/>
        </w:rPr>
        <w:t xml:space="preserve">0527-84363067</w:t>
      </w:r>
      <w:r>
        <w:rPr>
          <w:rFonts w:hint="eastAsia" w:ascii="Times New Roman" w:hAnsi="Times New Roman" w:cs="仿宋"/>
          <w:color w:val="000000"/>
          <w:sz w:val="24"/>
          <w:szCs w:val="24"/>
        </w:rPr>
        <w:t xml:space="preserve">、0519-86722806。</w:t>
      </w:r>
      <w:bookmarkEnd w:id="45"/>
      <w:r/>
      <w:r/>
    </w:p>
    <w:p>
      <w:pPr>
        <w:ind w:firstLine="480"/>
        <w:spacing w:line="480" w:lineRule="exact"/>
        <w:rPr>
          <w:rFonts w:ascii="Times New Roman" w:hAnsi="Times New Roman" w:cs="仿宋"/>
          <w:color w:val="000000"/>
          <w:sz w:val="24"/>
          <w:szCs w:val="24"/>
        </w:rPr>
      </w:pPr>
      <w:r/>
      <w:bookmarkStart w:id="52" w:name="_Toc29049"/>
      <w:r>
        <w:rPr>
          <w:rFonts w:hint="eastAsia" w:ascii="Times New Roman" w:hAnsi="Times New Roman" w:cs="仿宋"/>
          <w:color w:val="000000"/>
          <w:sz w:val="24"/>
          <w:szCs w:val="24"/>
        </w:rPr>
        <w:t xml:space="preserve">4.如果投标人通过苏采云系统参与政府采购项目，相关操作手册详见链接：http://www.ccgp-jiangsu.gov.cn/jiangsu/zlxz/ee/ee3a4bc5a3454aa2b0d9312230633ce9.html。</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5.现场勘察及答疑：本项目不组织集中勘察及答疑，投标人如对采购需求有疑问，请咨询采购单位联系人。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w:t>
      </w:r>
      <w:r>
        <w:rPr>
          <w:rFonts w:hint="eastAsia" w:ascii="Times New Roman" w:hAnsi="Times New Roman" w:cs="仿宋"/>
          <w:color w:val="000000"/>
          <w:sz w:val="24"/>
          <w:szCs w:val="24"/>
        </w:rPr>
        <w:t xml:space="preserve">财政部门监督电话：0527-88359233。</w:t>
      </w:r>
      <w:r/>
    </w:p>
    <w:p>
      <w:pPr>
        <w:pStyle w:val="862"/>
        <w:ind w:firstLine="643"/>
        <w:spacing w:before="0" w:after="0" w:line="480" w:lineRule="exact"/>
        <w:rPr>
          <w:rFonts w:eastAsia="宋体" w:cs="Arial"/>
          <w:bCs/>
          <w:color w:val="000000"/>
          <w:szCs w:val="22"/>
        </w:rPr>
      </w:pPr>
      <w:r>
        <w:rPr>
          <w:rFonts w:hint="eastAsia" w:eastAsia="宋体" w:cs="Arial"/>
          <w:bCs/>
          <w:color w:val="000000"/>
          <w:szCs w:val="22"/>
        </w:rPr>
        <w:t xml:space="preserve">七、本次招标联系方式</w:t>
      </w:r>
      <w:bookmarkEnd w:id="46"/>
      <w:r/>
      <w:bookmarkEnd w:id="47"/>
      <w:r/>
      <w:bookmarkEnd w:id="48"/>
      <w:r/>
      <w:bookmarkEnd w:id="49"/>
      <w:r/>
      <w:bookmarkEnd w:id="50"/>
      <w:r/>
      <w:bookmarkEnd w:id="52"/>
      <w:r/>
      <w:r/>
    </w:p>
    <w:p>
      <w:pPr>
        <w:ind w:firstLine="480"/>
        <w:jc w:val="left"/>
        <w:spacing w:line="480" w:lineRule="exact"/>
        <w:widowControl/>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jc w:val="left"/>
        <w:spacing w:line="480" w:lineRule="exact"/>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泗洪县住房和城乡建设局</w:t>
      </w:r>
      <w:r/>
    </w:p>
    <w:p>
      <w:pPr>
        <w:ind w:firstLine="480"/>
        <w:jc w:val="left"/>
        <w:spacing w:line="480" w:lineRule="exact"/>
        <w:rPr>
          <w:rFonts w:hint="eastAsia"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泗洪县长江路13号</w:t>
      </w:r>
      <w:r/>
    </w:p>
    <w:p>
      <w:pPr>
        <w:ind w:firstLine="480"/>
        <w:jc w:val="left"/>
        <w:spacing w:line="480" w:lineRule="exact"/>
        <w:rPr>
          <w:rFonts w:hint="eastAsia" w:ascii="宋体" w:hAnsi="宋体"/>
          <w:color w:val="000000"/>
          <w:sz w:val="24"/>
          <w:szCs w:val="24"/>
          <w:u w:val="single"/>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陈庚</w:t>
      </w:r>
      <w:r/>
    </w:p>
    <w:p>
      <w:pPr>
        <w:ind w:firstLine="480"/>
        <w:jc w:val="left"/>
        <w:spacing w:line="480" w:lineRule="exact"/>
        <w:rPr>
          <w:rFonts w:hint="eastAsia" w:ascii="宋体" w:hAnsi="宋体"/>
          <w:color w:val="000000"/>
          <w:sz w:val="24"/>
          <w:szCs w:val="24"/>
          <w:u w:val="single"/>
        </w:rPr>
      </w:pPr>
      <w:r>
        <w:rPr>
          <w:rFonts w:hint="eastAsia" w:ascii="宋体" w:hAnsi="宋体"/>
          <w:color w:val="000000"/>
          <w:sz w:val="24"/>
          <w:szCs w:val="24"/>
        </w:rPr>
        <w:t xml:space="preserve">联系方式：</w:t>
      </w:r>
      <w:bookmarkStart w:id="53" w:name="_Toc28359086"/>
      <w:r/>
      <w:bookmarkStart w:id="54" w:name="_Toc28359009"/>
      <w:r>
        <w:rPr>
          <w:rFonts w:hint="eastAsia" w:ascii="宋体" w:hAnsi="宋体"/>
          <w:color w:val="000000"/>
          <w:sz w:val="24"/>
          <w:szCs w:val="24"/>
          <w:u w:val="single"/>
        </w:rPr>
        <w:t xml:space="preserve">13951060508</w:t>
      </w:r>
      <w:r/>
    </w:p>
    <w:p>
      <w:pPr>
        <w:ind w:firstLine="480"/>
        <w:jc w:val="left"/>
        <w:spacing w:line="480" w:lineRule="exact"/>
        <w:rPr>
          <w:rFonts w:hint="eastAsia" w:ascii="宋体" w:hAnsi="宋体"/>
          <w:color w:val="000000"/>
          <w:sz w:val="24"/>
          <w:szCs w:val="24"/>
        </w:rPr>
      </w:pPr>
      <w:r>
        <w:rPr>
          <w:rFonts w:hint="eastAsia" w:ascii="宋体" w:hAnsi="宋体" w:cs="宋体"/>
          <w:color w:val="000000"/>
          <w:sz w:val="24"/>
          <w:szCs w:val="24"/>
        </w:rPr>
        <w:t xml:space="preserve">2.</w:t>
      </w:r>
      <w:bookmarkEnd w:id="53"/>
      <w:r/>
      <w:bookmarkEnd w:id="54"/>
      <w:r>
        <w:rPr>
          <w:rFonts w:hint="eastAsia" w:ascii="宋体" w:hAnsi="宋体" w:cs="宋体"/>
          <w:color w:val="000000"/>
          <w:sz w:val="24"/>
          <w:szCs w:val="24"/>
        </w:rPr>
        <w:t xml:space="preserve">采购代理机构信息</w:t>
      </w:r>
      <w:r/>
    </w:p>
    <w:p>
      <w:pPr>
        <w:ind w:firstLine="480"/>
        <w:jc w:val="left"/>
        <w:spacing w:line="480" w:lineRule="exact"/>
        <w:rPr>
          <w:rFonts w:hint="eastAsia" w:ascii="宋体" w:hAnsi="宋体"/>
          <w:color w:val="000000"/>
          <w:sz w:val="24"/>
          <w:szCs w:val="24"/>
          <w:u w:val="single"/>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泗洪县公共资源交易中心</w:t>
      </w:r>
      <w:r/>
    </w:p>
    <w:p>
      <w:pPr>
        <w:ind w:firstLine="480"/>
        <w:spacing w:line="480" w:lineRule="exact"/>
        <w:rPr>
          <w:rFonts w:hint="eastAsia"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泗洪县仁和路5号</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朱楠</w:t>
      </w:r>
      <w:r>
        <w:rPr>
          <w:rFonts w:hint="eastAsia" w:ascii="宋体" w:hAnsi="宋体"/>
          <w:color w:val="000000"/>
          <w:sz w:val="24"/>
          <w:szCs w:val="24"/>
        </w:rPr>
        <w:t xml:space="preserve"> </w:t>
      </w:r>
      <w:r/>
    </w:p>
    <w:p>
      <w:pPr>
        <w:ind w:firstLine="480"/>
        <w:spacing w:line="480" w:lineRule="exact"/>
        <w:rPr>
          <w:rFonts w:ascii="仿宋_GB2312"/>
          <w:color w:val="000000"/>
          <w:sz w:val="24"/>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15951098357</w:t>
      </w:r>
      <w:r/>
    </w:p>
    <w:p>
      <w:pPr>
        <w:ind w:firstLine="480"/>
        <w:spacing w:line="480" w:lineRule="exact"/>
        <w:rPr>
          <w:rFonts w:ascii="仿宋_GB2312" w:eastAsia="仿宋_GB2312"/>
          <w:color w:val="000000"/>
          <w:sz w:val="24"/>
        </w:rPr>
      </w:pPr>
      <w:r>
        <w:rPr>
          <w:rFonts w:ascii="仿宋_GB2312" w:eastAsia="仿宋_GB2312"/>
          <w:color w:val="000000"/>
          <w:sz w:val="24"/>
        </w:rPr>
      </w:r>
      <w:r/>
    </w:p>
    <w:p>
      <w:pPr>
        <w:ind w:firstLine="480"/>
        <w:jc w:val="center"/>
        <w:spacing w:line="480" w:lineRule="exact"/>
        <w:rPr>
          <w:rFonts w:eastAsia="黑体"/>
          <w:color w:val="000000"/>
          <w:sz w:val="44"/>
        </w:rPr>
        <w:outlineLvl w:val="0"/>
      </w:pPr>
      <w:r>
        <w:rPr>
          <w:rFonts w:hint="eastAsia" w:ascii="仿宋_GB2312" w:eastAsia="仿宋_GB2312"/>
          <w:color w:val="000000"/>
          <w:sz w:val="24"/>
        </w:rPr>
        <w:br w:type="page" w:clear="all"/>
      </w:r>
      <w:bookmarkStart w:id="55" w:name="_Toc9425"/>
      <w:r/>
      <w:bookmarkStart w:id="56" w:name="_Toc11687"/>
      <w:r/>
      <w:bookmarkStart w:id="57" w:name="_Toc15265"/>
      <w:r/>
      <w:bookmarkStart w:id="58" w:name="_Toc81575190"/>
      <w:r/>
      <w:bookmarkStart w:id="59" w:name="_Toc81575153"/>
      <w:r>
        <w:rPr>
          <w:rFonts w:hint="eastAsia" w:eastAsia="黑体"/>
          <w:color w:val="000000"/>
          <w:sz w:val="44"/>
        </w:rPr>
        <w:t xml:space="preserve">第二章  投标人须知</w:t>
      </w:r>
      <w:bookmarkEnd w:id="55"/>
      <w:r/>
      <w:bookmarkEnd w:id="56"/>
      <w:r/>
      <w:bookmarkEnd w:id="57"/>
      <w:r/>
      <w:bookmarkEnd w:id="58"/>
      <w:r/>
      <w:bookmarkEnd w:id="59"/>
      <w:r/>
      <w:r/>
    </w:p>
    <w:p>
      <w:pPr>
        <w:pStyle w:val="862"/>
        <w:spacing w:before="0" w:after="120" w:line="520" w:lineRule="exact"/>
        <w:rPr>
          <w:rFonts w:eastAsia="宋体" w:cs="Arial"/>
          <w:bCs/>
          <w:color w:val="000000"/>
          <w:szCs w:val="22"/>
        </w:rPr>
      </w:pPr>
      <w:r/>
      <w:bookmarkStart w:id="60" w:name="_Toc4529"/>
      <w:r>
        <w:rPr>
          <w:rFonts w:hint="eastAsia" w:eastAsia="宋体" w:cs="Arial"/>
          <w:bCs/>
          <w:color w:val="000000"/>
          <w:szCs w:val="22"/>
        </w:rPr>
        <w:t xml:space="preserve">投标人须知前附表：</w:t>
      </w:r>
      <w:bookmarkEnd w:id="60"/>
      <w:r/>
      <w:r/>
    </w:p>
    <w:tbl>
      <w:tblPr>
        <w:tblStyle w:val="822"/>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tcPr>
          <w:p>
            <w:pPr>
              <w:jc w:val="center"/>
              <w:rPr>
                <w:rFonts w:hint="eastAsia" w:ascii="仿宋_GB2312" w:hAnsi="仿宋"/>
                <w:b/>
                <w:color w:val="000000"/>
                <w:sz w:val="24"/>
                <w:szCs w:val="24"/>
              </w:rPr>
            </w:pPr>
            <w:r/>
            <w:bookmarkStart w:id="61" w:name="_Toc29262"/>
            <w:r/>
            <w:bookmarkStart w:id="62" w:name="_Toc81575191"/>
            <w:r/>
            <w:bookmarkStart w:id="63" w:name="_Toc81575154"/>
            <w:r>
              <w:rPr>
                <w:rFonts w:hint="eastAsia" w:ascii="仿宋_GB2312" w:hAnsi="仿宋"/>
                <w:b/>
                <w:color w:val="000000"/>
                <w:sz w:val="24"/>
                <w:szCs w:val="24"/>
              </w:rPr>
              <w:t xml:space="preserve">序号</w:t>
            </w:r>
            <w:r/>
          </w:p>
        </w:tc>
        <w:tc>
          <w:tcPr>
            <w:tcW w:w="1772" w:type="dxa"/>
            <w:vAlign w:val="center"/>
            <w:textDirection w:val="lrTb"/>
            <w:noWrap/>
          </w:tcPr>
          <w:p>
            <w:pPr>
              <w:jc w:val="center"/>
              <w:rPr>
                <w:rFonts w:hint="eastAsia"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tcPr>
          <w:p>
            <w:pPr>
              <w:jc w:val="center"/>
              <w:rPr>
                <w:rFonts w:hint="eastAsia"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4" w:name="EB9a5853ee094f4f0ea6ec3169265f6f2c"/>
            <w:r>
              <w:rPr>
                <w:rFonts w:hint="eastAsia" w:ascii="Times New Roman" w:hAnsi="Times New Roman" w:cs="仿宋"/>
                <w:color w:val="000000"/>
                <w:sz w:val="24"/>
                <w:szCs w:val="24"/>
              </w:rPr>
              <w:t xml:space="preserve">属性按以下第</w:t>
            </w:r>
            <w:bookmarkEnd w:id="64"/>
            <w:r>
              <w:rPr>
                <w:rFonts w:hint="eastAsia" w:ascii="Times New Roman" w:hAnsi="Times New Roman" w:cs="仿宋"/>
                <w:color w:val="000000"/>
                <w:sz w:val="24"/>
                <w:szCs w:val="24"/>
                <w:u w:val="single"/>
              </w:rPr>
              <w:t xml:space="preserve"> 1  </w:t>
            </w:r>
            <w:r>
              <w:rPr>
                <w:rFonts w:hint="eastAsia" w:ascii="Times New Roman" w:hAnsi="Times New Roman" w:cs="仿宋"/>
                <w:color w:val="000000"/>
                <w:sz w:val="24"/>
                <w:szCs w:val="24"/>
              </w:rPr>
              <w:t xml:space="preserve">种确定：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65" w:name="EBd5c6c026f9674c39b21b31ecd0c1e7fa"/>
            <w:r>
              <w:rPr>
                <w:rFonts w:hint="eastAsia" w:ascii="Times New Roman" w:hAnsi="Times New Roman" w:cs="仿宋"/>
                <w:color w:val="000000"/>
                <w:sz w:val="24"/>
                <w:szCs w:val="24"/>
              </w:rPr>
              <w:t xml:space="preserve">采购；2.</w:t>
            </w:r>
            <w:bookmarkEnd w:id="65"/>
            <w:r>
              <w:rPr>
                <w:rFonts w:hint="eastAsia" w:ascii="Times New Roman" w:hAnsi="Times New Roman" w:cs="仿宋"/>
                <w:color w:val="000000"/>
                <w:sz w:val="24"/>
                <w:szCs w:val="24"/>
              </w:rPr>
              <w:t xml:space="preserve">服务</w:t>
            </w:r>
            <w:bookmarkStart w:id="66" w:name="EBf7d2a4f44ecb4166a93ea852e73be69f"/>
            <w:r>
              <w:rPr>
                <w:rFonts w:hint="eastAsia" w:ascii="Times New Roman" w:hAnsi="Times New Roman" w:cs="仿宋"/>
                <w:color w:val="000000"/>
                <w:sz w:val="24"/>
                <w:szCs w:val="24"/>
              </w:rPr>
              <w:t xml:space="preserve">采购；3.</w:t>
            </w:r>
            <w:bookmarkEnd w:id="66"/>
            <w:r>
              <w:rPr>
                <w:rFonts w:hint="eastAsia" w:ascii="Times New Roman" w:hAnsi="Times New Roman" w:cs="仿宋"/>
                <w:color w:val="000000"/>
                <w:sz w:val="24"/>
                <w:szCs w:val="24"/>
              </w:rPr>
              <w:t xml:space="preserve">工程采购。</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tcPr>
          <w:p>
            <w:pPr>
              <w:jc w:val="left"/>
              <w:spacing w:line="400" w:lineRule="exact"/>
              <w:rPr>
                <w:rFonts w:ascii="Times New Roman" w:hAnsi="Times New Roman" w:cs="仿宋"/>
                <w:color w:val="000000"/>
                <w:sz w:val="24"/>
                <w:szCs w:val="24"/>
              </w:rPr>
            </w:pPr>
            <w:r/>
            <w:bookmarkStart w:id="67" w:name="EBd40b5fb42f2944a3b45e579ce3941f02"/>
            <w:r/>
            <w:bookmarkEnd w:id="67"/>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w:t>
            </w:r>
            <w:r/>
          </w:p>
          <w:p>
            <w:pPr>
              <w:jc w:val="left"/>
              <w:spacing w:line="36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1.接受进口产品。</w:t>
            </w:r>
            <w:r>
              <w:rPr>
                <w:rFonts w:hint="eastAsia" w:ascii="Times New Roman" w:hAnsi="Times New Roman" w:cs="仿宋"/>
                <w:color w:val="000000"/>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rPr>
              <w:t xml:space="preserve">；</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2.不接受进口产品。</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具体评标办法详见招标文件第三章。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名中标候选人。投标文件满足招标文件全部实质性要求，且评审后排序第一的投标人为第一中标候选人，依次类推。</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种方式确定中标人：</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1.采购人按规定在评标委员会推荐的中标候选人中确定中标人；</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2.采购人授权评标委员会直接确定中标人。</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tcPr>
          <w:p>
            <w:pPr>
              <w:jc w:val="left"/>
              <w:spacing w:line="400" w:lineRule="exact"/>
              <w:rPr>
                <w:rFonts w:ascii="Times New Roman" w:hAnsi="Times New Roman" w:cs="仿宋"/>
                <w:color w:val="000000"/>
                <w:sz w:val="24"/>
                <w:szCs w:val="24"/>
              </w:rPr>
            </w:pPr>
            <w:r/>
            <w:bookmarkStart w:id="68" w:name="EBebac1462c5d9459fbda8a75065c2455d"/>
            <w:r>
              <w:rPr>
                <w:rFonts w:hint="eastAsia" w:ascii="Times New Roman" w:hAnsi="Times New Roman" w:cs="仿宋"/>
                <w:color w:val="000000"/>
                <w:sz w:val="24"/>
                <w:szCs w:val="24"/>
              </w:rPr>
              <w:t xml:space="preserve">本项目的非主体、非关键性工作是否允许分包</w:t>
            </w:r>
            <w:bookmarkEnd w:id="68"/>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2  </w:t>
            </w:r>
            <w:r>
              <w:rPr>
                <w:rFonts w:hint="eastAsia" w:ascii="Times New Roman" w:hAnsi="Times New Roman" w:cs="仿宋"/>
                <w:color w:val="000000"/>
                <w:sz w:val="24"/>
                <w:szCs w:val="24"/>
              </w:rPr>
              <w:t xml:space="preserve">种方式确定：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1.允许分包，</w:t>
            </w:r>
            <w:bookmarkStart w:id="69"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69"/>
            <w:r>
              <w:rPr>
                <w:rFonts w:hint="eastAsia" w:ascii="Times New Roman" w:hAnsi="Times New Roman" w:cs="仿宋"/>
                <w:color w:val="000000"/>
                <w:sz w:val="24"/>
                <w:szCs w:val="24"/>
              </w:rPr>
              <w:t xml:space="preserve">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专家评审劳务报酬支付标准、方式及周期</w:t>
            </w:r>
            <w:r/>
          </w:p>
        </w:tc>
        <w:tc>
          <w:tcPr>
            <w:tcW w:w="6579" w:type="dxa"/>
            <w:vAlign w:val="center"/>
            <w:textDirection w:val="lrTb"/>
            <w:noWrap/>
          </w:tcPr>
          <w:p>
            <w:pPr>
              <w:jc w:val="left"/>
              <w:spacing w:line="400" w:lineRule="exact"/>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1.参照《宿迁市政府采购专家评审费发放标准》宿财购[2018]32号支付，(2小时以内200元/人；超过2小时不足8小时的，按100元/人/小时计算；连续评审超过8小时，超出部分按200元/人/小时计算。)</w:t>
            </w:r>
            <w:r/>
          </w:p>
          <w:p>
            <w:pPr>
              <w:jc w:val="left"/>
              <w:spacing w:line="400" w:lineRule="exact"/>
              <w:rPr>
                <w:rFonts w:ascii="Times New Roman" w:hAnsi="Times New Roman" w:cs="仿宋"/>
                <w:color w:val="000000"/>
                <w:sz w:val="24"/>
                <w:szCs w:val="24"/>
              </w:rPr>
            </w:pPr>
            <w:r>
              <w:rPr>
                <w:rFonts w:hint="eastAsia" w:cs="仿宋" w:asciiTheme="minorEastAsia" w:hAnsiTheme="minorEastAsia" w:eastAsiaTheme="minorEastAsia"/>
                <w:color w:val="000000"/>
                <w:sz w:val="24"/>
                <w:szCs w:val="24"/>
              </w:rPr>
              <w:t xml:space="preserve">2.</w:t>
            </w:r>
            <w:r>
              <w:rPr>
                <w:rFonts w:hint="eastAsia" w:cs="仿宋" w:asciiTheme="minorEastAsia" w:hAnsiTheme="minorEastAsia" w:eastAsiaTheme="minorEastAsia"/>
                <w:color w:val="ff0000"/>
                <w:sz w:val="24"/>
                <w:szCs w:val="24"/>
              </w:rPr>
              <w:t xml:space="preserve">费用由泗洪县公共资源交易中心支付评审费，费用支付周期不超过评审结束后</w:t>
            </w:r>
            <w:r>
              <w:rPr>
                <w:rFonts w:cs="仿宋" w:asciiTheme="minorEastAsia" w:hAnsiTheme="minorEastAsia" w:eastAsiaTheme="minorEastAsia"/>
                <w:color w:val="ff0000"/>
                <w:sz w:val="24"/>
                <w:szCs w:val="24"/>
              </w:rPr>
              <w:t xml:space="preserve">30</w:t>
            </w:r>
            <w:r>
              <w:rPr>
                <w:rFonts w:hint="eastAsia" w:cs="仿宋" w:asciiTheme="minorEastAsia" w:hAnsiTheme="minorEastAsia" w:eastAsiaTheme="minorEastAsia"/>
                <w:color w:val="ff0000"/>
                <w:sz w:val="24"/>
                <w:szCs w:val="24"/>
              </w:rPr>
              <w:t xml:space="preserve">个工作日。</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tcPr>
          <w:p>
            <w:pPr>
              <w:jc w:val="left"/>
              <w:spacing w:line="400" w:lineRule="exact"/>
              <w:rPr>
                <w:rFonts w:ascii="Times New Roman" w:hAnsi="Times New Roman" w:cs="仿宋"/>
                <w:color w:val="000000"/>
                <w:sz w:val="24"/>
                <w:szCs w:val="24"/>
              </w:rPr>
            </w:pPr>
            <w:r/>
            <w:bookmarkStart w:id="70" w:name="EBfe735bb6fc4d4e5e9e350f940db98c5f"/>
            <w:r/>
            <w:bookmarkEnd w:id="70"/>
            <w:r>
              <w:rPr>
                <w:rFonts w:hint="eastAsia" w:ascii="Times New Roman" w:hAnsi="Times New Roman" w:cs="仿宋"/>
                <w:color w:val="000000"/>
                <w:sz w:val="24"/>
                <w:szCs w:val="24"/>
              </w:rPr>
              <w:t xml:space="preserve">本项目不收取代理费。</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11</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61"/>
            <w:r/>
            <w:bookmarkEnd w:id="62"/>
            <w:r/>
            <w:bookmarkEnd w:id="63"/>
            <w:r/>
            <w:r/>
          </w:p>
        </w:tc>
        <w:tc>
          <w:tcPr>
            <w:tcW w:w="6579" w:type="dxa"/>
            <w:vAlign w:val="center"/>
            <w:textDirection w:val="lrTb"/>
            <w:noWrap/>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信用信息查询截止时间：资格审查结束前。由采购人在资格审查现场查询信用信息，网页截屏打印，查询结果留存并归档。</w:t>
            </w:r>
            <w:r/>
          </w:p>
        </w:tc>
      </w:tr>
    </w:tbl>
    <w:p>
      <w:pPr>
        <w:rPr>
          <w:color w:val="000000"/>
          <w:sz w:val="20"/>
        </w:rPr>
      </w:pPr>
      <w:r>
        <w:rPr>
          <w:color w:val="000000"/>
          <w:sz w:val="20"/>
        </w:rPr>
      </w:r>
      <w:r/>
    </w:p>
    <w:p>
      <w:pPr>
        <w:pStyle w:val="862"/>
        <w:ind w:firstLine="321"/>
        <w:spacing w:before="0" w:after="0" w:line="480" w:lineRule="exact"/>
        <w:rPr>
          <w:rFonts w:eastAsia="宋体" w:cs="Arial"/>
          <w:bCs/>
          <w:color w:val="000000"/>
          <w:szCs w:val="22"/>
        </w:rPr>
      </w:pPr>
      <w:r/>
      <w:bookmarkStart w:id="71" w:name="EB6eaaf474639940df900ef4965d71f450"/>
      <w:r/>
      <w:bookmarkEnd w:id="71"/>
      <w:r/>
      <w:bookmarkStart w:id="72" w:name="_Toc81575155"/>
      <w:r/>
      <w:bookmarkStart w:id="73" w:name="_Toc81575192"/>
      <w:r/>
      <w:bookmarkStart w:id="74" w:name="_Toc30953"/>
      <w:r/>
      <w:bookmarkStart w:id="75" w:name="_Toc8239"/>
      <w:r>
        <w:rPr>
          <w:rFonts w:hint="eastAsia" w:eastAsia="宋体" w:cs="Arial"/>
          <w:bCs/>
          <w:color w:val="000000"/>
          <w:szCs w:val="22"/>
        </w:rPr>
        <w:t xml:space="preserve">一、总 则</w:t>
      </w:r>
      <w:bookmarkEnd w:id="72"/>
      <w:r/>
      <w:bookmarkEnd w:id="73"/>
      <w:r/>
      <w:bookmarkEnd w:id="74"/>
      <w:r/>
      <w:bookmarkEnd w:id="7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本次采购采取公开招标方式，本招标文件仅适用于招标公告中所述项目。</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2.1满足招标公告中投标人的资格要求的规定。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3.1本次招标及由招标产生的合同受中华人民共和国的相关法律、法规制约和保护。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投标人应自行承担所有参加投标有关的费用，投标人应自行承担所有与参加投标有关的费用，无论投标过程中的做法和结果如何，采购代理机构在任何情况下均无义务和责任承担这些费用。</w:t>
      </w:r>
      <w:r/>
    </w:p>
    <w:p>
      <w:pPr>
        <w:ind w:firstLine="480"/>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5、招标文件的约束力</w:t>
      </w:r>
      <w:r/>
    </w:p>
    <w:p>
      <w:pPr>
        <w:ind w:firstLine="480"/>
        <w:spacing w:line="480" w:lineRule="exact"/>
        <w:rPr>
          <w:rFonts w:ascii="Times New Roman" w:hAnsi="Times New Roman" w:cs="仿宋"/>
          <w:color w:val="000000"/>
          <w:sz w:val="24"/>
          <w:u w:val="single"/>
        </w:rPr>
      </w:pPr>
      <w:r>
        <w:rPr>
          <w:rFonts w:hint="eastAsia" w:ascii="Times New Roman" w:hAnsi="Times New Roman" w:cs="仿宋"/>
          <w:color w:val="000000"/>
          <w:sz w:val="24"/>
        </w:rPr>
        <w:t xml:space="preserve">5.1 投标人一旦参加本项目采购活动，即被认为接受了本招标文件的规定和约束。</w:t>
      </w:r>
      <w:r/>
    </w:p>
    <w:p>
      <w:pPr>
        <w:pStyle w:val="862"/>
        <w:ind w:firstLine="321"/>
        <w:spacing w:before="0" w:after="0" w:line="480" w:lineRule="exact"/>
        <w:rPr>
          <w:rFonts w:eastAsia="宋体" w:cs="Arial"/>
          <w:bCs/>
          <w:color w:val="000000"/>
          <w:szCs w:val="22"/>
        </w:rPr>
      </w:pPr>
      <w:r/>
      <w:bookmarkStart w:id="76" w:name="_Toc29306"/>
      <w:r/>
      <w:bookmarkStart w:id="77" w:name="_Toc81575156"/>
      <w:r/>
      <w:bookmarkStart w:id="78" w:name="_Toc81575193"/>
      <w:r/>
      <w:bookmarkStart w:id="79" w:name="_Toc15995"/>
      <w:r>
        <w:rPr>
          <w:rFonts w:hint="eastAsia" w:eastAsia="宋体" w:cs="Arial"/>
          <w:bCs/>
          <w:color w:val="000000"/>
          <w:szCs w:val="22"/>
        </w:rPr>
        <w:t xml:space="preserve">二、招标文件</w:t>
      </w:r>
      <w:bookmarkEnd w:id="76"/>
      <w:r/>
      <w:bookmarkEnd w:id="77"/>
      <w:r/>
      <w:bookmarkEnd w:id="78"/>
      <w:r/>
      <w:bookmarkEnd w:id="7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第三章：评标方法与评标标准；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7、政府采购政策功能落实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7.1，7.3，7.4，7.5 </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本项目按第</w:t>
      </w:r>
      <w:r>
        <w:rPr>
          <w:rFonts w:hint="eastAsia" w:ascii="Times New Roman" w:hAnsi="Times New Roman" w:cs="仿宋"/>
          <w:color w:val="ff0000"/>
          <w:sz w:val="24"/>
          <w:u w:val="single"/>
        </w:rPr>
        <w:t xml:space="preserve">（2）</w:t>
      </w:r>
      <w:r>
        <w:rPr>
          <w:rFonts w:hint="eastAsia" w:ascii="Times New Roman" w:hAnsi="Times New Roman" w:cs="仿宋"/>
          <w:color w:val="000000"/>
          <w:sz w:val="24"/>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（2）对符合规定情形的小微企业报价给予</w:t>
      </w:r>
      <w:r>
        <w:rPr>
          <w:rFonts w:hint="eastAsia" w:ascii="Times New Roman" w:hAnsi="Times New Roman" w:cs="仿宋"/>
          <w:b/>
          <w:bCs/>
          <w:sz w:val="24"/>
          <w:u w:val="single"/>
        </w:rPr>
        <w:t xml:space="preserve">15%</w:t>
      </w:r>
      <w:r>
        <w:rPr>
          <w:rFonts w:hint="eastAsia" w:ascii="Times New Roman" w:hAnsi="Times New Roman" w:cs="仿宋"/>
          <w:color w:val="000000"/>
          <w:sz w:val="24"/>
        </w:rPr>
        <w:t xml:space="preserve">扣除，用扣除后的价格参加评审。</w:t>
      </w:r>
      <w:r/>
    </w:p>
    <w:p>
      <w:pPr>
        <w:ind w:firstLine="482"/>
        <w:spacing w:line="480" w:lineRule="exact"/>
        <w:rPr>
          <w:rFonts w:ascii="Times New Roman" w:hAnsi="Times New Roman" w:cs="仿宋"/>
          <w:color w:val="000000"/>
          <w:sz w:val="24"/>
        </w:rPr>
      </w:pPr>
      <w:r>
        <w:rPr>
          <w:rFonts w:hint="eastAsia" w:ascii="Times New Roman" w:hAnsi="Times New Roman" w:cs="仿宋_GB2312"/>
          <w:b/>
          <w:bCs/>
          <w:color w:val="000000"/>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1227"/>
        <w:ind w:firstLine="482"/>
        <w:spacing w:line="440" w:lineRule="exact"/>
        <w:rPr>
          <w:rFonts w:hint="eastAsia" w:ascii="仿宋" w:hAnsi="仿宋" w:eastAsia="仿宋" w:cs="仿宋"/>
          <w:b/>
          <w:bCs/>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szCs w:val="24"/>
          <w:shd w:val="clear" w:color="auto" w:fill="ffffff"/>
        </w:rPr>
        <w:t xml:space="preserve">7.5采购本国产品的支持政策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7.5.1 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7.5.3 供应商需按照招标文件的要求提供《关于符合本国产品标准的声明函》（以下简称《声明函》），如不提供将不享受本国产品价格评审优惠。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7.5.4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8、招标文件的澄清或修改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8.3投标人应及时登录“苏采云”系统获取澄清答疑文件（修改后的招标文件），如投标人未能及时下载澄清答疑文件，造成的相关责任由投标人承担。</w:t>
      </w:r>
      <w:r/>
    </w:p>
    <w:p>
      <w:pPr>
        <w:pStyle w:val="862"/>
        <w:ind w:firstLine="321"/>
        <w:spacing w:before="0" w:after="0" w:line="480" w:lineRule="exact"/>
        <w:rPr>
          <w:rFonts w:eastAsia="宋体" w:cs="Arial"/>
          <w:bCs/>
          <w:color w:val="000000"/>
          <w:szCs w:val="22"/>
        </w:rPr>
      </w:pPr>
      <w:r/>
      <w:bookmarkStart w:id="80" w:name="_Toc81575194"/>
      <w:r/>
      <w:bookmarkStart w:id="81" w:name="_Toc5574"/>
      <w:r/>
      <w:bookmarkStart w:id="82" w:name="_Toc81575157"/>
      <w:r/>
      <w:bookmarkStart w:id="83" w:name="_Toc11461"/>
      <w:r>
        <w:rPr>
          <w:rFonts w:hint="eastAsia" w:eastAsia="宋体" w:cs="Arial"/>
          <w:bCs/>
          <w:color w:val="000000"/>
          <w:szCs w:val="22"/>
        </w:rPr>
        <w:t xml:space="preserve">三、投标文件的编制</w:t>
      </w:r>
      <w:bookmarkEnd w:id="80"/>
      <w:r/>
      <w:bookmarkEnd w:id="81"/>
      <w:r/>
      <w:bookmarkEnd w:id="82"/>
      <w:r/>
      <w:bookmarkEnd w:id="8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9、投标文件的编制要求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10、投标文件构成</w:t>
      </w:r>
      <w:r/>
    </w:p>
    <w:p>
      <w:pPr>
        <w:ind w:firstLine="480"/>
        <w:spacing w:line="480" w:lineRule="exact"/>
        <w:rPr>
          <w:rFonts w:ascii="Times New Roman" w:hAnsi="Times New Roman" w:cs="仿宋"/>
          <w:bCs/>
          <w:color w:val="000000"/>
          <w:sz w:val="24"/>
        </w:rPr>
      </w:pPr>
      <w:r>
        <w:rPr>
          <w:rFonts w:hint="eastAsia" w:ascii="Times New Roman" w:hAnsi="Times New Roman" w:cs="仿宋"/>
          <w:color w:val="000000"/>
          <w:sz w:val="24"/>
        </w:rPr>
        <w:t xml:space="preserve">10.1投标文件包括资格证明文件、开标一览表、分项报价表、响应及偏离表、投标函、其他证明文件等部分。</w:t>
      </w:r>
      <w:r>
        <w:rPr>
          <w:rFonts w:hint="eastAsia" w:ascii="Times New Roman" w:hAnsi="Times New Roman" w:cs="仿宋"/>
          <w:bCs/>
          <w:color w:val="000000"/>
          <w:sz w:val="24"/>
        </w:rPr>
        <w:t xml:space="preserve">投标文件构成资料为非中文时应提供中文译版。</w:t>
      </w:r>
      <w:bookmarkStart w:id="84" w:name="EBc50e2bb832bb43068403b10c1cce6141"/>
      <w:r/>
      <w:r/>
    </w:p>
    <w:p>
      <w:pPr>
        <w:ind w:firstLine="482"/>
        <w:spacing w:line="480" w:lineRule="exact"/>
        <w:rPr>
          <w:rFonts w:ascii="Times New Roman" w:hAnsi="Times New Roman" w:cs="仿宋"/>
          <w:bCs/>
          <w:color w:val="000000"/>
          <w:sz w:val="24"/>
        </w:rPr>
      </w:pPr>
      <w:r>
        <w:rPr>
          <w:rFonts w:hint="eastAsia" w:ascii="Times New Roman" w:hAnsi="Times New Roman" w:cs="仿宋"/>
          <w:b/>
          <w:color w:val="000000"/>
          <w:sz w:val="24"/>
        </w:rPr>
        <w:t xml:space="preserve">10.2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文件的，评标委员会可以视同其未提供。</w:t>
      </w:r>
      <w:bookmarkEnd w:id="8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11、投标报价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11.1报价为一次报价，本项目不接受备选的投标方案或有选择的报价，只允许有一个报价。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11.2报价注意事项：投标价格一律以人民币计算，以元为单位标注，最多保留至小数点后两位，招标文件有规定的按招标文件执行。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12、投标保证金</w:t>
      </w:r>
      <w:bookmarkStart w:id="85"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8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13、投标有效期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62"/>
        <w:ind w:firstLine="321"/>
        <w:spacing w:before="0" w:after="0" w:line="480" w:lineRule="exact"/>
        <w:rPr>
          <w:rFonts w:eastAsia="宋体" w:cs="Arial"/>
          <w:bCs/>
          <w:color w:val="000000"/>
          <w:szCs w:val="22"/>
        </w:rPr>
      </w:pPr>
      <w:r/>
      <w:bookmarkStart w:id="86" w:name="_Toc2773"/>
      <w:r/>
      <w:bookmarkStart w:id="87" w:name="_Toc81575158"/>
      <w:r/>
      <w:bookmarkStart w:id="88" w:name="_Toc81575195"/>
      <w:r/>
      <w:bookmarkStart w:id="89" w:name="_Toc23443"/>
      <w:r>
        <w:rPr>
          <w:rFonts w:hint="eastAsia" w:eastAsia="宋体" w:cs="Arial"/>
          <w:bCs/>
          <w:color w:val="000000"/>
          <w:szCs w:val="22"/>
        </w:rPr>
        <w:t xml:space="preserve">四、投标文件的提交</w:t>
      </w:r>
      <w:bookmarkEnd w:id="86"/>
      <w:r/>
      <w:bookmarkEnd w:id="87"/>
      <w:r/>
      <w:bookmarkEnd w:id="88"/>
      <w:r/>
      <w:bookmarkEnd w:id="8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14、投标文件的提交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14.1投标人应在招标文件规定的投标截止时间前提交投标文件并将电子投标文件上传至“苏采云”系统对应的本次开标采购包中。除招标文件另有规定外，投标人所提交的投标文件不予退还。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14.2投标文件的修改和撤回：在投标截止时间前，投标人可以撤回或重新提交投标文件。投标文件以最终完成上传的为准。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14.3采购人、采购代理机构可以通过修改招标文件酌情延长投标文件接收截止日期，在此情况下，投标人的所有权利和义务以及投标人受制约的截止日期均应以延长后新的截止日期为准。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15、投标文件被拒绝接收的情形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862"/>
        <w:ind w:firstLine="321"/>
        <w:spacing w:before="0" w:after="0" w:line="520" w:lineRule="exact"/>
        <w:rPr>
          <w:rFonts w:eastAsia="宋体" w:cs="Arial"/>
          <w:bCs/>
          <w:color w:val="000000"/>
          <w:szCs w:val="22"/>
        </w:rPr>
      </w:pPr>
      <w:r/>
      <w:bookmarkStart w:id="90" w:name="_Toc81575160"/>
      <w:r/>
      <w:bookmarkStart w:id="91" w:name="_Toc959"/>
      <w:r/>
      <w:bookmarkStart w:id="92" w:name="_Toc81575197"/>
      <w:r/>
      <w:bookmarkStart w:id="93" w:name="_Toc20026"/>
      <w:r>
        <w:rPr>
          <w:rFonts w:hint="eastAsia" w:eastAsia="宋体" w:cs="Arial"/>
          <w:bCs/>
          <w:color w:val="000000"/>
          <w:szCs w:val="22"/>
        </w:rPr>
        <w:t xml:space="preserve">五、开标、评标程序</w:t>
      </w:r>
      <w:bookmarkEnd w:id="90"/>
      <w:r/>
      <w:bookmarkEnd w:id="91"/>
      <w:r/>
      <w:bookmarkEnd w:id="92"/>
      <w:r/>
      <w:bookmarkEnd w:id="9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16、开标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16.1采购代理机构将在招标公告中规定的时间和地点组织公开开标。投标人应当按照《“苏采云”系统供应商操作手册》规定，参加开标活动，在“苏采云”系统规定的时间内对投标文件解密。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16.2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16.3投标人用于解密的CA证书应为该投标文件生成加密、上传的同一把CA证书。投标人应登录“苏采云”系统进入“开标大厅”，在系统约定时间内使用CA证书解密，未成功解密的视为放弃投标。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16.4投标人如果对开标过程和开标记录有疑义，应当根据《操作手册》规定提出。如“苏采云”系统中《开标记录表》宣布后5分钟内未提出的，视同认可开标结果。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16.5投标人在开、评标全过程中应保持通讯畅通，及时登录“苏采云”系统查阅、答复相关信息。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18.1资格审查</w:t>
      </w:r>
      <w:bookmarkStart w:id="94"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94"/>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18.2符合性检查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Times New Roman" w:hAnsi="Times New Roman" w:cs="仿宋"/>
          <w:color w:val="000000"/>
          <w:sz w:val="24"/>
        </w:rPr>
        <w:t xml:space="preserve">所谓重大偏离是指投标人投标文件中所述设备质量、技术规格、数量、交货期、服务等明显不能满足招标文件要求。</w:t>
      </w:r>
      <w:bookmarkEnd w:id="95"/>
      <w:r>
        <w:rPr>
          <w:rFonts w:hint="eastAsia" w:ascii="Times New Roman" w:hAnsi="Times New Roman" w:cs="仿宋"/>
          <w:color w:val="000000"/>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18.5.1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18.6有关问题的澄清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18.6.2投标文件报价出现前后不一致的，除招标文件另有规定外，按照下列规定修正：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18.7异常低价投标审查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18.7.1 评标过程中出现下列情形之一的，评审委员会应当启动异常低价投标（响应）审查程序：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（3）投标(响应)报价低于采购项目最高限价45%的，即投标(响应)报价&lt;采购项目最高限价×45%;</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（4）评审委员会基于专业判断，认为供应商报价过低，有可能影响产品质量或者不能诚信履约的其他情形。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相关法律法规对供应商报价有规定的，从其规定。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18.9推荐中标候选人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62"/>
        <w:ind w:firstLine="321"/>
        <w:spacing w:before="0" w:after="0" w:line="480" w:lineRule="exact"/>
        <w:rPr>
          <w:rFonts w:eastAsia="宋体" w:cs="Arial"/>
          <w:bCs/>
          <w:color w:val="000000"/>
          <w:szCs w:val="22"/>
        </w:rPr>
      </w:pPr>
      <w:r/>
      <w:bookmarkStart w:id="96" w:name="_Toc8712"/>
      <w:r/>
      <w:bookmarkStart w:id="97" w:name="_Toc81575196"/>
      <w:r/>
      <w:bookmarkStart w:id="98" w:name="_Toc81575159"/>
      <w:r/>
      <w:bookmarkStart w:id="99" w:name="_Toc8841"/>
      <w:r>
        <w:rPr>
          <w:rFonts w:hint="eastAsia" w:eastAsia="宋体" w:cs="Arial"/>
          <w:bCs/>
          <w:color w:val="000000"/>
          <w:szCs w:val="22"/>
        </w:rPr>
        <w:t xml:space="preserve">六、无效投标、废标、串通投标</w:t>
      </w:r>
      <w:bookmarkEnd w:id="96"/>
      <w:r/>
      <w:bookmarkEnd w:id="97"/>
      <w:r/>
      <w:bookmarkEnd w:id="98"/>
      <w:r/>
      <w:bookmarkEnd w:id="99"/>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19.1投标人同一采购包提交两个（含两个）以上不同的投标报价的。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19.7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80" w:lineRule="exact"/>
        <w:rPr>
          <w:rFonts w:ascii="Times New Roman" w:hAnsi="Times New Roman" w:cs="仿宋"/>
          <w:color w:val="000000"/>
          <w:sz w:val="24"/>
        </w:rPr>
      </w:pPr>
      <w:r>
        <w:rPr>
          <w:rFonts w:ascii="Times New Roman" w:hAnsi="Times New Roman" w:cs="仿宋"/>
          <w:color w:val="000000"/>
          <w:sz w:val="24"/>
        </w:rPr>
        <w:t xml:space="preserve">19.8</w:t>
      </w:r>
      <w:r>
        <w:rPr>
          <w:rFonts w:hint="eastAsia" w:ascii="Times New Roman" w:hAnsi="Times New Roman" w:cs="仿宋"/>
          <w:color w:val="000000"/>
          <w:sz w:val="24"/>
        </w:rPr>
        <w:t xml:space="preserve">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w:t>
      </w:r>
      <w:r>
        <w:rPr>
          <w:rFonts w:ascii="Times New Roman" w:hAnsi="Times New Roman" w:cs="仿宋"/>
          <w:color w:val="000000"/>
          <w:sz w:val="24"/>
        </w:rPr>
        <w:t xml:space="preserve">.9</w:t>
      </w:r>
      <w:r>
        <w:rPr>
          <w:rFonts w:hint="eastAsia" w:ascii="Times New Roman" w:hAnsi="Times New Roman" w:cs="仿宋"/>
          <w:color w:val="000000"/>
          <w:sz w:val="24"/>
        </w:rPr>
        <w:t xml:space="preserve">投标人有本招标文件规定的恶意串通投标情形的。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w:t>
      </w:r>
      <w:r>
        <w:rPr>
          <w:rFonts w:ascii="Times New Roman" w:hAnsi="Times New Roman" w:cs="仿宋"/>
          <w:color w:val="000000"/>
          <w:sz w:val="24"/>
        </w:rPr>
        <w:t xml:space="preserve">10</w:t>
      </w:r>
      <w:r>
        <w:rPr>
          <w:rFonts w:hint="eastAsia" w:ascii="Times New Roman" w:hAnsi="Times New Roman" w:cs="仿宋"/>
          <w:color w:val="000000"/>
          <w:sz w:val="24"/>
        </w:rPr>
        <w:t xml:space="preserve">投标文件含有采购人不能接受的附加条件的。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w:t>
      </w:r>
      <w:r>
        <w:rPr>
          <w:rFonts w:ascii="Times New Roman" w:hAnsi="Times New Roman" w:cs="仿宋"/>
          <w:color w:val="000000"/>
          <w:sz w:val="24"/>
        </w:rPr>
        <w:t xml:space="preserve">9.11</w:t>
      </w:r>
      <w:r>
        <w:rPr>
          <w:rFonts w:hint="eastAsia" w:ascii="Times New Roman" w:hAnsi="Times New Roman" w:cs="仿宋"/>
          <w:color w:val="000000"/>
          <w:sz w:val="24"/>
        </w:rPr>
        <w:t xml:space="preserve">投标人所投标产品不符合招标文件中所列国家强制性标准的。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w:t>
      </w:r>
      <w:r>
        <w:rPr>
          <w:rFonts w:ascii="Times New Roman" w:hAnsi="Times New Roman" w:cs="仿宋"/>
          <w:color w:val="000000"/>
          <w:sz w:val="24"/>
        </w:rPr>
        <w:t xml:space="preserve">2</w:t>
      </w:r>
      <w:r>
        <w:rPr>
          <w:rFonts w:hint="eastAsia" w:ascii="Times New Roman" w:hAnsi="Times New Roman" w:cs="仿宋"/>
          <w:color w:val="000000"/>
          <w:sz w:val="24"/>
        </w:rPr>
        <w:t xml:space="preserve">其他法律、法规及本招标文件规定的属无效投标的情形。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w:t>
      </w:r>
      <w:r>
        <w:rPr>
          <w:rFonts w:ascii="Times New Roman" w:hAnsi="Times New Roman" w:cs="仿宋"/>
          <w:color w:val="000000"/>
          <w:sz w:val="24"/>
        </w:rPr>
        <w:t xml:space="preserve">.</w:t>
      </w:r>
      <w:r>
        <w:rPr>
          <w:rFonts w:hint="eastAsia" w:ascii="Times New Roman" w:hAnsi="Times New Roman" w:cs="仿宋"/>
          <w:color w:val="000000"/>
          <w:sz w:val="24"/>
        </w:rPr>
        <w:t xml:space="preserve">1符合专业条件的投标人或者对招标文件作实质响应的投标人不足三家的。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20.2出现影响采购公正的违法、违规行为的。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20.3因重大变故，采购任务取消的。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20.4评标委员会认定招标文件存在歧义、重大缺陷导致评审工作无法进行的。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20.5在“苏采云”系统规定时间内成功解密电子投标文件的投标人不足3家的。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21、投标人不足三家情形处理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22、串通投标情形</w:t>
      </w:r>
      <w:r/>
    </w:p>
    <w:p>
      <w:pPr>
        <w:ind w:firstLine="480"/>
        <w:spacing w:line="500" w:lineRule="exact"/>
        <w:rPr>
          <w:rFonts w:hint="eastAsia" w:ascii="黑体" w:hAnsi="黑体" w:eastAsia="黑体"/>
          <w:color w:val="000000"/>
          <w:sz w:val="24"/>
        </w:rPr>
      </w:pPr>
      <w:r>
        <w:rPr>
          <w:rFonts w:hint="eastAsia" w:ascii="黑体" w:hAnsi="黑体" w:eastAsia="黑体"/>
          <w:color w:val="000000"/>
          <w:sz w:val="24"/>
        </w:rPr>
        <w:t xml:space="preserve">有下列情形之一的，属于恶意串通投标：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22.1供应商直接或间接从采购人或采购代理机构处获得其他供应商的投标情况，并修改其投标文件；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22.2评审活动开始前供应商直接或间接从采购人或采购代理机构处获得评标委员会组成人员情况；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22.3供应商接受采购人或采购代理机构授意撤换、修改投标文件；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22.4供应商之间协商投标报价、技术方案等投标文件实质性内容；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22.5属于同一集团、协会、商会等组织成员的供应商按照该组织要求协同投标；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22.6供应商之间事先约定由某一特定供应商中标、成交；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22.7供应商之间商定部分供应商放弃投标或者放弃中标、成交；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22.8供应商与采购人或采购代理机构之间、供应商相互之间为谋求特定供应商中标成交或者排斥其他供应商的其他串通行为；</w:t>
      </w:r>
      <w:r/>
    </w:p>
    <w:p>
      <w:pPr>
        <w:ind w:firstLine="482"/>
        <w:spacing w:line="500" w:lineRule="exact"/>
        <w:rPr>
          <w:rFonts w:hint="eastAsia"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22.9不同投标人的投标文件由同一单位或者个人编制；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22.10不同投标人委托同一单位或者个人办理投标事宜；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22.11不同投标人的投标文件载明的项目管理成员或者联系人员为同一人；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22.12不同投标人的投标文件异常一致或者投标报价呈规律性差异；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22.13不同投标人的投标文件相互混装；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22.14不同投标人的投标保证金从同一单位或者个人的账户转出。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23、</w:t>
      </w:r>
      <w:bookmarkStart w:id="100" w:name="OLE_LINK4"/>
      <w:r>
        <w:rPr>
          <w:rFonts w:hint="eastAsia" w:ascii="Times New Roman" w:hAnsi="Times New Roman" w:cs="仿宋"/>
          <w:b/>
          <w:color w:val="000000"/>
          <w:sz w:val="24"/>
        </w:rPr>
        <w:t xml:space="preserve">取消中标候选人资格情形</w:t>
      </w:r>
      <w:bookmarkEnd w:id="10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23.5未在规定时间内与采购人签订采购合同的；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23.6法律、法规规定的其它情况。</w:t>
      </w:r>
      <w:bookmarkStart w:id="101" w:name="_Toc81575198"/>
      <w:r/>
      <w:bookmarkStart w:id="102" w:name="_Toc2391"/>
      <w:r/>
      <w:bookmarkStart w:id="103" w:name="_Toc81575161"/>
      <w:r/>
      <w:bookmarkStart w:id="104" w:name="_Toc6494"/>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101"/>
      <w:r/>
      <w:bookmarkEnd w:id="102"/>
      <w:r/>
      <w:bookmarkEnd w:id="103"/>
      <w:r/>
      <w:bookmarkEnd w:id="104"/>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24、确定中标人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25、中标通知书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25.3采用综合评分法评审的，未中标人可于中标结果公告期限届满之日起通过“苏采云”系统查看</w:t>
      </w:r>
      <w:bookmarkStart w:id="105" w:name="OLE_LINK5"/>
      <w:r>
        <w:rPr>
          <w:rFonts w:hint="eastAsia" w:ascii="Times New Roman" w:hAnsi="Times New Roman" w:cs="仿宋"/>
          <w:color w:val="000000"/>
          <w:sz w:val="24"/>
        </w:rPr>
        <w:t xml:space="preserve">自己的评审得分及排序情况。</w:t>
      </w:r>
      <w:bookmarkEnd w:id="105"/>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26、授予合同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26.2采购人在自合同签订之日起2个工作日内，将合同在指定的媒体上公告。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27、履约保证金</w:t>
      </w:r>
      <w:r/>
    </w:p>
    <w:p>
      <w:pPr>
        <w:ind w:firstLine="480"/>
        <w:spacing w:line="480" w:lineRule="exact"/>
        <w:rPr>
          <w:rFonts w:ascii="Times New Roman" w:hAnsi="Times New Roman" w:cs="仿宋"/>
          <w:color w:val="000000"/>
          <w:sz w:val="24"/>
        </w:rPr>
      </w:pPr>
      <w:r/>
      <w:bookmarkStart w:id="106" w:name="_Toc22084"/>
      <w:r/>
      <w:bookmarkStart w:id="107" w:name="_Toc81575199"/>
      <w:r/>
      <w:bookmarkStart w:id="108" w:name="_Toc81575162"/>
      <w:r/>
      <w:bookmarkStart w:id="109" w:name="_Toc7550"/>
      <w:r>
        <w:rPr>
          <w:rFonts w:hint="eastAsia" w:ascii="Times New Roman" w:hAnsi="Times New Roman" w:cs="仿宋"/>
          <w:color w:val="000000"/>
          <w:sz w:val="24"/>
        </w:rPr>
        <w:t xml:space="preserve">按照以下第（2）方式确定履约保证金收取方式。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履约保证金应在中标公告发布之日起7日历天内提交。除银行电汇、网上银行、数字人民币外，投标人还可选用银行保函、担保公司的保证担保或保险公司的保证保险等多种形式向采购人缴纳。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27.2履约保证金提交金额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按采购合同总价的2%提交。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（使用江苏政府采购电子履约保函（保险）代替缴纳履约保证金，按采购合同总价的 1.2 %）计取。办理流程、偿付等内容见江苏政府采购网“保险保函”模块。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27.4履约保证金退还条件，按以下第 a 方式实行：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a、货物类项目，项目验收合格，出具验收报告及履约保证金收据申请退付；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b、服务类项目，项目履约期满评价合格，出具履约评价报告及履约保证金收据申请退付；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c、工程类项目，项目完工验收合格，出具完工证明及履约保证金收据申请退付；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采购人收到投标人退付申请后5个工作日内退还。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27.8如中标人未在规定时间内缴纳履约保证金，视为虚假承诺，采购人有权报请财政部门进行处理。</w:t>
      </w:r>
      <w:r/>
    </w:p>
    <w:p>
      <w:pPr>
        <w:ind w:firstLine="482"/>
        <w:spacing w:line="440" w:lineRule="exact"/>
        <w:rPr>
          <w:rFonts w:hint="eastAsia" w:ascii="仿宋" w:hAnsi="仿宋" w:eastAsia="仿宋" w:cs="仿宋"/>
          <w:b/>
          <w:bCs/>
          <w:sz w:val="24"/>
        </w:rPr>
      </w:pPr>
      <w:r>
        <w:rPr>
          <w:rFonts w:hint="eastAsia" w:ascii="仿宋" w:hAnsi="仿宋" w:eastAsia="仿宋" w:cs="仿宋"/>
          <w:b/>
          <w:sz w:val="24"/>
        </w:rPr>
        <w:t xml:space="preserve">28、</w:t>
      </w:r>
      <w:r>
        <w:rPr>
          <w:rFonts w:hint="eastAsia" w:ascii="仿宋" w:hAnsi="仿宋" w:eastAsia="仿宋" w:cs="仿宋"/>
          <w:b/>
          <w:sz w:val="24"/>
          <w:szCs w:val="24"/>
        </w:rPr>
        <w:t xml:space="preserve">政府采购履约资金扶持政策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中标供应商可凭政府采购合同办理融资贷款，详情请见江苏政府采购网“政采贷”专栏。</w:t>
      </w:r>
      <w:r/>
    </w:p>
    <w:p>
      <w:pPr>
        <w:ind w:firstLine="482"/>
        <w:spacing w:line="440" w:lineRule="exact"/>
        <w:rPr>
          <w:rFonts w:hint="eastAsia" w:ascii="仿宋" w:hAnsi="仿宋" w:eastAsia="仿宋" w:cs="仿宋"/>
          <w:sz w:val="24"/>
        </w:rPr>
      </w:pPr>
      <w:r>
        <w:rPr>
          <w:rFonts w:hint="eastAsia" w:ascii="仿宋" w:hAnsi="仿宋" w:eastAsia="仿宋" w:cs="仿宋"/>
          <w:b/>
          <w:sz w:val="24"/>
        </w:rPr>
        <w:t xml:space="preserve">29、合同履行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29.2政府采购合同履行中，采购人需追加与合同标的相同的货物、工程或者服务的，在不改变合同其他条款的前提下，可以与中标人签订补充合同，但所补充合同的采购金额不得超过原采购金额的10%。</w:t>
      </w:r>
      <w:r/>
    </w:p>
    <w:p>
      <w:pPr>
        <w:pStyle w:val="862"/>
        <w:spacing w:before="0" w:after="0" w:line="520" w:lineRule="exact"/>
        <w:rPr>
          <w:rFonts w:eastAsia="宋体" w:cs="Arial"/>
          <w:bCs/>
          <w:color w:val="000000"/>
          <w:szCs w:val="22"/>
        </w:rPr>
      </w:pPr>
      <w:r>
        <w:rPr>
          <w:rFonts w:hint="eastAsia" w:eastAsia="宋体" w:cs="Arial"/>
          <w:bCs/>
          <w:color w:val="000000"/>
          <w:szCs w:val="22"/>
        </w:rPr>
        <w:t xml:space="preserve">八、</w:t>
      </w:r>
      <w:bookmarkEnd w:id="106"/>
      <w:r/>
      <w:bookmarkEnd w:id="107"/>
      <w:r/>
      <w:bookmarkEnd w:id="108"/>
      <w:r/>
      <w:bookmarkEnd w:id="109"/>
      <w:r/>
      <w:bookmarkStart w:id="110" w:name="_Toc81575163"/>
      <w:r/>
      <w:bookmarkStart w:id="111" w:name="_Toc81575200"/>
      <w:r/>
      <w:bookmarkStart w:id="112" w:name="_Toc31888"/>
      <w:r/>
      <w:bookmarkStart w:id="113" w:name="_Toc12263"/>
      <w:r>
        <w:rPr>
          <w:rFonts w:hint="eastAsia" w:eastAsia="宋体" w:cs="Arial"/>
          <w:bCs/>
          <w:color w:val="000000"/>
          <w:szCs w:val="22"/>
        </w:rPr>
        <w:t xml:space="preserve">质疑与投诉</w:t>
      </w:r>
      <w:bookmarkEnd w:id="110"/>
      <w:r/>
      <w:bookmarkEnd w:id="111"/>
      <w:r/>
      <w:bookmarkEnd w:id="112"/>
      <w:r/>
      <w:bookmarkEnd w:id="113"/>
      <w:r/>
      <w:r/>
    </w:p>
    <w:p>
      <w:pPr>
        <w:ind w:firstLine="480"/>
        <w:spacing w:line="480" w:lineRule="exact"/>
        <w:rPr>
          <w:rFonts w:ascii="Times New Roman" w:hAnsi="Times New Roman" w:cs="仿宋"/>
          <w:color w:val="000000"/>
          <w:sz w:val="24"/>
        </w:rPr>
      </w:pPr>
      <w:r/>
      <w:bookmarkStart w:id="114" w:name="EB4d341233595e4bf8ad7006b4bd78d974"/>
      <w:r/>
      <w:bookmarkEnd w:id="114"/>
      <w:r/>
      <w:bookmarkStart w:id="115" w:name="_Toc81575201"/>
      <w:r/>
      <w:bookmarkStart w:id="116" w:name="_Toc81575164"/>
      <w:r/>
      <w:bookmarkStart w:id="117" w:name="_Hlk166141273"/>
      <w:r>
        <w:rPr>
          <w:rFonts w:hint="eastAsia" w:ascii="Times New Roman" w:hAnsi="Times New Roman" w:cs="仿宋"/>
          <w:color w:val="000000"/>
          <w:sz w:val="24"/>
        </w:rPr>
        <w:t xml:space="preserve">30.1供应商认为采购文件、采购过程和中标结果使自己的权益受到损害的，可以在知道或者应知其权益受到损害之日起七个工作日内，（具体起算时间见30.2），以书面形式向采购人或者其委托的采购代理机构提出质疑。质疑超出采购机构代理范围的，投标人应当向采购人提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本项目接收质疑函的方式：现场接收或邮寄接收。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联系部门：泗洪县住房和城乡建设局、泗洪县公共资源交易中心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联系电话：</w:t>
      </w:r>
      <w:r>
        <w:rPr>
          <w:rFonts w:ascii="Times New Roman" w:hAnsi="Times New Roman" w:cs="仿宋"/>
          <w:color w:val="000000"/>
          <w:sz w:val="24"/>
        </w:rPr>
        <w:t xml:space="preserve">13951060508</w:t>
      </w:r>
      <w:r>
        <w:rPr>
          <w:rFonts w:hint="eastAsia" w:ascii="Times New Roman" w:hAnsi="Times New Roman" w:cs="仿宋"/>
          <w:color w:val="000000"/>
          <w:sz w:val="24"/>
        </w:rPr>
        <w:t xml:space="preserve">、15951098357</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通讯地址：泗洪县长江路13号、泗洪县仁和路5号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30.2供应商应知其权益受到损害之日，是指：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30.3质疑供应商应当是参与所质疑项目采购活动的供应商。潜在供应商已依法获取其可质疑的采购文件的，方可对该文件提出质疑。供应商在法定质疑期内应一次性提出针对同一采购程序环节的质疑。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30.4供应商提出质疑应当提交质疑函和必要的证明材料。质疑函的必备内容：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30.5采购人在收到质疑函后7个工作日内作出答复，并以书面形式通知质疑供应商和其他有关供应商，但质疑答复的内容不涉及商业秘密。</w:t>
      </w:r>
      <w:r/>
    </w:p>
    <w:p>
      <w:pPr>
        <w:ind w:firstLine="482"/>
        <w:spacing w:line="440" w:lineRule="exact"/>
        <w:rPr>
          <w:rFonts w:hint="eastAsia" w:ascii="仿宋" w:hAnsi="仿宋" w:eastAsia="仿宋" w:cs="仿宋"/>
          <w:b/>
          <w:sz w:val="24"/>
        </w:rPr>
      </w:pPr>
      <w:r>
        <w:rPr>
          <w:rFonts w:hint="eastAsia" w:ascii="仿宋" w:hAnsi="仿宋" w:eastAsia="仿宋" w:cs="仿宋"/>
          <w:b/>
          <w:sz w:val="24"/>
        </w:rPr>
        <w:t xml:space="preserve">31、投诉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质疑供应商对答复不满意或采购人未在规定时间内作出答复的，可在答复期满后15个工作日内向同级财政部门提起投诉。</w:t>
      </w:r>
      <w:r/>
    </w:p>
    <w:p>
      <w:pPr>
        <w:ind w:firstLine="480"/>
        <w:jc w:val="center"/>
        <w:spacing w:line="480" w:lineRule="exact"/>
        <w:rPr>
          <w:rFonts w:ascii="Times New Roman" w:hAnsi="Times New Roman" w:cs="仿宋"/>
          <w:color w:val="000000"/>
          <w:sz w:val="24"/>
        </w:rPr>
      </w:pPr>
      <w:r>
        <w:rPr>
          <w:rFonts w:hint="eastAsia"/>
          <w:color w:val="000000"/>
        </w:rPr>
        <w:br w:type="page" w:clear="all"/>
      </w:r>
      <w:bookmarkStart w:id="118" w:name="_Toc17996"/>
      <w:r>
        <w:rPr>
          <w:rFonts w:hint="eastAsia"/>
          <w:b/>
          <w:color w:val="000000"/>
          <w:sz w:val="44"/>
          <w:szCs w:val="44"/>
        </w:rPr>
        <w:t xml:space="preserve">第三章  </w:t>
      </w:r>
      <w:bookmarkEnd w:id="115"/>
      <w:r/>
      <w:bookmarkEnd w:id="116"/>
      <w:r/>
      <w:bookmarkEnd w:id="118"/>
      <w:r>
        <w:rPr>
          <w:rFonts w:hint="eastAsia" w:ascii="方正仿宋_GB2312" w:hAnsi="方正仿宋_GB2312" w:eastAsia="方正仿宋_GB2312" w:cs="方正仿宋_GB2312"/>
          <w:b/>
          <w:color w:val="000000" w:themeColor="text1"/>
          <w:sz w:val="44"/>
          <w:szCs w:val="44"/>
          <w14:textFill>
            <w14:solidFill>
              <w14:schemeClr w14:val="tx1"/>
            </w14:solidFill>
          </w14:textFill>
        </w:rPr>
        <w:t xml:space="preserve">评标方法与评标标准</w:t>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spacing w:line="480" w:lineRule="exact"/>
        <w:rPr>
          <w:rFonts w:ascii="Times New Roman" w:hAnsi="Times New Roman" w:cs="仿宋"/>
          <w:color w:val="000000"/>
          <w:sz w:val="24"/>
        </w:rPr>
      </w:pPr>
      <w:r>
        <w:rPr>
          <w:rFonts w:hint="eastAsia"/>
          <w:color w:val="000000"/>
          <w:sz w:val="24"/>
          <w:szCs w:val="28"/>
        </w:rPr>
        <w:t xml:space="preserve">资格审查人员按照下列指标对各投标人的资格进行审查，未通过审查的为无效标，不参与评标。</w:t>
      </w:r>
      <w:r/>
    </w:p>
    <w:tbl>
      <w:tblPr>
        <w:tblStyle w:val="822"/>
        <w:tblW w:w="8940" w:type="dxa"/>
        <w:tblInd w:w="-27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962"/>
        <w:gridCol w:w="3978"/>
      </w:tblGrid>
      <w:tr>
        <w:trPr/>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资格审查因素</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投标声明及承诺函</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中小企业或残疾人福利性单位声明函，或监狱企业证明文件</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信用信息</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本项目特定资格要求</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bl>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二、评分办法—综合评分法</w:t>
      </w:r>
      <w:r/>
    </w:p>
    <w:p>
      <w:pPr>
        <w:ind w:firstLine="480"/>
        <w:jc w:val="left"/>
        <w:spacing w:line="480" w:lineRule="exact"/>
        <w:rPr>
          <w:rFonts w:ascii="Times New Roman" w:hAnsi="Times New Roman" w:cs="仿宋"/>
          <w:color w:val="000000"/>
          <w:sz w:val="24"/>
        </w:rPr>
      </w:pPr>
      <w:r>
        <w:rPr>
          <w:rFonts w:hint="eastAsia" w:ascii="Times New Roman" w:hAnsi="Times New Roman" w:cs="仿宋"/>
          <w:b/>
          <w:bCs/>
          <w:color w:val="000000"/>
          <w:sz w:val="24"/>
        </w:rPr>
        <w:t xml:space="preserve">1、评标办法：</w:t>
      </w:r>
      <w:r>
        <w:rPr>
          <w:rFonts w:hint="eastAsia"/>
          <w:color w:val="000000"/>
          <w:sz w:val="24"/>
          <w:szCs w:val="28"/>
        </w:rPr>
        <w:t xml:space="preserve">本项目采用综合评分法，评标结果按评审后得分由高到低顺序排列。得分相同的，按投标报价由低到高顺序排序。得分且投标报价相同的并列。中标候选人并列的，由采购人或者采购人委托评标委员会按照招标文件规定的方式确定中标人;招标文件未规定的，采取随机抽取的方式确定。</w:t>
      </w:r>
      <w:r/>
    </w:p>
    <w:p>
      <w:pPr>
        <w:ind w:firstLine="480"/>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综合评分保留至小数点后两位。</w:t>
      </w:r>
      <w:r/>
    </w:p>
    <w:p>
      <w:pPr>
        <w:ind w:firstLine="482"/>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评标委员会根据评审后投标人排序推荐3名中标候选人。投标文件满足招标文件全部实质性要求，且评审后排序第一的供应商为第一中标候选人，依次类推。</w:t>
      </w:r>
      <w:r/>
    </w:p>
    <w:p>
      <w:pPr>
        <w:ind w:firstLine="482"/>
        <w:jc w:val="left"/>
        <w:spacing w:line="480" w:lineRule="exact"/>
        <w:rPr>
          <w:color w:val="000000"/>
          <w:sz w:val="24"/>
          <w:szCs w:val="28"/>
        </w:rPr>
      </w:pPr>
      <w:r>
        <w:rPr>
          <w:rFonts w:hint="eastAsia" w:ascii="Times New Roman" w:hAnsi="Times New Roman" w:cs="仿宋"/>
          <w:b/>
          <w:bCs/>
          <w:color w:val="000000"/>
          <w:sz w:val="24"/>
        </w:rPr>
        <w:t xml:space="preserve">2.符合性审查：</w:t>
      </w:r>
      <w:r>
        <w:rPr>
          <w:rFonts w:hint="eastAsia"/>
          <w:color w:val="000000"/>
          <w:sz w:val="24"/>
          <w:szCs w:val="28"/>
        </w:rPr>
        <w:t xml:space="preserve">评标委员会首先按照下列指标对各投标人的投标文件进行符合性审查，未通过审查的为无效标，不再参与评审。</w:t>
      </w:r>
      <w:r/>
    </w:p>
    <w:tbl>
      <w:tblPr>
        <w:tblStyle w:val="822"/>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符合性审查因素</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法定代表人身份证明或授权委托书（被授权人须提供2025年12月（含）以来任意一个月本单位为其（被授权人）办理的养老保险或医疗保险缴纳证明原件彩色扫描件）</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技术标准和要求</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其他</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bl>
    <w:p>
      <w:pPr>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3、详细评审。</w:t>
      </w:r>
      <w:r>
        <w:rPr>
          <w:rFonts w:hint="eastAsia" w:ascii="Times New Roman" w:hAnsi="Times New Roman" w:cs="仿宋"/>
          <w:color w:val="000000"/>
          <w:sz w:val="24"/>
        </w:rPr>
        <w:t xml:space="preserve">评标委员会按照招标文件规定的评分标准，对各投标文件进行详细评审打分。评标委员会组长对各评审专家的打分情况进行复核无误后汇总，形成评审报告。</w:t>
      </w:r>
      <w:r/>
    </w:p>
    <w:tbl>
      <w:tblPr>
        <w:tblStyle w:val="822"/>
        <w:tblW w:w="103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405"/>
        <w:gridCol w:w="1114"/>
        <w:gridCol w:w="6431"/>
      </w:tblGrid>
      <w:tr>
        <w:trPr>
          <w:jc w:val="center"/>
          <w:trHeight w:val="572"/>
        </w:trPr>
        <w:tc>
          <w:tcPr>
            <w:gridSpan w:val="2"/>
            <w:tcW w:w="2810" w:type="dxa"/>
            <w:vAlign w:val="center"/>
            <w:textDirection w:val="lrTb"/>
            <w:noWrap/>
          </w:tcPr>
          <w:p>
            <w:pPr>
              <w:jc w:val="center"/>
              <w:spacing w:line="360" w:lineRule="exact"/>
              <w:widowControl/>
              <w:rPr>
                <w:rFonts w:ascii="Times New Roman" w:hAnsi="Times New Roman" w:cs="宋体"/>
                <w:color w:val="000000"/>
                <w:sz w:val="24"/>
                <w:szCs w:val="24"/>
              </w:rPr>
            </w:pPr>
            <w:r/>
            <w:bookmarkStart w:id="119" w:name="RANGE!A1"/>
            <w:r>
              <w:rPr>
                <w:rFonts w:hint="eastAsia" w:ascii="Times New Roman" w:hAnsi="Times New Roman" w:cs="宋体"/>
                <w:color w:val="000000"/>
                <w:sz w:val="24"/>
                <w:szCs w:val="24"/>
              </w:rPr>
              <w:t xml:space="preserve">评审因素</w:t>
            </w:r>
            <w:bookmarkEnd w:id="119"/>
            <w:r/>
            <w:r/>
          </w:p>
        </w:tc>
        <w:tc>
          <w:tcPr>
            <w:tcW w:w="1114"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分数</w:t>
            </w:r>
            <w:r/>
          </w:p>
        </w:tc>
        <w:tc>
          <w:tcPr>
            <w:tcW w:w="6431"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评审标准</w:t>
            </w:r>
            <w:r/>
          </w:p>
        </w:tc>
      </w:tr>
      <w:tr>
        <w:trPr>
          <w:jc w:val="center"/>
          <w:trHeight w:val="274"/>
        </w:trPr>
        <w:tc>
          <w:tcPr>
            <w:tcW w:w="1405" w:type="dxa"/>
            <w:vAlign w:val="center"/>
            <w:textDirection w:val="lrTb"/>
            <w:noWrap/>
          </w:tcPr>
          <w:p>
            <w:pPr>
              <w:jc w:val="center"/>
              <w:spacing w:line="360" w:lineRule="exact"/>
              <w:widowControl/>
              <w:rPr>
                <w:rFonts w:ascii="Times New Roman" w:hAnsi="Times New Roman" w:cs="宋体"/>
                <w:color w:val="000000"/>
                <w:sz w:val="24"/>
                <w:szCs w:val="24"/>
              </w:rPr>
            </w:pPr>
            <w:r>
              <w:t xml:space="preserve">报价分</w:t>
            </w:r>
            <w:r/>
          </w:p>
        </w:tc>
        <w:tc>
          <w:tcPr>
            <w:tcW w:w="1405"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投标报价</w:t>
            </w:r>
            <w:r/>
          </w:p>
        </w:tc>
        <w:tc>
          <w:tcPr>
            <w:tcW w:w="1114"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30.00分</w:t>
            </w:r>
            <w:r/>
          </w:p>
        </w:tc>
        <w:tc>
          <w:tcPr>
            <w:tcW w:w="6431"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采用低价优先法计算，即满足招标文件要求且投标价格最低的投标报价为评标基准价，其价格分为满分。其他投标人投标报价得分＝（评标基准价/投标报价）*30。</w:t>
            </w:r>
            <w:r/>
          </w:p>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注：符合规定的小微企业（含监狱企业和残疾人福利单位）报价给予15%的扣除，用扣除后的价格参加评审。</w:t>
            </w:r>
            <w:r/>
          </w:p>
        </w:tc>
      </w:tr>
      <w:tr>
        <w:trPr>
          <w:jc w:val="center"/>
          <w:trHeight w:val="859"/>
        </w:trPr>
        <w:tc>
          <w:tcPr>
            <w:tcW w:w="1405" w:type="dxa"/>
            <w:vAlign w:val="center"/>
            <w:vMerge w:val="restart"/>
            <w:textDirection w:val="lrTb"/>
            <w:noWrap/>
          </w:tcPr>
          <w:p>
            <w:pPr>
              <w:jc w:val="center"/>
              <w:spacing w:line="360" w:lineRule="exact"/>
              <w:widowControl/>
              <w:rPr>
                <w:rFonts w:ascii="Times New Roman" w:hAnsi="Times New Roman" w:cs="宋体"/>
                <w:color w:val="000000"/>
                <w:sz w:val="24"/>
                <w:szCs w:val="24"/>
              </w:rPr>
            </w:pPr>
            <w:r>
              <w:t xml:space="preserve">技术响应</w:t>
            </w:r>
            <w:r/>
          </w:p>
        </w:tc>
        <w:tc>
          <w:tcPr>
            <w:tcW w:w="1405"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技术响应</w:t>
            </w:r>
            <w:r/>
          </w:p>
        </w:tc>
        <w:tc>
          <w:tcPr>
            <w:tcW w:w="1114"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27.00分</w:t>
            </w:r>
            <w:r/>
          </w:p>
        </w:tc>
        <w:tc>
          <w:tcPr>
            <w:tcW w:w="6431" w:type="dxa"/>
            <w:vAlign w:val="center"/>
            <w:textDirection w:val="lrTb"/>
            <w:noWrap/>
          </w:tcPr>
          <w:p>
            <w:pPr>
              <w:pStyle w:val="937"/>
              <w:jc w:val="both"/>
              <w:spacing w:before="0" w:beforeAutospacing="0" w:after="0" w:afterAutospacing="0" w:line="360" w:lineRule="exact"/>
              <w:widowControl w:val="off"/>
              <w:rPr>
                <w:rFonts w:ascii="Times New Roman" w:hAnsi="Times New Roman"/>
                <w:color w:val="000000"/>
              </w:rPr>
            </w:pPr>
            <w:r>
              <w:rPr>
                <w:rFonts w:hint="eastAsia" w:ascii="Times New Roman" w:hAnsi="Times New Roman"/>
                <w:color w:val="000000"/>
              </w:rPr>
              <w:t xml:space="preserve">针对招标文件采购清单及技术要求内容（★项除外）进行评分，所投产品技术参数性能、质量等完全满足或优于招标文件技术参数要求的得27分。</w:t>
            </w:r>
            <w:r>
              <w:rPr>
                <w:rFonts w:hint="eastAsia"/>
              </w:rPr>
              <w:t xml:space="preserve">前面标注</w:t>
            </w:r>
            <w:r>
              <w:rPr>
                <w:rFonts w:hint="eastAsia" w:ascii="Times New Roman" w:hAnsi="Times New Roman"/>
                <w:color w:val="000000"/>
              </w:rPr>
              <w:t xml:space="preserve">“▲”为重点参数要求（一个句号的完整内容为一“项”，共有5项），每有一项不满足的扣1分，最高扣减5分。</w:t>
            </w:r>
            <w:r>
              <w:rPr>
                <w:rFonts w:hint="eastAsia"/>
              </w:rPr>
              <w:t xml:space="preserve">前面标注</w:t>
            </w:r>
            <w:r>
              <w:rPr>
                <w:rFonts w:hint="eastAsia" w:ascii="Times New Roman" w:hAnsi="Times New Roman"/>
                <w:color w:val="000000"/>
              </w:rPr>
              <w:t xml:space="preserve">“＊”一般参数项目（一个句号的完整内容为一“项”，共计88项），每有一项扣0.25分，最高扣减22分。</w:t>
            </w:r>
            <w:r/>
          </w:p>
          <w:p>
            <w:pPr>
              <w:pStyle w:val="937"/>
              <w:jc w:val="both"/>
              <w:spacing w:before="0" w:beforeAutospacing="0" w:after="0" w:afterAutospacing="0" w:line="360" w:lineRule="exact"/>
              <w:widowControl w:val="off"/>
              <w:rPr>
                <w:rFonts w:ascii="Times New Roman" w:hAnsi="Times New Roman"/>
                <w:color w:val="000000"/>
              </w:rPr>
            </w:pPr>
            <w:r>
              <w:rPr>
                <w:rFonts w:hint="eastAsia" w:ascii="Times New Roman" w:hAnsi="Times New Roman"/>
                <w:color w:val="000000"/>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r/>
          </w:p>
        </w:tc>
      </w:tr>
      <w:tr>
        <w:trPr>
          <w:jc w:val="center"/>
          <w:trHeight w:val="2389"/>
        </w:trPr>
        <w:tc>
          <w:tcPr>
            <w:tcW w:w="1405" w:type="dxa"/>
            <w:vAlign w:val="center"/>
            <w:vMerge w:val="continue"/>
            <w:textDirection w:val="lrTb"/>
            <w:noWrap/>
          </w:tcPr>
          <w:p>
            <w:pPr>
              <w:jc w:val="left"/>
            </w:pPr>
            <w:r/>
            <w:r/>
          </w:p>
        </w:tc>
        <w:tc>
          <w:tcPr>
            <w:tcW w:w="1405" w:type="dxa"/>
            <w:vAlign w:val="center"/>
            <w:textDirection w:val="lrTb"/>
            <w:noWrap/>
          </w:tcPr>
          <w:p>
            <w:pPr>
              <w:jc w:val="left"/>
              <w:rPr>
                <w:rFonts w:ascii="Times New Roman" w:hAnsi="Times New Roman" w:cs="宋体"/>
                <w:color w:val="000000"/>
                <w:sz w:val="24"/>
                <w:szCs w:val="24"/>
              </w:rPr>
            </w:pPr>
            <w:r>
              <w:rPr>
                <w:rFonts w:hint="eastAsia"/>
              </w:rPr>
              <w:t xml:space="preserve">主要部件</w:t>
            </w:r>
            <w:r/>
          </w:p>
        </w:tc>
        <w:tc>
          <w:tcPr>
            <w:tcW w:w="1114" w:type="dxa"/>
            <w:vAlign w:val="center"/>
            <w:textDirection w:val="lrTb"/>
            <w:noWrap/>
          </w:tcPr>
          <w:p>
            <w:pPr>
              <w:jc w:val="center"/>
              <w:rPr>
                <w:rFonts w:ascii="Times New Roman" w:hAnsi="Times New Roman" w:cs="宋体"/>
                <w:color w:val="000000"/>
                <w:sz w:val="24"/>
                <w:szCs w:val="24"/>
              </w:rPr>
            </w:pPr>
            <w:r>
              <w:rPr>
                <w:rFonts w:hint="eastAsia"/>
                <w:sz w:val="24"/>
                <w:szCs w:val="24"/>
              </w:rPr>
              <w:t xml:space="preserve">6</w:t>
            </w:r>
            <w:r>
              <w:rPr>
                <w:sz w:val="24"/>
                <w:szCs w:val="24"/>
              </w:rPr>
              <w:t xml:space="preserve">.00分</w:t>
            </w:r>
            <w:r/>
          </w:p>
        </w:tc>
        <w:tc>
          <w:tcPr>
            <w:tcW w:w="6431" w:type="dxa"/>
            <w:vAlign w:val="center"/>
            <w:textDirection w:val="lrTb"/>
            <w:noWrap/>
          </w:tcPr>
          <w:p>
            <w:pPr>
              <w:jc w:val="left"/>
              <w:spacing w:line="360" w:lineRule="exact"/>
              <w:widowControl/>
              <w:rPr>
                <w:rFonts w:ascii="Times New Roman" w:hAnsi="Times New Roman" w:cs="宋体"/>
                <w:color w:val="000000"/>
                <w:sz w:val="24"/>
                <w:szCs w:val="24"/>
              </w:rPr>
            </w:pPr>
            <w:r/>
            <w:bookmarkStart w:id="120" w:name="OLE_LINK32"/>
            <w:r>
              <w:rPr>
                <w:rFonts w:hint="eastAsia" w:ascii="Times New Roman" w:hAnsi="Times New Roman" w:cs="宋体"/>
                <w:color w:val="000000"/>
                <w:sz w:val="24"/>
                <w:szCs w:val="24"/>
              </w:rPr>
              <w:t xml:space="preserve">投标人所投电梯产品主要部件:曳引机、控制柜、门机（门系统）、限速器、安全钳、缓冲器六大部件为原厂原品牌生产（与所投电梯品牌相同）得6分；其中有 1 项不满足扣1分，扣完为止。注：1.以明细报价表中注明的品牌为准；2.提供所投电梯产品有效的部件型式试验报告原件彩色扫描件。</w:t>
            </w:r>
            <w:bookmarkEnd w:id="120"/>
            <w:r/>
            <w:r/>
          </w:p>
        </w:tc>
      </w:tr>
      <w:tr>
        <w:trPr>
          <w:jc w:val="center"/>
          <w:trHeight w:val="1140"/>
        </w:trPr>
        <w:tc>
          <w:tcPr>
            <w:tcW w:w="1405" w:type="dxa"/>
            <w:vAlign w:val="center"/>
            <w:vMerge w:val="restart"/>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企业实力</w:t>
            </w:r>
            <w:r/>
          </w:p>
        </w:tc>
        <w:tc>
          <w:tcPr>
            <w:tcW w:w="1405"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企业</w:t>
            </w:r>
            <w:r/>
          </w:p>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业绩</w:t>
            </w:r>
            <w:r/>
          </w:p>
        </w:tc>
        <w:tc>
          <w:tcPr>
            <w:tcW w:w="1114"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9.00分</w:t>
            </w:r>
            <w:r/>
          </w:p>
        </w:tc>
        <w:tc>
          <w:tcPr>
            <w:tcW w:w="6431"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lang w:val="en-US" w:eastAsia="zh-CN"/>
              </w:rPr>
              <w:t xml:space="preserve">投标人或所投电梯制造商提供</w:t>
            </w:r>
            <w:r>
              <w:rPr>
                <w:rFonts w:hint="eastAsia" w:ascii="Times New Roman" w:hAnsi="Times New Roman" w:cs="宋体"/>
                <w:color w:val="000000"/>
                <w:sz w:val="24"/>
                <w:szCs w:val="24"/>
              </w:rPr>
              <w:t xml:space="preserve">自2023年1月1日以来（以合同签订时间为准）承担过</w:t>
            </w:r>
            <w:r>
              <w:rPr>
                <w:rFonts w:hint="eastAsia" w:ascii="Times New Roman" w:hAnsi="Times New Roman" w:cs="宋体"/>
                <w:color w:val="000000"/>
                <w:sz w:val="24"/>
                <w:szCs w:val="24"/>
                <w:lang w:val="en-US" w:eastAsia="zh-CN"/>
              </w:rPr>
              <w:t xml:space="preserve">电梯</w:t>
            </w:r>
            <w:r>
              <w:rPr>
                <w:rFonts w:hint="eastAsia" w:ascii="Times New Roman" w:hAnsi="Times New Roman" w:cs="宋体"/>
                <w:color w:val="000000"/>
                <w:sz w:val="24"/>
                <w:szCs w:val="24"/>
                <w:lang w:val="en" w:eastAsia="zh-CN"/>
              </w:rPr>
              <w:t xml:space="preserve">供货及安装</w:t>
            </w:r>
            <w:r>
              <w:rPr>
                <w:rFonts w:hint="eastAsia" w:ascii="Times New Roman" w:hAnsi="Times New Roman" w:cs="宋体"/>
                <w:color w:val="000000"/>
                <w:sz w:val="24"/>
                <w:szCs w:val="24"/>
                <w:lang w:val="en-US" w:eastAsia="zh-CN"/>
              </w:rPr>
              <w:t xml:space="preserve">项目业绩</w:t>
            </w:r>
            <w:r>
              <w:rPr>
                <w:rFonts w:hint="eastAsia" w:ascii="Times New Roman" w:hAnsi="Times New Roman" w:cs="宋体"/>
                <w:color w:val="000000"/>
                <w:sz w:val="24"/>
                <w:szCs w:val="24"/>
              </w:rPr>
              <w:t xml:space="preserve">，每有一个得3分，最高得9分。</w:t>
            </w:r>
            <w:r/>
          </w:p>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注：1、</w:t>
            </w:r>
            <w:r>
              <w:rPr>
                <w:rFonts w:hint="eastAsia" w:ascii="Times New Roman" w:hAnsi="Times New Roman" w:cs="宋体"/>
                <w:color w:val="000000"/>
                <w:sz w:val="24"/>
                <w:szCs w:val="24"/>
                <w:lang w:val="en-US" w:eastAsia="zh-CN"/>
              </w:rPr>
              <w:t xml:space="preserve">时间以合同签订时间为准，</w:t>
            </w:r>
            <w:r>
              <w:rPr>
                <w:rFonts w:hint="eastAsia" w:ascii="Times New Roman" w:hAnsi="Times New Roman" w:cs="宋体"/>
                <w:color w:val="000000"/>
                <w:sz w:val="24"/>
                <w:szCs w:val="24"/>
                <w:lang w:val="en" w:eastAsia="zh-CN"/>
              </w:rPr>
              <w:t xml:space="preserve">提供合同协议书及</w:t>
            </w:r>
            <w:r>
              <w:rPr>
                <w:rFonts w:hint="eastAsia" w:ascii="Times New Roman" w:hAnsi="Times New Roman" w:cs="宋体"/>
                <w:color w:val="000000"/>
                <w:sz w:val="24"/>
                <w:szCs w:val="24"/>
                <w:lang w:val="en-US" w:eastAsia="zh-CN"/>
              </w:rPr>
              <w:t xml:space="preserve">验收</w:t>
            </w:r>
            <w:r>
              <w:rPr>
                <w:rFonts w:hint="eastAsia" w:ascii="Times New Roman" w:hAnsi="Times New Roman" w:cs="宋体"/>
                <w:color w:val="000000"/>
                <w:sz w:val="24"/>
                <w:szCs w:val="24"/>
                <w:lang w:val="en" w:eastAsia="zh-CN"/>
              </w:rPr>
              <w:t xml:space="preserve">合格</w:t>
            </w:r>
            <w:r>
              <w:rPr>
                <w:rFonts w:hint="eastAsia" w:ascii="Times New Roman" w:hAnsi="Times New Roman" w:cs="宋体"/>
                <w:color w:val="000000"/>
                <w:sz w:val="24"/>
                <w:szCs w:val="24"/>
                <w:lang w:val="en-US" w:eastAsia="zh-CN"/>
              </w:rPr>
              <w:t xml:space="preserve">报告</w:t>
            </w:r>
            <w:r>
              <w:rPr>
                <w:rFonts w:hint="eastAsia" w:ascii="Times New Roman" w:hAnsi="Times New Roman" w:cs="宋体"/>
                <w:color w:val="000000"/>
                <w:sz w:val="24"/>
                <w:szCs w:val="24"/>
              </w:rPr>
              <w:t xml:space="preserve">；2、中标人提供的有关业绩一览表将随中标结果同步公开。 </w:t>
            </w:r>
            <w:r/>
          </w:p>
        </w:tc>
      </w:tr>
      <w:tr>
        <w:trPr>
          <w:jc w:val="center"/>
          <w:trHeight w:val="855"/>
        </w:trPr>
        <w:tc>
          <w:tcPr>
            <w:tcW w:w="1405" w:type="dxa"/>
            <w:vAlign w:val="center"/>
            <w:vMerge w:val="continue"/>
            <w:textDirection w:val="lrTb"/>
            <w:noWrap/>
          </w:tcPr>
          <w:p>
            <w:pPr>
              <w:jc w:val="center"/>
              <w:spacing w:line="360" w:lineRule="exact"/>
              <w:widowControl/>
              <w:rPr>
                <w:rFonts w:ascii="Times New Roman" w:hAnsi="Times New Roman" w:cs="宋体"/>
                <w:color w:val="000000"/>
                <w:sz w:val="24"/>
                <w:szCs w:val="24"/>
              </w:rPr>
            </w:pPr>
            <w:r>
              <w:rPr>
                <w:rFonts w:ascii="Times New Roman" w:hAnsi="Times New Roman" w:cs="宋体"/>
                <w:color w:val="000000"/>
                <w:sz w:val="24"/>
                <w:szCs w:val="24"/>
              </w:rPr>
            </w:r>
            <w:r/>
          </w:p>
        </w:tc>
        <w:tc>
          <w:tcPr>
            <w:tcW w:w="1405"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相关</w:t>
            </w:r>
            <w:r/>
          </w:p>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证书</w:t>
            </w:r>
            <w:r/>
          </w:p>
        </w:tc>
        <w:tc>
          <w:tcPr>
            <w:tcW w:w="1114"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3.00分</w:t>
            </w:r>
            <w:r/>
          </w:p>
        </w:tc>
        <w:tc>
          <w:tcPr>
            <w:tcW w:w="6431"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投标供应商或所投电梯制造商具有有效期内的质量管理体系认证证书、环境管理体系认证证书、职业健康安全管理体系认证证书，每有一个证书得1分，最高得3分。</w:t>
            </w:r>
            <w:r/>
          </w:p>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 注：1、投标文件中提供上述相关证书电子件和在国家市场监督管理总局全国认证认可信息公共服务平台查询认证有效的页面截图，未提供的不得分；2、中标人提供的有关证书将随中标结果同步公开。</w:t>
            </w:r>
            <w:r/>
          </w:p>
        </w:tc>
      </w:tr>
      <w:tr>
        <w:trPr>
          <w:jc w:val="center"/>
          <w:trHeight w:val="855"/>
        </w:trPr>
        <w:tc>
          <w:tcPr>
            <w:tcW w:w="1405" w:type="dxa"/>
            <w:vAlign w:val="center"/>
            <w:vMerge w:val="restart"/>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实施方案</w:t>
            </w:r>
            <w:r/>
          </w:p>
        </w:tc>
        <w:tc>
          <w:tcPr>
            <w:tcW w:w="1405"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旧梯拆除方案</w:t>
            </w:r>
            <w:r/>
          </w:p>
        </w:tc>
        <w:tc>
          <w:tcPr>
            <w:tcW w:w="1114"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5.00分</w:t>
            </w:r>
            <w:r/>
          </w:p>
        </w:tc>
        <w:tc>
          <w:tcPr>
            <w:tcW w:w="6431"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针对招标文件“第四部分、采购需求”中的“六、项目实施方案-2、旧梯拆除专项施工方案”提供旧梯拆除方案。方案内容详细，方案考虑周全、切实可行，优于采购需求得5分；方案内容较为详细，方案考虑较为周全、可操作性，能满足项目实施需要的得3分；方案简单，基本能满足项目实施需要的得1分；没有内容者不得分。</w:t>
            </w:r>
            <w:r/>
          </w:p>
        </w:tc>
      </w:tr>
      <w:tr>
        <w:trPr>
          <w:jc w:val="center"/>
          <w:trHeight w:val="855"/>
        </w:trPr>
        <w:tc>
          <w:tcPr>
            <w:tcW w:w="1405" w:type="dxa"/>
            <w:vAlign w:val="center"/>
            <w:vMerge w:val="continue"/>
            <w:textDirection w:val="lrTb"/>
            <w:noWrap/>
          </w:tcPr>
          <w:p>
            <w:pPr>
              <w:jc w:val="left"/>
              <w:spacing w:line="360" w:lineRule="exact"/>
              <w:widowControl/>
              <w:rPr>
                <w:rFonts w:ascii="Times New Roman" w:hAnsi="Times New Roman" w:cs="宋体"/>
                <w:color w:val="000000"/>
                <w:sz w:val="24"/>
                <w:szCs w:val="24"/>
              </w:rPr>
            </w:pPr>
            <w:r/>
            <w:bookmarkStart w:id="121" w:name="_Toc12255"/>
            <w:r/>
            <w:bookmarkStart w:id="122" w:name="_Toc81575205"/>
            <w:r/>
            <w:bookmarkStart w:id="123" w:name="_Toc2916"/>
            <w:r/>
            <w:bookmarkStart w:id="124" w:name="_Toc22314"/>
            <w:r/>
            <w:bookmarkStart w:id="125" w:name="_Toc81575168"/>
            <w:r/>
            <w:r/>
          </w:p>
        </w:tc>
        <w:tc>
          <w:tcPr>
            <w:tcW w:w="1405"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进度安排及保障措施</w:t>
            </w:r>
            <w:r/>
          </w:p>
        </w:tc>
        <w:tc>
          <w:tcPr>
            <w:tcW w:w="1114"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5.00分</w:t>
            </w:r>
            <w:r/>
          </w:p>
        </w:tc>
        <w:tc>
          <w:tcPr>
            <w:tcW w:w="6431"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针对招标文件“第四部分、采购需求”中的“六、项目实施方案-3、进度计划及保障措施”提供进度安排及保障措施方案。方案内容详细，方案考虑周全、切实可行，优于采购需求得5分；方案内容较为详细，方案考虑较为周全、可操作性，能满足项目实施需要的得3分；方案简单，基本能满足项目实施需要的得1分；没有内容者不得分。</w:t>
            </w:r>
            <w:r/>
          </w:p>
        </w:tc>
      </w:tr>
      <w:tr>
        <w:trPr>
          <w:jc w:val="center"/>
          <w:trHeight w:val="855"/>
        </w:trPr>
        <w:tc>
          <w:tcPr>
            <w:tcW w:w="1405" w:type="dxa"/>
            <w:vAlign w:val="center"/>
            <w:vMerge w:val="continue"/>
            <w:textDirection w:val="lrTb"/>
            <w:noWrap/>
          </w:tcPr>
          <w:p>
            <w:pPr>
              <w:jc w:val="left"/>
              <w:spacing w:line="360" w:lineRule="exact"/>
              <w:widowControl/>
              <w:rPr>
                <w:rFonts w:ascii="Times New Roman" w:hAnsi="Times New Roman" w:cs="宋体"/>
                <w:color w:val="000000"/>
                <w:sz w:val="24"/>
                <w:szCs w:val="24"/>
              </w:rPr>
            </w:pPr>
            <w:r>
              <w:rPr>
                <w:rFonts w:ascii="Times New Roman" w:hAnsi="Times New Roman" w:cs="宋体"/>
                <w:color w:val="000000"/>
                <w:sz w:val="24"/>
                <w:szCs w:val="24"/>
              </w:rPr>
            </w:r>
            <w:r/>
          </w:p>
        </w:tc>
        <w:tc>
          <w:tcPr>
            <w:tcW w:w="1405"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电梯安装方案</w:t>
            </w:r>
            <w:r/>
          </w:p>
        </w:tc>
        <w:tc>
          <w:tcPr>
            <w:tcW w:w="1114"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5.00分</w:t>
            </w:r>
            <w:r/>
          </w:p>
        </w:tc>
        <w:tc>
          <w:tcPr>
            <w:tcW w:w="6431"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针对招标文件“第四部分、采购需求”中的“六、项目实施方案-4、电梯专项安装方案”提供电梯安装方案。方案内容详细，方案考虑周全、切实可行，优于采购需求得5分；方案内容较为详细，方案考虑较为周全、可操作性，能满足项目实施需要的得3分；方案简单，基本能满足项目实施需要的得1分；没有内容者不得分。</w:t>
            </w:r>
            <w:r/>
          </w:p>
        </w:tc>
      </w:tr>
      <w:tr>
        <w:trPr>
          <w:jc w:val="center"/>
          <w:trHeight w:val="855"/>
        </w:trPr>
        <w:tc>
          <w:tcPr>
            <w:tcW w:w="1405" w:type="dxa"/>
            <w:vAlign w:val="center"/>
            <w:vMerge w:val="continue"/>
            <w:textDirection w:val="lrTb"/>
            <w:noWrap/>
          </w:tcPr>
          <w:p>
            <w:pPr>
              <w:jc w:val="left"/>
              <w:spacing w:line="360" w:lineRule="exact"/>
              <w:widowControl/>
              <w:rPr>
                <w:rFonts w:ascii="Times New Roman" w:hAnsi="Times New Roman" w:cs="宋体"/>
                <w:color w:val="000000"/>
                <w:sz w:val="24"/>
                <w:szCs w:val="24"/>
              </w:rPr>
            </w:pPr>
            <w:r>
              <w:rPr>
                <w:rFonts w:ascii="Times New Roman" w:hAnsi="Times New Roman" w:cs="宋体"/>
                <w:color w:val="000000"/>
                <w:sz w:val="24"/>
                <w:szCs w:val="24"/>
              </w:rPr>
            </w:r>
            <w:r/>
          </w:p>
        </w:tc>
        <w:tc>
          <w:tcPr>
            <w:tcW w:w="1405"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电梯应急预案方案</w:t>
            </w:r>
            <w:r/>
          </w:p>
        </w:tc>
        <w:tc>
          <w:tcPr>
            <w:tcW w:w="1114"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5.00分</w:t>
            </w:r>
            <w:r/>
          </w:p>
        </w:tc>
        <w:tc>
          <w:tcPr>
            <w:tcW w:w="6431"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针对招标文件“第四部分、采购需求”中的“六、项目实施方案-5、电梯应急预案”提供电梯应急预案方案。方案内容详细，方案考虑周全、切实可行，优于采购需求得5分；方案内容较为详细，方案考虑较为周全、可操作性，能满足项目实施需要的得3分；方案简单，基本能满足项目实施需要的得1分；没有内容者不得分。</w:t>
            </w:r>
            <w:r/>
          </w:p>
        </w:tc>
      </w:tr>
      <w:tr>
        <w:trPr>
          <w:jc w:val="center"/>
          <w:trHeight w:val="855"/>
        </w:trPr>
        <w:tc>
          <w:tcPr>
            <w:tcW w:w="1405"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售后服务</w:t>
            </w:r>
            <w:r/>
          </w:p>
        </w:tc>
        <w:tc>
          <w:tcPr>
            <w:tcW w:w="1405"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售后服务</w:t>
            </w:r>
            <w:r/>
          </w:p>
        </w:tc>
        <w:tc>
          <w:tcPr>
            <w:tcW w:w="1114"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5.00分</w:t>
            </w:r>
            <w:r/>
          </w:p>
        </w:tc>
        <w:tc>
          <w:tcPr>
            <w:tcW w:w="6431"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针对招标文件“第四部分、采购需求”中的“七、售后服务及维保要求”，提供售后服务方案。方案内容详细，方案考虑周全、切实可行，优于采购需求得5分；方案内容较为详细，方案考虑较为周全、可操作性，能满足项目实施需要的得3分；方案简单，基本能满足项目实施需要的得1分；没有内容者不得分。</w:t>
            </w:r>
            <w:r/>
          </w:p>
        </w:tc>
      </w:tr>
    </w:tbl>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4.1，4.3，4.4，4.5</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本项目按第</w:t>
      </w:r>
      <w:r>
        <w:rPr>
          <w:rFonts w:hint="eastAsia" w:ascii="Times New Roman" w:hAnsi="Times New Roman" w:cs="仿宋"/>
          <w:color w:val="ff0000"/>
          <w:sz w:val="24"/>
          <w:u w:val="single"/>
        </w:rPr>
        <w:t xml:space="preserve">（2）</w:t>
      </w:r>
      <w:r>
        <w:rPr>
          <w:rFonts w:hint="eastAsia" w:ascii="Times New Roman" w:hAnsi="Times New Roman" w:cs="仿宋"/>
          <w:color w:val="000000"/>
          <w:sz w:val="24"/>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（2）对符合规定情形的小微企业报价给予</w:t>
      </w:r>
      <w:r>
        <w:rPr>
          <w:rFonts w:hint="eastAsia" w:ascii="Times New Roman" w:hAnsi="Times New Roman" w:cs="仿宋"/>
          <w:b/>
          <w:bCs/>
          <w:sz w:val="24"/>
          <w:u w:val="single"/>
        </w:rPr>
        <w:t xml:space="preserve">15%</w:t>
      </w:r>
      <w:r>
        <w:rPr>
          <w:rFonts w:hint="eastAsia" w:ascii="Times New Roman" w:hAnsi="Times New Roman" w:cs="仿宋"/>
          <w:color w:val="000000"/>
          <w:sz w:val="24"/>
        </w:rPr>
        <w:t xml:space="preserve">扣除，用扣除后的价格参加评审。</w:t>
      </w:r>
      <w:r/>
    </w:p>
    <w:p>
      <w:pPr>
        <w:ind w:firstLine="482"/>
        <w:spacing w:line="480" w:lineRule="exact"/>
        <w:rPr>
          <w:rFonts w:ascii="Times New Roman" w:hAnsi="Times New Roman" w:cs="仿宋"/>
          <w:color w:val="000000"/>
          <w:sz w:val="24"/>
        </w:rPr>
      </w:pPr>
      <w:r>
        <w:rPr>
          <w:rFonts w:hint="eastAsia" w:ascii="Times New Roman" w:hAnsi="Times New Roman" w:cs="仿宋_GB2312"/>
          <w:b/>
          <w:bCs/>
          <w:color w:val="000000"/>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u w:val="single"/>
        </w:rPr>
        <w:t xml:space="preserve">5</w:t>
      </w:r>
      <w:r>
        <w:rPr>
          <w:rFonts w:hint="eastAsia" w:ascii="Times New Roman" w:hAnsi="Times New Roman" w:cs="仿宋"/>
          <w:color w:val="000000"/>
          <w:sz w:val="24"/>
        </w:rPr>
        <w:t xml:space="preserve">%（工程项目为</w:t>
      </w:r>
      <w:r>
        <w:rPr>
          <w:rFonts w:hint="eastAsia" w:ascii="Times New Roman" w:hAnsi="Times New Roman" w:cs="仿宋"/>
          <w:color w:val="000000"/>
          <w:sz w:val="24"/>
          <w:u w:val="single"/>
        </w:rPr>
        <w:t xml:space="preserve">2</w:t>
      </w:r>
      <w:r>
        <w:rPr>
          <w:rFonts w:hint="eastAsia" w:ascii="Times New Roman" w:hAnsi="Times New Roman" w:cs="仿宋"/>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⑤联合体各方均为小型、微型企业（残疾人福利单位、监狱企业）的，联合体享受15%价格扣除，用扣除后的价格参与评审。（是否接受联合体以“项目基本情况”相关内容为准）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1227"/>
        <w:ind w:firstLine="482"/>
        <w:spacing w:line="440" w:lineRule="exact"/>
        <w:rPr>
          <w:rFonts w:hint="eastAsia" w:ascii="仿宋" w:hAnsi="仿宋" w:eastAsia="仿宋" w:cs="仿宋"/>
          <w:b/>
          <w:bCs/>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Times New Roman" w:hAnsi="Times New Roman" w:cs="仿宋"/>
          <w:color w:val="000000"/>
        </w:rPr>
        <w:t xml:space="preserve">4.5.</w:t>
      </w:r>
      <w:r>
        <w:rPr>
          <w:rFonts w:hint="eastAsia" w:ascii="仿宋" w:hAnsi="仿宋" w:eastAsia="仿宋" w:cs="仿宋"/>
          <w:b/>
          <w:bCs/>
          <w:szCs w:val="24"/>
          <w:shd w:val="clear" w:color="auto" w:fill="ffffff"/>
        </w:rPr>
        <w:t xml:space="preserve"> 采购本国产品的支持政策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4.5.1 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4.5.3 供应商需按照招标文件的要求提供《关于符合本国产品标准的声明函》（以下简称《声明函》），如不提供将不享受本国产品价格评审优惠。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4.5.4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（三）评标结果。</w:t>
      </w:r>
      <w:r>
        <w:rPr>
          <w:rFonts w:hint="eastAsia" w:ascii="Times New Roman" w:hAnsi="Times New Roman" w:cs="仿宋"/>
          <w:color w:val="000000"/>
          <w:sz w:val="24"/>
        </w:rPr>
        <w:t xml:space="preserve">评标委员会按照本办法规定推荐中标候选人，并形成评标报告。</w:t>
      </w:r>
      <w:r/>
    </w:p>
    <w:p>
      <w:pPr>
        <w:ind w:firstLine="480"/>
        <w:spacing w:line="480" w:lineRule="exact"/>
        <w:rPr>
          <w:rFonts w:ascii="Times New Roman" w:hAnsi="Times New Roman" w:cs="仿宋"/>
          <w:color w:val="000000"/>
          <w:sz w:val="24"/>
        </w:rPr>
      </w:pPr>
      <w:r>
        <w:rPr>
          <w:rFonts w:ascii="Times New Roman" w:hAnsi="Times New Roman" w:cs="仿宋"/>
          <w:color w:val="000000"/>
          <w:sz w:val="24"/>
        </w:rPr>
      </w:r>
      <w:r/>
    </w:p>
    <w:p>
      <w:pPr>
        <w:ind w:firstLine="480"/>
        <w:spacing w:line="480" w:lineRule="exact"/>
        <w:rPr>
          <w:rFonts w:ascii="Times New Roman" w:hAnsi="Times New Roman" w:cs="仿宋"/>
          <w:color w:val="000000"/>
          <w:sz w:val="24"/>
        </w:rPr>
      </w:pPr>
      <w:r>
        <w:rPr>
          <w:rFonts w:ascii="Times New Roman" w:hAnsi="Times New Roman" w:cs="仿宋"/>
          <w:color w:val="000000"/>
          <w:sz w:val="24"/>
        </w:rPr>
      </w:r>
      <w:bookmarkEnd w:id="117"/>
      <w:r/>
      <w:bookmarkEnd w:id="121"/>
      <w:r/>
      <w:bookmarkEnd w:id="122"/>
      <w:r/>
      <w:bookmarkEnd w:id="123"/>
      <w:r/>
      <w:bookmarkEnd w:id="124"/>
      <w:r/>
      <w:bookmarkEnd w:id="125"/>
      <w:r/>
      <w:r/>
    </w:p>
    <w:p>
      <w:pPr>
        <w:jc w:val="center"/>
        <w:keepLines/>
        <w:keepNext/>
        <w:pageBreakBefore/>
        <w:rPr>
          <w:b/>
          <w:color w:val="000000"/>
          <w:sz w:val="44"/>
          <w:szCs w:val="44"/>
        </w:rPr>
        <w:outlineLvl w:val="0"/>
      </w:pPr>
      <w:r>
        <w:rPr>
          <w:rFonts w:hint="eastAsia"/>
          <w:b/>
          <w:color w:val="000000"/>
          <w:sz w:val="44"/>
          <w:szCs w:val="44"/>
        </w:rPr>
        <w:t xml:space="preserve">第四章采购需求</w:t>
      </w:r>
      <w:r/>
    </w:p>
    <w:p>
      <w:pPr>
        <w:ind w:firstLine="562"/>
        <w:spacing w:line="480" w:lineRule="exact"/>
        <w:rPr>
          <w:rFonts w:hint="eastAsia" w:ascii="宋体" w:hAnsi="宋体"/>
          <w:b/>
          <w:sz w:val="28"/>
          <w:szCs w:val="28"/>
        </w:rPr>
        <w:outlineLvl w:val="1"/>
      </w:pPr>
      <w:r>
        <w:rPr>
          <w:rFonts w:hint="eastAsia" w:ascii="宋体" w:hAnsi="宋体"/>
          <w:b/>
          <w:sz w:val="28"/>
          <w:szCs w:val="28"/>
        </w:rPr>
        <w:t xml:space="preserve">一</w:t>
      </w:r>
      <w:r>
        <w:rPr>
          <w:rFonts w:ascii="宋体" w:hAnsi="宋体"/>
          <w:b/>
          <w:sz w:val="28"/>
          <w:szCs w:val="28"/>
        </w:rPr>
        <w:t xml:space="preserve">、</w:t>
      </w:r>
      <w:r>
        <w:rPr>
          <w:rFonts w:hint="eastAsia" w:ascii="宋体" w:hAnsi="宋体"/>
          <w:b/>
          <w:sz w:val="28"/>
          <w:szCs w:val="28"/>
        </w:rPr>
        <w:t xml:space="preserve">采购</w:t>
      </w:r>
      <w:r>
        <w:rPr>
          <w:rFonts w:ascii="宋体" w:hAnsi="宋体"/>
          <w:b/>
          <w:sz w:val="28"/>
          <w:szCs w:val="28"/>
        </w:rPr>
        <w:t xml:space="preserve">标的清单</w:t>
      </w:r>
      <w:r/>
    </w:p>
    <w:tbl>
      <w:tblPr>
        <w:tblStyle w:val="8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735"/>
        <w:gridCol w:w="3150"/>
        <w:gridCol w:w="2290"/>
      </w:tblGrid>
      <w:tr>
        <w:trPr>
          <w:cantSplit/>
          <w:jc w:val="center"/>
        </w:trPr>
        <w:tc>
          <w:tcPr>
            <w:tcW w:w="971"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采购包</w:t>
            </w:r>
            <w:r/>
          </w:p>
        </w:tc>
        <w:tc>
          <w:tcPr>
            <w:tcW w:w="73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序号</w:t>
            </w:r>
            <w:r/>
          </w:p>
        </w:tc>
        <w:tc>
          <w:tcPr>
            <w:tcW w:w="3150"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采购标的</w:t>
            </w:r>
            <w:r/>
          </w:p>
        </w:tc>
        <w:tc>
          <w:tcPr>
            <w:tcW w:w="2290"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971" w:type="dxa"/>
            <w:vAlign w:val="center"/>
            <w:textDirection w:val="lrTb"/>
            <w:noWrap/>
          </w:tcPr>
          <w:p>
            <w:pPr>
              <w:jc w:val="center"/>
              <w:spacing w:line="480" w:lineRule="exact"/>
              <w:tabs>
                <w:tab w:val="left" w:pos="2020" w:leader="none"/>
              </w:tabs>
              <w:rPr>
                <w:rFonts w:hint="eastAsia" w:ascii="宋体" w:hAnsi="宋体"/>
                <w:sz w:val="24"/>
                <w:szCs w:val="24"/>
              </w:rPr>
            </w:pPr>
            <w:r>
              <w:rPr>
                <w:rFonts w:hint="eastAsia" w:ascii="宋体" w:hAnsi="宋体"/>
                <w:sz w:val="24"/>
                <w:szCs w:val="24"/>
              </w:rPr>
              <w:t xml:space="preserve">1</w:t>
            </w:r>
            <w:r/>
          </w:p>
        </w:tc>
        <w:tc>
          <w:tcPr>
            <w:tcW w:w="735" w:type="dxa"/>
            <w:vAlign w:val="center"/>
            <w:textDirection w:val="lrTb"/>
            <w:noWrap/>
          </w:tcPr>
          <w:p>
            <w:pPr>
              <w:jc w:val="center"/>
              <w:spacing w:line="480" w:lineRule="exact"/>
              <w:tabs>
                <w:tab w:val="left" w:pos="2020" w:leader="none"/>
              </w:tabs>
              <w:rPr>
                <w:rFonts w:hint="eastAsia" w:ascii="宋体" w:hAnsi="宋体"/>
                <w:sz w:val="24"/>
                <w:szCs w:val="24"/>
              </w:rPr>
            </w:pPr>
            <w:r>
              <w:rPr>
                <w:rFonts w:hint="eastAsia" w:ascii="宋体" w:hAnsi="宋体"/>
                <w:sz w:val="24"/>
                <w:szCs w:val="24"/>
              </w:rPr>
              <w:t xml:space="preserve">1</w:t>
            </w:r>
            <w:r/>
          </w:p>
        </w:tc>
        <w:tc>
          <w:tcPr>
            <w:tcW w:w="3150" w:type="dxa"/>
            <w:vAlign w:val="center"/>
            <w:textDirection w:val="lrTb"/>
            <w:noWrap/>
          </w:tcPr>
          <w:p>
            <w:pPr>
              <w:jc w:val="center"/>
              <w:spacing w:line="480" w:lineRule="exact"/>
              <w:tabs>
                <w:tab w:val="left" w:pos="2020" w:leader="none"/>
              </w:tabs>
              <w:rPr>
                <w:rFonts w:hint="eastAsia" w:ascii="宋体" w:hAnsi="宋体"/>
                <w:sz w:val="24"/>
                <w:szCs w:val="24"/>
              </w:rPr>
            </w:pPr>
            <w:r>
              <w:rPr>
                <w:rFonts w:hint="eastAsia" w:ascii="宋体" w:hAnsi="宋体"/>
                <w:sz w:val="24"/>
                <w:szCs w:val="24"/>
              </w:rPr>
              <w:t xml:space="preserve">电梯</w:t>
            </w:r>
            <w:r/>
          </w:p>
        </w:tc>
        <w:tc>
          <w:tcPr>
            <w:tcW w:w="2290" w:type="dxa"/>
            <w:vAlign w:val="center"/>
            <w:textDirection w:val="lrTb"/>
            <w:noWrap/>
          </w:tcPr>
          <w:p>
            <w:pPr>
              <w:ind w:firstLine="720"/>
              <w:spacing w:line="480" w:lineRule="exact"/>
              <w:rPr>
                <w:rFonts w:hint="eastAsia" w:ascii="宋体" w:hAnsi="宋体"/>
                <w:sz w:val="24"/>
                <w:szCs w:val="24"/>
              </w:rPr>
            </w:pPr>
            <w:r>
              <w:rPr>
                <w:rFonts w:hint="eastAsia" w:ascii="宋体" w:hAnsi="宋体"/>
                <w:sz w:val="24"/>
                <w:szCs w:val="24"/>
              </w:rPr>
              <w:t xml:space="preserve">工业</w:t>
            </w:r>
            <w:r/>
          </w:p>
        </w:tc>
      </w:tr>
    </w:tbl>
    <w:p>
      <w:pPr>
        <w:ind w:firstLine="562"/>
        <w:spacing w:line="480" w:lineRule="exact"/>
        <w:rPr>
          <w:rFonts w:hint="eastAsia" w:ascii="宋体" w:hAnsi="宋体"/>
          <w:b/>
          <w:sz w:val="28"/>
          <w:szCs w:val="28"/>
        </w:rPr>
        <w:outlineLvl w:val="1"/>
      </w:pPr>
      <w:r>
        <w:rPr>
          <w:rFonts w:hint="eastAsia" w:ascii="宋体" w:hAnsi="宋体"/>
          <w:b/>
          <w:sz w:val="28"/>
          <w:szCs w:val="28"/>
        </w:rPr>
        <w:t xml:space="preserve">二、项目概况</w:t>
      </w:r>
      <w:r/>
    </w:p>
    <w:p>
      <w:pPr>
        <w:ind w:firstLine="480"/>
        <w:spacing w:line="400" w:lineRule="exact"/>
        <w:rPr>
          <w:rFonts w:hint="eastAsia" w:ascii="宋体" w:hAnsi="宋体" w:eastAsia="宋体" w:cs="宋体"/>
          <w:sz w:val="24"/>
          <w:szCs w:val="24"/>
          <w:shd w:val="clear" w:color="auto" w:fill="ffffff"/>
          <w:lang w:eastAsia="zh-CN"/>
        </w:rPr>
      </w:pPr>
      <w:r>
        <w:rPr>
          <w:rFonts w:hint="eastAsia" w:ascii="宋体" w:hAnsi="宋体" w:cs="宋体"/>
          <w:sz w:val="24"/>
          <w:szCs w:val="24"/>
          <w:shd w:val="clear" w:color="auto" w:fill="ffffff"/>
        </w:rPr>
        <w:t xml:space="preserve">（一）项目名称：</w:t>
      </w:r>
      <w:r>
        <w:rPr>
          <w:rFonts w:hint="eastAsia" w:ascii="宋体" w:hAnsi="宋体"/>
          <w:sz w:val="24"/>
          <w:szCs w:val="24"/>
          <w:lang w:eastAsia="zh-CN"/>
        </w:rPr>
        <w:t xml:space="preserve">2026年泗洪县高层住宅电梯更新项目(第二批次)</w:t>
      </w:r>
      <w:r/>
    </w:p>
    <w:p>
      <w:pPr>
        <w:ind w:firstLine="480"/>
        <w:spacing w:line="40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（二）</w:t>
      </w:r>
      <w:r>
        <w:rPr>
          <w:rFonts w:hint="eastAsia" w:ascii="宋体" w:hAnsi="宋体" w:cs="宋体"/>
          <w:sz w:val="24"/>
        </w:rPr>
        <w:t xml:space="preserve">采购内容：</w:t>
      </w:r>
      <w:bookmarkStart w:id="126" w:name="OLE_LINK1"/>
      <w:r>
        <w:rPr>
          <w:rFonts w:hint="eastAsia" w:ascii="Times New Roman" w:hAnsi="Times New Roman" w:cs="仿宋"/>
          <w:sz w:val="24"/>
          <w:szCs w:val="24"/>
        </w:rPr>
        <w:t xml:space="preserve">泗洪县住房和城乡建设局拟对泗洪县城区老旧小区高层住宅</w:t>
      </w:r>
      <w:r>
        <w:rPr>
          <w:rFonts w:hint="eastAsia" w:ascii="Times New Roman" w:hAnsi="Times New Roman" w:cs="仿宋"/>
          <w:sz w:val="24"/>
          <w:szCs w:val="24"/>
          <w:lang w:eastAsia="zh-CN"/>
        </w:rPr>
        <w:t xml:space="preserve">（城市花园、衡山花园以及缔景花园3个小区）</w:t>
      </w:r>
      <w:r>
        <w:rPr>
          <w:rFonts w:hint="eastAsia" w:ascii="Times New Roman" w:hAnsi="Times New Roman" w:cs="仿宋"/>
          <w:sz w:val="24"/>
          <w:szCs w:val="24"/>
          <w:lang w:val="en-US" w:eastAsia="zh-CN"/>
        </w:rPr>
        <w:t xml:space="preserve">10</w:t>
      </w:r>
      <w:r>
        <w:rPr>
          <w:rFonts w:hint="eastAsia" w:ascii="Times New Roman" w:hAnsi="Times New Roman" w:cs="仿宋"/>
          <w:sz w:val="24"/>
          <w:szCs w:val="24"/>
        </w:rPr>
        <w:t xml:space="preserve">部电梯进行更新，采购内容包含原有电梯拆除、井道及机房改造、新电梯采购、安装及维保等</w:t>
      </w:r>
      <w:r>
        <w:rPr>
          <w:rFonts w:hint="eastAsia" w:ascii="宋体" w:hAnsi="宋体" w:cs="宋体"/>
          <w:sz w:val="24"/>
          <w:szCs w:val="24"/>
          <w:shd w:val="clear" w:color="auto" w:fill="ffffff"/>
        </w:rPr>
        <w:t xml:space="preserve">。</w:t>
      </w:r>
      <w:bookmarkEnd w:id="126"/>
      <w:r/>
      <w:r/>
    </w:p>
    <w:p>
      <w:pPr>
        <w:ind w:firstLine="562"/>
        <w:spacing w:line="480" w:lineRule="exact"/>
        <w:rPr>
          <w:rFonts w:hint="eastAsia" w:ascii="宋体" w:hAnsi="宋体"/>
          <w:b/>
          <w:sz w:val="28"/>
          <w:szCs w:val="28"/>
        </w:rPr>
        <w:outlineLvl w:val="1"/>
      </w:pPr>
      <w:r>
        <w:rPr>
          <w:rFonts w:hint="eastAsia" w:ascii="宋体" w:hAnsi="宋体"/>
          <w:b/>
          <w:sz w:val="28"/>
          <w:szCs w:val="28"/>
        </w:rPr>
        <w:t xml:space="preserve">三、货物清单及技术规范</w:t>
      </w:r>
      <w:r/>
    </w:p>
    <w:p>
      <w:pPr>
        <w:ind w:firstLine="482"/>
        <w:spacing w:line="400" w:lineRule="exact"/>
        <w:rPr>
          <w:rFonts w:hint="eastAsia" w:ascii="宋体" w:hAnsi="宋体"/>
          <w:b/>
          <w:sz w:val="24"/>
          <w:szCs w:val="24"/>
        </w:rPr>
      </w:pPr>
      <w:r>
        <w:rPr>
          <w:rFonts w:hint="eastAsia" w:ascii="宋体" w:hAnsi="宋体"/>
          <w:b/>
          <w:sz w:val="24"/>
          <w:szCs w:val="24"/>
        </w:rPr>
        <w:t xml:space="preserve">（一）货物清单</w:t>
      </w:r>
      <w:r/>
    </w:p>
    <w:tbl>
      <w:tblPr>
        <w:tblStyle w:val="945"/>
        <w:tblW w:w="78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36"/>
        <w:gridCol w:w="4253"/>
        <w:gridCol w:w="818"/>
        <w:gridCol w:w="861"/>
      </w:tblGrid>
      <w:tr>
        <w:trPr>
          <w:jc w:val="center"/>
        </w:trPr>
        <w:tc>
          <w:tcPr>
            <w:tcW w:w="709" w:type="dxa"/>
            <w:vAlign w:val="center"/>
            <w:textDirection w:val="lrTb"/>
            <w:noWrap/>
          </w:tcPr>
          <w:p>
            <w:pPr>
              <w:jc w:val="center"/>
              <w:spacing w:line="400" w:lineRule="exact"/>
              <w:rPr>
                <w:rFonts w:hint="eastAsia" w:ascii="宋体" w:hAnsi="宋体"/>
                <w:b/>
                <w:sz w:val="24"/>
                <w:szCs w:val="24"/>
              </w:rPr>
            </w:pPr>
            <w:r>
              <w:rPr>
                <w:rFonts w:hint="eastAsia" w:ascii="宋体" w:hAnsi="宋体"/>
                <w:b/>
                <w:sz w:val="21"/>
                <w:szCs w:val="21"/>
              </w:rPr>
              <w:t xml:space="preserve">序号</w:t>
            </w:r>
            <w:r/>
          </w:p>
        </w:tc>
        <w:tc>
          <w:tcPr>
            <w:tcW w:w="1236" w:type="dxa"/>
            <w:vAlign w:val="center"/>
            <w:textDirection w:val="lrTb"/>
            <w:noWrap/>
          </w:tcPr>
          <w:p>
            <w:pPr>
              <w:jc w:val="center"/>
              <w:spacing w:line="400" w:lineRule="exact"/>
              <w:rPr>
                <w:rFonts w:hint="eastAsia" w:ascii="宋体" w:hAnsi="宋体"/>
                <w:b/>
                <w:sz w:val="24"/>
                <w:szCs w:val="24"/>
              </w:rPr>
            </w:pPr>
            <w:r>
              <w:rPr>
                <w:rFonts w:hint="eastAsia" w:ascii="宋体" w:hAnsi="宋体"/>
                <w:b/>
                <w:sz w:val="21"/>
                <w:szCs w:val="21"/>
              </w:rPr>
              <w:t xml:space="preserve">货物名称</w:t>
            </w:r>
            <w:r/>
          </w:p>
        </w:tc>
        <w:tc>
          <w:tcPr>
            <w:tcW w:w="4253" w:type="dxa"/>
            <w:vAlign w:val="center"/>
            <w:textDirection w:val="lrTb"/>
            <w:noWrap/>
          </w:tcPr>
          <w:p>
            <w:pPr>
              <w:jc w:val="center"/>
              <w:spacing w:line="400" w:lineRule="exact"/>
              <w:rPr>
                <w:rFonts w:hint="eastAsia" w:ascii="宋体" w:hAnsi="宋体"/>
                <w:b/>
                <w:sz w:val="24"/>
                <w:szCs w:val="24"/>
              </w:rPr>
            </w:pPr>
            <w:r>
              <w:rPr>
                <w:rFonts w:hint="eastAsia" w:ascii="宋体" w:hAnsi="宋体"/>
                <w:b/>
                <w:sz w:val="21"/>
                <w:szCs w:val="21"/>
              </w:rPr>
              <w:t xml:space="preserve">技术要求</w:t>
            </w:r>
            <w:r/>
          </w:p>
        </w:tc>
        <w:tc>
          <w:tcPr>
            <w:tcW w:w="818" w:type="dxa"/>
            <w:vAlign w:val="center"/>
            <w:textDirection w:val="lrTb"/>
            <w:noWrap/>
          </w:tcPr>
          <w:p>
            <w:pPr>
              <w:jc w:val="center"/>
              <w:spacing w:line="400" w:lineRule="exact"/>
              <w:rPr>
                <w:rFonts w:hint="eastAsia" w:ascii="宋体" w:hAnsi="宋体"/>
                <w:b/>
                <w:sz w:val="24"/>
                <w:szCs w:val="24"/>
              </w:rPr>
            </w:pPr>
            <w:r>
              <w:rPr>
                <w:rFonts w:hint="eastAsia" w:ascii="宋体" w:hAnsi="宋体"/>
                <w:b/>
                <w:sz w:val="21"/>
                <w:szCs w:val="21"/>
              </w:rPr>
              <w:t xml:space="preserve">单位</w:t>
            </w:r>
            <w:r/>
          </w:p>
        </w:tc>
        <w:tc>
          <w:tcPr>
            <w:tcW w:w="861" w:type="dxa"/>
            <w:vAlign w:val="center"/>
            <w:textDirection w:val="lrTb"/>
            <w:noWrap/>
          </w:tcPr>
          <w:p>
            <w:pPr>
              <w:jc w:val="center"/>
              <w:spacing w:line="400" w:lineRule="exact"/>
              <w:rPr>
                <w:rFonts w:hint="eastAsia" w:ascii="宋体" w:hAnsi="宋体"/>
                <w:b/>
                <w:sz w:val="24"/>
                <w:szCs w:val="24"/>
              </w:rPr>
            </w:pPr>
            <w:r>
              <w:rPr>
                <w:rFonts w:hint="eastAsia" w:ascii="宋体" w:hAnsi="宋体"/>
                <w:b/>
                <w:sz w:val="21"/>
                <w:szCs w:val="21"/>
              </w:rPr>
              <w:t xml:space="preserve">数量</w:t>
            </w:r>
            <w:r/>
          </w:p>
        </w:tc>
      </w:tr>
      <w:tr>
        <w:trPr>
          <w:jc w:val="center"/>
        </w:trPr>
        <w:tc>
          <w:tcPr>
            <w:tcW w:w="709" w:type="dxa"/>
            <w:vAlign w:val="center"/>
            <w:textDirection w:val="lrTb"/>
            <w:noWrap/>
          </w:tcPr>
          <w:p>
            <w:pPr>
              <w:jc w:val="center"/>
              <w:spacing w:line="400" w:lineRule="exact"/>
              <w:rPr>
                <w:rFonts w:hint="eastAsia" w:ascii="宋体" w:hAnsi="宋体"/>
                <w:b/>
                <w:sz w:val="24"/>
                <w:szCs w:val="24"/>
              </w:rPr>
            </w:pPr>
            <w:r>
              <w:rPr>
                <w:rFonts w:hint="eastAsia" w:ascii="宋体" w:hAnsi="宋体"/>
                <w:b/>
                <w:sz w:val="21"/>
                <w:szCs w:val="21"/>
              </w:rPr>
              <w:t xml:space="preserve">1</w:t>
            </w:r>
            <w:r/>
          </w:p>
        </w:tc>
        <w:tc>
          <w:tcPr>
            <w:tcW w:w="1236" w:type="dxa"/>
            <w:vAlign w:val="center"/>
            <w:textDirection w:val="lrTb"/>
            <w:noWrap/>
          </w:tcPr>
          <w:p>
            <w:pPr>
              <w:jc w:val="center"/>
              <w:spacing w:line="400" w:lineRule="exact"/>
              <w:rPr>
                <w:rFonts w:hint="eastAsia" w:ascii="宋体" w:hAnsi="宋体"/>
                <w:b/>
                <w:sz w:val="24"/>
                <w:szCs w:val="24"/>
              </w:rPr>
            </w:pPr>
            <w:r>
              <w:rPr>
                <w:rFonts w:hint="eastAsia" w:ascii="Times New Roman" w:hAnsi="Times New Roman"/>
                <w:b/>
                <w:bCs/>
                <w:sz w:val="21"/>
                <w:szCs w:val="21"/>
              </w:rPr>
              <w:t xml:space="preserve">电梯</w:t>
            </w:r>
            <w:r/>
          </w:p>
        </w:tc>
        <w:tc>
          <w:tcPr>
            <w:tcW w:w="4253" w:type="dxa"/>
            <w:vAlign w:val="center"/>
            <w:textDirection w:val="lrTb"/>
            <w:noWrap/>
          </w:tcPr>
          <w:p>
            <w:pPr>
              <w:jc w:val="center"/>
              <w:spacing w:line="400" w:lineRule="exact"/>
              <w:rPr>
                <w:rFonts w:hint="eastAsia" w:ascii="宋体" w:hAnsi="宋体"/>
                <w:b/>
                <w:sz w:val="24"/>
                <w:szCs w:val="24"/>
              </w:rPr>
            </w:pPr>
            <w:r>
              <w:rPr>
                <w:rFonts w:ascii="Times New Roman" w:hAnsi="Times New Roman"/>
                <w:sz w:val="21"/>
                <w:szCs w:val="21"/>
              </w:rPr>
              <w:t xml:space="preserve">有机房乘客电梯</w:t>
            </w:r>
            <w:r>
              <w:rPr>
                <w:rFonts w:hint="eastAsia" w:ascii="Times New Roman" w:hAnsi="Times New Roman"/>
                <w:sz w:val="21"/>
                <w:szCs w:val="21"/>
              </w:rPr>
              <w:t xml:space="preserve">，</w:t>
            </w:r>
            <w:r>
              <w:rPr>
                <w:rFonts w:ascii="Times New Roman" w:hAnsi="Times New Roman"/>
                <w:sz w:val="21"/>
                <w:szCs w:val="21"/>
              </w:rPr>
              <w:t xml:space="preserve">额定载重</w:t>
            </w:r>
            <w:r>
              <w:rPr>
                <w:rFonts w:hint="eastAsia" w:ascii="Times New Roman" w:hAnsi="Times New Roman"/>
                <w:sz w:val="21"/>
                <w:szCs w:val="21"/>
              </w:rPr>
              <w:t xml:space="preserve">1000kg，其中：</w:t>
            </w:r>
            <w:r>
              <w:rPr>
                <w:rFonts w:hint="eastAsia" w:ascii="Times New Roman" w:hAnsi="Times New Roman"/>
                <w:sz w:val="21"/>
                <w:szCs w:val="21"/>
                <w:lang w:val="en-US" w:eastAsia="zh-CN"/>
              </w:rPr>
              <w:t xml:space="preserve">4</w:t>
            </w:r>
            <w:r>
              <w:rPr>
                <w:rFonts w:hint="eastAsia" w:ascii="Times New Roman" w:hAnsi="Times New Roman"/>
                <w:sz w:val="21"/>
                <w:szCs w:val="21"/>
              </w:rPr>
              <w:t xml:space="preserve">部12层12站12门，</w:t>
            </w:r>
            <w:r>
              <w:rPr>
                <w:rFonts w:hint="eastAsia" w:ascii="Times New Roman" w:hAnsi="Times New Roman"/>
                <w:sz w:val="21"/>
                <w:szCs w:val="21"/>
                <w:lang w:val="en-US" w:eastAsia="zh-CN"/>
              </w:rPr>
              <w:t xml:space="preserve">1</w:t>
            </w:r>
            <w:r>
              <w:rPr>
                <w:rFonts w:hint="eastAsia" w:ascii="Times New Roman" w:hAnsi="Times New Roman"/>
                <w:sz w:val="21"/>
                <w:szCs w:val="21"/>
              </w:rPr>
              <w:t xml:space="preserve">部11层11站</w:t>
            </w:r>
            <w:r>
              <w:rPr>
                <w:rFonts w:hint="eastAsia" w:ascii="Times New Roman" w:hAnsi="Times New Roman"/>
                <w:sz w:val="21"/>
                <w:szCs w:val="21"/>
                <w:lang w:val="en-US" w:eastAsia="zh-CN"/>
              </w:rPr>
              <w:t xml:space="preserve">11门</w:t>
            </w:r>
            <w:r>
              <w:rPr>
                <w:rFonts w:hint="eastAsia" w:ascii="Times New Roman" w:hAnsi="Times New Roman"/>
                <w:sz w:val="21"/>
                <w:szCs w:val="21"/>
                <w:lang w:eastAsia="zh-CN"/>
              </w:rPr>
              <w:t xml:space="preserve">，</w:t>
            </w:r>
            <w:r>
              <w:rPr>
                <w:rFonts w:hint="eastAsia" w:ascii="Times New Roman" w:hAnsi="Times New Roman"/>
                <w:sz w:val="21"/>
                <w:szCs w:val="21"/>
                <w:lang w:val="en-US" w:eastAsia="zh-CN"/>
              </w:rPr>
              <w:t xml:space="preserve">5</w:t>
            </w:r>
            <w:r>
              <w:rPr>
                <w:rFonts w:hint="eastAsia" w:ascii="Times New Roman" w:hAnsi="Times New Roman"/>
                <w:sz w:val="21"/>
                <w:szCs w:val="21"/>
              </w:rPr>
              <w:t xml:space="preserve">部</w:t>
            </w:r>
            <w:r>
              <w:rPr>
                <w:rFonts w:hint="eastAsia" w:ascii="Times New Roman" w:hAnsi="Times New Roman"/>
                <w:sz w:val="21"/>
                <w:szCs w:val="21"/>
                <w:lang w:val="en-US" w:eastAsia="zh-CN"/>
              </w:rPr>
              <w:t xml:space="preserve">19</w:t>
            </w:r>
            <w:r>
              <w:rPr>
                <w:rFonts w:hint="eastAsia" w:ascii="Times New Roman" w:hAnsi="Times New Roman"/>
                <w:sz w:val="21"/>
                <w:szCs w:val="21"/>
              </w:rPr>
              <w:t xml:space="preserve">层1</w:t>
            </w:r>
            <w:r>
              <w:rPr>
                <w:rFonts w:hint="eastAsia" w:ascii="Times New Roman" w:hAnsi="Times New Roman"/>
                <w:sz w:val="21"/>
                <w:szCs w:val="21"/>
                <w:lang w:val="en-US" w:eastAsia="zh-CN"/>
              </w:rPr>
              <w:t xml:space="preserve">9</w:t>
            </w:r>
            <w:r>
              <w:rPr>
                <w:rFonts w:hint="eastAsia" w:ascii="Times New Roman" w:hAnsi="Times New Roman"/>
                <w:sz w:val="21"/>
                <w:szCs w:val="21"/>
              </w:rPr>
              <w:t xml:space="preserve">站</w:t>
            </w:r>
            <w:r>
              <w:rPr>
                <w:rFonts w:hint="eastAsia" w:ascii="Times New Roman" w:hAnsi="Times New Roman"/>
                <w:sz w:val="21"/>
                <w:szCs w:val="21"/>
                <w:lang w:val="en-US" w:eastAsia="zh-CN"/>
              </w:rPr>
              <w:t xml:space="preserve">19门</w:t>
            </w:r>
            <w:r>
              <w:rPr>
                <w:rFonts w:hint="eastAsia" w:ascii="Times New Roman" w:hAnsi="Times New Roman"/>
                <w:sz w:val="21"/>
                <w:szCs w:val="21"/>
              </w:rPr>
              <w:t xml:space="preserve">；含井道和机房更新，具体技术要求详见“（二）</w:t>
            </w:r>
            <w:r>
              <w:rPr>
                <w:rFonts w:hint="eastAsia" w:ascii="宋体" w:hAnsi="宋体"/>
                <w:b/>
                <w:sz w:val="21"/>
                <w:szCs w:val="21"/>
              </w:rPr>
              <w:t xml:space="preserve">电梯</w:t>
            </w:r>
            <w:r>
              <w:rPr>
                <w:rFonts w:ascii="宋体" w:hAnsi="宋体"/>
                <w:b/>
                <w:sz w:val="21"/>
                <w:szCs w:val="21"/>
              </w:rPr>
              <w:t xml:space="preserve">技术要求</w:t>
            </w:r>
            <w:r>
              <w:rPr>
                <w:rFonts w:hint="eastAsia" w:ascii="Times New Roman" w:hAnsi="Times New Roman"/>
                <w:sz w:val="21"/>
                <w:szCs w:val="21"/>
              </w:rPr>
              <w:t xml:space="preserve">”</w:t>
            </w:r>
            <w:r/>
          </w:p>
        </w:tc>
        <w:tc>
          <w:tcPr>
            <w:tcW w:w="818" w:type="dxa"/>
            <w:vAlign w:val="center"/>
            <w:textDirection w:val="lrTb"/>
            <w:noWrap/>
          </w:tcPr>
          <w:p>
            <w:pPr>
              <w:jc w:val="center"/>
              <w:spacing w:line="400" w:lineRule="exact"/>
              <w:rPr>
                <w:rFonts w:ascii="Times New Roman" w:hAnsi="Times New Roman"/>
                <w:b/>
                <w:bCs/>
                <w:sz w:val="24"/>
                <w:szCs w:val="24"/>
              </w:rPr>
            </w:pPr>
            <w:r>
              <w:rPr>
                <w:rFonts w:hint="eastAsia" w:ascii="Times New Roman" w:hAnsi="Times New Roman"/>
                <w:b/>
                <w:bCs/>
                <w:sz w:val="21"/>
                <w:szCs w:val="21"/>
              </w:rPr>
              <w:t xml:space="preserve">部</w:t>
            </w:r>
            <w:r/>
          </w:p>
        </w:tc>
        <w:tc>
          <w:tcPr>
            <w:tcW w:w="861" w:type="dxa"/>
            <w:vAlign w:val="center"/>
            <w:textDirection w:val="lrTb"/>
            <w:noWrap/>
          </w:tcPr>
          <w:p>
            <w:pPr>
              <w:jc w:val="center"/>
              <w:spacing w:line="400" w:lineRule="exact"/>
              <w:rPr>
                <w:rFonts w:hint="eastAsia" w:ascii="宋体" w:hAnsi="宋体"/>
                <w:b/>
                <w:sz w:val="24"/>
                <w:szCs w:val="24"/>
              </w:rPr>
            </w:pPr>
            <w:r>
              <w:rPr>
                <w:rFonts w:hint="eastAsia" w:ascii="Times New Roman" w:hAnsi="Times New Roman"/>
                <w:b/>
                <w:bCs/>
                <w:sz w:val="21"/>
                <w:szCs w:val="21"/>
                <w:lang w:val="en-US" w:eastAsia="zh-CN"/>
              </w:rPr>
              <w:t xml:space="preserve">10</w:t>
            </w:r>
            <w:r/>
          </w:p>
        </w:tc>
      </w:tr>
    </w:tbl>
    <w:p>
      <w:pPr>
        <w:ind w:firstLine="482"/>
        <w:spacing w:line="400" w:lineRule="exact"/>
        <w:rPr>
          <w:rFonts w:hint="eastAsia" w:ascii="宋体" w:hAnsi="宋体"/>
          <w:b/>
          <w:sz w:val="24"/>
          <w:szCs w:val="24"/>
        </w:rPr>
      </w:pPr>
      <w:r>
        <w:rPr>
          <w:rFonts w:hint="eastAsia" w:ascii="宋体" w:hAnsi="宋体"/>
          <w:b/>
          <w:sz w:val="24"/>
          <w:szCs w:val="24"/>
        </w:rPr>
      </w:r>
      <w:r/>
    </w:p>
    <w:p>
      <w:pPr>
        <w:numPr>
          <w:ilvl w:val="0"/>
          <w:numId w:val="3"/>
        </w:numPr>
        <w:ind w:firstLine="482"/>
        <w:spacing w:line="400" w:lineRule="exact"/>
        <w:rPr>
          <w:rFonts w:hint="eastAsia" w:ascii="宋体" w:hAnsi="宋体"/>
          <w:b/>
          <w:sz w:val="24"/>
          <w:szCs w:val="24"/>
        </w:rPr>
      </w:pPr>
      <w:r>
        <w:rPr>
          <w:rFonts w:hint="eastAsia" w:ascii="宋体" w:hAnsi="宋体"/>
          <w:b/>
          <w:sz w:val="24"/>
          <w:szCs w:val="24"/>
        </w:rPr>
        <w:t xml:space="preserve">电梯</w:t>
      </w:r>
      <w:r>
        <w:rPr>
          <w:rFonts w:ascii="宋体" w:hAnsi="宋体"/>
          <w:b/>
          <w:sz w:val="24"/>
          <w:szCs w:val="24"/>
        </w:rPr>
        <w:t xml:space="preserve">技术要求</w:t>
      </w:r>
      <w:r/>
    </w:p>
    <w:p>
      <w:pPr>
        <w:pStyle w:val="1311"/>
        <w:ind w:firstLine="472"/>
        <w:spacing w:line="360" w:lineRule="auto"/>
        <w:tabs>
          <w:tab w:val="left" w:pos="6840" w:leader="none"/>
        </w:tabs>
        <w:rPr>
          <w:rFonts w:hint="eastAsia" w:ascii="宋体" w:hAnsi="宋体" w:cs="宋体"/>
          <w:b/>
          <w:sz w:val="24"/>
          <w:szCs w:val="24"/>
        </w:rPr>
      </w:pPr>
      <w:r>
        <w:rPr>
          <w:rFonts w:hint="eastAsia" w:ascii="宋体" w:hAnsi="宋体" w:cs="宋体"/>
          <w:b/>
          <w:bCs/>
          <w:sz w:val="24"/>
          <w:szCs w:val="24"/>
        </w:rPr>
        <w:t xml:space="preserve">1.1总体要求 </w:t>
      </w:r>
      <w:r/>
    </w:p>
    <w:tbl>
      <w:tblPr>
        <w:tblStyle w:val="822"/>
        <w:tblW w:w="91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1"/>
        <w:gridCol w:w="6729"/>
      </w:tblGrid>
      <w:tr>
        <w:trPr>
          <w:cantSplit/>
          <w:jc w:val="center"/>
          <w:trHeight w:val="480"/>
        </w:trPr>
        <w:tc>
          <w:tcPr>
            <w:gridSpan w:val="2"/>
            <w:tcW w:w="9150" w:type="dxa"/>
            <w:vAlign w:val="center"/>
            <w:textDirection w:val="lrTb"/>
            <w:noWrap/>
          </w:tcPr>
          <w:p>
            <w:pPr>
              <w:jc w:val="left"/>
              <w:tabs>
                <w:tab w:val="left" w:pos="1169" w:leader="none"/>
              </w:tabs>
              <w:rPr>
                <w:rFonts w:ascii="Times New Roman" w:hAnsi="Times New Roman"/>
                <w:b/>
                <w:bCs/>
              </w:rPr>
            </w:pPr>
            <w:r>
              <w:rPr>
                <w:rFonts w:hint="eastAsia" w:ascii="Times New Roman" w:hAnsi="Times New Roman"/>
                <w:b/>
                <w:bCs/>
              </w:rPr>
              <w:t xml:space="preserve">一、电梯（1</w:t>
            </w:r>
            <w:r>
              <w:rPr>
                <w:rFonts w:hint="eastAsia" w:ascii="Times New Roman" w:hAnsi="Times New Roman"/>
                <w:b/>
                <w:bCs/>
                <w:lang w:val="en-US" w:eastAsia="zh-CN"/>
              </w:rPr>
              <w:t xml:space="preserve">0</w:t>
            </w:r>
            <w:r>
              <w:rPr>
                <w:rFonts w:hint="eastAsia" w:ascii="Times New Roman" w:hAnsi="Times New Roman"/>
                <w:b/>
                <w:bCs/>
              </w:rPr>
              <w:t xml:space="preserve">部）</w:t>
            </w:r>
            <w:r/>
          </w:p>
        </w:tc>
      </w:tr>
      <w:tr>
        <w:trPr>
          <w:cantSplit/>
          <w:jc w:val="center"/>
          <w:trHeight w:val="480"/>
        </w:trPr>
        <w:tc>
          <w:tcPr>
            <w:tcW w:w="2421" w:type="dxa"/>
            <w:vAlign w:val="center"/>
            <w:textDirection w:val="lrTb"/>
            <w:noWrap/>
          </w:tcPr>
          <w:p>
            <w:pPr>
              <w:jc w:val="left"/>
              <w:rPr>
                <w:rFonts w:ascii="Times New Roman" w:hAnsi="Times New Roman"/>
              </w:rPr>
            </w:pPr>
            <w:r>
              <w:rPr>
                <w:rFonts w:hint="eastAsia" w:ascii="Times New Roman" w:hAnsi="Times New Roman"/>
              </w:rPr>
              <w:t xml:space="preserve">产</w:t>
            </w:r>
            <w:r>
              <w:rPr>
                <w:rFonts w:ascii="Times New Roman" w:hAnsi="Times New Roman"/>
              </w:rPr>
              <w:t xml:space="preserve">品名称</w:t>
            </w:r>
            <w:r/>
          </w:p>
        </w:tc>
        <w:tc>
          <w:tcPr>
            <w:tcW w:w="6729" w:type="dxa"/>
            <w:vAlign w:val="center"/>
            <w:textDirection w:val="lrTb"/>
            <w:noWrap/>
          </w:tcPr>
          <w:p>
            <w:pPr>
              <w:jc w:val="left"/>
              <w:rPr>
                <w:rFonts w:ascii="Times New Roman" w:hAnsi="Times New Roman"/>
              </w:rPr>
            </w:pPr>
            <w:r>
              <w:rPr>
                <w:rFonts w:ascii="Times New Roman" w:hAnsi="Times New Roman"/>
              </w:rPr>
              <w:t xml:space="preserve">有机房乘客电梯</w:t>
            </w:r>
            <w:r/>
          </w:p>
        </w:tc>
      </w:tr>
      <w:tr>
        <w:trPr>
          <w:cantSplit/>
          <w:jc w:val="center"/>
          <w:trHeight w:val="353"/>
        </w:trPr>
        <w:tc>
          <w:tcPr>
            <w:tcW w:w="2421" w:type="dxa"/>
            <w:vAlign w:val="center"/>
            <w:textDirection w:val="lrTb"/>
            <w:noWrap/>
          </w:tcPr>
          <w:p>
            <w:pPr>
              <w:jc w:val="left"/>
              <w:rPr>
                <w:rFonts w:ascii="Times New Roman" w:hAnsi="Times New Roman"/>
              </w:rPr>
            </w:pPr>
            <w:r>
              <w:rPr>
                <w:rFonts w:ascii="Times New Roman" w:hAnsi="Times New Roman"/>
              </w:rPr>
              <w:t xml:space="preserve">额定载重(kg)</w:t>
            </w:r>
            <w:r/>
          </w:p>
        </w:tc>
        <w:tc>
          <w:tcPr>
            <w:tcW w:w="6729" w:type="dxa"/>
            <w:vAlign w:val="center"/>
            <w:textDirection w:val="lrTb"/>
            <w:noWrap/>
          </w:tcPr>
          <w:p>
            <w:pPr>
              <w:jc w:val="left"/>
              <w:rPr>
                <w:rFonts w:ascii="Times New Roman" w:hAnsi="Times New Roman"/>
              </w:rPr>
            </w:pPr>
            <w:r>
              <w:rPr>
                <w:rFonts w:hint="eastAsia" w:ascii="Times New Roman" w:hAnsi="Times New Roman"/>
              </w:rPr>
              <w:t xml:space="preserve">★≥800kg (注：在实施过程中，依据每台电梯现场井道情况适配载重，按电梯现场实际情况载重适配最大化安装。新的电梯不能低于原有电梯的载重)</w:t>
            </w:r>
            <w:r/>
          </w:p>
        </w:tc>
      </w:tr>
      <w:tr>
        <w:trPr>
          <w:cantSplit/>
          <w:jc w:val="center"/>
          <w:trHeight w:val="353"/>
        </w:trPr>
        <w:tc>
          <w:tcPr>
            <w:tcW w:w="2421" w:type="dxa"/>
            <w:vAlign w:val="center"/>
            <w:textDirection w:val="lrTb"/>
            <w:noWrap/>
          </w:tcPr>
          <w:p>
            <w:pPr>
              <w:jc w:val="left"/>
              <w:rPr>
                <w:rFonts w:ascii="Times New Roman" w:hAnsi="Times New Roman"/>
              </w:rPr>
            </w:pPr>
            <w:r>
              <w:rPr>
                <w:rFonts w:hint="eastAsia" w:ascii="宋体" w:hAnsi="宋体" w:cs="宋体"/>
                <w:sz w:val="22"/>
              </w:rPr>
              <w:t xml:space="preserve">额定速度(m/s)</w:t>
            </w:r>
            <w:r/>
          </w:p>
        </w:tc>
        <w:tc>
          <w:tcPr>
            <w:tcW w:w="6729" w:type="dxa"/>
            <w:vAlign w:val="center"/>
            <w:textDirection w:val="lrTb"/>
            <w:noWrap/>
          </w:tcPr>
          <w:p>
            <w:pPr>
              <w:jc w:val="left"/>
              <w:rPr>
                <w:rFonts w:ascii="Times New Roman" w:hAnsi="Times New Roman"/>
              </w:rPr>
            </w:pPr>
            <w:r>
              <w:rPr>
                <w:rFonts w:hint="eastAsia" w:ascii="Times New Roman" w:hAnsi="Times New Roman"/>
              </w:rPr>
              <w:t xml:space="preserve">★≥1.5</w:t>
            </w:r>
            <w:r/>
          </w:p>
        </w:tc>
      </w:tr>
      <w:tr>
        <w:trPr>
          <w:cantSplit/>
          <w:jc w:val="center"/>
          <w:trHeight w:val="353"/>
        </w:trPr>
        <w:tc>
          <w:tcPr>
            <w:tcW w:w="2421" w:type="dxa"/>
            <w:vAlign w:val="center"/>
            <w:textDirection w:val="lrTb"/>
            <w:noWrap/>
          </w:tcPr>
          <w:p>
            <w:pPr>
              <w:jc w:val="left"/>
              <w:rPr>
                <w:rFonts w:ascii="Times New Roman" w:hAnsi="Times New Roman"/>
              </w:rPr>
            </w:pPr>
            <w:r>
              <w:rPr>
                <w:rFonts w:ascii="Times New Roman" w:hAnsi="Times New Roman"/>
              </w:rPr>
              <w:t xml:space="preserve">台   数</w:t>
            </w:r>
            <w:r/>
          </w:p>
        </w:tc>
        <w:tc>
          <w:tcPr>
            <w:tcW w:w="6729" w:type="dxa"/>
            <w:vAlign w:val="center"/>
            <w:textDirection w:val="lrTb"/>
            <w:noWrap/>
          </w:tcPr>
          <w:p>
            <w:pPr>
              <w:jc w:val="left"/>
              <w:rPr>
                <w:rFonts w:ascii="Times New Roman" w:hAnsi="Times New Roman"/>
              </w:rPr>
            </w:pPr>
            <w:r>
              <w:rPr>
                <w:rFonts w:hint="eastAsia" w:ascii="Times New Roman" w:hAnsi="Times New Roman"/>
                <w:lang w:val="en-US" w:eastAsia="zh-CN"/>
              </w:rPr>
              <w:t xml:space="preserve">10</w:t>
            </w:r>
            <w:r>
              <w:rPr>
                <w:rFonts w:hint="eastAsia"/>
              </w:rPr>
              <w:t xml:space="preserve">台</w:t>
            </w:r>
            <w:r/>
          </w:p>
        </w:tc>
      </w:tr>
      <w:tr>
        <w:trPr>
          <w:cantSplit/>
          <w:jc w:val="center"/>
          <w:trHeight w:val="469"/>
        </w:trPr>
        <w:tc>
          <w:tcPr>
            <w:tcW w:w="2421" w:type="dxa"/>
            <w:vAlign w:val="center"/>
            <w:textDirection w:val="lrTb"/>
            <w:noWrap/>
          </w:tcPr>
          <w:p>
            <w:pPr>
              <w:rPr>
                <w:rFonts w:ascii="Times New Roman" w:hAnsi="Times New Roman"/>
              </w:rPr>
            </w:pPr>
            <w:r>
              <w:rPr>
                <w:rFonts w:ascii="Times New Roman" w:hAnsi="Times New Roman"/>
              </w:rPr>
              <w:t xml:space="preserve">停站层数（层/站/门）</w:t>
            </w:r>
            <w:r/>
          </w:p>
        </w:tc>
        <w:tc>
          <w:tcPr>
            <w:tcW w:w="6729" w:type="dxa"/>
            <w:vAlign w:val="center"/>
            <w:textDirection w:val="lrTb"/>
            <w:noWrap/>
          </w:tcPr>
          <w:p>
            <w:pPr>
              <w:jc w:val="left"/>
              <w:rPr>
                <w:rFonts w:ascii="Times New Roman" w:hAnsi="Times New Roman"/>
              </w:rPr>
            </w:pPr>
            <w:r>
              <w:rPr>
                <w:rFonts w:hint="eastAsia" w:ascii="Times New Roman" w:hAnsi="Times New Roman"/>
              </w:rPr>
              <w:t xml:space="preserve">★</w:t>
            </w:r>
            <w:r>
              <w:rPr>
                <w:rFonts w:hint="eastAsia" w:ascii="Times New Roman" w:hAnsi="Times New Roman"/>
                <w:lang w:val="en-US" w:eastAsia="zh-CN"/>
              </w:rPr>
              <w:t xml:space="preserve">4</w:t>
            </w:r>
            <w:r>
              <w:rPr>
                <w:rFonts w:hint="eastAsia" w:ascii="Times New Roman" w:hAnsi="Times New Roman"/>
              </w:rPr>
              <w:t xml:space="preserve">部12层12站12门，</w:t>
            </w:r>
            <w:r>
              <w:rPr>
                <w:rFonts w:hint="eastAsia" w:ascii="Times New Roman" w:hAnsi="Times New Roman"/>
                <w:lang w:val="en-US" w:eastAsia="zh-CN"/>
              </w:rPr>
              <w:t xml:space="preserve">1</w:t>
            </w:r>
            <w:r>
              <w:rPr>
                <w:rFonts w:hint="eastAsia" w:ascii="Times New Roman" w:hAnsi="Times New Roman"/>
              </w:rPr>
              <w:t xml:space="preserve">部11层11站</w:t>
            </w:r>
            <w:r>
              <w:rPr>
                <w:rFonts w:hint="eastAsia" w:ascii="Times New Roman" w:hAnsi="Times New Roman"/>
                <w:lang w:val="en-US" w:eastAsia="zh-CN"/>
              </w:rPr>
              <w:t xml:space="preserve">11门</w:t>
            </w:r>
            <w:r>
              <w:rPr>
                <w:rFonts w:hint="eastAsia" w:ascii="Times New Roman" w:hAnsi="Times New Roman"/>
                <w:lang w:eastAsia="zh-CN"/>
              </w:rPr>
              <w:t xml:space="preserve">，</w:t>
            </w:r>
            <w:r>
              <w:rPr>
                <w:rFonts w:hint="eastAsia" w:ascii="Times New Roman" w:hAnsi="Times New Roman"/>
                <w:lang w:val="en-US" w:eastAsia="zh-CN"/>
              </w:rPr>
              <w:t xml:space="preserve">5</w:t>
            </w:r>
            <w:r>
              <w:rPr>
                <w:rFonts w:hint="eastAsia" w:ascii="Times New Roman" w:hAnsi="Times New Roman"/>
              </w:rPr>
              <w:t xml:space="preserve">部</w:t>
            </w:r>
            <w:r>
              <w:rPr>
                <w:rFonts w:hint="eastAsia" w:ascii="Times New Roman" w:hAnsi="Times New Roman"/>
                <w:lang w:val="en-US" w:eastAsia="zh-CN"/>
              </w:rPr>
              <w:t xml:space="preserve">19</w:t>
            </w:r>
            <w:r>
              <w:rPr>
                <w:rFonts w:hint="eastAsia" w:ascii="Times New Roman" w:hAnsi="Times New Roman"/>
              </w:rPr>
              <w:t xml:space="preserve">层1</w:t>
            </w:r>
            <w:r>
              <w:rPr>
                <w:rFonts w:hint="eastAsia" w:ascii="Times New Roman" w:hAnsi="Times New Roman"/>
                <w:lang w:val="en-US" w:eastAsia="zh-CN"/>
              </w:rPr>
              <w:t xml:space="preserve">9</w:t>
            </w:r>
            <w:r>
              <w:rPr>
                <w:rFonts w:hint="eastAsia" w:ascii="Times New Roman" w:hAnsi="Times New Roman"/>
              </w:rPr>
              <w:t xml:space="preserve">站</w:t>
            </w:r>
            <w:r>
              <w:rPr>
                <w:rFonts w:hint="eastAsia" w:ascii="Times New Roman" w:hAnsi="Times New Roman"/>
                <w:lang w:val="en-US" w:eastAsia="zh-CN"/>
              </w:rPr>
              <w:t xml:space="preserve">19门</w:t>
            </w:r>
            <w:r/>
          </w:p>
        </w:tc>
      </w:tr>
      <w:tr>
        <w:trPr>
          <w:cantSplit/>
          <w:jc w:val="center"/>
          <w:trHeight w:val="353"/>
        </w:trPr>
        <w:tc>
          <w:tcPr>
            <w:tcW w:w="2421" w:type="dxa"/>
            <w:vAlign w:val="center"/>
            <w:textDirection w:val="lrTb"/>
            <w:noWrap/>
          </w:tcPr>
          <w:p>
            <w:pPr>
              <w:rPr>
                <w:rFonts w:ascii="Times New Roman" w:hAnsi="Times New Roman"/>
              </w:rPr>
            </w:pPr>
            <w:r>
              <w:rPr>
                <w:rFonts w:ascii="Times New Roman" w:hAnsi="Times New Roman"/>
              </w:rPr>
              <w:t xml:space="preserve">提升高度(m)</w:t>
            </w:r>
            <w:r/>
          </w:p>
        </w:tc>
        <w:tc>
          <w:tcPr>
            <w:tcW w:w="6729" w:type="dxa"/>
            <w:vAlign w:val="center"/>
            <w:textDirection w:val="lrTb"/>
            <w:noWrap/>
          </w:tcPr>
          <w:p>
            <w:pPr>
              <w:jc w:val="left"/>
              <w:rPr>
                <w:rFonts w:ascii="Times New Roman" w:hAnsi="Times New Roman"/>
              </w:rPr>
            </w:pPr>
            <w:r>
              <w:rPr>
                <w:rFonts w:ascii="Times New Roman" w:hAnsi="Times New Roman"/>
              </w:rPr>
              <w:t xml:space="preserve">以现场实际测量为准</w:t>
            </w:r>
            <w:r/>
          </w:p>
        </w:tc>
      </w:tr>
      <w:tr>
        <w:trPr>
          <w:cantSplit/>
          <w:jc w:val="center"/>
          <w:trHeight w:val="353"/>
        </w:trPr>
        <w:tc>
          <w:tcPr>
            <w:tcW w:w="2421" w:type="dxa"/>
            <w:vAlign w:val="center"/>
            <w:textDirection w:val="lrTb"/>
            <w:noWrap/>
          </w:tcPr>
          <w:p>
            <w:pPr>
              <w:rPr>
                <w:rFonts w:ascii="Times New Roman" w:hAnsi="Times New Roman"/>
              </w:rPr>
            </w:pPr>
            <w:r>
              <w:rPr>
                <w:rFonts w:ascii="Times New Roman" w:hAnsi="Times New Roman"/>
              </w:rPr>
              <w:t xml:space="preserve">层高（mm）</w:t>
            </w:r>
            <w:r/>
          </w:p>
        </w:tc>
        <w:tc>
          <w:tcPr>
            <w:tcW w:w="6729" w:type="dxa"/>
            <w:vAlign w:val="center"/>
            <w:textDirection w:val="lrTb"/>
            <w:noWrap/>
          </w:tcPr>
          <w:p>
            <w:pPr>
              <w:jc w:val="left"/>
              <w:rPr>
                <w:rFonts w:ascii="Times New Roman" w:hAnsi="Times New Roman"/>
              </w:rPr>
            </w:pPr>
            <w:r>
              <w:rPr>
                <w:rFonts w:ascii="Times New Roman" w:hAnsi="Times New Roman"/>
              </w:rPr>
              <w:t xml:space="preserve">以现场实际测量为准</w:t>
            </w:r>
            <w:r/>
          </w:p>
        </w:tc>
      </w:tr>
      <w:tr>
        <w:trPr>
          <w:cantSplit/>
          <w:jc w:val="center"/>
          <w:trHeight w:val="353"/>
        </w:trPr>
        <w:tc>
          <w:tcPr>
            <w:tcW w:w="2421" w:type="dxa"/>
            <w:vAlign w:val="center"/>
            <w:textDirection w:val="lrTb"/>
            <w:noWrap/>
          </w:tcPr>
          <w:p>
            <w:pPr>
              <w:rPr>
                <w:rFonts w:ascii="Times New Roman" w:hAnsi="Times New Roman"/>
              </w:rPr>
            </w:pPr>
            <w:r>
              <w:rPr>
                <w:rFonts w:ascii="Times New Roman" w:hAnsi="Times New Roman"/>
              </w:rPr>
              <w:t xml:space="preserve">运行控制</w:t>
            </w:r>
            <w:r/>
          </w:p>
        </w:tc>
        <w:tc>
          <w:tcPr>
            <w:tcW w:w="6729" w:type="dxa"/>
            <w:vAlign w:val="center"/>
            <w:textDirection w:val="lrTb"/>
            <w:noWrap/>
          </w:tcPr>
          <w:p>
            <w:pPr>
              <w:jc w:val="left"/>
              <w:rPr>
                <w:rFonts w:ascii="Times New Roman" w:hAnsi="Times New Roman"/>
              </w:rPr>
            </w:pPr>
            <w:r>
              <w:rPr>
                <w:rFonts w:hint="eastAsia" w:ascii="Times New Roman" w:hAnsi="Times New Roman"/>
              </w:rPr>
              <w:t xml:space="preserve">单控</w:t>
            </w:r>
            <w:r/>
          </w:p>
        </w:tc>
      </w:tr>
      <w:tr>
        <w:trPr>
          <w:cantSplit/>
          <w:jc w:val="center"/>
          <w:trHeight w:val="90"/>
        </w:trPr>
        <w:tc>
          <w:tcPr>
            <w:tcW w:w="2421" w:type="dxa"/>
            <w:vAlign w:val="center"/>
            <w:textDirection w:val="lrTb"/>
            <w:noWrap/>
          </w:tcPr>
          <w:p>
            <w:pPr>
              <w:rPr>
                <w:rFonts w:ascii="Times New Roman" w:hAnsi="Times New Roman"/>
              </w:rPr>
            </w:pPr>
            <w:r>
              <w:rPr>
                <w:rFonts w:hint="eastAsia" w:ascii="Times New Roman" w:hAnsi="Times New Roman"/>
              </w:rPr>
              <w:t xml:space="preserve">轿厢尺寸</w:t>
            </w:r>
            <w:r>
              <w:rPr>
                <w:rFonts w:ascii="Times New Roman" w:hAnsi="Times New Roman"/>
              </w:rPr>
              <w:t xml:space="preserve">:</w:t>
            </w:r>
            <w:r>
              <w:rPr>
                <w:rFonts w:hint="eastAsia" w:ascii="Times New Roman" w:hAnsi="Times New Roman"/>
              </w:rPr>
              <w:t xml:space="preserve">宽</w:t>
            </w:r>
            <w:r>
              <w:rPr>
                <w:rFonts w:ascii="Times New Roman" w:hAnsi="Times New Roman"/>
              </w:rPr>
              <w:t xml:space="preserve">×</w:t>
            </w:r>
            <w:r>
              <w:rPr>
                <w:rFonts w:hint="eastAsia" w:ascii="Times New Roman" w:hAnsi="Times New Roman"/>
              </w:rPr>
              <w:t xml:space="preserve">深</w:t>
            </w:r>
            <w:r>
              <w:rPr>
                <w:rFonts w:ascii="Times New Roman" w:hAnsi="Times New Roman"/>
              </w:rPr>
              <w:t xml:space="preserve"> (mm)</w:t>
            </w:r>
            <w:r/>
          </w:p>
        </w:tc>
        <w:tc>
          <w:tcPr>
            <w:tcW w:w="6729" w:type="dxa"/>
            <w:vAlign w:val="center"/>
            <w:textDirection w:val="lrTb"/>
            <w:noWrap/>
          </w:tcPr>
          <w:p>
            <w:pPr>
              <w:ind w:firstLine="105"/>
              <w:jc w:val="left"/>
              <w:rPr>
                <w:rFonts w:ascii="Times New Roman" w:hAnsi="Times New Roman"/>
              </w:rPr>
            </w:pPr>
            <w:r>
              <w:rPr>
                <w:rFonts w:ascii="Times New Roman" w:hAnsi="Times New Roman"/>
              </w:rPr>
              <w:t xml:space="preserve">1400*1350</w:t>
            </w:r>
            <w:r>
              <w:rPr>
                <w:rFonts w:hint="eastAsia" w:ascii="Times New Roman" w:hAnsi="Times New Roman"/>
              </w:rPr>
              <w:t xml:space="preserve">（最小</w:t>
            </w:r>
            <w:r>
              <w:rPr>
                <w:rFonts w:ascii="Cambria Math" w:hAnsi="Cambria Math"/>
              </w:rPr>
              <w:t xml:space="preserve">尺寸要求，</w:t>
            </w:r>
            <w:r>
              <w:rPr>
                <w:rFonts w:hint="eastAsia" w:ascii="Cambria Math" w:hAnsi="Cambria Math"/>
              </w:rPr>
              <w:t xml:space="preserve">根据</w:t>
            </w:r>
            <w:r>
              <w:rPr>
                <w:rFonts w:ascii="Cambria Math" w:hAnsi="Cambria Math"/>
              </w:rPr>
              <w:t xml:space="preserve">实际井道尺寸，</w:t>
            </w:r>
            <w:r>
              <w:rPr>
                <w:rFonts w:hint="eastAsia" w:ascii="Cambria Math" w:hAnsi="Cambria Math"/>
              </w:rPr>
              <w:t xml:space="preserve">大于</w:t>
            </w:r>
            <w:r>
              <w:rPr>
                <w:rFonts w:ascii="Cambria Math" w:hAnsi="Cambria Math"/>
              </w:rPr>
              <w:t xml:space="preserve">此尺寸为</w:t>
            </w:r>
            <w:r>
              <w:rPr>
                <w:rFonts w:hint="eastAsia" w:ascii="Cambria Math" w:hAnsi="Cambria Math"/>
              </w:rPr>
              <w:t xml:space="preserve">优</w:t>
            </w:r>
            <w:r>
              <w:rPr>
                <w:rFonts w:ascii="Times New Roman" w:hAnsi="Times New Roman"/>
              </w:rPr>
              <w:t xml:space="preserve">）</w:t>
            </w:r>
            <w:r/>
          </w:p>
        </w:tc>
      </w:tr>
      <w:tr>
        <w:trPr>
          <w:cantSplit/>
          <w:jc w:val="center"/>
          <w:trHeight w:val="525"/>
        </w:trPr>
        <w:tc>
          <w:tcPr>
            <w:tcW w:w="2421" w:type="dxa"/>
            <w:vAlign w:val="center"/>
            <w:textDirection w:val="lrTb"/>
            <w:noWrap/>
          </w:tcPr>
          <w:p>
            <w:pPr>
              <w:rPr>
                <w:rFonts w:ascii="Times New Roman" w:hAnsi="Times New Roman"/>
              </w:rPr>
            </w:pPr>
            <w:r>
              <w:rPr>
                <w:rFonts w:hint="eastAsia" w:ascii="Times New Roman" w:hAnsi="Times New Roman"/>
              </w:rPr>
              <w:t xml:space="preserve">轿厢净高</w:t>
            </w:r>
            <w:r>
              <w:rPr>
                <w:rFonts w:ascii="Times New Roman" w:hAnsi="Times New Roman"/>
              </w:rPr>
              <w:t xml:space="preserve">(mm)</w:t>
            </w:r>
            <w:r/>
          </w:p>
        </w:tc>
        <w:tc>
          <w:tcPr>
            <w:tcW w:w="6729" w:type="dxa"/>
            <w:vAlign w:val="center"/>
            <w:textDirection w:val="lrTb"/>
            <w:noWrap/>
          </w:tcPr>
          <w:p>
            <w:pPr>
              <w:ind w:firstLine="105"/>
              <w:jc w:val="left"/>
              <w:rPr>
                <w:rFonts w:ascii="Times New Roman" w:hAnsi="Times New Roman"/>
              </w:rPr>
            </w:pPr>
            <w:r>
              <w:rPr>
                <w:rFonts w:hint="eastAsia" w:ascii="Times New Roman" w:hAnsi="Times New Roman"/>
              </w:rPr>
              <w:t xml:space="preserve">≥2300</w:t>
            </w:r>
            <w:r/>
          </w:p>
        </w:tc>
      </w:tr>
      <w:tr>
        <w:trPr>
          <w:cantSplit/>
          <w:jc w:val="center"/>
          <w:trHeight w:val="353"/>
        </w:trPr>
        <w:tc>
          <w:tcPr>
            <w:tcW w:w="2421" w:type="dxa"/>
            <w:vAlign w:val="center"/>
            <w:textDirection w:val="lrTb"/>
            <w:noWrap/>
          </w:tcPr>
          <w:p>
            <w:pPr>
              <w:rPr>
                <w:rFonts w:ascii="Times New Roman" w:hAnsi="Times New Roman"/>
              </w:rPr>
            </w:pPr>
            <w:r>
              <w:rPr>
                <w:rFonts w:hint="eastAsia" w:ascii="Times New Roman" w:hAnsi="Times New Roman"/>
              </w:rPr>
              <w:t xml:space="preserve">使用地点</w:t>
            </w:r>
            <w:r/>
          </w:p>
        </w:tc>
        <w:tc>
          <w:tcPr>
            <w:tcW w:w="6729" w:type="dxa"/>
            <w:vAlign w:val="center"/>
            <w:textDirection w:val="lrTb"/>
            <w:noWrap/>
          </w:tcPr>
          <w:p>
            <w:pPr>
              <w:jc w:val="left"/>
              <w:rPr>
                <w:rFonts w:ascii="Times New Roman" w:hAnsi="Times New Roman"/>
              </w:rPr>
            </w:pPr>
            <w:r>
              <w:rPr>
                <w:rFonts w:hint="eastAsia" w:ascii="Times New Roman" w:hAnsi="Times New Roman"/>
              </w:rPr>
              <w:t xml:space="preserve">泗洪县</w:t>
            </w:r>
            <w:r/>
          </w:p>
        </w:tc>
      </w:tr>
      <w:tr>
        <w:trPr>
          <w:cantSplit/>
          <w:jc w:val="center"/>
          <w:trHeight w:val="353"/>
        </w:trPr>
        <w:tc>
          <w:tcPr>
            <w:tcW w:w="2421" w:type="dxa"/>
            <w:vAlign w:val="center"/>
            <w:textDirection w:val="lrTb"/>
            <w:noWrap/>
          </w:tcPr>
          <w:p>
            <w:pPr>
              <w:rPr>
                <w:rFonts w:ascii="Times New Roman" w:hAnsi="Times New Roman"/>
              </w:rPr>
            </w:pPr>
            <w:r>
              <w:rPr>
                <w:rFonts w:ascii="Times New Roman" w:hAnsi="Times New Roman"/>
              </w:rPr>
              <w:t xml:space="preserve">开门尺寸(mm)</w:t>
            </w:r>
            <w:r/>
          </w:p>
        </w:tc>
        <w:tc>
          <w:tcPr>
            <w:tcW w:w="6729" w:type="dxa"/>
            <w:vAlign w:val="center"/>
            <w:textDirection w:val="lrTb"/>
            <w:noWrap/>
          </w:tcPr>
          <w:p>
            <w:pPr>
              <w:jc w:val="left"/>
              <w:rPr>
                <w:rFonts w:ascii="Times New Roman" w:hAnsi="Times New Roman"/>
              </w:rPr>
            </w:pPr>
            <w:r>
              <w:rPr>
                <w:rFonts w:ascii="Times New Roman" w:hAnsi="Times New Roman"/>
              </w:rPr>
              <w:t xml:space="preserve">以现场实际测量为准</w:t>
            </w:r>
            <w:r/>
          </w:p>
        </w:tc>
      </w:tr>
      <w:tr>
        <w:trPr>
          <w:cantSplit/>
          <w:jc w:val="center"/>
          <w:trHeight w:val="353"/>
        </w:trPr>
        <w:tc>
          <w:tcPr>
            <w:tcW w:w="2421" w:type="dxa"/>
            <w:vAlign w:val="center"/>
            <w:textDirection w:val="lrTb"/>
            <w:noWrap/>
          </w:tcPr>
          <w:p>
            <w:pPr>
              <w:rPr>
                <w:rFonts w:ascii="Times New Roman" w:hAnsi="Times New Roman"/>
              </w:rPr>
            </w:pPr>
            <w:r>
              <w:rPr>
                <w:rFonts w:ascii="Times New Roman" w:hAnsi="Times New Roman"/>
              </w:rPr>
              <w:t xml:space="preserve">井道尺寸(mm)</w:t>
            </w:r>
            <w:r/>
          </w:p>
        </w:tc>
        <w:tc>
          <w:tcPr>
            <w:tcW w:w="6729" w:type="dxa"/>
            <w:vAlign w:val="center"/>
            <w:textDirection w:val="lrTb"/>
            <w:noWrap/>
          </w:tcPr>
          <w:p>
            <w:pPr>
              <w:jc w:val="left"/>
              <w:rPr>
                <w:rFonts w:ascii="Times New Roman" w:hAnsi="Times New Roman"/>
              </w:rPr>
            </w:pPr>
            <w:r>
              <w:rPr>
                <w:rFonts w:ascii="Times New Roman" w:hAnsi="Times New Roman"/>
              </w:rPr>
              <w:t xml:space="preserve">以现场实际测量为准</w:t>
            </w:r>
            <w:r/>
          </w:p>
        </w:tc>
      </w:tr>
      <w:tr>
        <w:trPr>
          <w:cantSplit/>
          <w:jc w:val="center"/>
          <w:trHeight w:val="353"/>
        </w:trPr>
        <w:tc>
          <w:tcPr>
            <w:tcW w:w="2421" w:type="dxa"/>
            <w:vAlign w:val="center"/>
            <w:textDirection w:val="lrTb"/>
            <w:noWrap/>
          </w:tcPr>
          <w:p>
            <w:pPr>
              <w:rPr>
                <w:rFonts w:ascii="Times New Roman" w:hAnsi="Times New Roman"/>
              </w:rPr>
            </w:pPr>
            <w:r>
              <w:rPr>
                <w:rFonts w:ascii="Times New Roman" w:hAnsi="Times New Roman"/>
              </w:rPr>
              <w:t xml:space="preserve">底坑深度(mm)</w:t>
            </w:r>
            <w:r/>
          </w:p>
        </w:tc>
        <w:tc>
          <w:tcPr>
            <w:tcW w:w="6729" w:type="dxa"/>
            <w:vAlign w:val="center"/>
            <w:textDirection w:val="lrTb"/>
            <w:noWrap/>
          </w:tcPr>
          <w:p>
            <w:pPr>
              <w:jc w:val="left"/>
              <w:rPr>
                <w:rFonts w:ascii="Times New Roman" w:hAnsi="Times New Roman"/>
              </w:rPr>
            </w:pPr>
            <w:r>
              <w:rPr>
                <w:rFonts w:ascii="Times New Roman" w:hAnsi="Times New Roman"/>
              </w:rPr>
              <w:t xml:space="preserve">以现场实际测量为准</w:t>
            </w:r>
            <w:r/>
          </w:p>
        </w:tc>
      </w:tr>
      <w:tr>
        <w:trPr>
          <w:cantSplit/>
          <w:jc w:val="center"/>
          <w:trHeight w:val="353"/>
        </w:trPr>
        <w:tc>
          <w:tcPr>
            <w:tcW w:w="2421" w:type="dxa"/>
            <w:vAlign w:val="center"/>
            <w:textDirection w:val="lrTb"/>
            <w:noWrap/>
          </w:tcPr>
          <w:p>
            <w:pPr>
              <w:rPr>
                <w:rFonts w:ascii="Times New Roman" w:hAnsi="Times New Roman"/>
              </w:rPr>
            </w:pPr>
            <w:r>
              <w:rPr>
                <w:rFonts w:hint="eastAsia" w:ascii="Times New Roman" w:hAnsi="Times New Roman"/>
              </w:rPr>
              <w:t xml:space="preserve">每</w:t>
            </w:r>
            <w:r>
              <w:rPr>
                <w:rFonts w:ascii="Times New Roman" w:hAnsi="Times New Roman"/>
              </w:rPr>
              <w:t xml:space="preserve">层高度(mm)</w:t>
            </w:r>
            <w:r/>
          </w:p>
        </w:tc>
        <w:tc>
          <w:tcPr>
            <w:tcW w:w="6729" w:type="dxa"/>
            <w:vAlign w:val="center"/>
            <w:textDirection w:val="lrTb"/>
            <w:noWrap/>
          </w:tcPr>
          <w:p>
            <w:pPr>
              <w:jc w:val="left"/>
              <w:rPr>
                <w:rFonts w:ascii="Times New Roman" w:hAnsi="Times New Roman"/>
              </w:rPr>
            </w:pPr>
            <w:r>
              <w:rPr>
                <w:rFonts w:ascii="Times New Roman" w:hAnsi="Times New Roman"/>
              </w:rPr>
              <w:t xml:space="preserve">以现场实际测量为准</w:t>
            </w:r>
            <w:r/>
          </w:p>
        </w:tc>
      </w:tr>
    </w:tbl>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为纳入超长期特别国债资金支持的更新电梯，所投电梯技术要求应满足《市场监管总局办公厅关于进一步做好住宅老旧电梯更新有关工作的通知（附件1：纳入超长期特别国债资金支持的更新电梯专项要求）》，具体要求如下：</w:t>
      </w:r>
      <w:r/>
    </w:p>
    <w:p>
      <w:pPr>
        <w:pStyle w:val="899"/>
        <w:ind w:firstLine="480"/>
        <w:spacing w:line="474"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1.1.1 层门、轿门和轿厢：</w:t>
      </w:r>
      <w:r/>
    </w:p>
    <w:p>
      <w:pPr>
        <w:pStyle w:val="899"/>
        <w:ind w:firstLine="480"/>
        <w:spacing w:line="47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层门和轿门的地坎、轿厢护脚板应当采用金属材料；（2）更新的金属层门、轿门和轿壁的面板材料至少由一层公称厚度不小于1.5mm的单一金属板材构成；保留的金属层门，其金属材质面板公称厚度不小于1.2mm；保留层门的下部保持装置啮合深度不小于15mm。</w:t>
      </w:r>
      <w:r/>
    </w:p>
    <w:p>
      <w:pPr>
        <w:pStyle w:val="899"/>
        <w:ind w:firstLine="480"/>
        <w:spacing w:line="478"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1.1.2.导轨</w:t>
      </w:r>
      <w:r/>
    </w:p>
    <w:p>
      <w:pPr>
        <w:pStyle w:val="899"/>
        <w:ind w:firstLine="480"/>
        <w:spacing w:line="33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配置安全钳的更新导轨及其连接板应当符合GB/T22562（含表2至表10）的要求，其中对于额定载重量大于630kg的电梯，其轿厢侧导轨宽度b1应当不小于89mm。</w:t>
      </w:r>
      <w:r/>
    </w:p>
    <w:p>
      <w:pPr>
        <w:pStyle w:val="899"/>
        <w:ind w:firstLine="480"/>
        <w:spacing w:line="474"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1.1.3.悬挂系统</w:t>
      </w:r>
      <w:r/>
    </w:p>
    <w:p>
      <w:pPr>
        <w:pStyle w:val="899"/>
        <w:ind w:firstLine="480"/>
        <w:spacing w:line="309"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（1）在正常使用条件下，悬挂钢丝绳使用年限不少于10年或者对应电梯驱动主机启动次数不少于200万次；包覆带使用年限不少于20年或者对应电梯驱动主机启动次数不少于400万次。</w:t>
      </w:r>
      <w:r/>
    </w:p>
    <w:p>
      <w:pPr>
        <w:pStyle w:val="899"/>
        <w:ind w:firstLine="480"/>
        <w:spacing w:line="299"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（2）采用包覆带作为悬挂装置的，应当在控制柜内永久性张贴包括防止水、砂尘和润滑油等介质影响包覆带曳引能力的日常检查和维护保养要求的标识。</w:t>
      </w:r>
      <w:r/>
    </w:p>
    <w:p>
      <w:pPr>
        <w:pStyle w:val="899"/>
        <w:ind w:firstLine="480"/>
        <w:spacing w:line="316"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（3）对于采用非1：1悬挂比的电梯，当悬挂装置通过反绳轮与轿厢或者对重连接时，反绳轮及其固定部分应当设置防止轿厢或者对重与悬挂装置脱离或者反绳轮坠落的防护装置（需在相应位置设置指示标志）。</w:t>
      </w:r>
      <w:r/>
    </w:p>
    <w:p>
      <w:pPr>
        <w:pStyle w:val="899"/>
        <w:ind w:firstLine="480"/>
        <w:spacing w:line="475"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（4）反绳轮应当采用金属材质。</w:t>
      </w:r>
      <w:r/>
    </w:p>
    <w:p>
      <w:pPr>
        <w:pStyle w:val="899"/>
        <w:ind w:firstLine="480"/>
        <w:spacing w:line="473"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1.1.4.对重块和轿厢配重：对重块和轿厢配重不得使用非金属材质。</w:t>
      </w:r>
      <w:r/>
    </w:p>
    <w:p>
      <w:pPr>
        <w:pStyle w:val="899"/>
        <w:ind w:firstLine="480"/>
        <w:spacing w:line="215"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1.1.5.缓冲器：不得使用非金属材质非线性蓄能型缓冲器。</w:t>
      </w:r>
      <w:r/>
    </w:p>
    <w:p>
      <w:pPr>
        <w:pStyle w:val="1311"/>
        <w:ind w:firstLine="480"/>
        <w:spacing w:line="360" w:lineRule="auto"/>
        <w:rPr>
          <w:rFonts w:hint="eastAsia" w:ascii="宋体" w:hAnsi="宋体" w:cs="宋体"/>
          <w:sz w:val="24"/>
          <w:szCs w:val="24"/>
        </w:rPr>
      </w:pPr>
      <w:r>
        <w:rPr>
          <w:rFonts w:hint="eastAsia" w:ascii="宋体" w:hAnsi="宋体" w:cs="宋体"/>
          <w:sz w:val="24"/>
          <w:szCs w:val="24"/>
        </w:rPr>
        <w:t xml:space="preserve">＊1.1.6电梯设计使用寿命不少于20年。</w:t>
      </w:r>
      <w:r/>
    </w:p>
    <w:p>
      <w:pPr>
        <w:pStyle w:val="1311"/>
        <w:ind w:firstLine="472"/>
        <w:spacing w:line="360" w:lineRule="auto"/>
        <w:tabs>
          <w:tab w:val="left" w:pos="6840" w:leader="none"/>
        </w:tabs>
        <w:rPr>
          <w:rFonts w:hint="eastAsia" w:ascii="宋体" w:hAnsi="宋体" w:cs="宋体"/>
          <w:b/>
          <w:bCs/>
          <w:sz w:val="24"/>
          <w:szCs w:val="24"/>
        </w:rPr>
      </w:pPr>
      <w:r>
        <w:rPr>
          <w:rFonts w:hint="eastAsia" w:ascii="宋体" w:hAnsi="宋体" w:cs="宋体"/>
          <w:b/>
          <w:bCs/>
          <w:sz w:val="24"/>
          <w:szCs w:val="24"/>
        </w:rPr>
        <w:t xml:space="preserve">1.2 详细技术规格及参数</w:t>
      </w:r>
      <w:r/>
    </w:p>
    <w:p>
      <w:pPr>
        <w:pStyle w:val="1311"/>
        <w:ind w:firstLine="480"/>
        <w:spacing w:line="360" w:lineRule="auto"/>
        <w:rPr>
          <w:rFonts w:hint="eastAsia" w:ascii="宋体" w:hAnsi="宋体" w:cs="宋体"/>
          <w:bCs/>
          <w:sz w:val="24"/>
          <w:szCs w:val="24"/>
        </w:rPr>
      </w:pPr>
      <w:r>
        <w:rPr>
          <w:rFonts w:hint="eastAsia" w:ascii="宋体" w:hAnsi="宋体" w:cs="宋体"/>
          <w:sz w:val="24"/>
          <w:szCs w:val="24"/>
        </w:rPr>
        <w:t xml:space="preserve">投标电梯须可靠、稳定，符合设计要求和使用规范。配置按中高档电梯功能。</w:t>
      </w:r>
      <w:r>
        <w:rPr>
          <w:rFonts w:hint="eastAsia" w:ascii="宋体" w:hAnsi="宋体" w:cs="宋体"/>
          <w:bCs/>
          <w:sz w:val="24"/>
          <w:szCs w:val="24"/>
        </w:rPr>
        <w:t xml:space="preserve">投标电梯在具备电梯所有基本功能的前提下，还应保证满足以下有关技术要求</w:t>
      </w:r>
      <w:r>
        <w:rPr>
          <w:rFonts w:hint="eastAsia" w:ascii="宋体" w:hAnsi="宋体" w:cs="宋体"/>
          <w:sz w:val="24"/>
          <w:szCs w:val="24"/>
        </w:rPr>
        <w:t xml:space="preserve">（以下要求，除特别说明外，对每台电梯均适用）</w:t>
      </w:r>
      <w:r>
        <w:rPr>
          <w:rFonts w:hint="eastAsia" w:ascii="宋体" w:hAnsi="宋体" w:cs="宋体"/>
          <w:bCs/>
          <w:sz w:val="24"/>
          <w:szCs w:val="24"/>
        </w:rPr>
        <w:t xml:space="preserve">。</w:t>
      </w:r>
      <w:r/>
    </w:p>
    <w:p>
      <w:pPr>
        <w:pStyle w:val="1311"/>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＊1.2.1电源要求：交流三相380V，50Hz；交流单相 220V，50Hz。</w:t>
      </w:r>
      <w:r/>
    </w:p>
    <w:p>
      <w:pPr>
        <w:pStyle w:val="1311"/>
        <w:ind w:firstLine="480"/>
        <w:spacing w:line="360" w:lineRule="auto"/>
        <w:tabs>
          <w:tab w:val="left" w:pos="108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＊1.2.2曳引</w:t>
      </w:r>
      <w:r>
        <w:rPr>
          <w:rFonts w:hint="eastAsia" w:ascii="宋体" w:hAnsi="宋体" w:cs="宋体"/>
          <w:color w:val="000000" w:themeColor="text1"/>
          <w:sz w:val="24"/>
          <w:szCs w:val="24"/>
          <w14:textFill>
            <w14:solidFill>
              <w14:schemeClr w14:val="tx1"/>
            </w14:solidFill>
          </w14:textFill>
        </w:rPr>
        <w:t xml:space="preserve">机：①采用交流三相永磁同步无齿轮；②与所投电梯为同一品牌；③外壳防护等级不低于IP41；</w:t>
      </w:r>
      <w:r>
        <w:rPr>
          <w:rFonts w:ascii="宋体" w:hAnsi="宋体" w:cs="宋体"/>
          <w:color w:val="000000" w:themeColor="text1"/>
          <w:sz w:val="24"/>
          <w:szCs w:val="24"/>
          <w14:textFill>
            <w14:solidFill>
              <w14:schemeClr w14:val="tx1"/>
            </w14:solidFill>
          </w14:textFill>
        </w:rPr>
        <w:t xml:space="preserve">④所投电梯的马达能效等级为一级且马达功率因素达到96%或以上</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sz w:val="24"/>
          <w:szCs w:val="24"/>
          <w:shd w:val="clear" w:color="auto" w:fill="ffff00"/>
        </w:rPr>
        <w:t xml:space="preserve">（需提供第三方检测机构出具的检测报告原件彩色的扫描件上传至投标文件中）</w:t>
      </w:r>
      <w:r>
        <w:rPr>
          <w:rFonts w:hint="eastAsia" w:ascii="宋体" w:hAnsi="宋体" w:cs="宋体"/>
          <w:color w:val="000000" w:themeColor="text1"/>
          <w:sz w:val="24"/>
          <w:szCs w:val="24"/>
          <w14:textFill>
            <w14:solidFill>
              <w14:schemeClr w14:val="tx1"/>
            </w14:solidFill>
          </w14:textFill>
        </w:rPr>
        <w:t xml:space="preserve"> </w:t>
      </w:r>
      <w:r/>
    </w:p>
    <w:p>
      <w:pPr>
        <w:pStyle w:val="1311"/>
        <w:ind w:firstLine="480"/>
        <w:spacing w:line="360" w:lineRule="auto"/>
        <w:tabs>
          <w:tab w:val="left" w:pos="108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＊1.2.3曳引机制动器：动作寿命达到</w:t>
      </w:r>
      <w:r>
        <w:rPr>
          <w:rFonts w:ascii="宋体" w:hAnsi="宋体" w:cs="宋体"/>
          <w:color w:val="000000" w:themeColor="text1"/>
          <w:sz w:val="24"/>
          <w:szCs w:val="24"/>
          <w14:textFill>
            <w14:solidFill>
              <w14:schemeClr w14:val="tx1"/>
            </w14:solidFill>
          </w14:textFill>
        </w:rPr>
        <w:t xml:space="preserve">2000</w:t>
      </w:r>
      <w:r>
        <w:rPr>
          <w:rFonts w:hint="eastAsia" w:ascii="宋体" w:hAnsi="宋体" w:cs="宋体"/>
          <w:color w:val="000000" w:themeColor="text1"/>
          <w:sz w:val="24"/>
          <w:szCs w:val="24"/>
          <w14:textFill>
            <w14:solidFill>
              <w14:schemeClr w14:val="tx1"/>
            </w14:solidFill>
          </w14:textFill>
        </w:rPr>
        <w:t xml:space="preserve">万次及以上。</w:t>
      </w:r>
      <w:r>
        <w:rPr>
          <w:rFonts w:hint="eastAsia" w:ascii="宋体" w:hAnsi="宋体" w:eastAsia="宋体" w:cs="宋体"/>
          <w:color w:val="000000"/>
          <w:sz w:val="24"/>
          <w:szCs w:val="24"/>
          <w:shd w:val="clear" w:color="auto" w:fill="ffff00"/>
        </w:rPr>
        <w:t xml:space="preserve">（需提供第三方检测机构出具的检测报告原件彩色的扫描件上传至投标文件中）</w:t>
      </w:r>
      <w:r/>
    </w:p>
    <w:p>
      <w:pPr>
        <w:pStyle w:val="1311"/>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＊1.2.4拖动系统：全电脑控制，曳引机采用交流变频变压变速方式驱动（VVVF），曳引机应满足GB10058-2023的相关规定要求。</w:t>
      </w:r>
      <w:r/>
    </w:p>
    <w:p>
      <w:pPr>
        <w:pStyle w:val="1311"/>
        <w:ind w:firstLine="480"/>
        <w:spacing w:line="360" w:lineRule="auto"/>
        <w:tabs>
          <w:tab w:val="left" w:pos="684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＊1.2.5控制系统：全电脑网络控制处理器（模块化），主控微机板采用32位微电脑全集选控制。</w:t>
      </w:r>
      <w:r/>
    </w:p>
    <w:p>
      <w:pPr>
        <w:pStyle w:val="1311"/>
        <w:ind w:firstLine="480"/>
        <w:spacing w:line="360" w:lineRule="auto"/>
        <w:tabs>
          <w:tab w:val="left" w:pos="684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＊1.2.6主机：变频调速电机、永磁同步无齿轮驱动。</w:t>
      </w:r>
      <w:r/>
    </w:p>
    <w:p>
      <w:pPr>
        <w:pStyle w:val="1311"/>
        <w:ind w:firstLine="480"/>
        <w:spacing w:line="360" w:lineRule="auto"/>
        <w:widowControl/>
        <w:rPr>
          <w:rFonts w:hint="eastAsia" w:ascii="宋体" w:hAnsi="宋体" w:cs="宋体"/>
          <w:sz w:val="24"/>
          <w:szCs w:val="24"/>
        </w:rPr>
      </w:pPr>
      <w:r>
        <w:rPr>
          <w:rFonts w:hint="eastAsia" w:ascii="宋体" w:hAnsi="宋体" w:cs="宋体"/>
          <w:sz w:val="24"/>
          <w:szCs w:val="24"/>
        </w:rPr>
        <w:t xml:space="preserve">＊1.2.7门机系统：应采用配套门机，并采用安全光幕保护系统，变压变频（VVVF）调速驱动。 </w:t>
      </w:r>
      <w:r/>
    </w:p>
    <w:p>
      <w:pPr>
        <w:pStyle w:val="1311"/>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＊1.2.8开门方式：双扇自动中分门。</w:t>
      </w:r>
      <w:r/>
    </w:p>
    <w:p>
      <w:pPr>
        <w:pStyle w:val="1311"/>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＊1.2.9轿厢</w:t>
      </w:r>
      <w:r/>
    </w:p>
    <w:p>
      <w:pPr>
        <w:pStyle w:val="1311"/>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＊1.2.9.1轿厢装饰方案：轿厢及轿门均采用发纹不锈钢，材质304发纹不锈钢≥1.5mm；轿顶采用标准装饰并提供样本图册，供采购人选订。轿厢净高不得低于2300</w:t>
      </w:r>
      <w:r>
        <w:rPr>
          <w:rFonts w:ascii="宋体" w:hAnsi="宋体" w:cs="宋体"/>
          <w:sz w:val="24"/>
          <w:szCs w:val="24"/>
        </w:rPr>
        <w:t xml:space="preserve">m</w:t>
      </w:r>
      <w:r>
        <w:rPr>
          <w:rFonts w:hint="eastAsia" w:ascii="宋体" w:hAnsi="宋体" w:cs="宋体"/>
          <w:sz w:val="24"/>
          <w:szCs w:val="24"/>
        </w:rPr>
        <w:t xml:space="preserve">m。电梯轿厢内前壁采用1套连体式发纹不锈钢操作面板。</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＊1.2.9.2 轿内操纵箱：发纹不锈钢，设置一体化操纵盘，采用液晶显示，不锈钢按钮，有运行方向箭头显示。</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＊1.2.9.3层站位置指示器：配置高亮度液晶显示器，可以显示电梯的位置和运行方向。</w:t>
      </w:r>
      <w:r/>
    </w:p>
    <w:p>
      <w:pPr>
        <w:pStyle w:val="1311"/>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＊1.2.9.4称重装置：电子称重装置，控制柜中可实时显示荷载重量。</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＊1.2.9.5 轿厢讯号装置：具有超载显示报警功能。</w:t>
      </w:r>
      <w:r/>
    </w:p>
    <w:p>
      <w:pPr>
        <w:pStyle w:val="1311"/>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＊1.2.9.6主要层站开门时间可调，并具有延长开门时间按钮。</w:t>
      </w:r>
      <w:r/>
    </w:p>
    <w:p>
      <w:pPr>
        <w:pStyle w:val="1311"/>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1.2.10轿厢门和厅门</w:t>
      </w:r>
      <w:r/>
    </w:p>
    <w:p>
      <w:pPr>
        <w:pStyle w:val="1311"/>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＊1.2.10.1开门机：变频变压调速电脑控制（VVVF），门机采用带齿皮带传动；要求调速平滑，运行可靠。</w:t>
      </w:r>
      <w:r/>
    </w:p>
    <w:p>
      <w:pPr>
        <w:pStyle w:val="1311"/>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＊1.2.10.2轿门开门装置：轿门开门装置动作寿命（开门加关门算一次）达到1</w:t>
      </w:r>
      <w:r>
        <w:rPr>
          <w:rFonts w:ascii="宋体" w:hAnsi="宋体" w:cs="宋体"/>
          <w:sz w:val="24"/>
          <w:szCs w:val="24"/>
        </w:rPr>
        <w:t xml:space="preserve">5</w:t>
      </w:r>
      <w:r>
        <w:rPr>
          <w:rFonts w:hint="eastAsia" w:ascii="宋体" w:hAnsi="宋体" w:cs="宋体"/>
          <w:sz w:val="24"/>
          <w:szCs w:val="24"/>
        </w:rPr>
        <w:t xml:space="preserve">00万次及以上。</w:t>
      </w:r>
      <w:r>
        <w:rPr>
          <w:rFonts w:hint="eastAsia" w:ascii="宋体" w:hAnsi="宋体" w:eastAsia="宋体" w:cs="宋体"/>
          <w:color w:val="000000"/>
          <w:sz w:val="24"/>
          <w:szCs w:val="24"/>
          <w:shd w:val="clear" w:color="auto" w:fill="ffff00"/>
        </w:rPr>
        <w:t xml:space="preserve">（需提供第三方检测机构出具的检测报告原件彩色的扫描件上传至投标文件中）</w:t>
      </w:r>
      <w:r/>
    </w:p>
    <w:p>
      <w:pPr>
        <w:pStyle w:val="1311"/>
        <w:ind w:firstLine="480"/>
        <w:spacing w:line="360" w:lineRule="auto"/>
        <w:tabs>
          <w:tab w:val="left" w:pos="1080" w:leader="none"/>
        </w:tabs>
        <w:rPr>
          <w:rFonts w:hint="eastAsia" w:ascii="宋体" w:hAnsi="宋体" w:eastAsia="宋体" w:cs="宋体"/>
          <w:color w:val="000000"/>
          <w:sz w:val="24"/>
          <w:szCs w:val="24"/>
          <w:shd w:val="clear" w:color="auto" w:fill="ffff00"/>
        </w:rPr>
      </w:pPr>
      <w:r>
        <w:rPr>
          <w:rFonts w:hint="eastAsia" w:ascii="宋体" w:hAnsi="宋体" w:cs="宋体"/>
          <w:color w:val="000000"/>
          <w:sz w:val="24"/>
          <w:szCs w:val="24"/>
        </w:rPr>
        <w:t xml:space="preserve">＊1.2.10.3 门机：①采用永磁同步门机；②与电梯为同一品牌。</w:t>
      </w:r>
      <w:r>
        <w:rPr>
          <w:rFonts w:hint="eastAsia" w:ascii="宋体" w:hAnsi="宋体" w:eastAsia="宋体" w:cs="宋体"/>
          <w:color w:val="000000"/>
          <w:sz w:val="24"/>
          <w:szCs w:val="24"/>
          <w:shd w:val="clear" w:color="auto" w:fill="ffff00"/>
        </w:rPr>
        <w:t xml:space="preserve">（需提供第三方检测机构出具的检测报告原件彩色的扫描件上传至投标文件中）</w:t>
      </w:r>
      <w:r/>
    </w:p>
    <w:p>
      <w:pPr>
        <w:pStyle w:val="1311"/>
        <w:ind w:firstLine="48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rPr>
        <w:t xml:space="preserve">＊1.2.10.4 轿厢门和厅门关闭后，门扇之间的间隙应小于4mm。</w:t>
      </w:r>
      <w:r/>
    </w:p>
    <w:p>
      <w:pPr>
        <w:pStyle w:val="1311"/>
        <w:ind w:firstLine="48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rPr>
        <w:t xml:space="preserve">▲1.2.10.5电梯光幕与电梯为同一品牌，且满足发射接收管数目≥40对，光束≥230束，探测距离0~4m，IP防护等级≥IP65。（</w:t>
      </w:r>
      <w:r>
        <w:rPr>
          <w:rFonts w:hint="eastAsia" w:ascii="宋体" w:hAnsi="宋体" w:eastAsia="宋体" w:cs="宋体"/>
          <w:color w:val="000000"/>
          <w:sz w:val="24"/>
          <w:szCs w:val="24"/>
          <w:shd w:val="clear" w:color="auto" w:fill="ffff00"/>
        </w:rPr>
        <w:t xml:space="preserve">（需提供第三方检测机构出具的检测报告原件彩色的扫描件上传至投标文件中）</w:t>
      </w:r>
      <w:r>
        <w:rPr>
          <w:rFonts w:hint="eastAsia" w:ascii="宋体" w:hAnsi="宋体" w:cs="宋体"/>
          <w:color w:val="000000"/>
          <w:sz w:val="24"/>
          <w:szCs w:val="24"/>
        </w:rPr>
        <w:t xml:space="preserve">。</w:t>
      </w:r>
      <w:r/>
    </w:p>
    <w:p>
      <w:pPr>
        <w:pStyle w:val="1311"/>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＊1.2.10.6具有重复关门功能。</w:t>
      </w:r>
      <w:r/>
    </w:p>
    <w:p>
      <w:pPr>
        <w:pStyle w:val="1311"/>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1.2.11轿厢顶</w:t>
      </w:r>
      <w:r/>
    </w:p>
    <w:p>
      <w:pPr>
        <w:pStyle w:val="1311"/>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＊1.2.11.1轿顶上设检修箱及安全护栏，供检修时使用，如轿厢内、井道、控制柜也设有检修运行装置，应确保轿顶优先，检修运行应符合GB7588（2023）中的规定。</w:t>
      </w:r>
      <w:r/>
    </w:p>
    <w:p>
      <w:pPr>
        <w:pStyle w:val="1311"/>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＊1.2.11.2检修箱应包括以下装置：手旋复位的红色停止按钮；检修开关；带36V检修照明灯；维修用插座（220V，单相三线）；检修运行按钮。</w:t>
      </w:r>
      <w:r/>
    </w:p>
    <w:p>
      <w:pPr>
        <w:pStyle w:val="1311"/>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＊1.2.12</w:t>
      </w:r>
      <w:bookmarkStart w:id="127" w:name="_Toc133308838"/>
      <w:r/>
      <w:bookmarkStart w:id="128" w:name="_Toc514164609"/>
      <w:r/>
      <w:bookmarkStart w:id="129" w:name="_Toc133390280"/>
      <w:r/>
      <w:bookmarkStart w:id="130" w:name="_Toc514314332"/>
      <w:r/>
      <w:bookmarkStart w:id="131" w:name="_Toc132207331"/>
      <w:r/>
      <w:bookmarkStart w:id="132" w:name="_Toc514313056"/>
      <w:r/>
      <w:bookmarkStart w:id="133" w:name="_Toc514313428"/>
      <w:r/>
      <w:bookmarkStart w:id="134" w:name="_Toc135749911"/>
      <w:r/>
      <w:bookmarkStart w:id="135" w:name="_Toc514170740"/>
      <w:r/>
      <w:bookmarkStart w:id="136" w:name="_Toc514312905"/>
      <w:r>
        <w:rPr>
          <w:rFonts w:hint="eastAsia" w:ascii="宋体" w:hAnsi="宋体" w:cs="宋体"/>
          <w:sz w:val="24"/>
          <w:szCs w:val="24"/>
        </w:rPr>
        <w:t xml:space="preserve">厅外指示及呼叫一体式装置</w:t>
      </w:r>
      <w:r/>
    </w:p>
    <w:p>
      <w:pPr>
        <w:pStyle w:val="1311"/>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各层均配置厅外层站指示器与厅外呼叫一体式装置，高亮度液晶显示器，显示电梯的位置和运行方向，当电梯处于关闭、暂停服务或维修状态下时，应能给予各类乘客明确的提示。面板为发纹不锈钢，采用数字微触按钮，微型动态发光二极管按钮照明。呼叫装置应满足普通乘客的使用要求。基站（地面一层）呼叫装置上应有钥匙开关（泊梯开关），该开关用以接通控制电源。</w:t>
      </w:r>
      <w:bookmarkEnd w:id="127"/>
      <w:r/>
      <w:bookmarkEnd w:id="128"/>
      <w:r/>
      <w:bookmarkEnd w:id="129"/>
      <w:r/>
      <w:bookmarkEnd w:id="130"/>
      <w:r/>
      <w:bookmarkEnd w:id="131"/>
      <w:r/>
      <w:bookmarkEnd w:id="132"/>
      <w:r/>
      <w:bookmarkEnd w:id="133"/>
      <w:r/>
      <w:bookmarkEnd w:id="134"/>
      <w:r/>
      <w:bookmarkEnd w:id="135"/>
      <w:r/>
      <w:bookmarkEnd w:id="136"/>
      <w:r/>
      <w:r/>
    </w:p>
    <w:p>
      <w:pPr>
        <w:pStyle w:val="1311"/>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1.3其他装置</w:t>
      </w:r>
      <w:r/>
    </w:p>
    <w:p>
      <w:pPr>
        <w:pStyle w:val="1311"/>
        <w:ind w:firstLine="480"/>
        <w:spacing w:line="360" w:lineRule="auto"/>
        <w:rPr>
          <w:rFonts w:hint="eastAsia" w:ascii="宋体" w:hAnsi="宋体" w:cs="宋体"/>
          <w:bCs/>
          <w:sz w:val="24"/>
          <w:szCs w:val="24"/>
        </w:rPr>
      </w:pPr>
      <w:r>
        <w:rPr>
          <w:rFonts w:hint="eastAsia" w:ascii="宋体" w:hAnsi="宋体" w:cs="宋体"/>
          <w:sz w:val="24"/>
          <w:szCs w:val="24"/>
        </w:rPr>
        <w:t xml:space="preserve">＊1.3.1</w:t>
      </w:r>
      <w:r>
        <w:rPr>
          <w:rFonts w:hint="eastAsia" w:ascii="宋体" w:hAnsi="宋体" w:cs="宋体"/>
          <w:bCs/>
          <w:sz w:val="24"/>
          <w:szCs w:val="24"/>
        </w:rPr>
        <w:t xml:space="preserve">轿厢导轨主轨采用实心钢制T型轨：导靴为滑动式。</w:t>
      </w:r>
      <w:r/>
    </w:p>
    <w:p>
      <w:pPr>
        <w:pStyle w:val="1311"/>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2自动精确平层：平层精度应小于±5mm。</w:t>
      </w:r>
      <w:r/>
    </w:p>
    <w:p>
      <w:pPr>
        <w:pStyle w:val="1311"/>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3采购人提供双电路供电开关，停电时，依靠双电源切换装置切换另一回路电力驱动电梯，投标人承诺能保证电梯的正常运行。</w:t>
      </w:r>
      <w:r/>
    </w:p>
    <w:p>
      <w:pPr>
        <w:pStyle w:val="1311"/>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4轿厢应急照明：供电中断，应急灯立即点亮，向轿厢提供照明（应急灯应采用免维护蓄电池，自动充电，供电时间应不小于4小时）。</w:t>
      </w:r>
      <w:r/>
    </w:p>
    <w:p>
      <w:pPr>
        <w:pStyle w:val="1311"/>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5具有电源缺相、错相、短路保护装置。</w:t>
      </w:r>
      <w:r/>
    </w:p>
    <w:p>
      <w:pPr>
        <w:pStyle w:val="1311"/>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6具备火灾运行管理功能：发生火警时，地面1层消防开关接通，所有召唤取消，轿厢返回地面1层，开门放人。提供和消防控制中心匹配的信号输入输出点，消防完毕信号采用无源干触点输出，供消防设备采集信号。</w:t>
      </w:r>
      <w:r/>
    </w:p>
    <w:p>
      <w:pPr>
        <w:pStyle w:val="1311"/>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7防冲顶功能。</w:t>
      </w:r>
      <w:r/>
    </w:p>
    <w:p>
      <w:pPr>
        <w:pStyle w:val="1311"/>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8防坠落装置。</w:t>
      </w:r>
      <w:r/>
    </w:p>
    <w:p>
      <w:pPr>
        <w:pStyle w:val="1311"/>
        <w:ind w:firstLine="480"/>
        <w:spacing w:line="360" w:lineRule="auto"/>
        <w:widowControl/>
        <w:rPr>
          <w:rFonts w:hint="eastAsia" w:ascii="宋体" w:hAnsi="宋体" w:cs="宋体"/>
          <w:sz w:val="24"/>
          <w:szCs w:val="24"/>
        </w:rPr>
      </w:pPr>
      <w:r>
        <w:rPr>
          <w:rFonts w:hint="eastAsia" w:ascii="宋体" w:hAnsi="宋体" w:cs="宋体"/>
          <w:sz w:val="24"/>
          <w:szCs w:val="24"/>
        </w:rPr>
        <w:t xml:space="preserve">＊1.3.9噪声：机房、轿厢内、开门噪声符合国家标准。</w:t>
      </w:r>
      <w:r/>
    </w:p>
    <w:p>
      <w:pPr>
        <w:pStyle w:val="1311"/>
        <w:ind w:firstLine="480"/>
        <w:spacing w:line="360" w:lineRule="auto"/>
        <w:widowControl/>
        <w:rPr>
          <w:rFonts w:hint="eastAsia" w:ascii="宋体" w:hAnsi="宋体" w:cs="宋体"/>
          <w:sz w:val="24"/>
          <w:szCs w:val="24"/>
        </w:rPr>
      </w:pPr>
      <w:r>
        <w:rPr>
          <w:rFonts w:hint="eastAsia" w:ascii="宋体" w:hAnsi="宋体" w:cs="宋体"/>
          <w:sz w:val="24"/>
          <w:szCs w:val="24"/>
        </w:rPr>
        <w:t xml:space="preserve">＊1.3.10起、制动及额定运行时应舒适，无抖动、冲击感觉，运行线路应平滑，运行效率高。</w:t>
      </w:r>
      <w:r/>
    </w:p>
    <w:p>
      <w:pPr>
        <w:pStyle w:val="1311"/>
        <w:ind w:firstLine="48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rPr>
        <w:t xml:space="preserve">＊1.3.11制动器载荷：轿厢内加载至200%，额定载荷并保持20分钟后，部件完好。</w:t>
      </w:r>
      <w:r>
        <w:rPr>
          <w:rFonts w:hint="eastAsia" w:ascii="宋体" w:hAnsi="宋体" w:eastAsia="宋体" w:cs="宋体"/>
          <w:color w:val="000000"/>
          <w:sz w:val="24"/>
          <w:szCs w:val="24"/>
          <w:shd w:val="clear" w:color="auto" w:fill="ffff00"/>
        </w:rPr>
        <w:t xml:space="preserve">（需提供第三方检测机构出具的检测报告原件彩色的扫描件上传至投标文件中）</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1.4 功能配置</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1.4.1基本功能配置：（符合国家验收规范）</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＊（1）全集选控制运行功能。</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 （2）司机服务开关（可通过操纵箱内的开关和按钮对电梯进行单独控制）。</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＊（3）轿内防捣乱功能。</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＊（4）安全停靠：出现故障，电梯可低速就近平层，开门放人。</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＊（5）门速自动调整（根据门的重量，系统自动调整门运行速度和力矩）。</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＊（6）无障碍功能（语音报站、三侧扶手、后侧镜面及残疾人操纵箱）。</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＊（7）重复关门（关门受阻时，重复关门动作，直至杂物被清除）。</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＊（8）中文语音报站及轿厢到站钟。</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▲（9）内部安装五方通话全套设备（即电梯内部通话装置以及连接管理用房的所有管线和设备），实现轿厢、机房、监控中心、电梯顶部、电梯底部五方通话；有线不通时候改为无线。</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▲（10）轿厢内视频监控功能（摄像监控装置以及连接监控中心的所有管线和设备，实现远程监控，所需电缆、管线及设备包含在内），轿厢内原监控的拆除与恢复。</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＊（11）停电应急照明功能（包含设备材料）。</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＊（12）具备消防操作功能。</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＊（13）故障自动存储功能。</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＊（14）动态分散待机。</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＊（15）超载保护功能。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＊（16）超载报警功能。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＊（17）超速保护功能。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＊（18）电动机空载保护功能。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＊（19）警铃报警联络功能。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＊（20）故障低速自救运行功能。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＊（21）轿顶检修操作功能。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＊（22）无呼自返基站功能。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＊（23）运行次数显示功能。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＊（24）起动补偿功能。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＊（25）停车在非门区提示功能。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＊（26）层高自测定功能。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＊（27）轿厢照明自动控制功能。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＊（28）轿厢通风自动控制功能。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＊（29）开门时间自动调整功能。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＊（30）开门时间自动控制功能。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＊（31）门过载保护功能。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＊（32）开关门时间异常保护功能。 </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＊（33）位置异常自动校正功能。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＊（34）反向内指令自动消除功能。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＊（35）满载直驶运行功能。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＊（36）开门异常自动选层功能。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＊（37）安全触板保护功能。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＊（38）微动平层功能。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＊（39）故障自动检测功能。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＊（40）轿内误指令取消功能。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＊（41）无效内指令自动消除功能。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＊（42）泊梯功能。</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＊（43）门区保护（光幕）。</w:t>
      </w:r>
      <w:r/>
    </w:p>
    <w:p>
      <w:pPr>
        <w:pStyle w:val="131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＊（44）专用运行功能。</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＊（45）井道照明。</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＊（46）底坑爬梯。</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＊(47)消防迫降功能。</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▲(48)IC卡功能：写卡器每个小区一套，每户不低于5张IC卡。</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▲(49)阻车系统：防电动车进入电梯，系统需接入现有住宅管理平台。</w:t>
      </w:r>
      <w:r/>
    </w:p>
    <w:p>
      <w:pPr>
        <w:pStyle w:val="1311"/>
        <w:ind w:firstLine="480"/>
        <w:spacing w:line="360" w:lineRule="auto"/>
        <w:widowControl/>
        <w:rPr>
          <w:rFonts w:hint="eastAsia" w:ascii="宋体" w:hAnsi="宋体" w:cs="宋体"/>
          <w:sz w:val="24"/>
          <w:szCs w:val="24"/>
        </w:rPr>
      </w:pPr>
      <w:r>
        <w:rPr>
          <w:rFonts w:hint="eastAsia" w:ascii="宋体" w:hAnsi="宋体" w:cs="宋体"/>
          <w:sz w:val="24"/>
          <w:szCs w:val="24"/>
        </w:rPr>
        <w:t xml:space="preserve">除上述特别要求外电梯性能还应符合GB/T10058-2023《电梯技术条件》3.3条的基本要求。</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1.4.2附加功能配置：由投标人自报，但均含在投标总价中。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注：投标人所提供的货物技术规格应符合货物的技术规格及要求，如果投标人不能响应招标文件技术规格和要求的某项技术规格，投标人应在技术偏离表中说明偏离情况，如果投标人不提供技术偏离表说明偏离情况，则认为提供的货物完全符合本招标文件的要求。</w:t>
      </w:r>
      <w:r/>
    </w:p>
    <w:p>
      <w:pPr>
        <w:pStyle w:val="1311"/>
        <w:ind w:firstLine="472"/>
        <w:spacing w:line="360" w:lineRule="auto"/>
        <w:tabs>
          <w:tab w:val="left" w:pos="6840" w:leader="none"/>
        </w:tabs>
        <w:rPr>
          <w:rFonts w:hint="eastAsia" w:ascii="宋体" w:hAnsi="宋体" w:cs="宋体"/>
          <w:b/>
          <w:sz w:val="24"/>
          <w:szCs w:val="24"/>
        </w:rPr>
      </w:pPr>
      <w:r>
        <w:rPr>
          <w:rFonts w:hint="eastAsia" w:ascii="宋体" w:hAnsi="宋体" w:cs="宋体"/>
          <w:b/>
          <w:sz w:val="24"/>
          <w:szCs w:val="24"/>
        </w:rPr>
        <w:t xml:space="preserve">2、旧梯拆除、安装、调试</w:t>
      </w:r>
      <w:r/>
    </w:p>
    <w:p>
      <w:pPr>
        <w:pStyle w:val="1311"/>
        <w:ind w:firstLine="420"/>
        <w:spacing w:line="360" w:lineRule="auto"/>
        <w:tabs>
          <w:tab w:val="left" w:pos="6840" w:leader="none"/>
        </w:tabs>
        <w:rPr>
          <w:rFonts w:hint="eastAsia" w:ascii="宋体" w:hAnsi="宋体" w:cs="宋体"/>
          <w:b/>
          <w:bCs/>
          <w:sz w:val="24"/>
          <w:szCs w:val="24"/>
        </w:rPr>
      </w:pPr>
      <w:r>
        <w:rPr>
          <w:rFonts w:hint="eastAsia" w:ascii="宋体" w:hAnsi="宋体" w:cs="宋体"/>
          <w:sz w:val="24"/>
          <w:szCs w:val="24"/>
        </w:rPr>
        <w:t xml:space="preserve">★2.1</w:t>
      </w:r>
      <w:r>
        <w:rPr>
          <w:rFonts w:hint="eastAsia" w:ascii="宋体" w:hAnsi="宋体" w:cs="宋体"/>
          <w:b/>
          <w:sz w:val="24"/>
          <w:szCs w:val="24"/>
        </w:rPr>
        <w:t xml:space="preserve">本次所采购电梯由中标人负责合同设备的采购、安装、调试、报验直至领取运行许可的所有证照，期间发生的一切费用由中标人负责。</w:t>
      </w:r>
      <w:r>
        <w:rPr>
          <w:rFonts w:hint="eastAsia" w:ascii="宋体" w:hAnsi="宋体" w:cs="宋体"/>
          <w:b/>
          <w:bCs/>
          <w:color w:val="000000" w:themeColor="text1"/>
          <w:sz w:val="24"/>
          <w:szCs w:val="24"/>
          <w14:textFill>
            <w14:solidFill>
              <w14:schemeClr w14:val="tx1"/>
            </w14:solidFill>
          </w14:textFill>
        </w:rPr>
        <w:t xml:space="preserve">旧电梯中的部分设备由社区优先拆除（社区拆除的设备须经泗洪县住房和城乡建设局同意），</w:t>
      </w:r>
      <w:r>
        <w:rPr>
          <w:rFonts w:hint="eastAsia" w:ascii="宋体" w:hAnsi="宋体" w:cs="宋体"/>
          <w:b/>
          <w:bCs/>
          <w:sz w:val="24"/>
          <w:szCs w:val="24"/>
        </w:rPr>
        <w:t xml:space="preserve">中标单位负责其余设施拆除，残值用于旧梯拆除费用和井道整改。（</w:t>
      </w:r>
      <w:r>
        <w:rPr>
          <w:rFonts w:hint="eastAsia" w:ascii="宋体" w:hAnsi="宋体" w:cs="宋体"/>
          <w:b/>
          <w:bCs/>
          <w:color w:val="ff0000"/>
          <w:sz w:val="24"/>
          <w:szCs w:val="24"/>
        </w:rPr>
        <w:t xml:space="preserve">明细报价中注明残值抵扣费用，未注明残值抵扣费用的做无效标处理</w:t>
      </w:r>
      <w:r>
        <w:rPr>
          <w:rFonts w:hint="eastAsia" w:ascii="宋体" w:hAnsi="宋体" w:cs="宋体"/>
          <w:b/>
          <w:bCs/>
          <w:sz w:val="24"/>
          <w:szCs w:val="24"/>
        </w:rPr>
        <w:t xml:space="preserve">）</w:t>
      </w:r>
      <w:r/>
    </w:p>
    <w:p>
      <w:pPr>
        <w:pStyle w:val="1311"/>
        <w:ind w:firstLine="42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2.2在安装、调试过程中采购人提供水和电源，费用由投标人自理。货物到达现场后卸货所需的起重设备、辅助设备及货物现场保管安装调试所需的一切费用由投标人负责。</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2.3在安装调试过程中，允许采购单位人员参与。设备在此过程中的损坏由投标人负责。</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2.4安装要求：</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2.4.1 应具有建设主管部门颁发的电梯安装资质证书和地方政府的许可证。</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2.4.2 安装队伍概况说明，拟参加安装人员技术证书和工作证及其安装业绩表。</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2.4.3 电梯的安装标准将执行最新的国家标准。</w:t>
      </w:r>
      <w:r/>
    </w:p>
    <w:p>
      <w:pPr>
        <w:pStyle w:val="1311"/>
        <w:ind w:firstLine="472"/>
        <w:spacing w:line="360" w:lineRule="auto"/>
        <w:tabs>
          <w:tab w:val="left" w:pos="6840" w:leader="none"/>
        </w:tabs>
        <w:rPr>
          <w:rFonts w:hint="eastAsia" w:ascii="宋体" w:hAnsi="宋体" w:cs="宋体"/>
          <w:b/>
          <w:sz w:val="24"/>
          <w:szCs w:val="24"/>
        </w:rPr>
      </w:pPr>
      <w:r>
        <w:rPr>
          <w:rFonts w:hint="eastAsia" w:ascii="宋体" w:hAnsi="宋体" w:cs="宋体"/>
          <w:b/>
          <w:sz w:val="24"/>
          <w:szCs w:val="24"/>
        </w:rPr>
        <w:t xml:space="preserve">3、机房改造</w:t>
      </w:r>
      <w:r/>
    </w:p>
    <w:p>
      <w:pPr>
        <w:pStyle w:val="1311"/>
        <w:ind w:firstLine="470"/>
        <w:spacing w:line="360" w:lineRule="auto"/>
        <w:tabs>
          <w:tab w:val="left" w:pos="6840" w:leader="none"/>
        </w:tabs>
        <w:rPr>
          <w:rFonts w:hint="eastAsia" w:ascii="宋体" w:hAnsi="宋体" w:cs="宋体"/>
          <w:bCs/>
          <w:sz w:val="24"/>
          <w:szCs w:val="24"/>
        </w:rPr>
      </w:pPr>
      <w:r>
        <w:rPr>
          <w:rFonts w:hint="eastAsia" w:ascii="宋体" w:hAnsi="宋体" w:cs="宋体"/>
          <w:bCs/>
          <w:sz w:val="24"/>
          <w:szCs w:val="24"/>
        </w:rPr>
        <w:t xml:space="preserve">3.1电梯机房内部楼面、墙面、顶棚、屋面出新，做法详见图纸。</w:t>
      </w:r>
      <w:r>
        <w:rPr>
          <w:rFonts w:hint="eastAsia"/>
        </w:rPr>
      </w:r>
      <w:r/>
    </w:p>
    <w:p>
      <w:pPr>
        <w:pStyle w:val="1311"/>
        <w:ind w:firstLine="470"/>
        <w:spacing w:line="360" w:lineRule="auto"/>
        <w:tabs>
          <w:tab w:val="left" w:pos="6840" w:leader="none"/>
        </w:tabs>
        <w:rPr>
          <w:rFonts w:hint="eastAsia" w:ascii="宋体" w:hAnsi="宋体" w:cs="宋体"/>
          <w:bCs/>
          <w:sz w:val="24"/>
          <w:szCs w:val="24"/>
        </w:rPr>
      </w:pPr>
      <w:r>
        <w:rPr>
          <w:rFonts w:hint="eastAsia" w:ascii="宋体" w:hAnsi="宋体" w:cs="宋体"/>
          <w:bCs/>
          <w:sz w:val="24"/>
          <w:szCs w:val="24"/>
        </w:rPr>
        <w:t xml:space="preserve">3.2电梯机房防火门更换:原电梯机房门更换为乙级防火门，尺寸根据现有门洞尺寸。</w:t>
      </w:r>
      <w:r/>
    </w:p>
    <w:p>
      <w:pPr>
        <w:pStyle w:val="1311"/>
        <w:ind w:firstLine="470"/>
        <w:spacing w:line="360" w:lineRule="auto"/>
        <w:tabs>
          <w:tab w:val="left" w:pos="6840" w:leader="none"/>
        </w:tabs>
        <w:rPr>
          <w:rFonts w:hint="eastAsia" w:ascii="宋体" w:hAnsi="宋体" w:cs="宋体"/>
          <w:bCs/>
          <w:sz w:val="24"/>
          <w:szCs w:val="24"/>
        </w:rPr>
      </w:pPr>
      <w:r>
        <w:rPr>
          <w:rFonts w:hint="eastAsia" w:ascii="宋体" w:hAnsi="宋体" w:cs="宋体"/>
          <w:bCs/>
          <w:sz w:val="24"/>
          <w:szCs w:val="24"/>
        </w:rPr>
        <w:t xml:space="preserve">3.3电梯机房百叶窗更换:原有电梯机房内的金属防雨百叶更换，防虫网更换。</w:t>
      </w:r>
      <w:r/>
    </w:p>
    <w:p>
      <w:pPr>
        <w:pStyle w:val="1311"/>
        <w:ind w:firstLine="470"/>
        <w:spacing w:line="360" w:lineRule="auto"/>
        <w:tabs>
          <w:tab w:val="left" w:pos="6840" w:leader="none"/>
        </w:tabs>
        <w:rPr>
          <w:rFonts w:hint="eastAsia" w:ascii="宋体" w:hAnsi="宋体" w:cs="宋体"/>
          <w:bCs/>
          <w:color w:val="ff0000"/>
          <w:sz w:val="24"/>
          <w:szCs w:val="24"/>
        </w:rPr>
      </w:pPr>
      <w:r>
        <w:rPr>
          <w:rFonts w:hint="eastAsia" w:ascii="宋体" w:hAnsi="宋体" w:cs="宋体"/>
          <w:bCs/>
          <w:sz w:val="24"/>
          <w:szCs w:val="24"/>
        </w:rPr>
        <w:t xml:space="preserve">3.4电梯机房门口增加挡水坎:机房门后加300高100宽细石混凝土挡水坎，并刷1.5Mm厚聚氨酯防水涂料。</w:t>
      </w:r>
      <w:r/>
    </w:p>
    <w:p>
      <w:pPr>
        <w:pStyle w:val="1311"/>
        <w:ind w:firstLine="470"/>
        <w:spacing w:line="360" w:lineRule="auto"/>
        <w:tabs>
          <w:tab w:val="left" w:pos="6840" w:leader="none"/>
        </w:tabs>
        <w:rPr>
          <w:rFonts w:hint="eastAsia" w:ascii="宋体" w:hAnsi="宋体" w:cs="宋体"/>
          <w:bCs/>
          <w:sz w:val="24"/>
          <w:szCs w:val="24"/>
        </w:rPr>
      </w:pPr>
      <w:r>
        <w:rPr>
          <w:rFonts w:hint="eastAsia" w:ascii="宋体" w:hAnsi="宋体" w:cs="宋体"/>
          <w:bCs/>
          <w:sz w:val="24"/>
          <w:szCs w:val="24"/>
        </w:rPr>
        <w:t xml:space="preserve">3.5机房内墙脱落部分须重新粉刷。</w:t>
      </w:r>
      <w:r/>
    </w:p>
    <w:p>
      <w:pPr>
        <w:pStyle w:val="1311"/>
        <w:ind w:firstLine="472"/>
        <w:spacing w:line="360" w:lineRule="auto"/>
        <w:tabs>
          <w:tab w:val="left" w:pos="6840" w:leader="none"/>
        </w:tabs>
        <w:rPr>
          <w:rFonts w:hint="eastAsia" w:ascii="宋体" w:hAnsi="宋体" w:cs="宋体"/>
          <w:sz w:val="24"/>
          <w:szCs w:val="24"/>
        </w:rPr>
      </w:pPr>
      <w:r>
        <w:rPr>
          <w:rFonts w:hint="eastAsia" w:ascii="宋体" w:hAnsi="宋体" w:cs="宋体"/>
          <w:b/>
          <w:sz w:val="24"/>
          <w:szCs w:val="24"/>
        </w:rPr>
        <w:t xml:space="preserve">4、其它要求</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4.1  投标人需对所投产品做详细的技术描述。</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4.2 主要零部件必须如实标明产地。</w:t>
      </w:r>
      <w:r/>
    </w:p>
    <w:p>
      <w:pPr>
        <w:pStyle w:val="1311"/>
        <w:ind w:firstLine="480"/>
        <w:spacing w:line="360" w:lineRule="auto"/>
        <w:rPr>
          <w:rFonts w:hint="eastAsia" w:ascii="宋体" w:hAnsi="宋体" w:cs="宋体"/>
          <w:sz w:val="24"/>
          <w:szCs w:val="24"/>
        </w:rPr>
      </w:pPr>
      <w:r>
        <w:rPr>
          <w:rFonts w:hint="eastAsia" w:ascii="宋体" w:hAnsi="宋体" w:cs="宋体"/>
          <w:sz w:val="24"/>
          <w:szCs w:val="24"/>
        </w:rPr>
        <w:t xml:space="preserve">4.3 投标人对中标货物及服务在质保期内的售后服务要有具体内容及承诺。</w:t>
      </w:r>
      <w:r/>
    </w:p>
    <w:p>
      <w:pPr>
        <w:pStyle w:val="1311"/>
        <w:ind w:firstLine="480"/>
        <w:spacing w:line="360" w:lineRule="auto"/>
        <w:rPr>
          <w:rFonts w:hint="eastAsia" w:ascii="宋体" w:hAnsi="宋体" w:cs="宋体"/>
          <w:sz w:val="24"/>
          <w:szCs w:val="24"/>
        </w:rPr>
      </w:pPr>
      <w:r>
        <w:rPr>
          <w:rFonts w:hint="eastAsia" w:ascii="宋体" w:hAnsi="宋体" w:cs="宋体"/>
          <w:sz w:val="24"/>
          <w:szCs w:val="24"/>
        </w:rPr>
        <w:t xml:space="preserve">4.4质保期满后的售后服务</w:t>
      </w:r>
      <w:r/>
    </w:p>
    <w:p>
      <w:pPr>
        <w:pStyle w:val="1311"/>
        <w:ind w:firstLine="480"/>
        <w:spacing w:line="360" w:lineRule="auto"/>
        <w:rPr>
          <w:rFonts w:hint="eastAsia" w:ascii="宋体" w:hAnsi="宋体" w:cs="宋体"/>
          <w:sz w:val="24"/>
          <w:szCs w:val="24"/>
        </w:rPr>
      </w:pPr>
      <w:r>
        <w:rPr>
          <w:rFonts w:hint="eastAsia" w:ascii="宋体" w:hAnsi="宋体" w:cs="宋体"/>
          <w:sz w:val="24"/>
          <w:szCs w:val="24"/>
        </w:rPr>
        <w:t xml:space="preserve">4.4.1投标人对中标货物及服务在质保期满后，采购方不委托中标方维保的情况下，中标方要列出售后服务具体内容及承诺。</w:t>
      </w:r>
      <w:r/>
    </w:p>
    <w:p>
      <w:pPr>
        <w:pStyle w:val="1311"/>
        <w:ind w:firstLine="480"/>
        <w:spacing w:line="360" w:lineRule="auto"/>
        <w:rPr>
          <w:rFonts w:hint="eastAsia" w:ascii="宋体" w:hAnsi="宋体" w:cs="宋体"/>
          <w:sz w:val="24"/>
          <w:szCs w:val="24"/>
        </w:rPr>
      </w:pPr>
      <w:r>
        <w:rPr>
          <w:rFonts w:hint="eastAsia" w:ascii="宋体" w:hAnsi="宋体" w:cs="宋体"/>
          <w:sz w:val="24"/>
          <w:szCs w:val="24"/>
        </w:rPr>
        <w:t xml:space="preserve">4.4.2分别列出投标人对中标货物质保期满后，在采购方要求的时间内，维保清包、大包的范围、内容、价格及承诺。</w:t>
      </w:r>
      <w:r/>
    </w:p>
    <w:p>
      <w:pPr>
        <w:pStyle w:val="1311"/>
        <w:ind w:firstLine="482"/>
        <w:spacing w:line="360" w:lineRule="auto"/>
        <w:tabs>
          <w:tab w:val="left" w:pos="6840" w:leader="none"/>
        </w:tabs>
        <w:rPr>
          <w:rFonts w:hint="eastAsia" w:ascii="宋体" w:hAnsi="宋体" w:cs="宋体"/>
          <w:b/>
          <w:sz w:val="24"/>
          <w:szCs w:val="24"/>
        </w:rPr>
      </w:pPr>
      <w:r>
        <w:rPr>
          <w:rFonts w:hint="eastAsia" w:ascii="宋体" w:hAnsi="宋体" w:cs="宋体"/>
          <w:b/>
          <w:sz w:val="24"/>
          <w:szCs w:val="24"/>
        </w:rPr>
        <w:t xml:space="preserve">5、有关说明</w:t>
      </w:r>
      <w:r/>
    </w:p>
    <w:p>
      <w:pPr>
        <w:pStyle w:val="1311"/>
        <w:ind w:firstLine="480"/>
        <w:spacing w:line="360" w:lineRule="auto"/>
        <w:rPr>
          <w:rFonts w:hint="eastAsia" w:ascii="宋体" w:hAnsi="宋体" w:cs="宋体"/>
          <w:bCs/>
          <w:sz w:val="24"/>
          <w:szCs w:val="24"/>
        </w:rPr>
      </w:pPr>
      <w:r>
        <w:rPr>
          <w:rFonts w:hint="eastAsia" w:ascii="宋体" w:hAnsi="宋体" w:cs="宋体"/>
          <w:bCs/>
          <w:sz w:val="24"/>
          <w:szCs w:val="24"/>
        </w:rPr>
        <w:t xml:space="preserve">5.1</w:t>
      </w:r>
      <w:r>
        <w:rPr>
          <w:rFonts w:hint="eastAsia" w:ascii="宋体" w:hAnsi="宋体" w:cs="宋体"/>
          <w:sz w:val="24"/>
          <w:szCs w:val="24"/>
        </w:rPr>
        <w:t xml:space="preserve">建筑尺寸、数据：投标人应踏勘现场校核上述尺寸，自行报价。投标人在投标文件中应提供详细的供货范围清单。</w:t>
      </w:r>
      <w:r/>
    </w:p>
    <w:p>
      <w:pPr>
        <w:pStyle w:val="1311"/>
        <w:ind w:firstLine="480"/>
        <w:spacing w:line="360" w:lineRule="auto"/>
        <w:rPr>
          <w:rFonts w:hint="eastAsia" w:ascii="宋体" w:hAnsi="宋体" w:cs="宋体"/>
          <w:bCs/>
          <w:sz w:val="24"/>
          <w:szCs w:val="24"/>
        </w:rPr>
      </w:pPr>
      <w:r>
        <w:rPr>
          <w:rFonts w:hint="eastAsia" w:ascii="宋体" w:hAnsi="宋体" w:cs="宋体"/>
          <w:bCs/>
          <w:sz w:val="24"/>
          <w:szCs w:val="24"/>
        </w:rPr>
        <w:t xml:space="preserve">5.2 文件、资料的提供：投标人在投标文件中，应提供设备制造商、电梯安装、维保的相关资质证书。本次投标设备安装、调试、质量监督及其他服务人员的配备情况，包括人员姓名、年龄、履历以及从事本专业的工龄、职称、级别及参加类似项目的经验情况，在本项目中承担的具体任务等。</w:t>
      </w:r>
      <w:r/>
    </w:p>
    <w:p>
      <w:pPr>
        <w:pStyle w:val="1311"/>
        <w:ind w:firstLine="480"/>
        <w:spacing w:line="360" w:lineRule="auto"/>
        <w:rPr>
          <w:rFonts w:hint="eastAsia" w:ascii="宋体" w:hAnsi="宋体" w:cs="宋体"/>
          <w:bCs/>
          <w:sz w:val="24"/>
          <w:szCs w:val="24"/>
        </w:rPr>
      </w:pPr>
      <w:r>
        <w:rPr>
          <w:rFonts w:hint="eastAsia" w:ascii="宋体" w:hAnsi="宋体" w:cs="宋体"/>
          <w:sz w:val="24"/>
          <w:szCs w:val="24"/>
        </w:rPr>
        <w:t xml:space="preserve">5.3门锁、安全钳、限速器、缓冲器等重要安全部件、必须具有型式试验合格证书。</w:t>
      </w:r>
      <w:r/>
    </w:p>
    <w:p>
      <w:pPr>
        <w:pStyle w:val="1311"/>
        <w:ind w:firstLine="480"/>
        <w:spacing w:line="360" w:lineRule="auto"/>
        <w:tabs>
          <w:tab w:val="left" w:pos="1080" w:leader="none"/>
        </w:tabs>
        <w:rPr>
          <w:rFonts w:hint="eastAsia" w:ascii="宋体" w:hAnsi="宋体" w:cs="宋体"/>
          <w:bCs/>
          <w:sz w:val="24"/>
          <w:szCs w:val="24"/>
        </w:rPr>
      </w:pPr>
      <w:r>
        <w:rPr>
          <w:rFonts w:hint="eastAsia" w:ascii="宋体" w:hAnsi="宋体" w:cs="宋体"/>
          <w:bCs/>
          <w:sz w:val="24"/>
          <w:szCs w:val="24"/>
        </w:rPr>
        <w:t xml:space="preserve">5.4投标人在投标文件中提供投标设备及其安装、维保单位的相关业绩以及售后服务机构和人员情况。</w:t>
      </w:r>
      <w:r/>
    </w:p>
    <w:p>
      <w:pPr>
        <w:pStyle w:val="1311"/>
        <w:ind w:firstLine="480"/>
        <w:spacing w:line="360" w:lineRule="auto"/>
        <w:tabs>
          <w:tab w:val="left" w:pos="1080" w:leader="none"/>
        </w:tabs>
        <w:rPr>
          <w:rFonts w:hint="eastAsia" w:ascii="宋体" w:hAnsi="宋体" w:cs="宋体"/>
          <w:bCs/>
          <w:sz w:val="24"/>
          <w:szCs w:val="24"/>
        </w:rPr>
      </w:pPr>
      <w:r>
        <w:rPr>
          <w:rFonts w:hint="eastAsia" w:ascii="宋体" w:hAnsi="宋体" w:cs="宋体"/>
          <w:bCs/>
          <w:sz w:val="24"/>
          <w:szCs w:val="24"/>
        </w:rPr>
        <w:t xml:space="preserve">5.5投标人在投标文件中应提供投标文件与招标文件的技术及商务条款偏差表，如与招标文件无偏差，也应说明。</w:t>
      </w:r>
      <w:r/>
    </w:p>
    <w:p>
      <w:pPr>
        <w:pStyle w:val="1311"/>
        <w:ind w:firstLine="480"/>
        <w:spacing w:line="360" w:lineRule="auto"/>
        <w:tabs>
          <w:tab w:val="left" w:pos="1080" w:leader="none"/>
        </w:tabs>
        <w:rPr>
          <w:rFonts w:hint="eastAsia" w:ascii="宋体" w:hAnsi="宋体" w:cs="宋体"/>
          <w:bCs/>
          <w:sz w:val="24"/>
          <w:szCs w:val="24"/>
        </w:rPr>
      </w:pPr>
      <w:r>
        <w:rPr>
          <w:rFonts w:hint="eastAsia" w:ascii="宋体" w:hAnsi="宋体" w:cs="宋体"/>
          <w:bCs/>
          <w:sz w:val="24"/>
          <w:szCs w:val="24"/>
        </w:rPr>
        <w:t xml:space="preserve">5.6中标人在设备交货时，应向采购人提供设备、材料的装箱清单、使用说明书、操作规程、保养、维护所必须的资料。所提供资料的语言文字必须是中文。</w:t>
      </w:r>
      <w:r/>
    </w:p>
    <w:p>
      <w:pPr>
        <w:pStyle w:val="1311"/>
        <w:ind w:firstLine="480"/>
        <w:spacing w:line="360" w:lineRule="auto"/>
        <w:tabs>
          <w:tab w:val="left" w:pos="1080" w:leader="none"/>
        </w:tabs>
        <w:rPr>
          <w:rFonts w:hint="eastAsia" w:ascii="宋体" w:hAnsi="宋体" w:cs="宋体"/>
          <w:bCs/>
          <w:sz w:val="24"/>
          <w:szCs w:val="24"/>
        </w:rPr>
      </w:pPr>
      <w:r>
        <w:rPr>
          <w:rFonts w:hint="eastAsia" w:ascii="宋体" w:hAnsi="宋体" w:cs="宋体"/>
          <w:bCs/>
          <w:sz w:val="24"/>
          <w:szCs w:val="24"/>
        </w:rPr>
        <w:t xml:space="preserve">5.7中标人在设备交货时应向采购人提供设备出厂前各项测试报告和产品合格证书。</w:t>
      </w:r>
      <w:r/>
    </w:p>
    <w:p>
      <w:pPr>
        <w:pStyle w:val="1311"/>
        <w:ind w:firstLine="480"/>
        <w:spacing w:line="360" w:lineRule="auto"/>
        <w:tabs>
          <w:tab w:val="left" w:pos="1080" w:leader="none"/>
        </w:tabs>
        <w:rPr>
          <w:rFonts w:hint="eastAsia" w:ascii="宋体" w:hAnsi="宋体" w:cs="宋体"/>
          <w:bCs/>
          <w:sz w:val="24"/>
          <w:szCs w:val="24"/>
        </w:rPr>
      </w:pPr>
      <w:r>
        <w:rPr>
          <w:rFonts w:hint="eastAsia" w:ascii="宋体" w:hAnsi="宋体" w:cs="宋体"/>
          <w:bCs/>
          <w:sz w:val="24"/>
          <w:szCs w:val="24"/>
        </w:rPr>
        <w:t xml:space="preserve">5.8我国实行生产许可证、准入证制度的产品，必须是获得我国具备资质的单位批准认可的产品，投标人应随同投标文件提供有关证明文件。</w:t>
      </w:r>
      <w:r/>
    </w:p>
    <w:p>
      <w:pPr>
        <w:pStyle w:val="1311"/>
        <w:ind w:left="-2" w:firstLine="480"/>
        <w:spacing w:line="360" w:lineRule="auto"/>
        <w:rPr>
          <w:rFonts w:hint="eastAsia" w:ascii="宋体" w:hAnsi="宋体" w:cs="宋体"/>
          <w:sz w:val="24"/>
          <w:szCs w:val="24"/>
        </w:rPr>
      </w:pPr>
      <w:r>
        <w:rPr>
          <w:rFonts w:hint="eastAsia" w:ascii="宋体" w:hAnsi="宋体" w:cs="宋体"/>
          <w:bCs/>
          <w:sz w:val="24"/>
          <w:szCs w:val="24"/>
        </w:rPr>
        <w:t xml:space="preserve">5.9投标人应保证，如能中标，采购人在其本国使用中标设备时，免受第三方提出</w:t>
      </w:r>
      <w:r>
        <w:rPr>
          <w:rFonts w:hint="eastAsia" w:ascii="宋体" w:hAnsi="宋体" w:cs="宋体"/>
          <w:sz w:val="24"/>
          <w:szCs w:val="24"/>
        </w:rPr>
        <w:t xml:space="preserve">的侵犯其专利权、商标权或工业设计权的起诉。</w:t>
      </w:r>
      <w:r/>
    </w:p>
    <w:p>
      <w:pPr>
        <w:pStyle w:val="1311"/>
        <w:ind w:left="-2" w:firstLine="480"/>
        <w:spacing w:line="360" w:lineRule="auto"/>
        <w:rPr>
          <w:rFonts w:hint="eastAsia" w:ascii="宋体" w:hAnsi="宋体" w:cs="宋体"/>
          <w:sz w:val="24"/>
          <w:szCs w:val="24"/>
        </w:rPr>
      </w:pPr>
      <w:r>
        <w:rPr>
          <w:rFonts w:hint="eastAsia" w:ascii="宋体" w:hAnsi="宋体" w:cs="宋体"/>
          <w:sz w:val="24"/>
          <w:szCs w:val="24"/>
        </w:rPr>
        <w:t xml:space="preserve">5.10 电梯的日常维护、保养时间，双方协商，但</w:t>
      </w:r>
      <w:r>
        <w:rPr>
          <w:rFonts w:hint="eastAsia" w:ascii="宋体" w:hAnsi="宋体" w:cs="宋体"/>
          <w:bCs/>
          <w:sz w:val="24"/>
          <w:szCs w:val="24"/>
        </w:rPr>
        <w:t xml:space="preserve">中标</w:t>
      </w:r>
      <w:r>
        <w:rPr>
          <w:rFonts w:hint="eastAsia" w:ascii="宋体" w:hAnsi="宋体" w:cs="宋体"/>
          <w:sz w:val="24"/>
          <w:szCs w:val="24"/>
        </w:rPr>
        <w:t xml:space="preserve">方应服从采购方的安排。</w:t>
      </w:r>
      <w:r/>
    </w:p>
    <w:p>
      <w:pPr>
        <w:pStyle w:val="1311"/>
        <w:ind w:firstLine="480"/>
        <w:spacing w:line="360" w:lineRule="auto"/>
        <w:rPr>
          <w:rFonts w:hint="eastAsia" w:ascii="宋体" w:hAnsi="宋体" w:cs="宋体"/>
          <w:bCs/>
          <w:sz w:val="24"/>
          <w:szCs w:val="24"/>
        </w:rPr>
      </w:pPr>
      <w:r>
        <w:rPr>
          <w:rFonts w:hint="eastAsia" w:ascii="宋体" w:hAnsi="宋体" w:cs="宋体"/>
          <w:bCs/>
          <w:sz w:val="24"/>
          <w:szCs w:val="24"/>
        </w:rPr>
        <w:t xml:space="preserve">5.11 中标方供给采购人的设备、材料及中标方自己的施工用具，进入项目现场后的保管，由中标方负责。中标方在现场安装、调试、验收人员的安全、保险、食宿、交通，由中标方负责。</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5.12需采购方配合的工作：投标人应在投标文件中说明，如能中标，在安装、调试、验收过程中需采购方配合的工作和需采购方提供的条件。</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5.13</w:t>
      </w:r>
      <w:r>
        <w:rPr>
          <w:rFonts w:hint="eastAsia" w:ascii="宋体" w:hAnsi="宋体" w:cs="宋体"/>
          <w:b/>
          <w:bCs/>
          <w:sz w:val="24"/>
          <w:szCs w:val="24"/>
        </w:rPr>
        <w:t xml:space="preserve">投标人必须到现场踏勘以充分了解项目位置、情况、道路、储存空间、机房、井道现有尺寸、装卸限制及任何其它足以影响报价的情况等。开门尺寸、井道尺寸、底坑深度、每层高度以现场实际测量为准，充分考虑电梯井道、机房等改造使之满足安装要求等相关费用</w:t>
      </w:r>
      <w:r>
        <w:rPr>
          <w:rFonts w:hint="eastAsia" w:ascii="宋体" w:hAnsi="宋体" w:cs="宋体"/>
          <w:bCs/>
          <w:sz w:val="24"/>
          <w:szCs w:val="24"/>
        </w:rPr>
        <w:t xml:space="preserve">，并计入投标报价，采购人不负担因投标人对原井道情况考虑不周而产生的其他任何费用。中标后任何因忽视或误解现场情况而导致的索赔申请将不被批准。</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5.14电梯验收合格后，2个月内提供四套完整的电梯验收存档资料，逾期支付采购人1000元/天违约金。</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5.15中标项目负责人须全过程参与电梯安装、调试、验收等工作，无故未请假私自离开工地现场处以500元/天违约金，该违约金直接从合同款中扣除。</w:t>
      </w:r>
      <w:r/>
    </w:p>
    <w:p>
      <w:pPr>
        <w:pStyle w:val="1311"/>
        <w:ind w:firstLine="482"/>
        <w:spacing w:line="360" w:lineRule="auto"/>
        <w:tabs>
          <w:tab w:val="left" w:pos="1008" w:leader="none"/>
        </w:tabs>
        <w:rPr>
          <w:rFonts w:hint="eastAsia" w:ascii="宋体" w:hAnsi="宋体" w:cs="宋体"/>
          <w:b/>
          <w:sz w:val="24"/>
          <w:szCs w:val="24"/>
        </w:rPr>
      </w:pPr>
      <w:r>
        <w:rPr>
          <w:rFonts w:hint="eastAsia" w:ascii="宋体" w:hAnsi="宋体" w:cs="宋体"/>
          <w:b/>
          <w:sz w:val="24"/>
          <w:szCs w:val="24"/>
        </w:rPr>
        <w:t xml:space="preserve">6、技术文件要求</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6.1 投标人必须按规定要求提供投标货物的详细技术资料，以方便采购人评标、定标。投标人提交的技术文件及产品样本必须是“原件彩色扫描件”而不是“复印件”，并且所提供的产品样本必须同货物相一致，其中包括货物的主要性能、技术参数、结构特点、适用范围等，所提供的参考资料应尽可能全面详细。</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6.2投标人应按每台/套设备给采购人提供一套完整的资料并随货物包装发运，其中包括设备安装前对安装环境的要求、操作手册、应用指南和服务。安装说明及示意图，产品合格证、使用说明书、装箱单、进口设备或者进口部件的原产地证明书、商检证明书等。</w:t>
      </w:r>
      <w:r/>
    </w:p>
    <w:p>
      <w:pPr>
        <w:pStyle w:val="1311"/>
        <w:spacing w:line="360" w:lineRule="auto"/>
        <w:tabs>
          <w:tab w:val="left" w:pos="6840" w:leader="none"/>
        </w:tabs>
        <w:rPr>
          <w:rFonts w:hint="eastAsia" w:ascii="宋体" w:hAnsi="宋体"/>
          <w:b/>
          <w:sz w:val="24"/>
          <w:szCs w:val="24"/>
        </w:rPr>
      </w:pPr>
      <w:r>
        <w:rPr>
          <w:rFonts w:hint="eastAsia" w:ascii="宋体" w:hAnsi="宋体"/>
          <w:b/>
          <w:sz w:val="24"/>
          <w:szCs w:val="24"/>
        </w:rPr>
        <w:t xml:space="preserve">（三）</w:t>
      </w:r>
      <w:r>
        <w:rPr>
          <w:rFonts w:hint="eastAsia" w:ascii="宋体" w:hAnsi="宋体"/>
          <w:b/>
          <w:bCs/>
          <w:sz w:val="24"/>
          <w:szCs w:val="24"/>
        </w:rPr>
        <w:t xml:space="preserve">电梯应符合的技术标准要求</w:t>
      </w:r>
      <w:r/>
    </w:p>
    <w:p>
      <w:pPr>
        <w:pStyle w:val="1311"/>
        <w:spacing w:line="360" w:lineRule="auto"/>
        <w:tabs>
          <w:tab w:val="left" w:pos="6840" w:leader="none"/>
        </w:tabs>
        <w:rPr>
          <w:rFonts w:hint="eastAsia" w:ascii="宋体" w:hAnsi="宋体"/>
          <w:sz w:val="24"/>
          <w:szCs w:val="24"/>
        </w:rPr>
      </w:pPr>
      <w:r>
        <w:rPr>
          <w:rFonts w:hint="eastAsia" w:ascii="宋体" w:hAnsi="宋体"/>
          <w:sz w:val="24"/>
          <w:szCs w:val="24"/>
        </w:rPr>
        <w:t xml:space="preserve">    投标人所提供货物的设计、制造、产品性能、材料的选择和材料的检验、产品的测试等，都应按照国内外通行的现行标准和相应的技术规范执行。而这些标准和技术规范应为合同签字日为止最新公布发行的标准和技术规范。本技术规格书中使用的标准如下：</w:t>
      </w:r>
      <w:r/>
    </w:p>
    <w:p>
      <w:pPr>
        <w:pStyle w:val="1311"/>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）《电梯技术条件》</w:t>
      </w:r>
      <w:r>
        <w:rPr>
          <w:rFonts w:ascii="宋体" w:hAnsi="宋体"/>
          <w:sz w:val="24"/>
          <w:szCs w:val="24"/>
        </w:rPr>
        <w:t xml:space="preserve">GB/T10058-</w:t>
      </w:r>
      <w:r>
        <w:rPr>
          <w:rFonts w:hint="eastAsia" w:ascii="宋体" w:hAnsi="宋体"/>
          <w:sz w:val="24"/>
          <w:szCs w:val="24"/>
        </w:rPr>
        <w:t xml:space="preserve">2023</w:t>
      </w:r>
      <w:r/>
    </w:p>
    <w:p>
      <w:pPr>
        <w:pStyle w:val="1311"/>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）《电梯制造与安装安全规范》</w:t>
      </w:r>
      <w:r>
        <w:rPr>
          <w:rFonts w:ascii="宋体" w:hAnsi="宋体"/>
          <w:sz w:val="24"/>
          <w:szCs w:val="24"/>
        </w:rPr>
        <w:t xml:space="preserve">GB7588-20</w:t>
      </w:r>
      <w:r>
        <w:rPr>
          <w:rFonts w:hint="eastAsia" w:ascii="宋体" w:hAnsi="宋体"/>
          <w:sz w:val="24"/>
          <w:szCs w:val="24"/>
        </w:rPr>
        <w:t xml:space="preserve">2</w:t>
      </w:r>
      <w:r>
        <w:rPr>
          <w:rFonts w:ascii="宋体" w:hAnsi="宋体"/>
          <w:sz w:val="24"/>
          <w:szCs w:val="24"/>
        </w:rPr>
        <w:t xml:space="preserve">3</w:t>
      </w:r>
      <w:r/>
    </w:p>
    <w:p>
      <w:pPr>
        <w:pStyle w:val="1311"/>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）《电梯试验方法》</w:t>
      </w:r>
      <w:r>
        <w:rPr>
          <w:rFonts w:ascii="宋体" w:hAnsi="宋体"/>
          <w:sz w:val="24"/>
          <w:szCs w:val="24"/>
        </w:rPr>
        <w:t xml:space="preserve">GB/T10059-</w:t>
      </w:r>
      <w:r>
        <w:rPr>
          <w:rFonts w:hint="eastAsia" w:ascii="宋体" w:hAnsi="宋体"/>
          <w:sz w:val="24"/>
          <w:szCs w:val="24"/>
        </w:rPr>
        <w:t xml:space="preserve">2023</w:t>
      </w:r>
      <w:r/>
    </w:p>
    <w:p>
      <w:pPr>
        <w:pStyle w:val="1311"/>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）《电梯主要参数及轿厢、井道、机房的形式及尺寸》</w:t>
      </w:r>
      <w:r>
        <w:rPr>
          <w:rFonts w:ascii="宋体" w:hAnsi="宋体"/>
          <w:sz w:val="24"/>
          <w:szCs w:val="24"/>
        </w:rPr>
        <w:t xml:space="preserve">GB/T 7025.2-20</w:t>
      </w:r>
      <w:r>
        <w:rPr>
          <w:rFonts w:hint="eastAsia" w:ascii="宋体" w:hAnsi="宋体"/>
          <w:sz w:val="24"/>
          <w:szCs w:val="24"/>
        </w:rPr>
        <w:t xml:space="preserve">23</w:t>
      </w:r>
      <w:r/>
    </w:p>
    <w:p>
      <w:pPr>
        <w:pStyle w:val="1311"/>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）《电梯安装验收规范》</w:t>
      </w:r>
      <w:r>
        <w:rPr>
          <w:rFonts w:ascii="宋体" w:hAnsi="宋体"/>
          <w:sz w:val="24"/>
          <w:szCs w:val="24"/>
        </w:rPr>
        <w:t xml:space="preserve">GB10060-</w:t>
      </w:r>
      <w:r>
        <w:rPr>
          <w:rFonts w:hint="eastAsia" w:ascii="宋体" w:hAnsi="宋体"/>
          <w:sz w:val="24"/>
          <w:szCs w:val="24"/>
        </w:rPr>
        <w:t xml:space="preserve">2023</w:t>
      </w:r>
      <w:r/>
    </w:p>
    <w:p>
      <w:pPr>
        <w:pStyle w:val="1311"/>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）《电梯工程施工质量验收规范》</w:t>
      </w:r>
      <w:r>
        <w:rPr>
          <w:rFonts w:ascii="宋体" w:hAnsi="宋体"/>
          <w:sz w:val="24"/>
          <w:szCs w:val="24"/>
        </w:rPr>
        <w:t xml:space="preserve">GB50310-2</w:t>
      </w:r>
      <w:r>
        <w:rPr>
          <w:rFonts w:hint="eastAsia" w:ascii="宋体" w:hAnsi="宋体"/>
          <w:sz w:val="24"/>
          <w:szCs w:val="24"/>
        </w:rPr>
        <w:t xml:space="preserve">017</w:t>
      </w:r>
      <w:r/>
    </w:p>
    <w:p>
      <w:pPr>
        <w:pStyle w:val="1311"/>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）《电梯用钢丝》</w:t>
      </w:r>
      <w:r>
        <w:rPr>
          <w:rFonts w:ascii="宋体" w:hAnsi="宋体"/>
          <w:sz w:val="24"/>
          <w:szCs w:val="24"/>
        </w:rPr>
        <w:t xml:space="preserve">GB8903-</w:t>
      </w:r>
      <w:r>
        <w:rPr>
          <w:rFonts w:hint="eastAsia" w:ascii="宋体" w:hAnsi="宋体"/>
          <w:sz w:val="24"/>
          <w:szCs w:val="24"/>
        </w:rPr>
        <w:t xml:space="preserve">2024</w:t>
      </w:r>
      <w:r/>
    </w:p>
    <w:p>
      <w:pPr>
        <w:pStyle w:val="1311"/>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）《电梯曳引机》</w:t>
      </w:r>
      <w:r>
        <w:rPr>
          <w:rFonts w:ascii="宋体" w:hAnsi="宋体"/>
          <w:sz w:val="24"/>
          <w:szCs w:val="24"/>
        </w:rPr>
        <w:t xml:space="preserve">GB/T13435-</w:t>
      </w:r>
      <w:r>
        <w:rPr>
          <w:rFonts w:hint="eastAsia" w:ascii="宋体" w:hAnsi="宋体"/>
          <w:sz w:val="24"/>
          <w:szCs w:val="24"/>
        </w:rPr>
        <w:t xml:space="preserve">2023</w:t>
      </w:r>
      <w:r/>
    </w:p>
    <w:p>
      <w:pPr>
        <w:pStyle w:val="1311"/>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）《交流电梯电动机通用技术条件》</w:t>
      </w:r>
      <w:r>
        <w:rPr>
          <w:rFonts w:ascii="宋体" w:hAnsi="宋体"/>
          <w:sz w:val="24"/>
          <w:szCs w:val="24"/>
        </w:rPr>
        <w:t xml:space="preserve">GB/T12974-</w:t>
      </w:r>
      <w:r>
        <w:rPr>
          <w:rFonts w:hint="eastAsia" w:ascii="宋体" w:hAnsi="宋体"/>
          <w:sz w:val="24"/>
          <w:szCs w:val="24"/>
        </w:rPr>
        <w:t xml:space="preserve">2023</w:t>
      </w:r>
      <w:r/>
    </w:p>
    <w:p>
      <w:pPr>
        <w:pStyle w:val="1311"/>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）《电梯层门耐火试验方法》</w:t>
      </w:r>
      <w:r>
        <w:rPr>
          <w:rFonts w:ascii="宋体" w:hAnsi="宋体"/>
          <w:sz w:val="24"/>
          <w:szCs w:val="24"/>
        </w:rPr>
        <w:t xml:space="preserve">GA109-</w:t>
      </w:r>
      <w:r>
        <w:rPr>
          <w:rFonts w:hint="eastAsia" w:ascii="宋体" w:hAnsi="宋体"/>
          <w:sz w:val="24"/>
          <w:szCs w:val="24"/>
        </w:rPr>
        <w:t xml:space="preserve">2011</w:t>
      </w:r>
      <w:r/>
    </w:p>
    <w:p>
      <w:pPr>
        <w:pStyle w:val="1311"/>
        <w:ind w:firstLine="360"/>
        <w:spacing w:line="360" w:lineRule="auto"/>
        <w:rPr>
          <w:rFonts w:ascii="宋体" w:hAnsi="Times New Roman"/>
          <w:sz w:val="24"/>
          <w:szCs w:val="24"/>
        </w:rPr>
      </w:pPr>
      <w:r>
        <w:rPr>
          <w:rFonts w:hint="eastAsia" w:ascii="宋体" w:hAnsi="宋体"/>
          <w:sz w:val="24"/>
          <w:szCs w:val="24"/>
        </w:rPr>
        <w:t xml:space="preserve">（</w:t>
      </w:r>
      <w:r>
        <w:rPr>
          <w:rFonts w:ascii="宋体" w:hAnsi="宋体"/>
          <w:sz w:val="24"/>
          <w:szCs w:val="24"/>
        </w:rPr>
        <w:t xml:space="preserve">11</w:t>
      </w:r>
      <w:r>
        <w:rPr>
          <w:rFonts w:hint="eastAsia" w:ascii="宋体" w:hAnsi="宋体"/>
          <w:sz w:val="24"/>
          <w:szCs w:val="24"/>
        </w:rPr>
        <w:t xml:space="preserve">）《电梯操作装置、信号和附件》（</w:t>
      </w:r>
      <w:r>
        <w:rPr>
          <w:rFonts w:ascii="宋体" w:hAnsi="宋体"/>
          <w:sz w:val="24"/>
          <w:szCs w:val="24"/>
        </w:rPr>
        <w:t xml:space="preserve">JG/T5009-</w:t>
      </w:r>
      <w:r>
        <w:rPr>
          <w:rFonts w:hint="eastAsia" w:ascii="宋体" w:hAnsi="宋体"/>
          <w:sz w:val="24"/>
          <w:szCs w:val="24"/>
        </w:rPr>
        <w:t xml:space="preserve">2014）</w:t>
      </w:r>
      <w:r/>
    </w:p>
    <w:p>
      <w:pPr>
        <w:pStyle w:val="1311"/>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12</w:t>
      </w:r>
      <w:r>
        <w:rPr>
          <w:rFonts w:hint="eastAsia" w:ascii="宋体" w:hAnsi="宋体"/>
          <w:sz w:val="24"/>
          <w:szCs w:val="24"/>
        </w:rPr>
        <w:t xml:space="preserve">）《机械设备安装工程电梯电气装置施工及验收规范》</w:t>
      </w:r>
      <w:r>
        <w:rPr>
          <w:rFonts w:ascii="宋体" w:hAnsi="宋体"/>
          <w:sz w:val="24"/>
          <w:szCs w:val="24"/>
        </w:rPr>
        <w:t xml:space="preserve">GB50182-93</w:t>
      </w:r>
      <w:r/>
    </w:p>
    <w:p>
      <w:pPr>
        <w:pStyle w:val="1311"/>
        <w:ind w:firstLine="360"/>
        <w:spacing w:line="360" w:lineRule="auto"/>
        <w:rPr>
          <w:rFonts w:ascii="宋体" w:hAnsi="Times New Roman"/>
          <w:sz w:val="24"/>
          <w:szCs w:val="24"/>
        </w:rPr>
      </w:pPr>
      <w:r>
        <w:rPr>
          <w:rFonts w:hint="eastAsia" w:ascii="宋体" w:hAnsi="宋体"/>
          <w:sz w:val="24"/>
          <w:szCs w:val="24"/>
        </w:rPr>
        <w:t xml:space="preserve">（</w:t>
      </w:r>
      <w:r>
        <w:rPr>
          <w:rFonts w:ascii="宋体" w:hAnsi="宋体"/>
          <w:sz w:val="24"/>
          <w:szCs w:val="24"/>
        </w:rPr>
        <w:t xml:space="preserve">13</w:t>
      </w:r>
      <w:r>
        <w:rPr>
          <w:rFonts w:hint="eastAsia" w:ascii="宋体" w:hAnsi="宋体"/>
          <w:sz w:val="24"/>
          <w:szCs w:val="24"/>
        </w:rPr>
        <w:t xml:space="preserve">）江苏省防火部门的条例及相关的中国国家防火规则</w:t>
      </w:r>
      <w:r/>
    </w:p>
    <w:p>
      <w:pPr>
        <w:pStyle w:val="1311"/>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14</w:t>
      </w:r>
      <w:r>
        <w:rPr>
          <w:rFonts w:hint="eastAsia" w:ascii="宋体" w:hAnsi="宋体"/>
          <w:sz w:val="24"/>
          <w:szCs w:val="24"/>
        </w:rPr>
        <w:t xml:space="preserve">）《市场监管总局办公厅关于进一步做好住宅老旧电梯更新有关工作的通知》（市监特设发〔2025〕52号）</w:t>
      </w:r>
      <w:r/>
    </w:p>
    <w:p>
      <w:pPr>
        <w:pStyle w:val="1311"/>
        <w:ind w:firstLine="360"/>
        <w:spacing w:line="360" w:lineRule="auto"/>
        <w:rPr>
          <w:rFonts w:hint="eastAsia" w:ascii="宋体" w:hAnsi="宋体"/>
          <w:sz w:val="24"/>
          <w:szCs w:val="24"/>
        </w:rPr>
      </w:pPr>
      <w:r>
        <w:rPr>
          <w:rFonts w:hint="eastAsia" w:ascii="宋体" w:hAnsi="宋体"/>
          <w:sz w:val="24"/>
          <w:szCs w:val="24"/>
        </w:rPr>
        <w:t xml:space="preserve">（15）《市场监管总局办公厅关于进一步做好住宅老旧电梯更新有关工作的通知附件1.纳入超长期特别国债资金支持的更新电梯专项要求》（市监特设发〔2025〕52号）</w:t>
      </w:r>
      <w:r/>
    </w:p>
    <w:p>
      <w:pPr>
        <w:pStyle w:val="1311"/>
        <w:ind w:firstLine="360"/>
        <w:spacing w:line="360" w:lineRule="auto"/>
        <w:rPr>
          <w:rFonts w:hint="eastAsia" w:ascii="宋体" w:hAnsi="宋体"/>
          <w:sz w:val="24"/>
          <w:szCs w:val="24"/>
        </w:rPr>
      </w:pPr>
      <w:r>
        <w:rPr>
          <w:rFonts w:hint="eastAsia" w:ascii="宋体" w:hAnsi="宋体"/>
          <w:sz w:val="24"/>
          <w:szCs w:val="24"/>
        </w:rPr>
        <w:t xml:space="preserve">（16）《市场监管总局办公厅关于进一步做好住宅老旧电梯更新有关工作的通知附件2.纳入超长期特别国债资金支持的更新电梯检验附加要求》（市监特设发〔2025〕52号）</w:t>
      </w:r>
      <w:r/>
    </w:p>
    <w:p>
      <w:pPr>
        <w:pStyle w:val="1311"/>
        <w:ind w:firstLine="360"/>
        <w:spacing w:line="360" w:lineRule="auto"/>
        <w:rPr>
          <w:rFonts w:ascii="宋体" w:hAnsi="Times New Roman"/>
          <w:sz w:val="24"/>
          <w:szCs w:val="24"/>
        </w:rPr>
      </w:pPr>
      <w:r>
        <w:rPr>
          <w:rFonts w:hint="eastAsia" w:ascii="宋体" w:hAnsi="宋体" w:cs="宋体"/>
          <w:bCs/>
          <w:sz w:val="24"/>
          <w:szCs w:val="24"/>
        </w:rPr>
        <w:t xml:space="preserve">（17）其他</w:t>
      </w:r>
      <w:bookmarkStart w:id="137" w:name="_Hlk135317920"/>
      <w:r>
        <w:rPr>
          <w:rFonts w:hint="eastAsia" w:ascii="宋体" w:hAnsi="宋体" w:cs="宋体"/>
          <w:bCs/>
          <w:sz w:val="24"/>
          <w:szCs w:val="24"/>
        </w:rPr>
        <w:t xml:space="preserve">与电梯相关的国家、行业和地方的法律法规、规范规程、标准、图集</w:t>
      </w:r>
      <w:bookmarkEnd w:id="137"/>
      <w:r>
        <w:rPr>
          <w:rFonts w:hint="eastAsia" w:ascii="宋体" w:hAnsi="宋体"/>
          <w:sz w:val="24"/>
          <w:szCs w:val="24"/>
        </w:rPr>
        <w:t xml:space="preserve">。</w:t>
      </w:r>
      <w:r/>
    </w:p>
    <w:p>
      <w:pPr>
        <w:ind w:firstLine="480"/>
        <w:spacing w:line="360" w:lineRule="auto"/>
        <w:rPr>
          <w:rFonts w:hint="eastAsia" w:ascii="宋体" w:hAnsi="宋体" w:cs="Arial"/>
          <w:sz w:val="24"/>
          <w:szCs w:val="24"/>
        </w:rPr>
      </w:pPr>
      <w:r>
        <w:rPr>
          <w:rFonts w:hint="eastAsia" w:ascii="宋体" w:hAnsi="宋体" w:cs="宋体"/>
          <w:bCs/>
          <w:sz w:val="24"/>
          <w:szCs w:val="24"/>
        </w:rPr>
        <w:t xml:space="preserve">上述规范及技术条件并非全部，如有停用或废止的，应以相应的最新版本为准。</w:t>
      </w:r>
      <w:r/>
    </w:p>
    <w:p>
      <w:pPr>
        <w:ind w:firstLine="480"/>
        <w:spacing w:line="360" w:lineRule="auto"/>
        <w:rPr>
          <w:rFonts w:hint="eastAsia" w:ascii="宋体" w:hAnsi="宋体"/>
          <w:b/>
          <w:bCs/>
          <w:sz w:val="24"/>
          <w:szCs w:val="24"/>
        </w:rPr>
      </w:pPr>
      <w:r>
        <w:rPr>
          <w:rFonts w:ascii="宋体" w:hAnsi="宋体" w:cs="Arial"/>
          <w:sz w:val="24"/>
          <w:szCs w:val="24"/>
        </w:rPr>
        <w:t xml:space="preserve">本次招标的电梯</w:t>
      </w:r>
      <w:r>
        <w:rPr>
          <w:rFonts w:hint="eastAsia" w:ascii="宋体" w:hAnsi="宋体" w:cs="Arial"/>
          <w:sz w:val="24"/>
          <w:szCs w:val="24"/>
        </w:rPr>
        <w:t xml:space="preserve">要求为未使用过的全新产品。</w:t>
      </w:r>
      <w:r/>
    </w:p>
    <w:p>
      <w:pPr>
        <w:spacing w:line="360" w:lineRule="auto"/>
        <w:rPr>
          <w:rFonts w:hint="eastAsia" w:ascii="宋体" w:hAnsi="宋体"/>
          <w:b/>
          <w:bCs/>
          <w:sz w:val="28"/>
          <w:szCs w:val="28"/>
        </w:rPr>
        <w:outlineLvl w:val="1"/>
      </w:pPr>
      <w:r>
        <w:rPr>
          <w:rFonts w:hint="eastAsia" w:ascii="宋体" w:hAnsi="宋体"/>
          <w:b/>
          <w:bCs/>
          <w:sz w:val="28"/>
          <w:szCs w:val="28"/>
        </w:rPr>
        <w:t xml:space="preserve">四</w:t>
      </w:r>
      <w:r>
        <w:rPr>
          <w:rFonts w:ascii="宋体" w:hAnsi="宋体"/>
          <w:b/>
          <w:bCs/>
          <w:sz w:val="28"/>
          <w:szCs w:val="28"/>
        </w:rPr>
        <w:t xml:space="preserve">、</w:t>
      </w:r>
      <w:r>
        <w:rPr>
          <w:rFonts w:hint="eastAsia" w:ascii="宋体" w:hAnsi="宋体"/>
          <w:b/>
          <w:bCs/>
          <w:sz w:val="28"/>
          <w:szCs w:val="28"/>
        </w:rPr>
        <w:t xml:space="preserve">商务</w:t>
      </w:r>
      <w:r>
        <w:rPr>
          <w:rFonts w:ascii="宋体" w:hAnsi="宋体"/>
          <w:b/>
          <w:bCs/>
          <w:sz w:val="28"/>
          <w:szCs w:val="28"/>
        </w:rPr>
        <w:t xml:space="preserve">要求</w:t>
      </w:r>
      <w:r/>
    </w:p>
    <w:p>
      <w:pPr>
        <w:ind w:firstLine="480"/>
        <w:jc w:val="left"/>
        <w:spacing w:line="360" w:lineRule="auto"/>
        <w:widowControl/>
        <w:rPr>
          <w:rFonts w:hint="eastAsia" w:ascii="宋体" w:hAnsi="宋体" w:cs="宋体"/>
          <w:b/>
          <w:sz w:val="24"/>
          <w:szCs w:val="24"/>
        </w:rPr>
      </w:pPr>
      <w:r>
        <w:rPr>
          <w:rFonts w:hint="eastAsia" w:ascii="宋体" w:hAnsi="宋体" w:cs="宋体"/>
          <w:b/>
          <w:sz w:val="24"/>
          <w:szCs w:val="24"/>
        </w:rPr>
        <w:t xml:space="preserve">（一）包装与储运要求</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1、包装与保护</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投标人应确保所提供的货物在装、卸、运输和储存过程中有足够的包装保护，防止货物受潮、生锈、被腐蚀、受到冲撞以及其他不可预见的损坏。货物的包装应为生产厂商出厂时的原包装，并符合相关国家标准。</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2、货物装箱清单及文件</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货物包装箱内必须附有详细的装箱清单，主机、附件、各种零部件和消耗品有清楚的与装箱单相对应的名称和编号。在包装箱中必须有招标文件所要求的所有文件和资料。</w:t>
      </w:r>
      <w:r/>
    </w:p>
    <w:p>
      <w:pPr>
        <w:ind w:firstLine="480"/>
        <w:spacing w:line="360" w:lineRule="auto"/>
        <w:rPr>
          <w:rFonts w:hint="eastAsia" w:ascii="宋体" w:hAnsi="宋体"/>
          <w:b/>
          <w:bCs/>
          <w:sz w:val="24"/>
          <w:szCs w:val="24"/>
        </w:rPr>
      </w:pPr>
      <w:r>
        <w:rPr>
          <w:rFonts w:hint="eastAsia" w:ascii="宋体" w:hAnsi="宋体"/>
          <w:b/>
          <w:bCs/>
          <w:sz w:val="24"/>
          <w:szCs w:val="24"/>
        </w:rPr>
        <w:t xml:space="preserve">（二）交货期、交货方式及交货地点</w:t>
      </w:r>
      <w:r/>
    </w:p>
    <w:p>
      <w:pPr>
        <w:ind w:firstLine="480"/>
        <w:spacing w:line="360" w:lineRule="auto"/>
        <w:rPr>
          <w:rFonts w:hint="eastAsia" w:ascii="宋体" w:hAnsi="宋体"/>
          <w:sz w:val="24"/>
          <w:szCs w:val="24"/>
        </w:rPr>
      </w:pPr>
      <w:r>
        <w:rPr>
          <w:rFonts w:hint="eastAsia" w:ascii="宋体" w:hAnsi="宋体"/>
          <w:sz w:val="24"/>
          <w:szCs w:val="24"/>
        </w:rPr>
        <w:t xml:space="preserve">1、交货期：</w:t>
      </w:r>
      <w:r>
        <w:rPr>
          <w:rFonts w:hint="eastAsia" w:ascii="宋体" w:hAnsi="宋体" w:cs="宋体"/>
          <w:sz w:val="24"/>
        </w:rPr>
        <w:t xml:space="preserve">合同签订后</w:t>
      </w:r>
      <w:r>
        <w:rPr>
          <w:rFonts w:hint="eastAsia" w:ascii="宋体" w:hAnsi="宋体" w:cs="宋体"/>
          <w:sz w:val="24"/>
          <w:lang w:eastAsia="zh-CN"/>
        </w:rPr>
        <w:t xml:space="preserve">60日历天</w:t>
      </w:r>
      <w:r>
        <w:rPr>
          <w:rFonts w:hint="eastAsia" w:ascii="宋体" w:hAnsi="宋体" w:cs="宋体"/>
          <w:sz w:val="24"/>
        </w:rPr>
        <w:t xml:space="preserve">内完成供货安装调试。</w:t>
      </w:r>
      <w:r/>
    </w:p>
    <w:p>
      <w:pPr>
        <w:ind w:firstLine="480"/>
        <w:spacing w:line="360" w:lineRule="auto"/>
        <w:rPr>
          <w:rFonts w:hint="eastAsia" w:ascii="宋体" w:hAnsi="宋体"/>
          <w:sz w:val="24"/>
          <w:szCs w:val="24"/>
        </w:rPr>
      </w:pPr>
      <w:r>
        <w:rPr>
          <w:rFonts w:hint="eastAsia" w:ascii="宋体" w:hAnsi="宋体"/>
          <w:sz w:val="24"/>
          <w:szCs w:val="24"/>
        </w:rPr>
        <w:t xml:space="preserve">2、交货地点：采购人指定地点，由供应商负责办理运输和装卸等，费用由供应商负责，采购人组织验收，检验不合格或不符合质量要求，供应商除无条件退货、返工外，还应承担采购人由此造成的一切损失。</w:t>
      </w:r>
      <w:r/>
    </w:p>
    <w:p>
      <w:pPr>
        <w:ind w:firstLine="480"/>
        <w:spacing w:line="360" w:lineRule="auto"/>
        <w:rPr>
          <w:rFonts w:hint="eastAsia" w:ascii="宋体" w:hAnsi="宋体"/>
          <w:b/>
          <w:bCs/>
          <w:sz w:val="24"/>
          <w:szCs w:val="24"/>
        </w:rPr>
      </w:pPr>
      <w:r>
        <w:rPr>
          <w:rFonts w:hint="eastAsia" w:ascii="宋体" w:hAnsi="宋体"/>
          <w:b/>
          <w:bCs/>
          <w:sz w:val="24"/>
          <w:szCs w:val="24"/>
        </w:rPr>
        <w:t xml:space="preserve">（三）付款方式</w:t>
      </w:r>
      <w:r/>
    </w:p>
    <w:p>
      <w:pPr>
        <w:pStyle w:val="1233"/>
        <w:ind w:firstLine="480"/>
        <w:spacing w:line="480" w:lineRule="exact"/>
        <w:rPr>
          <w:rFonts w:hint="eastAsia" w:ascii="宋体" w:hAnsi="宋体" w:cs="宋体"/>
          <w:sz w:val="24"/>
        </w:rPr>
      </w:pPr>
      <w:r/>
      <w:bookmarkStart w:id="138" w:name="_Hlk187855282"/>
      <w:r>
        <w:rPr>
          <w:rFonts w:hint="eastAsia" w:ascii="宋体" w:hAnsi="宋体" w:cs="宋体"/>
          <w:sz w:val="24"/>
        </w:rPr>
        <w:t xml:space="preserve">预付款，签订合同后支付合同总价款的30%；</w:t>
      </w:r>
      <w:r/>
    </w:p>
    <w:p>
      <w:pPr>
        <w:pStyle w:val="1233"/>
        <w:ind w:firstLine="480"/>
        <w:spacing w:line="480" w:lineRule="exact"/>
        <w:rPr>
          <w:rFonts w:hint="eastAsia" w:ascii="宋体" w:hAnsi="宋体" w:cs="宋体"/>
          <w:color w:val="0000ff"/>
          <w:sz w:val="24"/>
        </w:rPr>
      </w:pPr>
      <w:r>
        <w:rPr>
          <w:rFonts w:hint="eastAsia" w:ascii="宋体" w:hAnsi="宋体" w:cs="宋体"/>
          <w:sz w:val="24"/>
        </w:rPr>
        <w:t xml:space="preserve">进度款：设备安装进度至50%支付至合同价款的50%，</w:t>
      </w:r>
      <w:r>
        <w:rPr>
          <w:rFonts w:hint="eastAsia" w:ascii="宋体" w:hAnsi="宋体" w:cs="宋体"/>
          <w:color w:val="000000" w:themeColor="text1"/>
          <w:sz w:val="24"/>
          <w14:textFill>
            <w14:solidFill>
              <w14:schemeClr w14:val="tx1"/>
            </w14:solidFill>
          </w14:textFill>
        </w:rPr>
        <w:t xml:space="preserve">全部安装完毕付，且特种设备安全监督部门验收合格、取得“电梯使用登记标志”后至合同价款的80%，其他附属设施安装完毕且取得竣工证明后付至合同价的100%。</w:t>
      </w:r>
      <w:r/>
    </w:p>
    <w:p>
      <w:pPr>
        <w:pStyle w:val="1233"/>
        <w:ind w:firstLine="480"/>
        <w:spacing w:line="480" w:lineRule="exact"/>
        <w:rPr>
          <w:rFonts w:hint="eastAsia" w:ascii="宋体" w:hAnsi="宋体" w:cs="宋体"/>
          <w:sz w:val="24"/>
        </w:rPr>
      </w:pPr>
      <w:r>
        <w:rPr>
          <w:rFonts w:hint="eastAsia" w:ascii="宋体" w:hAnsi="宋体" w:cs="宋体"/>
          <w:sz w:val="24"/>
        </w:rPr>
        <w:t xml:space="preserve">（1）可以采用数字人民币支付。</w:t>
      </w:r>
      <w:r/>
    </w:p>
    <w:p>
      <w:pPr>
        <w:pStyle w:val="1233"/>
        <w:ind w:firstLine="480"/>
        <w:spacing w:line="480" w:lineRule="exact"/>
        <w:rPr>
          <w:rFonts w:hint="eastAsia" w:ascii="宋体" w:hAnsi="宋体" w:cs="宋体"/>
          <w:sz w:val="24"/>
        </w:rPr>
      </w:pPr>
      <w:r>
        <w:rPr>
          <w:rFonts w:hint="eastAsia" w:ascii="宋体" w:hAnsi="宋体" w:cs="宋体"/>
          <w:sz w:val="24"/>
        </w:rPr>
        <w:t xml:space="preserve">（2）资金支付的时间：收到供应商发票10个工作日内。</w:t>
      </w:r>
      <w:r/>
    </w:p>
    <w:p>
      <w:pPr>
        <w:pStyle w:val="1233"/>
        <w:ind w:firstLine="480"/>
        <w:spacing w:line="480" w:lineRule="exact"/>
        <w:rPr>
          <w:rFonts w:hint="eastAsia" w:ascii="宋体" w:hAnsi="宋体" w:cs="宋体"/>
          <w:sz w:val="24"/>
        </w:rPr>
      </w:pPr>
      <w:r>
        <w:rPr>
          <w:rFonts w:hint="eastAsia" w:ascii="宋体" w:hAnsi="宋体" w:cs="宋体"/>
          <w:sz w:val="24"/>
        </w:rPr>
        <w:t xml:space="preserve">（3）资金支付的条件：满足相应阶段的要求且收到供应商发票。</w:t>
      </w:r>
      <w:r/>
    </w:p>
    <w:p>
      <w:pPr>
        <w:pStyle w:val="1233"/>
        <w:ind w:firstLine="480"/>
        <w:spacing w:line="480" w:lineRule="exact"/>
        <w:rPr>
          <w:rFonts w:hint="eastAsia" w:ascii="宋体" w:hAnsi="宋体" w:cs="宋体"/>
          <w:sz w:val="24"/>
        </w:rPr>
      </w:pPr>
      <w:r>
        <w:rPr>
          <w:rFonts w:hint="eastAsia" w:ascii="宋体" w:hAnsi="宋体" w:cs="宋体"/>
          <w:sz w:val="24"/>
        </w:rPr>
        <w:t xml:space="preserve">（4）在签订合同时，供应商明确表示无需预付款或者主动要求降低预付款</w:t>
      </w:r>
      <w:r>
        <w:rPr>
          <w:rFonts w:hint="eastAsia" w:ascii="宋体" w:hAnsi="宋体"/>
          <w:sz w:val="24"/>
          <w:szCs w:val="24"/>
        </w:rPr>
        <w:t xml:space="preserve">比例的，采购人可不适用前述规定。</w:t>
      </w:r>
      <w:r/>
    </w:p>
    <w:p>
      <w:pPr>
        <w:ind w:firstLine="480"/>
        <w:spacing w:before="240" w:line="360" w:lineRule="auto"/>
        <w:rPr>
          <w:rFonts w:hint="eastAsia" w:ascii="宋体" w:hAnsi="宋体"/>
          <w:b/>
          <w:bCs/>
          <w:sz w:val="24"/>
          <w:szCs w:val="24"/>
        </w:rPr>
      </w:pPr>
      <w:r>
        <w:rPr>
          <w:rFonts w:hint="eastAsia" w:ascii="宋体" w:hAnsi="宋体"/>
          <w:b/>
          <w:bCs/>
          <w:sz w:val="24"/>
          <w:szCs w:val="24"/>
        </w:rPr>
        <w:t xml:space="preserve">五、验收标准</w:t>
      </w:r>
      <w:bookmarkEnd w:id="138"/>
      <w:r/>
      <w:r/>
    </w:p>
    <w:p>
      <w:pPr>
        <w:pStyle w:val="1311"/>
        <w:ind w:firstLine="480"/>
        <w:spacing w:line="360" w:lineRule="auto"/>
        <w:tabs>
          <w:tab w:val="left" w:pos="6840" w:leader="none"/>
        </w:tabs>
        <w:rPr>
          <w:rFonts w:hint="eastAsia" w:ascii="宋体" w:hAnsi="宋体" w:cs="宋体"/>
          <w:sz w:val="24"/>
          <w:szCs w:val="24"/>
        </w:rPr>
      </w:pPr>
      <w:r/>
      <w:bookmarkStart w:id="139" w:name="OLE_LINK9"/>
      <w:r>
        <w:rPr>
          <w:rFonts w:hint="eastAsia" w:ascii="宋体" w:hAnsi="宋体" w:cs="宋体"/>
          <w:sz w:val="24"/>
          <w:szCs w:val="24"/>
        </w:rPr>
        <w:t xml:space="preserve">（一）鉴定和验收</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1、现场验收：设备、附件及备件的开箱检验，应在货物到达交货地点后10天内在合同指定的现场完成。</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2、场地环境：货物到达安装现场后，按有关技术规程的规定存放和保管，如投标人有特殊要求，应向采购人及早提出。</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3、安装调试：货物应由投标人负责在采购人建筑工地现场进行安装、调试及运行，经当地相关部门电梯检测合格后交付采购人使用。一切在安装、调试过程中造成的货物损坏，责任均在投标人。</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设备的检验和验收：投标人除对标书规定的电梯设备提供重要关键零部件的制造质量检测报告外，在标书中确定的安装地安装完毕后，采购人要求对整机的性能至少做以下第（二）项的检验。试验结果必须符合我国电梯制造与安装安全规范（GB10058，GB10060）以及投标人提供的制造与安装标准和技术规范要求。</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（二）检验要求：</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1、按投标人提供的文件与已安装完毕的电梯比较；</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2、对外观及无特殊要求的部件制造、安装质量，进行直观检查；</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3、门锁装置、控制柜、限速器、安全钳、缓冲器等部件，投标人必须提供鉴定合格证的副本，并将其合格证详细内容与电梯特殊性进行比较。</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4、投标人必须对电梯井道进行检查修复，确保井道无漏水、倾斜等问题。</w:t>
      </w:r>
      <w:r/>
    </w:p>
    <w:p>
      <w:pPr>
        <w:pStyle w:val="1311"/>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（三）设备安装调试合格后，由投标人负责联系使用地国家法定检验部门，会同采购人按国家有关标准进行联合验收，并办理使用许可证。</w:t>
      </w:r>
      <w:bookmarkEnd w:id="139"/>
      <w:r/>
      <w:r/>
    </w:p>
    <w:p>
      <w:pPr>
        <w:jc w:val="left"/>
        <w:spacing w:line="360" w:lineRule="auto"/>
        <w:widowControl/>
        <w:rPr>
          <w:rFonts w:hint="eastAsia" w:ascii="宋体" w:hAnsi="宋体" w:cs="宋体"/>
          <w:sz w:val="24"/>
        </w:rPr>
        <w:outlineLvl w:val="1"/>
      </w:pPr>
      <w:r>
        <w:rPr>
          <w:rFonts w:hint="eastAsia" w:ascii="宋体" w:hAnsi="宋体"/>
          <w:b/>
          <w:bCs/>
          <w:sz w:val="28"/>
          <w:szCs w:val="28"/>
        </w:rPr>
        <w:t xml:space="preserve">六、</w:t>
      </w:r>
      <w:r>
        <w:rPr>
          <w:rFonts w:hint="eastAsia" w:ascii="宋体" w:hAnsi="宋体" w:cs="宋体"/>
          <w:b/>
          <w:bCs/>
          <w:sz w:val="24"/>
        </w:rPr>
        <w:t xml:space="preserve">项目实施方案</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1、项目实施方案：投标人应按照招标文件要求制定详细的项目实施方案，包括但不限于涉及人员组成、旧梯</w:t>
      </w:r>
      <w:r>
        <w:rPr>
          <w:rFonts w:hint="eastAsia" w:ascii="Times New Roman" w:hAnsi="Times New Roman" w:cs="宋体"/>
          <w:color w:val="000000"/>
          <w:sz w:val="24"/>
          <w:szCs w:val="24"/>
        </w:rPr>
        <w:t xml:space="preserve">拆除</w:t>
      </w:r>
      <w:r>
        <w:rPr>
          <w:rFonts w:hint="eastAsia" w:ascii="宋体" w:hAnsi="宋体" w:cs="宋体"/>
          <w:sz w:val="24"/>
        </w:rPr>
        <w:t xml:space="preserve">、质量保障措施、设备安装调试验收、风险预防及控制措施、突发事件处置方案以及原设备拆除等内容。方案应完全满足招标文件对项目实施的要求，结构严谨，内容完整详实，能够针对采购项目内容要求而细化制定。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旧梯拆除专项施工方案，内容包括：拆除流程、安全措施、应急预案、人员配置、机具计划、时间计划等。施工前向当地特种设备监督管理部门办理电梯报废停用手续，并提前至少3天在楼道、大堂等显著位置张贴施工公告，明确施工时间、工期、可能的影响及联系方式，提醒业主注意安全。施工过程中将人员安全（包括施工人员、业主、访客等）置于首位，</w:t>
      </w:r>
      <w:r>
        <w:rPr>
          <w:rFonts w:hint="eastAsia" w:ascii="宋体" w:hAnsi="宋体" w:cs="宋体"/>
          <w:sz w:val="24"/>
        </w:rPr>
        <w:t xml:space="preserve">杜绝任何安全事故，做好安全防护，在所有层门入口处设置高度不低于1.8米的坚固护栏和警示标志，防止人员误入。在机房入口设置警示区，非工作人员禁止入内。预留安全通道，保护公共区域的地面、墙面免受设备运输损坏。现场配备合格的灭火器。作业时必须彻底切断电梯总电源（包括照明和插座电源），在电源开关处悬挂“禁止合闸，有人工作”的警示牌，并实行“上锁”管理，钥匙由现场负责人保管。确认应急发电机不会对系统反向送电。严禁使用电梯原有的曳引钢丝绳和导轨作为吊装承力点。拆除完成以后彻底清扫井道、机房、底坑，无任何垃圾和部件遗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进度计划及保障措施：投标人应根据招标文件要求及业主乘坐电梯需求等实际情况，以及目前的供货及安装条件所需配套人员及机械设备以保障产品供货、物流运输、产品到货日期、设备安装及调试等合同履行期限的要求，进度安排应详细、各环节衔接紧凑、保障措施完备、方式方法应符合规范要求。</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3.1具体的项目进度安排应符合本项目实际需要，确保在合同规定的时间内完成。至少需要提供①生产方案需提供投标货物主要生产、检验、测量设备说明②供货计划需提供交货期及运输方案③进度控制需提供供货安装计划：</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（1）投标人中标后，应在接到采购人中标通知（合同签订）后一周内按标书要求提交详细的施工图及施工组织设计等。</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设备订货合同签订后，由中标方厂家工程师到现场勘查设计，所有尺寸以现场勘测的实际尺寸为准；到货后，中标方须派有资格的工程技术人员在整个电梯的安装调试的全过程中在施工现场负责安装、指导及调试，直至电梯最终验收合格并正常运行。若在安装过程中，由于中标方在安装过程中的责任导致建筑结构或其他设备被损坏，中标方需负责修理或赔偿损失。安装与调试中涉及的所有费用均应列入投标总价，而不能在执行中要求另外付费。</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cs="宋体"/>
          <w:sz w:val="24"/>
        </w:rPr>
        <w:t xml:space="preserve">4、</w:t>
      </w:r>
      <w:bookmarkStart w:id="140" w:name="_Hlk230874891"/>
      <w:r>
        <w:rPr>
          <w:rFonts w:hint="eastAsia" w:ascii="宋体" w:hAnsi="宋体" w:eastAsia="宋体" w:cs="宋体"/>
          <w:color w:val="000000"/>
          <w:sz w:val="24"/>
          <w:szCs w:val="24"/>
        </w:rPr>
        <w:t xml:space="preserve">电梯专项安装方案：投标人应根据招标文件要求，电梯拆除针对本项目电梯井道的尺寸，结合电梯井道现场实际情况（如安装所需的基坑土建、电梯井道照明、电梯井防水、电梯井原有无用的设施设备拆除以及其周围墙面及瓷砖的修复等），提供有针对性的现场施工安装方案及安全、质量保障措施，安装方案应完整、具体、流程及施工步骤、方法应符合规范要求。</w:t>
      </w:r>
      <w:bookmarkEnd w:id="140"/>
      <w:r>
        <w:rPr>
          <w:rFonts w:hint="eastAsia" w:ascii="宋体" w:hAnsi="宋体" w:eastAsia="宋体" w:cs="宋体"/>
          <w:color w:val="000000"/>
          <w:sz w:val="24"/>
          <w:szCs w:val="24"/>
        </w:rPr>
        <w:t xml:space="preserve">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4.1电梯的安装和调试要求需严格执行与电梯相关的国家、行业和地方的法律法规、规范规程、标准、图集的要求：</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（1）确保一年四季电梯井道干燥，保障电梯能及时安装和调试，确保电梯运行正常。如因中标人原因造成不能及时安装和调试，由中标人承担一切责任和损失。</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（2）所投电梯必须符合中华人民共和国电梯制造与安全规范的制造、安装标准和技术规范要求，中标人须提供采购人所在地质量技术监督部门的验收合格证、运行证等。</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（3）本次采购规定的电梯设备，由中标人负责运输到项目现场，并进行整机安装、调试及试运行，政府验收合格后交付采购人。</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（4）投标人依据现场实际情况和招标文件的要求，提供具体详实的项目实施方案（必须含自收到中标通知书之日起的项目进度计划表）。</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电梯应急预案：投标人应按照招标文件要求制定详细的电梯应急预案，电梯安装、维保工作是特种作业，安全性要求极高，在各种工作中会出现各种各样的紧急情况，这就要求投标人对紧急情况的出现要时刻做好准备。安全第一，预防为主，出现情况能及时处置，为做到这些，投标人需根据国家标准，行业标准及市各职能部门的要求，制定应急处理方案。</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5.1接到报警或发现有乘客被困在电梯内，应立即通知保安消防监控室，同时记录接报和发现时间。</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5.2维修单位经理或值班人员接报后，应立即派人前往现场解救，同时电话通知电梯维修公司前来抢修。</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5.3若维修单位和电梯维修公司都无能力解救或短期时间内解救不了，应视情况向公安部门或消防部门求助（应说明求助原因和情况）。向公安、消防部门求助前应征得甲方的同意。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5.4在解救过程中，若发现被困乘客中有人晕厥、神志昏迷（尤其是老人或小孩），应立即通知医护人员到场，以便被困人员救出后即可进⾏抢救。</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5.5被困者救出后，应立即请电梯维修公司查明故障原因，修复后方可恢复正常运⾏。</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5.6维修单位经理或值班人员应详细记录故障发生时间、原因、解救办法和修复时间。</w:t>
      </w:r>
      <w:r/>
    </w:p>
    <w:p>
      <w:pPr>
        <w:spacing w:line="360" w:lineRule="auto"/>
        <w:rPr>
          <w:rFonts w:hint="eastAsia" w:ascii="宋体" w:hAnsi="宋体"/>
          <w:b/>
          <w:bCs/>
          <w:sz w:val="28"/>
          <w:szCs w:val="28"/>
        </w:rPr>
        <w:outlineLvl w:val="1"/>
      </w:pPr>
      <w:r>
        <w:rPr>
          <w:rFonts w:hint="eastAsia" w:ascii="宋体" w:hAnsi="宋体"/>
          <w:b/>
          <w:bCs/>
          <w:sz w:val="28"/>
          <w:szCs w:val="28"/>
        </w:rPr>
        <w:t xml:space="preserve">七、售后服务及维保要求</w:t>
      </w:r>
      <w:r/>
    </w:p>
    <w:p>
      <w:pPr>
        <w:ind w:firstLine="480"/>
        <w:spacing w:line="360" w:lineRule="auto"/>
        <w:rPr>
          <w:rFonts w:hint="eastAsia" w:ascii="宋体" w:hAnsi="宋体" w:cs="宋体"/>
          <w:sz w:val="24"/>
        </w:rPr>
      </w:pPr>
      <w:r>
        <w:rPr>
          <w:rFonts w:hint="eastAsia" w:ascii="宋体" w:hAnsi="宋体" w:cs="宋体"/>
          <w:sz w:val="24"/>
        </w:rPr>
        <w:t xml:space="preserve">售后服务方案：投标人应按照招标文件要求制定切实可行的售后服务方案，包括但不限于服务保障体系、技术人员配置、响应时间、紧急故障处理预案、电梯常规检查及保养、日常使用注意事项等内容，方案应满足招标文件对项目实施的要求，方案内容完整详细、故障响应时间迅速，能够针对采购项目内容要求而细化制定。 </w:t>
      </w:r>
      <w:r/>
    </w:p>
    <w:p>
      <w:pPr>
        <w:ind w:firstLine="480"/>
        <w:spacing w:line="360" w:lineRule="auto"/>
        <w:rPr>
          <w:rFonts w:hint="eastAsia" w:ascii="宋体" w:hAnsi="宋体"/>
          <w:b/>
          <w:bCs/>
          <w:sz w:val="24"/>
          <w:szCs w:val="24"/>
        </w:rPr>
      </w:pPr>
      <w:r>
        <w:rPr>
          <w:rFonts w:hint="eastAsia" w:ascii="宋体" w:hAnsi="宋体"/>
          <w:b/>
          <w:bCs/>
          <w:sz w:val="24"/>
          <w:szCs w:val="24"/>
        </w:rPr>
        <w:t xml:space="preserve">（一）质保及售后技术服务要求</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1、质量保证</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1.1 投标人提供的所有货物在设计、制造、产品性能、材料的选择和材料的检验及产品的测试等方面均须符合最新发布的国家标准和技术规范。投标人在投标书中应对货物的质量保证体系和适用的标准作出说明。</w:t>
      </w:r>
      <w:r/>
    </w:p>
    <w:p>
      <w:pPr>
        <w:pStyle w:val="1311"/>
        <w:ind w:firstLine="480"/>
        <w:spacing w:line="360" w:lineRule="auto"/>
        <w:tabs>
          <w:tab w:val="left" w:pos="1008"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sz w:val="24"/>
          <w:szCs w:val="24"/>
        </w:rPr>
        <w:t xml:space="preserve">1.2 投标人所提供的技术规格应与招标文件技术规格规定的标准相一致或优于招标文件技术规格。若技术规格中无相应的规定，货物则应符合相应的国家标准或其原厂家最新颁布的相应的正式</w:t>
      </w:r>
      <w:r>
        <w:rPr>
          <w:rFonts w:hint="eastAsia" w:ascii="宋体" w:hAnsi="宋体" w:cs="宋体"/>
          <w:bCs/>
          <w:color w:val="000000" w:themeColor="text1"/>
          <w:sz w:val="24"/>
          <w:szCs w:val="24"/>
          <w14:textFill>
            <w14:solidFill>
              <w14:schemeClr w14:val="tx1"/>
            </w14:solidFill>
          </w14:textFill>
        </w:rPr>
        <w:t xml:space="preserve">标准。</w:t>
      </w:r>
      <w:r/>
    </w:p>
    <w:p>
      <w:pPr>
        <w:pStyle w:val="1311"/>
        <w:ind w:firstLine="480"/>
        <w:spacing w:line="360" w:lineRule="auto"/>
        <w:tabs>
          <w:tab w:val="left" w:pos="1008"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 电梯整机质量保证期：</w:t>
      </w:r>
      <w:r>
        <w:rPr>
          <w:rFonts w:hint="eastAsia" w:ascii="宋体" w:hAnsi="宋体" w:cs="宋体"/>
          <w:bCs/>
          <w:color w:val="000000" w:themeColor="text1"/>
          <w:sz w:val="24"/>
          <w:szCs w:val="24"/>
          <w:highlight w:val="none"/>
          <w14:textFill>
            <w14:solidFill>
              <w14:schemeClr w14:val="tx1"/>
            </w14:solidFill>
          </w14:textFill>
        </w:rPr>
        <w:t xml:space="preserve">不少于</w:t>
      </w:r>
      <w:r>
        <w:rPr>
          <w:rFonts w:hint="eastAsia" w:ascii="宋体" w:hAnsi="宋体" w:cs="宋体"/>
          <w:b/>
          <w:color w:val="000000" w:themeColor="text1"/>
          <w:sz w:val="24"/>
          <w:szCs w:val="24"/>
          <w:highlight w:val="none"/>
          <w:u w:val="single"/>
          <w14:textFill>
            <w14:solidFill>
              <w14:schemeClr w14:val="tx1"/>
            </w14:solidFill>
          </w14:textFill>
        </w:rPr>
        <w:t xml:space="preserve">五年</w:t>
      </w:r>
      <w:r>
        <w:rPr>
          <w:rFonts w:hint="eastAsia" w:ascii="宋体" w:hAnsi="宋体" w:cs="宋体"/>
          <w:bCs/>
          <w:color w:val="000000" w:themeColor="text1"/>
          <w:sz w:val="24"/>
          <w:szCs w:val="24"/>
          <w14:textFill>
            <w14:solidFill>
              <w14:schemeClr w14:val="tx1"/>
            </w14:solidFill>
          </w14:textFill>
        </w:rPr>
        <w:t xml:space="preserve">（自电梯验收取证之日算起）。在质量保证期内，采购人按照系统使用说明书，在正常条件下使用，由于投标人设计或制造上的缺陷而发生的损坏由投标人负责。</w:t>
      </w:r>
      <w:r/>
    </w:p>
    <w:p>
      <w:pPr>
        <w:pStyle w:val="1311"/>
        <w:ind w:firstLine="480"/>
        <w:spacing w:line="360" w:lineRule="auto"/>
        <w:tabs>
          <w:tab w:val="left" w:pos="1008"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2、技术支持和服务</w:t>
      </w:r>
      <w:r/>
    </w:p>
    <w:p>
      <w:pPr>
        <w:pStyle w:val="1311"/>
        <w:ind w:firstLine="480"/>
        <w:spacing w:line="360" w:lineRule="auto"/>
        <w:tabs>
          <w:tab w:val="left" w:pos="1008"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2.1计划</w:t>
      </w:r>
      <w:r/>
    </w:p>
    <w:p>
      <w:pPr>
        <w:pStyle w:val="1311"/>
        <w:ind w:firstLine="480"/>
        <w:spacing w:line="360" w:lineRule="auto"/>
        <w:tabs>
          <w:tab w:val="left" w:pos="1008"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在合同生效后的15天内，中标人应向采购人提供一份详尽的“工作进度表”，该进度表应含：交货时间表，安装、调试计划和时间表，对采购人人员的培训计划等，并在“工作计划表”中说明采购人应具备的安装条件。</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2.2培训</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 中标人应免费为采购人培训设备维修及操作人员3名，使采购人能够尽快地熟悉设备的性能和使用，直至能够独立操作。时间和地点由投标人自报。</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3、质量保证期内的服务</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3.1零、部件更换</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对由于零、部件质量问题造成的零、部件损坏，投标人将提供现场服务，免费维修更换损坏的零、部件。由于采购人人为原因造成的零、部件损坏，投标人有义务对损坏零、部件作有偿的维修更换。更换后的质量保证期不少于原有质保期。质保期内的易损件、消耗品由投标人免费提供。</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3.2故障响应</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中标人所提供的设备在质量保证期内发生故障时，采购人应立即通知中标方。对于操作故障，中标方应在接到故障通知即时给予解答。对于设备故障，中标方应在接到故障通知后20分钟内派技术人员到达现场。在接到采购人故障通知后，若投标人在应该到达现场的情况下而未能到达现场，采购人有权另请有资质的单位维修，其费用由中标方承担。</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3.3软件升级</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 中标人有责任及时向采购方通报软件升级情况，中标人应免费提供软件升级服务。</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4、质保期满后的售后服务</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4.1中标方对中标货物及服务在质保期满后，中标方应继续对采购方使用过程中的设备损坏进行售后服务，履行好自己在投标文件中的承诺。</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4.2设备要求实行终身保修，质量保证期后采购方如委托中标方进行维护保养，请报五年不变维保价（包括每年维修保养的人工费、配件费、年检费，大、中、小修的人工费、配件费等所有费用），并详细列出维保内容。</w:t>
      </w:r>
      <w:r/>
    </w:p>
    <w:p>
      <w:pPr>
        <w:pStyle w:val="1311"/>
        <w:ind w:firstLine="482"/>
        <w:spacing w:line="360" w:lineRule="auto"/>
        <w:tabs>
          <w:tab w:val="left" w:pos="1008" w:leader="none"/>
        </w:tabs>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（二）维修与保养</w:t>
      </w:r>
      <w:r/>
    </w:p>
    <w:p>
      <w:pPr>
        <w:pStyle w:val="1311"/>
        <w:ind w:firstLine="480"/>
        <w:spacing w:line="360" w:lineRule="auto"/>
        <w:tabs>
          <w:tab w:val="left" w:pos="1008"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1、电梯整机维修保养期限：不少于</w:t>
      </w:r>
      <w:r>
        <w:rPr>
          <w:rFonts w:hint="eastAsia" w:ascii="宋体" w:hAnsi="宋体" w:cs="宋体"/>
          <w:b/>
          <w:color w:val="000000" w:themeColor="text1"/>
          <w:sz w:val="24"/>
          <w:szCs w:val="24"/>
          <w:u w:val="single"/>
          <w14:textFill>
            <w14:solidFill>
              <w14:schemeClr w14:val="tx1"/>
            </w14:solidFill>
          </w14:textFill>
        </w:rPr>
        <w:t xml:space="preserve">8年 </w:t>
      </w:r>
      <w:r>
        <w:rPr>
          <w:rFonts w:hint="eastAsia" w:ascii="宋体" w:hAnsi="宋体" w:cs="宋体"/>
          <w:bCs/>
          <w:color w:val="000000" w:themeColor="text1"/>
          <w:sz w:val="24"/>
          <w:szCs w:val="24"/>
          <w14:textFill>
            <w14:solidFill>
              <w14:schemeClr w14:val="tx1"/>
            </w14:solidFill>
          </w14:textFill>
        </w:rPr>
        <w:t xml:space="preserve">（自电梯验收取证之日算起）。</w:t>
      </w:r>
      <w:r/>
    </w:p>
    <w:p>
      <w:pPr>
        <w:pStyle w:val="1311"/>
        <w:ind w:firstLine="480"/>
        <w:spacing w:line="360" w:lineRule="auto"/>
        <w:tabs>
          <w:tab w:val="left" w:pos="1008"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中标人在中标后应当在采购人当地设立售后服务站（点），售后服务站（点）必须取得项目所在地县级及以上主管部门的备案证明材料。如若后期由制造商分公司或分支机构）直接进行维保的，维保单位必须取得项目所在地县级及以上主管部门的备案证明材料。具有类似产品的维护、保养经验。</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2、中标人应以低于市场价的优惠价格提供易损件。</w:t>
      </w:r>
      <w:r/>
    </w:p>
    <w:p>
      <w:pPr>
        <w:pStyle w:val="1311"/>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3、保养电梯每年一次全面整梯检修且取得市场监督管理局备案合格证，并视不同易损部件实行1～6个月定期检修、维护。</w:t>
      </w:r>
      <w:r/>
    </w:p>
    <w:p>
      <w:pPr>
        <w:ind w:firstLine="480"/>
        <w:jc w:val="left"/>
        <w:spacing w:line="360" w:lineRule="auto"/>
        <w:widowControl/>
        <w:rPr>
          <w:rFonts w:hint="eastAsia" w:ascii="宋体" w:hAnsi="宋体" w:cs="宋体"/>
          <w:sz w:val="24"/>
        </w:rPr>
      </w:pPr>
      <w:r>
        <w:rPr>
          <w:rFonts w:hint="eastAsia" w:ascii="宋体" w:hAnsi="宋体" w:cs="宋体"/>
          <w:bCs/>
          <w:sz w:val="24"/>
          <w:szCs w:val="24"/>
        </w:rPr>
        <w:t xml:space="preserve">4、</w:t>
      </w:r>
      <w:r>
        <w:rPr>
          <w:rFonts w:hint="eastAsia" w:ascii="宋体" w:hAnsi="宋体" w:cs="宋体"/>
          <w:sz w:val="24"/>
        </w:rPr>
        <w:t xml:space="preserve">在运行中出现紧急故障时（如人员被困电梯等），在接到报警电话后 10分钟内予以响应，20分钟内派技术人员到达现场解决。</w:t>
      </w:r>
      <w:r/>
    </w:p>
    <w:p>
      <w:pPr>
        <w:spacing w:line="360" w:lineRule="auto"/>
        <w:rPr>
          <w:rFonts w:hint="eastAsia" w:ascii="宋体" w:hAnsi="宋体"/>
          <w:b/>
          <w:bCs/>
          <w:sz w:val="28"/>
          <w:szCs w:val="28"/>
        </w:rPr>
        <w:outlineLvl w:val="1"/>
      </w:pPr>
      <w:r>
        <w:rPr>
          <w:rFonts w:hint="eastAsia" w:ascii="宋体" w:hAnsi="宋体"/>
          <w:b/>
          <w:bCs/>
          <w:sz w:val="28"/>
          <w:szCs w:val="28"/>
        </w:rPr>
        <w:t xml:space="preserve">八、其他要求</w:t>
      </w:r>
      <w:r/>
    </w:p>
    <w:p>
      <w:pPr>
        <w:pStyle w:val="866"/>
        <w:ind w:firstLine="480"/>
        <w:spacing w:line="360" w:lineRule="auto"/>
        <w:rPr>
          <w:rStyle w:val="1313"/>
          <w:rFonts w:hint="eastAsia" w:ascii="宋体" w:hAnsi="宋体" w:cs="宋体"/>
          <w:b w:val="0"/>
          <w:bCs/>
          <w:sz w:val="24"/>
        </w:rPr>
      </w:pPr>
      <w:r>
        <w:rPr>
          <w:rStyle w:val="1313"/>
          <w:rFonts w:hint="eastAsia" w:ascii="宋体" w:hAnsi="宋体" w:cs="宋体"/>
          <w:b w:val="0"/>
          <w:bCs/>
          <w:sz w:val="24"/>
        </w:rPr>
        <w:t xml:space="preserve">1、投标总报价应包括但不限于以下费用：所投货物（包含与货物相关的服务）费用、拆除费、安装费（含拆除及安装施工用水电费、电梯安装所需的全部主辅材料、人工费、机械费、措施费等）、调试费、测试验收费、培训费、售后服务费用、税金、电梯监检费（取得电梯运行合格证）及其他有关的为完成本项目发生的所有费用。</w:t>
      </w:r>
      <w:r/>
    </w:p>
    <w:p>
      <w:pPr>
        <w:ind w:firstLine="480"/>
        <w:jc w:val="left"/>
        <w:spacing w:line="360" w:lineRule="auto"/>
        <w:rPr>
          <w:rStyle w:val="1313"/>
          <w:rFonts w:hint="eastAsia" w:ascii="宋体" w:hAnsi="宋体" w:cs="宋体"/>
          <w:sz w:val="24"/>
          <w:szCs w:val="24"/>
        </w:rPr>
      </w:pPr>
      <w:r>
        <w:rPr>
          <w:rStyle w:val="1313"/>
          <w:rFonts w:hint="eastAsia" w:ascii="宋体" w:hAnsi="宋体" w:cs="宋体"/>
          <w:sz w:val="24"/>
          <w:szCs w:val="24"/>
        </w:rPr>
        <w:t xml:space="preserve">2、各潜在投标人应自行踏勘现场，充分理解采购人使用需求，必须保证产品的功能性和完整性，未在清单中明示的辅材、配件及安装调试费已含在报价内，如项目实施过程中因缺少配件、辅材导致产品无法正常运行，中标人须免费提供。井道施工中，如涉及到建筑物拆除恢复及恢复、电梯基坑、土建安装、钢结构施工及措施费（安全文明施工、二次搬运、地上、地下设施、建筑物的临时保护设施、已完工程及设备保护、临时设施、脚手架、模板、机械吊装等）等所有费用均包含在投标报价内。</w:t>
      </w:r>
      <w:r/>
    </w:p>
    <w:p>
      <w:pPr>
        <w:ind w:firstLine="480"/>
        <w:spacing w:line="360" w:lineRule="auto"/>
        <w:rPr>
          <w:rStyle w:val="1313"/>
          <w:rFonts w:hint="eastAsia" w:ascii="宋体" w:hAnsi="宋体" w:cs="宋体"/>
          <w:sz w:val="24"/>
          <w:szCs w:val="24"/>
        </w:rPr>
      </w:pPr>
      <w:r>
        <w:rPr>
          <w:rStyle w:val="1313"/>
          <w:rFonts w:hint="eastAsia" w:ascii="宋体" w:hAnsi="宋体" w:cs="宋体"/>
          <w:sz w:val="24"/>
          <w:szCs w:val="24"/>
        </w:rPr>
        <w:t xml:space="preserve">3、本项目涉及的电梯门包边如有损坏，中标单位须自行恢复。</w:t>
      </w:r>
      <w:r/>
    </w:p>
    <w:p>
      <w:pPr>
        <w:ind w:firstLine="480"/>
        <w:spacing w:line="360" w:lineRule="auto"/>
        <w:rPr>
          <w:rFonts w:hint="eastAsia" w:ascii="宋体" w:hAnsi="宋体" w:cs="宋体"/>
          <w:sz w:val="24"/>
          <w:szCs w:val="24"/>
        </w:rPr>
      </w:pPr>
      <w:r>
        <w:rPr>
          <w:rStyle w:val="1313"/>
          <w:rFonts w:hint="eastAsia" w:ascii="宋体" w:hAnsi="宋体" w:cs="宋体"/>
          <w:sz w:val="24"/>
          <w:szCs w:val="24"/>
        </w:rPr>
        <w:t xml:space="preserve">4、</w:t>
      </w:r>
      <w:r>
        <w:rPr>
          <w:rFonts w:hint="eastAsia" w:cs="仿宋_GB2312"/>
          <w:sz w:val="24"/>
        </w:rPr>
        <w:t xml:space="preserve">商品包装、快递包装政府采购需求标准（试行）</w:t>
      </w:r>
      <w:r/>
    </w:p>
    <w:p>
      <w:pPr>
        <w:ind w:firstLine="480"/>
        <w:spacing w:line="360" w:lineRule="auto"/>
        <w:rPr>
          <w:rFonts w:cs="仿宋_GB2312"/>
          <w:sz w:val="24"/>
        </w:rPr>
      </w:pPr>
      <w:r>
        <w:rPr>
          <w:rFonts w:hint="eastAsia" w:cs="仿宋_GB2312"/>
          <w:sz w:val="24"/>
        </w:rPr>
        <w:t xml:space="preserve">为助力打好污染防治攻坚战，推广使用绿色包装，本项目涉及商品包装和快递包装的应符合财政部印发的《商品包装政府采购需求标准（试行）》、《快递包装政府采购需求标准（试行）》规定。</w:t>
      </w:r>
      <w:r/>
    </w:p>
    <w:p>
      <w:pPr>
        <w:pStyle w:val="1299"/>
        <w:ind w:firstLine="480"/>
        <w:jc w:val="both"/>
        <w:spacing w:before="0" w:beforeAutospacing="0" w:after="0" w:afterAutospacing="0" w:line="500" w:lineRule="exact"/>
        <w:widowControl w:val="off"/>
        <w:rPr>
          <w:rFonts w:ascii="Times New Roman" w:hAnsi="Times New Roman" w:eastAsia="等线" w:cs="仿宋"/>
          <w:color w:val="000000"/>
        </w:rPr>
      </w:pPr>
      <w:r>
        <w:rPr>
          <w:rFonts w:ascii="Times New Roman" w:hAnsi="Times New Roman" w:eastAsia="等线" w:cs="仿宋"/>
          <w:color w:val="000000"/>
        </w:rPr>
      </w:r>
      <w:r/>
    </w:p>
    <w:p>
      <w:pPr>
        <w:pStyle w:val="1299"/>
        <w:ind w:firstLine="480"/>
        <w:jc w:val="both"/>
        <w:spacing w:before="0" w:beforeAutospacing="0" w:after="0" w:afterAutospacing="0" w:line="500" w:lineRule="exact"/>
        <w:widowControl w:val="off"/>
        <w:rPr>
          <w:rFonts w:ascii="Times New Roman" w:hAnsi="Times New Roman" w:eastAsia="等线" w:cs="仿宋"/>
          <w:color w:val="000000"/>
        </w:rPr>
      </w:pPr>
      <w:r>
        <w:rPr>
          <w:rFonts w:ascii="Times New Roman" w:hAnsi="Times New Roman" w:eastAsia="等线" w:cs="仿宋"/>
          <w:color w:val="000000"/>
        </w:rPr>
      </w:r>
      <w:r/>
    </w:p>
    <w:p>
      <w:pPr>
        <w:pStyle w:val="861"/>
        <w:jc w:val="both"/>
        <w:spacing w:before="200"/>
        <w:rPr>
          <w:rFonts w:hint="eastAsia" w:ascii="Calibri" w:hAnsi="Calibri" w:eastAsia="宋体" w:cs="Times New Roman"/>
          <w:b/>
          <w:color w:val="000000"/>
          <w:sz w:val="44"/>
          <w:szCs w:val="44"/>
        </w:rPr>
      </w:pPr>
      <w:r/>
      <w:bookmarkStart w:id="141" w:name="_Toc2513"/>
      <w:r/>
      <w:bookmarkStart w:id="142" w:name="_Toc81575169"/>
      <w:r/>
      <w:bookmarkStart w:id="143" w:name="_Toc22098"/>
      <w:r/>
      <w:bookmarkStart w:id="144" w:name="_Toc81575206"/>
      <w:r/>
      <w:bookmarkStart w:id="145" w:name="_Toc31499"/>
      <w:r>
        <w:rPr>
          <w:rFonts w:hint="eastAsia" w:ascii="Calibri" w:hAnsi="Calibri" w:eastAsia="宋体" w:cs="Times New Roman"/>
          <w:b/>
          <w:color w:val="000000"/>
          <w:sz w:val="44"/>
          <w:szCs w:val="44"/>
        </w:rPr>
        <w:br w:type="page" w:clear="all"/>
      </w:r>
      <w:r/>
    </w:p>
    <w:p>
      <w:pPr>
        <w:pStyle w:val="861"/>
        <w:jc w:val="center"/>
        <w:spacing w:before="200"/>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pStyle w:val="861"/>
        <w:jc w:val="center"/>
        <w:spacing w:before="200"/>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pStyle w:val="861"/>
        <w:jc w:val="center"/>
        <w:spacing w:before="200"/>
        <w:rPr>
          <w:rFonts w:ascii="Calibri" w:hAnsi="Calibri" w:eastAsia="宋体" w:cs="Times New Roman"/>
          <w:b/>
          <w:color w:val="000000"/>
          <w:sz w:val="44"/>
          <w:szCs w:val="44"/>
        </w:rPr>
      </w:pPr>
      <w:r>
        <w:rPr>
          <w:rFonts w:hint="eastAsia" w:ascii="Calibri" w:hAnsi="Calibri" w:eastAsia="宋体" w:cs="Times New Roman"/>
          <w:b/>
          <w:color w:val="000000"/>
          <w:sz w:val="44"/>
          <w:szCs w:val="44"/>
        </w:rPr>
        <w:t xml:space="preserve">第五章合同文本</w:t>
      </w:r>
      <w:bookmarkEnd w:id="141"/>
      <w:r/>
      <w:bookmarkEnd w:id="142"/>
      <w:r/>
      <w:bookmarkEnd w:id="143"/>
      <w:r/>
      <w:bookmarkEnd w:id="144"/>
      <w:r/>
      <w:bookmarkEnd w:id="145"/>
      <w:r/>
      <w:bookmarkStart w:id="146" w:name="_Toc16938559"/>
      <w:r/>
      <w:bookmarkStart w:id="147" w:name="_Toc20823315"/>
      <w:r/>
      <w:bookmarkStart w:id="148" w:name="_Toc513029243"/>
      <w:r/>
      <w:r/>
    </w:p>
    <w:p>
      <w:pPr>
        <w:spacing w:line="400" w:lineRule="exact"/>
        <w:rPr>
          <w:rFonts w:hint="eastAsia" w:ascii="宋体" w:hAnsi="宋体"/>
          <w:bCs/>
          <w:color w:val="000000"/>
          <w:sz w:val="24"/>
          <w:szCs w:val="24"/>
        </w:rPr>
      </w:pPr>
      <w:r>
        <w:rPr>
          <w:rFonts w:hint="eastAsia" w:ascii="宋体" w:hAnsi="宋体"/>
          <w:bCs/>
          <w:color w:val="000000"/>
          <w:sz w:val="24"/>
          <w:szCs w:val="24"/>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99"/>
        <w:jc w:val="center"/>
        <w:rPr>
          <w:rFonts w:hint="eastAsia" w:ascii="宋体" w:hAnsi="宋体" w:eastAsia="宋体" w:cs="宋体"/>
          <w:b/>
          <w:bCs/>
          <w:color w:val="000000"/>
          <w:spacing w:val="-20"/>
          <w:lang w:eastAsia="zh-CN"/>
        </w:rPr>
      </w:pPr>
      <w:r>
        <w:rPr>
          <w:rFonts w:hint="eastAsia" w:ascii="宋体" w:hAnsi="宋体" w:eastAsia="宋体" w:cs="宋体"/>
          <w:b/>
          <w:bCs/>
          <w:color w:val="000000"/>
          <w:spacing w:val="-20"/>
          <w:lang w:eastAsia="zh-CN"/>
        </w:rPr>
      </w:r>
      <w:r/>
    </w:p>
    <w:p>
      <w:pPr>
        <w:pStyle w:val="899"/>
        <w:jc w:val="center"/>
        <w:rPr>
          <w:rFonts w:hint="eastAsia" w:ascii="宋体" w:hAnsi="宋体" w:eastAsia="宋体" w:cs="宋体"/>
          <w:b/>
          <w:bCs/>
          <w:color w:val="000000"/>
          <w:spacing w:val="-20"/>
          <w:lang w:eastAsia="zh-CN"/>
        </w:rPr>
      </w:pPr>
      <w:r/>
      <w:bookmarkStart w:id="149" w:name="_Hlk187856708"/>
      <w:r/>
      <w:r/>
    </w:p>
    <w:p>
      <w:pPr>
        <w:pStyle w:val="899"/>
        <w:jc w:val="center"/>
        <w:rPr>
          <w:rFonts w:hint="eastAsia" w:ascii="宋体" w:hAnsi="宋体" w:eastAsia="宋体" w:cs="宋体"/>
          <w:b/>
          <w:bCs/>
          <w:color w:val="000000"/>
          <w:spacing w:val="-20"/>
          <w:lang w:eastAsia="zh-CN"/>
        </w:rPr>
      </w:pPr>
      <w:r>
        <w:rPr>
          <w:rFonts w:hint="eastAsia" w:ascii="宋体" w:hAnsi="宋体" w:eastAsia="宋体" w:cs="宋体"/>
          <w:b/>
          <w:bCs/>
          <w:color w:val="000000"/>
          <w:spacing w:val="-20"/>
          <w:lang w:eastAsia="zh-CN"/>
        </w:rPr>
        <w:t xml:space="preserve">财政部 政府采购货物买卖合同（试行）</w:t>
      </w:r>
      <w:r/>
    </w:p>
    <w:p>
      <w:pPr>
        <w:pStyle w:val="899"/>
        <w:jc w:val="center"/>
        <w:rPr>
          <w:rFonts w:hint="eastAsia" w:ascii="宋体" w:hAnsi="宋体" w:eastAsia="宋体" w:cs="宋体"/>
          <w:b/>
          <w:bCs/>
          <w:color w:val="000000"/>
          <w:spacing w:val="-20"/>
          <w:lang w:eastAsia="zh-CN"/>
        </w:rPr>
      </w:pPr>
      <w:r>
        <w:rPr>
          <w:rFonts w:hint="eastAsia" w:ascii="宋体" w:hAnsi="宋体" w:eastAsia="宋体" w:cs="宋体"/>
          <w:b/>
          <w:bCs/>
          <w:color w:val="000000"/>
          <w:spacing w:val="-20"/>
          <w:lang w:eastAsia="zh-CN"/>
        </w:rPr>
        <w:t xml:space="preserve">范    本</w:t>
      </w:r>
      <w:r/>
    </w:p>
    <w:p>
      <w:pPr>
        <w:rPr>
          <w:rFonts w:hint="eastAsia" w:ascii="宋体" w:hAnsi="宋体" w:cs="宋体"/>
          <w:b/>
          <w:bCs/>
          <w:color w:val="000000"/>
          <w:spacing w:val="-20"/>
          <w:sz w:val="40"/>
          <w:szCs w:val="40"/>
        </w:rPr>
      </w:pPr>
      <w:r>
        <w:rPr>
          <w:rFonts w:hint="eastAsia" w:ascii="宋体" w:hAnsi="宋体" w:cs="宋体"/>
          <w:b/>
          <w:bCs/>
          <w:color w:val="000000"/>
          <w:spacing w:val="-20"/>
          <w:sz w:val="40"/>
          <w:szCs w:val="40"/>
        </w:rPr>
      </w:r>
      <w:r/>
    </w:p>
    <w:p>
      <w:pPr>
        <w:rPr>
          <w:rFonts w:hint="eastAsia" w:ascii="宋体" w:hAnsi="宋体" w:cs="宋体"/>
          <w:b/>
          <w:bCs/>
          <w:color w:val="000000"/>
          <w:spacing w:val="-20"/>
          <w:sz w:val="40"/>
          <w:szCs w:val="40"/>
        </w:rPr>
      </w:pPr>
      <w:r>
        <w:rPr>
          <w:rFonts w:hint="eastAsia" w:ascii="宋体" w:hAnsi="宋体" w:cs="宋体"/>
          <w:b/>
          <w:bCs/>
          <w:color w:val="000000"/>
          <w:spacing w:val="-20"/>
          <w:sz w:val="40"/>
          <w:szCs w:val="40"/>
        </w:rPr>
      </w:r>
      <w:r/>
    </w:p>
    <w:p>
      <w:pPr>
        <w:rPr>
          <w:rFonts w:hint="eastAsia" w:ascii="宋体" w:hAnsi="宋体" w:cs="宋体"/>
          <w:b/>
          <w:bCs/>
          <w:color w:val="000000"/>
          <w:spacing w:val="-20"/>
          <w:sz w:val="40"/>
          <w:szCs w:val="40"/>
        </w:rPr>
      </w:pPr>
      <w:r>
        <w:rPr>
          <w:rFonts w:hint="eastAsia" w:ascii="宋体" w:hAnsi="宋体" w:cs="宋体"/>
          <w:b/>
          <w:bCs/>
          <w:color w:val="000000"/>
          <w:spacing w:val="-20"/>
          <w:sz w:val="40"/>
          <w:szCs w:val="40"/>
        </w:rPr>
      </w:r>
      <w:r/>
    </w:p>
    <w:p>
      <w:pPr>
        <w:ind w:left="420"/>
        <w:spacing w:line="360" w:lineRule="auto"/>
        <w:rPr>
          <w:color w:val="000000"/>
          <w:sz w:val="28"/>
          <w:szCs w:val="28"/>
        </w:rPr>
      </w:pPr>
      <w:r>
        <w:rPr>
          <w:rFonts w:hint="eastAsia" w:ascii="宋体" w:hAnsi="宋体" w:cs="宋体"/>
          <w:color w:val="000000"/>
          <w:sz w:val="28"/>
          <w:szCs w:val="28"/>
        </w:rPr>
        <w:t xml:space="preserve">项目名称：</w:t>
      </w:r>
      <w:r/>
    </w:p>
    <w:p>
      <w:pPr>
        <w:ind w:left="420"/>
        <w:spacing w:line="360" w:lineRule="auto"/>
        <w:rPr>
          <w:color w:val="000000"/>
          <w:sz w:val="28"/>
          <w:szCs w:val="28"/>
          <w:u w:val="single"/>
        </w:rPr>
      </w:pPr>
      <w:r>
        <w:rPr>
          <w:rFonts w:hint="eastAsia"/>
          <w:color w:val="000000"/>
          <w:sz w:val="28"/>
          <w:szCs w:val="28"/>
        </w:rPr>
        <w:t xml:space="preserve">合同编号：</w:t>
      </w:r>
      <w:r/>
    </w:p>
    <w:p>
      <w:pPr>
        <w:ind w:left="420"/>
        <w:spacing w:line="360" w:lineRule="auto"/>
        <w:rPr>
          <w:color w:val="000000"/>
          <w:sz w:val="28"/>
          <w:szCs w:val="28"/>
        </w:rPr>
      </w:pPr>
      <w:r>
        <w:rPr>
          <w:rFonts w:hint="eastAsia"/>
          <w:color w:val="000000"/>
          <w:sz w:val="28"/>
          <w:szCs w:val="28"/>
        </w:rPr>
        <w:t xml:space="preserve">甲    方：</w:t>
      </w:r>
      <w:r/>
    </w:p>
    <w:p>
      <w:pPr>
        <w:ind w:left="420"/>
        <w:spacing w:line="360" w:lineRule="auto"/>
        <w:rPr>
          <w:color w:val="000000"/>
          <w:sz w:val="28"/>
          <w:szCs w:val="28"/>
          <w:u w:val="single"/>
        </w:rPr>
      </w:pPr>
      <w:r>
        <w:rPr>
          <w:rFonts w:hint="eastAsia"/>
          <w:color w:val="000000"/>
          <w:sz w:val="28"/>
          <w:szCs w:val="28"/>
        </w:rPr>
        <w:t xml:space="preserve">乙    方：</w:t>
      </w:r>
      <w:r/>
    </w:p>
    <w:p>
      <w:pPr>
        <w:ind w:left="420"/>
        <w:spacing w:line="360" w:lineRule="auto"/>
        <w:rPr>
          <w:color w:val="000000"/>
          <w:sz w:val="28"/>
          <w:szCs w:val="28"/>
        </w:rPr>
      </w:pPr>
      <w:r>
        <w:rPr>
          <w:rFonts w:hint="eastAsia"/>
          <w:color w:val="000000"/>
          <w:sz w:val="28"/>
          <w:szCs w:val="28"/>
        </w:rPr>
        <w:t xml:space="preserve">签订时间：</w:t>
      </w:r>
      <w:bookmarkEnd w:id="149"/>
      <w:r/>
      <w:r/>
    </w:p>
    <w:p>
      <w:pPr>
        <w:rPr>
          <w:color w:val="000000"/>
        </w:rPr>
      </w:pPr>
      <w:r>
        <w:rPr>
          <w:color w:val="000000"/>
        </w:rPr>
      </w:r>
      <w:r/>
    </w:p>
    <w:p>
      <w:pPr>
        <w:rPr>
          <w:rFonts w:eastAsia="黑体"/>
          <w:color w:val="000000"/>
          <w:sz w:val="44"/>
          <w:szCs w:val="44"/>
        </w:rPr>
      </w:pPr>
      <w:r>
        <w:rPr>
          <w:rFonts w:eastAsia="黑体"/>
          <w:color w:val="000000"/>
          <w:sz w:val="44"/>
          <w:szCs w:val="44"/>
        </w:rPr>
      </w:r>
      <w:r/>
    </w:p>
    <w:p>
      <w:pPr>
        <w:rPr>
          <w:rFonts w:eastAsia="黑体"/>
          <w:color w:val="000000"/>
          <w:sz w:val="44"/>
          <w:szCs w:val="44"/>
        </w:rPr>
      </w:pPr>
      <w:r>
        <w:rPr>
          <w:rFonts w:eastAsia="黑体"/>
          <w:color w:val="000000"/>
          <w:sz w:val="44"/>
          <w:szCs w:val="44"/>
        </w:rPr>
      </w:r>
      <w:r/>
    </w:p>
    <w:p>
      <w:pPr>
        <w:rPr>
          <w:rFonts w:eastAsia="黑体"/>
          <w:color w:val="000000"/>
          <w:sz w:val="44"/>
          <w:szCs w:val="44"/>
        </w:rPr>
      </w:pPr>
      <w:r>
        <w:rPr>
          <w:rFonts w:eastAsia="黑体"/>
          <w:color w:val="000000"/>
          <w:sz w:val="44"/>
          <w:szCs w:val="44"/>
        </w:rPr>
      </w:r>
      <w:r/>
    </w:p>
    <w:p>
      <w:pPr>
        <w:rPr>
          <w:rFonts w:eastAsia="黑体"/>
          <w:color w:val="000000"/>
          <w:sz w:val="44"/>
          <w:szCs w:val="44"/>
        </w:rPr>
      </w:pPr>
      <w:r>
        <w:rPr>
          <w:rFonts w:eastAsia="黑体"/>
          <w:color w:val="000000"/>
          <w:sz w:val="44"/>
          <w:szCs w:val="44"/>
        </w:rPr>
      </w:r>
      <w:r/>
    </w:p>
    <w:p>
      <w:pPr>
        <w:rPr>
          <w:rFonts w:eastAsia="黑体"/>
          <w:color w:val="000000"/>
          <w:sz w:val="44"/>
          <w:szCs w:val="44"/>
        </w:rPr>
      </w:pPr>
      <w:r>
        <w:rPr>
          <w:rFonts w:eastAsia="黑体"/>
          <w:color w:val="000000"/>
          <w:sz w:val="44"/>
          <w:szCs w:val="44"/>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t xml:space="preserve">使 用 说 明</w:t>
      </w:r>
      <w:r/>
    </w:p>
    <w:p>
      <w:pPr>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ind w:firstLine="560"/>
        <w:spacing w:line="480" w:lineRule="exact"/>
        <w:rPr>
          <w:rFonts w:ascii="Times New Roman" w:hAnsi="Times New Roman"/>
          <w:color w:val="000000"/>
          <w:sz w:val="28"/>
          <w:szCs w:val="28"/>
        </w:rPr>
      </w:pPr>
      <w:r>
        <w:rPr>
          <w:rFonts w:ascii="Times New Roman" w:hAnsi="Times New Roman"/>
          <w:color w:val="000000"/>
          <w:sz w:val="28"/>
          <w:szCs w:val="28"/>
        </w:rPr>
        <w:t xml:space="preserve">1.本合同标准文本适用于购买现成货物的采购项目，不包括需要供应商定制开发、创新研发的货物采购项目。</w:t>
      </w:r>
      <w:r/>
    </w:p>
    <w:p>
      <w:pPr>
        <w:spacing w:line="480" w:lineRule="exact"/>
        <w:rPr>
          <w:rFonts w:ascii="Times New Roman" w:hAnsi="Times New Roman"/>
          <w:color w:val="000000"/>
          <w:sz w:val="28"/>
          <w:szCs w:val="28"/>
        </w:rPr>
      </w:pPr>
      <w:r>
        <w:rPr>
          <w:rFonts w:ascii="Times New Roman" w:hAnsi="Times New Roman"/>
          <w:color w:val="000000"/>
          <w:sz w:val="28"/>
          <w:szCs w:val="28"/>
        </w:rPr>
        <w:t xml:space="preserve">    2.本合同标准文本为政府采购货物买卖合同编制提供参考，可以结合采购项目具体情况，对文本作必要的调整修订后使用。</w:t>
      </w:r>
      <w:r/>
    </w:p>
    <w:p>
      <w:pPr>
        <w:ind w:firstLine="560"/>
        <w:spacing w:line="480" w:lineRule="exact"/>
        <w:rPr>
          <w:rFonts w:ascii="Times New Roman" w:hAnsi="Times New Roman"/>
          <w:color w:val="000000"/>
          <w:sz w:val="28"/>
          <w:szCs w:val="28"/>
        </w:rPr>
      </w:pPr>
      <w:r>
        <w:rPr>
          <w:rFonts w:ascii="Times New Roman" w:hAnsi="Times New Roman"/>
          <w:color w:val="000000"/>
          <w:sz w:val="28"/>
          <w:szCs w:val="28"/>
        </w:rPr>
        <w:t xml:space="preserve">3.本合同标准文本各条款中，如涉及填写多家供应商、制造商，多种采购标的、分包主要内容等信息的，可根据采购项目具体情况添加信息项。</w:t>
      </w:r>
      <w:r/>
    </w:p>
    <w:p>
      <w:pPr>
        <w:ind w:firstLine="560"/>
        <w:rPr>
          <w:rFonts w:ascii="Times New Roman" w:hAnsi="Times New Roman"/>
          <w:color w:val="000000"/>
          <w:sz w:val="28"/>
          <w:szCs w:val="28"/>
        </w:rPr>
      </w:pPr>
      <w:r>
        <w:rPr>
          <w:rFonts w:ascii="Times New Roman" w:hAnsi="Times New Roman"/>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rPr>
          <w:rFonts w:hint="eastAsia" w:ascii="黑体" w:hAnsi="黑体"/>
          <w:b/>
          <w:color w:val="000000"/>
          <w:sz w:val="28"/>
          <w:szCs w:val="28"/>
        </w:rPr>
      </w:pPr>
      <w:r>
        <w:rPr>
          <w:rFonts w:hint="eastAsia" w:ascii="黑体" w:hAnsi="黑体"/>
          <w:b/>
          <w:color w:val="000000"/>
          <w:sz w:val="28"/>
          <w:szCs w:val="28"/>
        </w:rPr>
      </w:r>
      <w:r/>
    </w:p>
    <w:p>
      <w:pPr>
        <w:pStyle w:val="862"/>
        <w:jc w:val="center"/>
        <w:spacing w:line="400" w:lineRule="exact"/>
        <w:rPr>
          <w:rFonts w:hint="eastAsia" w:ascii="黑体" w:hAnsi="华文中宋"/>
          <w:b w:val="0"/>
          <w:color w:val="000000"/>
          <w:szCs w:val="32"/>
        </w:rPr>
      </w:pPr>
      <w:r>
        <w:rPr>
          <w:rFonts w:hint="eastAsia" w:ascii="黑体" w:hAnsi="黑体"/>
          <w:b w:val="0"/>
          <w:color w:val="000000"/>
          <w:szCs w:val="32"/>
        </w:rPr>
        <w:t xml:space="preserve">第一节 </w:t>
      </w:r>
      <w:r>
        <w:rPr>
          <w:rFonts w:hint="eastAsia" w:ascii="黑体" w:hAnsi="华文中宋"/>
          <w:b w:val="0"/>
          <w:color w:val="000000"/>
          <w:szCs w:val="32"/>
        </w:rPr>
        <w:t xml:space="preserve">政府采购合同协议书</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甲方（全称）：（采购人、受采购人委托签订合同的单位或采购文件约定的合同甲方）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乙方（全称）：（供应商）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r>
      <w:r/>
    </w:p>
    <w:p>
      <w:pPr>
        <w:ind w:firstLine="480"/>
        <w:spacing w:line="400" w:lineRule="exact"/>
        <w:rPr>
          <w:rFonts w:hint="eastAsia" w:ascii="宋体" w:hAnsi="宋体"/>
          <w:color w:val="000000"/>
          <w:sz w:val="24"/>
          <w:szCs w:val="24"/>
        </w:rPr>
      </w:pPr>
      <w:r/>
      <w:bookmarkStart w:id="150" w:name="_Hlk187832913"/>
      <w:r>
        <w:rPr>
          <w:rFonts w:hint="eastAsia" w:ascii="宋体" w:hAnsi="宋体"/>
          <w:color w:val="000000"/>
          <w:sz w:val="24"/>
          <w:szCs w:val="24"/>
        </w:rPr>
        <w:t xml:space="preserve">依据《中华人民共和国民法典》、《中华人民共和国政府采购法》等有关的法律法规，以及本采购项目采购文件、乙方的《投标文件》及《中标通知书》，甲乙双方同意签订本合同。具体情况及要求如下： </w:t>
      </w:r>
      <w:bookmarkEnd w:id="150"/>
      <w:r/>
      <w:r/>
    </w:p>
    <w:p>
      <w:pPr>
        <w:ind w:firstLine="482"/>
        <w:spacing w:line="400" w:lineRule="exact"/>
        <w:rPr>
          <w:rFonts w:hint="eastAsia" w:ascii="宋体" w:hAnsi="宋体"/>
          <w:b/>
          <w:bCs/>
          <w:color w:val="000000"/>
          <w:sz w:val="24"/>
          <w:szCs w:val="24"/>
        </w:rPr>
      </w:pPr>
      <w:r>
        <w:rPr>
          <w:rFonts w:hint="eastAsia" w:ascii="宋体" w:hAnsi="宋体"/>
          <w:b/>
          <w:bCs/>
          <w:color w:val="000000"/>
          <w:sz w:val="24"/>
          <w:szCs w:val="24"/>
        </w:rPr>
        <w:t xml:space="preserve">项目信息</w:t>
      </w:r>
      <w:r/>
    </w:p>
    <w:p>
      <w:pPr>
        <w:ind w:firstLine="480"/>
        <w:spacing w:line="400" w:lineRule="exact"/>
        <w:rPr>
          <w:rFonts w:ascii="Times New Roman" w:hAnsi="Times New Roman"/>
          <w:color w:val="000000"/>
          <w:sz w:val="24"/>
          <w:szCs w:val="24"/>
          <w:u w:val="single"/>
        </w:rPr>
      </w:pPr>
      <w:r/>
      <w:bookmarkStart w:id="151" w:name="_Hlk187833240"/>
      <w:r>
        <w:rPr>
          <w:rFonts w:ascii="Times New Roman" w:hAnsi="Times New Roman"/>
          <w:color w:val="000000"/>
          <w:sz w:val="24"/>
          <w:szCs w:val="24"/>
        </w:rPr>
        <w:t xml:space="preserve">（1）采购项目名称：</w:t>
      </w:r>
      <w:r/>
    </w:p>
    <w:p>
      <w:pPr>
        <w:ind w:firstLine="1185"/>
        <w:spacing w:line="400" w:lineRule="exact"/>
        <w:rPr>
          <w:rFonts w:ascii="Times New Roman" w:hAnsi="Times New Roman"/>
          <w:color w:val="000000"/>
          <w:sz w:val="24"/>
          <w:szCs w:val="24"/>
          <w:u w:val="single"/>
        </w:rPr>
      </w:pPr>
      <w:r>
        <w:rPr>
          <w:rFonts w:ascii="Times New Roman" w:hAnsi="Times New Roman"/>
          <w:color w:val="000000"/>
          <w:sz w:val="24"/>
          <w:szCs w:val="24"/>
        </w:rPr>
        <w:t xml:space="preserve">采购项目编号：</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（2）采购计划编号：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（3）项目内容：</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采购标的及数量（台/套/个/架/组等）：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品牌：                    规格型号：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采购标的的技术要求、商务要求具体见附件。</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涉及信息类产品，请填写该产品关键部件的品牌、型号：</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标的名称：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关键部件：           品牌：         型号：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关键部件：           品牌：         型号：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关键部件：           品牌：         型号：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400" w:lineRule="exact"/>
        <w:rPr>
          <w:rFonts w:ascii="Times New Roman" w:hAnsi="Times New Roman"/>
          <w:color w:val="000000"/>
          <w:sz w:val="24"/>
          <w:szCs w:val="24"/>
        </w:rPr>
      </w:pPr>
      <w:r>
        <w:rPr>
          <w:rFonts w:ascii="Segoe UI Symbol" w:hAnsi="Segoe UI Symbol" w:cs="Segoe UI Symbol"/>
          <w:color w:val="000000"/>
          <w:sz w:val="24"/>
          <w:szCs w:val="24"/>
        </w:rPr>
        <w:t xml:space="preserve">②</w:t>
      </w:r>
      <w:r>
        <w:rPr>
          <w:rFonts w:ascii="Times New Roman" w:hAnsi="Times New Roman"/>
          <w:color w:val="000000"/>
          <w:sz w:val="24"/>
          <w:szCs w:val="24"/>
        </w:rPr>
        <w:t xml:space="preserve">涉及车辆采购，请填写是否属于新能源汽车：</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是，《政府采购品目分类目录》底级品目名称：      数量：     金额：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（4）政府采购组织形式：</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政府集中采购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部门集中采购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分散采购</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（5）政府采购方式：</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公开招标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邀请招标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竞争性谈判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竞争性磋商</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询价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单一来源</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框架协议</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其他：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（注：在框架协议采购的第二阶段，可选择使用该合同文本）</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（6）中标采购标的制造商是否为中小企业：</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本合同是否为专门面向中小企业的采购合同（中小企业预留合同）：</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若本项目不专门面向中小企业采购，是否给予小微企业评审优惠：</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中标采购标的制造商是否为残疾人福利性单位：</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中标采购标的制造商是否为监狱企业：</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（7）合同是否分包：</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分包主要内容：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分包供应商/制造商名称（如供应商和制造商不同，请分别填写）：</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分包供应商/制造商类型（如果供应商和制造商不同，只填写制造商类型）：</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大型企业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中型企业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小微型企业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残疾人福利性单位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监狱企业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其他</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（8）中标（成交）供应商是否为外商投资企业：</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外商投资企业类型：</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全部由外国投资者投资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部分由外国投资者投资</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（9）是否涉及进口产品：</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是，《政府采购品目分类目录》底级品目名称：          金额：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国别：         品牌：         规格型号：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（10）是否涉及节能产品：</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是，《节能产品政府采购品目清单》的底级品目名称：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强制采购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优先采购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是否涉及环境标志产品：</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是，《环境标志产品政府采购品目清单》的底级品目名称：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强制采购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优先采购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是否涉及绿色产品：</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是，绿色产品政府采购相关政策确定的底级品目名称：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强制采购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优先采购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（11）涉及商品包装和快递包装的，是否参考《商品包装政府采购需求标准（试行）》、《快递包装政府采购需求标准（试行）》明确产品及相关快递服务的具体包装要求：</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不涉及</w:t>
      </w:r>
      <w:bookmarkEnd w:id="151"/>
      <w:r/>
      <w:r/>
    </w:p>
    <w:p>
      <w:pPr>
        <w:numPr>
          <w:ilvl w:val="0"/>
          <w:numId w:val="4"/>
        </w:numPr>
        <w:ind w:firstLine="482"/>
        <w:spacing w:line="400" w:lineRule="exact"/>
        <w:rPr>
          <w:rFonts w:hint="eastAsia" w:ascii="宋体" w:hAnsi="宋体"/>
          <w:b/>
          <w:color w:val="000000"/>
          <w:sz w:val="24"/>
          <w:szCs w:val="24"/>
        </w:rPr>
      </w:pPr>
      <w:r>
        <w:rPr>
          <w:rFonts w:hint="eastAsia" w:ascii="宋体" w:hAnsi="宋体"/>
          <w:b/>
          <w:color w:val="000000"/>
          <w:sz w:val="24"/>
          <w:szCs w:val="24"/>
        </w:rPr>
        <w:t xml:space="preserve">合同金额</w:t>
      </w:r>
      <w:r/>
    </w:p>
    <w:p>
      <w:pPr>
        <w:ind w:firstLine="480"/>
        <w:spacing w:line="400" w:lineRule="exact"/>
        <w:rPr>
          <w:rFonts w:hint="eastAsia" w:ascii="宋体" w:hAnsi="宋体"/>
          <w:color w:val="000000"/>
          <w:sz w:val="24"/>
          <w:szCs w:val="24"/>
        </w:rPr>
      </w:pPr>
      <w:r/>
      <w:bookmarkStart w:id="152" w:name="_Hlk187833021"/>
      <w:r>
        <w:rPr>
          <w:rFonts w:hint="eastAsia" w:ascii="宋体" w:hAnsi="宋体"/>
          <w:color w:val="000000"/>
          <w:sz w:val="24"/>
          <w:szCs w:val="24"/>
        </w:rPr>
        <w:t xml:space="preserve">（1）合同金额小写：大写：</w:t>
      </w:r>
      <w:bookmarkEnd w:id="152"/>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分包金额（如有）小写：大写：</w:t>
      </w:r>
      <w:r/>
    </w:p>
    <w:p>
      <w:pPr>
        <w:ind w:firstLine="480"/>
        <w:spacing w:line="400" w:lineRule="exact"/>
        <w:rPr>
          <w:rFonts w:hint="eastAsia" w:ascii="宋体" w:hAnsi="宋体"/>
          <w:color w:val="000000"/>
          <w:sz w:val="24"/>
          <w:szCs w:val="24"/>
          <w:u w:val="single"/>
        </w:rPr>
      </w:pPr>
      <w:r>
        <w:rPr>
          <w:rFonts w:hint="eastAsia" w:ascii="宋体" w:hAnsi="宋体"/>
          <w:color w:val="000000"/>
          <w:sz w:val="24"/>
          <w:szCs w:val="24"/>
        </w:rPr>
        <w:t xml:space="preserve">（注：固定单价合同应填写单价和最高限价）</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（2）合同定价方式（采用组合定价方式的，可以勾选多项）：</w:t>
      </w:r>
      <w:r/>
    </w:p>
    <w:p>
      <w:pPr>
        <w:ind w:firstLine="480"/>
        <w:spacing w:line="400" w:lineRule="exact"/>
        <w:rPr>
          <w:rFonts w:hint="eastAsia" w:ascii="宋体" w:hAnsi="宋体"/>
          <w:color w:val="000000"/>
          <w:sz w:val="24"/>
          <w:szCs w:val="24"/>
        </w:rPr>
      </w:pPr>
      <w:r>
        <w:rPr>
          <w:rFonts w:ascii="Wingdings" w:hAnsi="Wingdings" w:eastAsia="Wingdings" w:cs="Wingdings"/>
          <w:iCs/>
          <w:color w:val="000000"/>
          <w:sz w:val="24"/>
          <w:szCs w:val="24"/>
        </w:rPr>
        <w:t xml:space="preserve"></w:t>
      </w:r>
      <w:r>
        <w:rPr>
          <w:rFonts w:hint="eastAsia" w:ascii="宋体" w:hAnsi="宋体"/>
          <w:iCs/>
          <w:color w:val="000000"/>
          <w:sz w:val="24"/>
          <w:szCs w:val="24"/>
        </w:rPr>
        <w:t xml:space="preserve">固定总价 </w:t>
      </w:r>
      <w:r>
        <w:rPr>
          <w:rFonts w:ascii="Wingdings" w:hAnsi="Wingdings" w:eastAsia="Wingdings" w:cs="Wingdings"/>
          <w:iCs/>
          <w:color w:val="000000"/>
          <w:sz w:val="24"/>
          <w:szCs w:val="24"/>
        </w:rPr>
        <w:t xml:space="preserve"></w:t>
      </w:r>
      <w:r>
        <w:rPr>
          <w:rFonts w:hint="eastAsia" w:ascii="宋体" w:hAnsi="宋体"/>
          <w:iCs/>
          <w:color w:val="000000"/>
          <w:sz w:val="24"/>
          <w:szCs w:val="24"/>
        </w:rPr>
        <w:t xml:space="preserve">固定单价 </w:t>
      </w:r>
      <w:r>
        <w:rPr>
          <w:rFonts w:ascii="Wingdings" w:hAnsi="Wingdings" w:eastAsia="Wingdings" w:cs="Wingdings"/>
          <w:iCs/>
          <w:color w:val="000000"/>
          <w:sz w:val="24"/>
          <w:szCs w:val="24"/>
        </w:rPr>
        <w:t xml:space="preserve"></w:t>
      </w:r>
      <w:r>
        <w:rPr>
          <w:rFonts w:hint="eastAsia" w:ascii="宋体" w:hAnsi="宋体"/>
          <w:iCs/>
          <w:color w:val="000000"/>
          <w:sz w:val="24"/>
          <w:szCs w:val="24"/>
        </w:rPr>
        <w:t xml:space="preserve">固定费率 </w:t>
      </w:r>
      <w:r>
        <w:rPr>
          <w:rFonts w:ascii="Wingdings" w:hAnsi="Wingdings" w:eastAsia="Wingdings" w:cs="Wingdings"/>
          <w:iCs/>
          <w:color w:val="000000"/>
          <w:sz w:val="24"/>
          <w:szCs w:val="24"/>
        </w:rPr>
        <w:t xml:space="preserve"></w:t>
      </w:r>
      <w:r>
        <w:rPr>
          <w:rFonts w:hint="eastAsia" w:ascii="宋体" w:hAnsi="宋体"/>
          <w:iCs/>
          <w:color w:val="000000"/>
          <w:sz w:val="24"/>
          <w:szCs w:val="24"/>
        </w:rPr>
        <w:t xml:space="preserve">成本补偿 </w:t>
      </w:r>
      <w:r>
        <w:rPr>
          <w:rFonts w:ascii="Wingdings" w:hAnsi="Wingdings" w:eastAsia="Wingdings" w:cs="Wingdings"/>
          <w:iCs/>
          <w:color w:val="000000"/>
          <w:sz w:val="24"/>
          <w:szCs w:val="24"/>
        </w:rPr>
        <w:t xml:space="preserve"></w:t>
      </w:r>
      <w:r>
        <w:rPr>
          <w:rFonts w:hint="eastAsia" w:ascii="宋体" w:hAnsi="宋体"/>
          <w:iCs/>
          <w:color w:val="000000"/>
          <w:sz w:val="24"/>
          <w:szCs w:val="24"/>
        </w:rPr>
        <w:t xml:space="preserve">绩效激励 </w:t>
      </w:r>
      <w:r>
        <w:rPr>
          <w:rFonts w:ascii="Wingdings" w:hAnsi="Wingdings" w:eastAsia="Wingdings" w:cs="Wingdings"/>
          <w:iCs/>
          <w:color w:val="000000"/>
          <w:sz w:val="24"/>
          <w:szCs w:val="24"/>
        </w:rPr>
        <w:t xml:space="preserve"></w:t>
      </w:r>
      <w:r>
        <w:rPr>
          <w:rFonts w:hint="eastAsia" w:ascii="宋体" w:hAnsi="宋体"/>
          <w:iCs/>
          <w:color w:val="000000"/>
          <w:sz w:val="24"/>
          <w:szCs w:val="24"/>
        </w:rPr>
        <w:t xml:space="preserve">其他</w:t>
      </w:r>
      <w:r/>
    </w:p>
    <w:p>
      <w:pPr>
        <w:pStyle w:val="1252"/>
        <w:ind w:left="0" w:firstLine="480"/>
        <w:spacing w:line="400" w:lineRule="exact"/>
        <w:rPr>
          <w:color w:val="000000"/>
          <w:lang w:eastAsia="zh-CN"/>
        </w:rPr>
      </w:pPr>
      <w:r>
        <w:rPr>
          <w:rFonts w:hint="eastAsia" w:ascii="宋体" w:hAnsi="宋体"/>
          <w:color w:val="000000"/>
          <w:lang w:eastAsia="zh-CN"/>
        </w:rPr>
        <w:t xml:space="preserve">（3）付款方式（按项目实际勾选填写）：</w:t>
      </w:r>
      <w:r/>
    </w:p>
    <w:p>
      <w:pPr>
        <w:ind w:firstLine="480"/>
        <w:spacing w:line="400" w:lineRule="exact"/>
        <w:rPr>
          <w:rFonts w:hint="eastAsia" w:ascii="宋体" w:hAnsi="宋体"/>
          <w:color w:val="000000"/>
          <w:sz w:val="24"/>
          <w:szCs w:val="24"/>
          <w:u w:val="single"/>
        </w:rPr>
      </w:pPr>
      <w:r>
        <w:rPr>
          <w:rFonts w:ascii="Wingdings" w:hAnsi="Wingdings" w:eastAsia="Wingdings" w:cs="Wingdings"/>
          <w:color w:val="000000"/>
          <w:sz w:val="24"/>
          <w:szCs w:val="24"/>
        </w:rPr>
        <w:t xml:space="preserve"></w:t>
      </w:r>
      <w:r>
        <w:rPr>
          <w:rFonts w:hint="eastAsia" w:ascii="宋体" w:hAnsi="宋体"/>
          <w:color w:val="000000"/>
          <w:sz w:val="24"/>
          <w:szCs w:val="24"/>
        </w:rPr>
        <w:t xml:space="preserve">全额付款：</w:t>
      </w:r>
      <w:r>
        <w:rPr>
          <w:rFonts w:hint="eastAsia" w:ascii="宋体" w:hAnsi="宋体"/>
          <w:color w:val="000000"/>
          <w:sz w:val="24"/>
          <w:szCs w:val="24"/>
          <w:u w:val="single"/>
        </w:rPr>
        <w:t xml:space="preserve">（应明确一次性支付合同款项的条件）                    </w:t>
      </w:r>
      <w:r/>
    </w:p>
    <w:p>
      <w:pPr>
        <w:ind w:firstLine="480"/>
        <w:spacing w:line="400" w:lineRule="exact"/>
        <w:rPr>
          <w:rFonts w:hint="eastAsia" w:ascii="宋体" w:hAnsi="宋体"/>
          <w:sz w:val="24"/>
          <w:szCs w:val="24"/>
        </w:rPr>
      </w:pPr>
      <w:r>
        <w:rPr>
          <w:rFonts w:ascii="Wingdings" w:hAnsi="Wingdings" w:eastAsia="Wingdings" w:cs="Wingdings"/>
          <w:color w:val="000000"/>
          <w:sz w:val="24"/>
          <w:szCs w:val="24"/>
        </w:rPr>
        <w:t xml:space="preserve"></w:t>
      </w:r>
      <w:r>
        <w:rPr>
          <w:rFonts w:hint="eastAsia" w:ascii="宋体" w:hAnsi="宋体"/>
          <w:color w:val="000000"/>
          <w:sz w:val="24"/>
          <w:szCs w:val="24"/>
        </w:rPr>
        <w:t xml:space="preserve">分期付款：</w:t>
      </w:r>
      <w:bookmarkStart w:id="153" w:name="_Hlk187834001"/>
      <w:r>
        <w:rPr>
          <w:rFonts w:hint="eastAsia" w:ascii="宋体" w:hAnsi="宋体" w:cs="Courier New"/>
          <w:color w:val="000000"/>
          <w:sz w:val="24"/>
          <w:szCs w:val="24"/>
        </w:rPr>
        <w:t xml:space="preserve">（应明确分期支付合同款项的各期比例和支付条件，各期支付条件应</w:t>
      </w:r>
      <w:r>
        <w:rPr>
          <w:rFonts w:hint="eastAsia" w:ascii="宋体" w:hAnsi="宋体" w:cs="Courier New"/>
          <w:sz w:val="24"/>
          <w:szCs w:val="24"/>
        </w:rPr>
        <w:t xml:space="preserve">与分期履约验收情况挂钩）</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预付款：预付款，签订合同后支付合同总价款的30%；</w:t>
      </w:r>
      <w:r/>
    </w:p>
    <w:p>
      <w:pPr>
        <w:pStyle w:val="1233"/>
        <w:ind w:firstLine="480"/>
        <w:spacing w:line="480" w:lineRule="exact"/>
        <w:rPr>
          <w:rFonts w:hint="eastAsia" w:ascii="宋体" w:hAnsi="宋体" w:cs="宋体"/>
          <w:color w:val="0000ff"/>
          <w:sz w:val="24"/>
        </w:rPr>
      </w:pPr>
      <w:r>
        <w:rPr>
          <w:rFonts w:hint="eastAsia" w:ascii="宋体" w:hAnsi="宋体" w:cs="宋体"/>
          <w:sz w:val="24"/>
        </w:rPr>
        <w:t xml:space="preserve">进度款：</w:t>
      </w:r>
      <w:r>
        <w:rPr>
          <w:rFonts w:hint="eastAsia" w:ascii="宋体" w:hAnsi="宋体" w:cs="宋体"/>
          <w:color w:val="ff0000"/>
          <w:sz w:val="24"/>
        </w:rPr>
        <w:t xml:space="preserve">设备安装进度至50%支付至合同价款的50%，</w:t>
      </w:r>
      <w:r>
        <w:rPr>
          <w:rFonts w:hint="eastAsia" w:ascii="宋体" w:hAnsi="宋体" w:cs="宋体"/>
          <w:color w:val="000000" w:themeColor="text1"/>
          <w:sz w:val="24"/>
          <w14:textFill>
            <w14:solidFill>
              <w14:schemeClr w14:val="tx1"/>
            </w14:solidFill>
          </w14:textFill>
        </w:rPr>
        <w:t xml:space="preserve">全部安装完毕付，且特种设备安全监督部门验收合格、取得“电梯使用登记标志”后至合同价款的80%，其他附属设施安装完毕且取得竣工证明后付至合同价的100%。</w:t>
      </w:r>
      <w:r/>
    </w:p>
    <w:p>
      <w:pPr>
        <w:pStyle w:val="1233"/>
        <w:ind w:firstLine="480"/>
        <w:spacing w:line="480" w:lineRule="exact"/>
        <w:rPr>
          <w:rFonts w:hint="eastAsia" w:ascii="宋体" w:hAnsi="宋体" w:cs="宋体"/>
          <w:sz w:val="24"/>
        </w:rPr>
      </w:pPr>
      <w:r>
        <w:rPr>
          <w:rFonts w:hint="eastAsia" w:ascii="宋体" w:hAnsi="宋体" w:cs="宋体"/>
          <w:sz w:val="24"/>
        </w:rPr>
        <w:t xml:space="preserve">（1）可以采用数字人民币支付。</w:t>
      </w:r>
      <w:r/>
    </w:p>
    <w:p>
      <w:pPr>
        <w:pStyle w:val="1233"/>
        <w:ind w:firstLine="480"/>
        <w:spacing w:line="480" w:lineRule="exact"/>
        <w:rPr>
          <w:rFonts w:hint="eastAsia" w:ascii="宋体" w:hAnsi="宋体" w:cs="宋体"/>
          <w:sz w:val="24"/>
        </w:rPr>
      </w:pPr>
      <w:r>
        <w:rPr>
          <w:rFonts w:hint="eastAsia" w:ascii="宋体" w:hAnsi="宋体" w:cs="宋体"/>
          <w:sz w:val="24"/>
        </w:rPr>
        <w:t xml:space="preserve">（2）资金支付的时间：收到供应商发票10个工作日内。</w:t>
      </w:r>
      <w:r/>
    </w:p>
    <w:p>
      <w:pPr>
        <w:pStyle w:val="1233"/>
        <w:ind w:firstLine="480"/>
        <w:spacing w:line="480" w:lineRule="exact"/>
        <w:rPr>
          <w:rFonts w:hint="eastAsia" w:ascii="宋体" w:hAnsi="宋体" w:cs="宋体"/>
          <w:sz w:val="24"/>
        </w:rPr>
      </w:pPr>
      <w:r>
        <w:rPr>
          <w:rFonts w:hint="eastAsia" w:ascii="宋体" w:hAnsi="宋体" w:cs="宋体"/>
          <w:sz w:val="24"/>
        </w:rPr>
        <w:t xml:space="preserve">（3）资金支付的条件：满足相应阶段的要求且收到供应商发票。</w:t>
      </w:r>
      <w:r/>
    </w:p>
    <w:p>
      <w:pPr>
        <w:pStyle w:val="1233"/>
        <w:ind w:firstLine="480"/>
        <w:spacing w:line="480" w:lineRule="exact"/>
        <w:rPr>
          <w:rFonts w:hint="eastAsia" w:ascii="宋体" w:hAnsi="宋体" w:cs="宋体"/>
          <w:sz w:val="24"/>
        </w:rPr>
      </w:pPr>
      <w:r>
        <w:rPr>
          <w:rFonts w:hint="eastAsia" w:ascii="宋体" w:hAnsi="宋体" w:cs="宋体"/>
          <w:sz w:val="24"/>
        </w:rPr>
        <w:t xml:space="preserve">（4）在签订合同时，供应商明确表示无需预付款或者主动要求降低预付款比例的，采购人可不适用前述规定。</w:t>
      </w:r>
      <w:bookmarkEnd w:id="153"/>
      <w:r/>
      <w:r/>
    </w:p>
    <w:p>
      <w:pPr>
        <w:ind w:firstLine="480"/>
        <w:spacing w:line="400" w:lineRule="exact"/>
        <w:rPr>
          <w:rFonts w:hint="eastAsia" w:ascii="宋体" w:hAnsi="宋体"/>
          <w:color w:val="000000"/>
          <w:sz w:val="24"/>
          <w:szCs w:val="24"/>
          <w:u w:val="single"/>
        </w:rPr>
      </w:pPr>
      <w:r>
        <w:rPr>
          <w:rFonts w:ascii="Wingdings" w:hAnsi="Wingdings" w:eastAsia="Wingdings" w:cs="Wingdings"/>
          <w:color w:val="000000"/>
          <w:sz w:val="24"/>
          <w:szCs w:val="24"/>
        </w:rPr>
        <w:t xml:space="preserve"></w:t>
      </w:r>
      <w:r>
        <w:rPr>
          <w:rFonts w:hint="eastAsia" w:ascii="宋体" w:hAnsi="宋体"/>
          <w:color w:val="000000"/>
          <w:sz w:val="24"/>
          <w:szCs w:val="24"/>
        </w:rPr>
        <w:t xml:space="preserve">成本补偿：</w:t>
      </w:r>
      <w:r>
        <w:rPr>
          <w:rFonts w:hint="eastAsia" w:ascii="宋体" w:hAnsi="宋体"/>
          <w:color w:val="000000"/>
          <w:sz w:val="24"/>
          <w:szCs w:val="24"/>
          <w:u w:val="single"/>
        </w:rPr>
        <w:t xml:space="preserve">      （应明确按照成本补偿方式的支付方式和支付条件）</w:t>
      </w:r>
      <w:r/>
    </w:p>
    <w:p>
      <w:pPr>
        <w:ind w:firstLine="480"/>
        <w:spacing w:line="400" w:lineRule="exact"/>
        <w:rPr>
          <w:color w:val="000000"/>
          <w:sz w:val="24"/>
          <w:szCs w:val="24"/>
        </w:rPr>
      </w:pPr>
      <w:r>
        <w:rPr>
          <w:rFonts w:ascii="Wingdings" w:hAnsi="Wingdings" w:eastAsia="Wingdings" w:cs="Wingdings"/>
          <w:color w:val="000000"/>
          <w:sz w:val="24"/>
          <w:szCs w:val="24"/>
        </w:rPr>
        <w:t xml:space="preserve"></w:t>
      </w:r>
      <w:r>
        <w:rPr>
          <w:rFonts w:hint="eastAsia" w:ascii="宋体" w:hAnsi="宋体"/>
          <w:color w:val="000000"/>
          <w:sz w:val="24"/>
          <w:szCs w:val="24"/>
        </w:rPr>
        <w:t xml:space="preserve">绩效激励：</w:t>
      </w:r>
      <w:r>
        <w:rPr>
          <w:rFonts w:hint="eastAsia" w:ascii="宋体" w:hAnsi="宋体"/>
          <w:color w:val="000000"/>
          <w:sz w:val="24"/>
          <w:szCs w:val="24"/>
          <w:u w:val="single"/>
        </w:rPr>
        <w:t xml:space="preserve">      （应明确按照绩效激励方式的支付方式和支付条件）</w:t>
      </w:r>
      <w:r/>
    </w:p>
    <w:p>
      <w:pPr>
        <w:ind w:left="482"/>
        <w:spacing w:line="400" w:lineRule="exact"/>
        <w:rPr>
          <w:rFonts w:ascii="Times New Roman" w:hAnsi="Times New Roman"/>
          <w:b/>
          <w:color w:val="000000"/>
          <w:sz w:val="24"/>
          <w:szCs w:val="24"/>
          <w:u w:val="single"/>
        </w:rPr>
      </w:pPr>
      <w:r/>
      <w:bookmarkStart w:id="154" w:name="_Hlk187834132"/>
      <w:r>
        <w:rPr>
          <w:rFonts w:ascii="Times New Roman" w:hAnsi="Times New Roman"/>
          <w:b/>
          <w:color w:val="000000"/>
          <w:sz w:val="24"/>
          <w:szCs w:val="24"/>
        </w:rPr>
        <w:t xml:space="preserve">2.合同履行</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（1）起始日期：年月日，完成日期：年月日。</w:t>
      </w:r>
      <w:r/>
    </w:p>
    <w:p>
      <w:pPr>
        <w:ind w:firstLine="480"/>
        <w:spacing w:line="400" w:lineRule="exact"/>
        <w:rPr>
          <w:rFonts w:ascii="Times New Roman" w:hAnsi="Times New Roman"/>
          <w:color w:val="000000"/>
          <w:sz w:val="24"/>
          <w:szCs w:val="24"/>
          <w:u w:val="single"/>
        </w:rPr>
      </w:pPr>
      <w:r>
        <w:rPr>
          <w:rFonts w:ascii="Times New Roman" w:hAnsi="Times New Roman"/>
          <w:color w:val="000000"/>
          <w:sz w:val="24"/>
          <w:szCs w:val="24"/>
        </w:rPr>
        <w:t xml:space="preserve">（2）履约地点</w:t>
      </w:r>
      <w:r>
        <w:rPr>
          <w:rFonts w:ascii="Times New Roman" w:hAnsi="Times New Roman"/>
          <w:bCs/>
          <w:color w:val="000000"/>
          <w:sz w:val="24"/>
          <w:szCs w:val="24"/>
        </w:rPr>
        <w:t xml:space="preserve">：</w:t>
      </w:r>
      <w:r/>
    </w:p>
    <w:p>
      <w:pPr>
        <w:ind w:firstLine="480"/>
        <w:spacing w:line="400" w:lineRule="exact"/>
        <w:rPr>
          <w:rFonts w:ascii="Times New Roman" w:hAnsi="Times New Roman"/>
          <w:color w:val="000000"/>
          <w:sz w:val="24"/>
          <w:szCs w:val="24"/>
        </w:rPr>
      </w:pPr>
      <w:r>
        <w:rPr>
          <w:rFonts w:ascii="Times New Roman" w:hAnsi="Times New Roman"/>
          <w:bCs/>
          <w:color w:val="000000"/>
          <w:sz w:val="24"/>
          <w:szCs w:val="24"/>
        </w:rPr>
        <w:t xml:space="preserve">（3）履约担保：</w:t>
      </w:r>
      <w:bookmarkStart w:id="155" w:name="_Hlk187834600"/>
      <w:r>
        <w:rPr>
          <w:rFonts w:ascii="Times New Roman" w:hAnsi="Times New Roman"/>
          <w:color w:val="000000"/>
          <w:sz w:val="24"/>
          <w:szCs w:val="24"/>
        </w:rPr>
        <w:t xml:space="preserve">是否收取履约保证金：</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否(备注：选择否删除以下履约保证金相关条款，招标文件定稿后该备注删除。）</w:t>
      </w:r>
      <w:bookmarkEnd w:id="155"/>
      <w:r/>
      <w:r/>
    </w:p>
    <w:p>
      <w:pPr>
        <w:ind w:firstLine="480"/>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履约保证金提交形式：</w:t>
      </w:r>
      <w:r>
        <w:rPr>
          <w:rFonts w:hint="eastAsia" w:ascii="Times New Roman" w:hAnsi="Times New Roman" w:cs="仿宋"/>
          <w:color w:val="000000"/>
          <w:sz w:val="24"/>
        </w:rPr>
        <w:t xml:space="preserve">履约保证金应在中标公告发布之日起7日历天内提交。除银行电汇、网上银行、数字人民币外，乙方还可选用银行保函、担保公司的保证担保或保险公司的保证保险等多种形式向采购人缴纳。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b/>
          <w:bCs/>
          <w:color w:val="000000"/>
          <w:sz w:val="24"/>
        </w:rPr>
        <w:t xml:space="preserve">履约保证金提交金额：</w:t>
      </w:r>
      <w:r>
        <w:rPr>
          <w:rFonts w:hint="eastAsia" w:ascii="Times New Roman" w:hAnsi="Times New Roman" w:cs="仿宋"/>
          <w:color w:val="000000"/>
          <w:sz w:val="24"/>
        </w:rPr>
        <w:t xml:space="preserve">按采购合同总价的2%提交。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（使用江苏政府采购电子履约保函（保险）代替缴纳履约保证金，按采购合同总价的 1.2 %）计取。办理流程、偿付等内容见江苏政府采购网“保险保函”模块。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b/>
          <w:bCs/>
          <w:color w:val="000000"/>
          <w:sz w:val="24"/>
        </w:rPr>
        <w:t xml:space="preserve">履约保证金退还方式：</w:t>
      </w: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履约保证金退还条件，按以下第 a 方式实行：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a、货物类项目，项目验收合格，出具验收报告及履约保证金收据申请退付；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b、服务类项目，项目履约期满评价合格，出具履约评价报告及履约保证金收据申请退付；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c、工程类项目，项目完工验收合格，出具完工证明及履约保证金收据申请退付；</w:t>
      </w:r>
      <w:r/>
    </w:p>
    <w:p>
      <w:pPr>
        <w:ind w:firstLine="480"/>
        <w:spacing w:line="480" w:lineRule="exact"/>
        <w:rPr>
          <w:rFonts w:ascii="Times New Roman" w:hAnsi="Times New Roman" w:cs="仿宋"/>
          <w:color w:val="000000"/>
          <w:sz w:val="24"/>
        </w:rPr>
      </w:pPr>
      <w:r>
        <w:rPr>
          <w:rFonts w:hint="eastAsia" w:ascii="Times New Roman" w:hAnsi="Times New Roman" w:cs="仿宋"/>
          <w:b/>
          <w:bCs/>
          <w:color w:val="000000"/>
          <w:sz w:val="24"/>
        </w:rPr>
        <w:t xml:space="preserve">履约保证金退还时间</w:t>
      </w:r>
      <w:r>
        <w:rPr>
          <w:rFonts w:hint="eastAsia" w:ascii="Times New Roman" w:hAnsi="Times New Roman" w:cs="仿宋"/>
          <w:color w:val="000000"/>
          <w:sz w:val="24"/>
        </w:rPr>
        <w:t xml:space="preserve">：甲方收到乙方退付申请后5个工作日内退还。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b/>
          <w:bCs/>
          <w:color w:val="000000"/>
          <w:sz w:val="24"/>
        </w:rPr>
        <w:t xml:space="preserve">履约保证金不予退还情形：</w:t>
      </w:r>
      <w:r>
        <w:rPr>
          <w:rFonts w:hint="eastAsia" w:ascii="Times New Roman" w:hAnsi="Times New Roman" w:cs="仿宋"/>
          <w:color w:val="000000"/>
          <w:sz w:val="24"/>
        </w:rPr>
        <w:t xml:space="preserve">除不可抗力外，乙方不履行与甲方订立的采购合同的，履约保证金不予退还，给甲方造成的损失超过履约保证金数额的，还应对超过部分予以赔偿。</w:t>
      </w:r>
      <w:r/>
    </w:p>
    <w:p>
      <w:pPr>
        <w:ind w:firstLine="480"/>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逾期退还履约保证金违约责任：</w:t>
      </w:r>
      <w:r>
        <w:rPr>
          <w:rFonts w:hint="eastAsia" w:ascii="Times New Roman" w:hAnsi="Times New Roman" w:cs="仿宋"/>
          <w:color w:val="000000"/>
          <w:sz w:val="24"/>
        </w:rPr>
        <w:t xml:space="preserve">甲方逾期退还履约保证金的，除应退还履约保证金外，还应按中国人民银行同期贷款基准利率上浮20％后的利率支付超期资金占用费，但因乙方自身原因导致无法及时退还的除外。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如乙方未在规定时间内缴纳履约保证金，视为虚假承诺，甲方有权报请财政部门进行处理。</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（4）分期履行要求：</w:t>
      </w:r>
      <w:r/>
    </w:p>
    <w:p>
      <w:pPr>
        <w:ind w:firstLine="480"/>
        <w:spacing w:line="400" w:lineRule="exact"/>
        <w:rPr>
          <w:rFonts w:ascii="Times New Roman" w:hAnsi="Times New Roman"/>
          <w:color w:val="000000"/>
          <w:sz w:val="24"/>
          <w:szCs w:val="24"/>
          <w:u w:val="single"/>
        </w:rPr>
      </w:pPr>
      <w:r>
        <w:rPr>
          <w:rFonts w:ascii="Times New Roman" w:hAnsi="Times New Roman"/>
          <w:bCs/>
          <w:color w:val="000000"/>
          <w:sz w:val="24"/>
          <w:szCs w:val="24"/>
        </w:rPr>
        <w:t xml:space="preserve">（5）风险处置措施和替代方案：</w:t>
      </w:r>
      <w:bookmarkEnd w:id="154"/>
      <w:r/>
      <w:r/>
    </w:p>
    <w:p>
      <w:pPr>
        <w:ind w:left="482"/>
        <w:spacing w:line="400" w:lineRule="exact"/>
        <w:rPr>
          <w:rFonts w:hint="eastAsia" w:ascii="宋体" w:hAnsi="宋体"/>
          <w:b/>
          <w:color w:val="000000"/>
          <w:sz w:val="24"/>
          <w:szCs w:val="24"/>
        </w:rPr>
      </w:pPr>
      <w:r/>
      <w:bookmarkStart w:id="156" w:name="_Hlk187834828"/>
      <w:r>
        <w:rPr>
          <w:rFonts w:hint="eastAsia" w:ascii="宋体" w:hAnsi="宋体"/>
          <w:b/>
          <w:color w:val="000000"/>
          <w:sz w:val="24"/>
          <w:szCs w:val="24"/>
        </w:rPr>
        <w:t xml:space="preserve">3.合同验收</w:t>
      </w:r>
      <w:r/>
    </w:p>
    <w:p>
      <w:pPr>
        <w:numPr>
          <w:ilvl w:val="0"/>
          <w:numId w:val="5"/>
        </w:num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验收组织方式：</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自行组织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委托第三方组织</w:t>
      </w:r>
      <w:r/>
    </w:p>
    <w:p>
      <w:pPr>
        <w:ind w:left="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主体：</w:t>
      </w:r>
      <w:r/>
    </w:p>
    <w:p>
      <w:pPr>
        <w:ind w:left="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是否邀请本项目的其他供应商参加验收：</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是否邀请专家参加验收：</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是否邀请服务对象参加验收：</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是否邀请第三方检测机构参加验收：</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是否进行抽查检测：</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是，抽查比例：</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是否存在破坏性检测：</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w:t>
      </w:r>
      <w:r>
        <w:rPr>
          <w:rFonts w:ascii="Times New Roman" w:hAnsi="Times New Roman"/>
          <w:bCs/>
          <w:color w:val="000000"/>
          <w:sz w:val="24"/>
          <w:szCs w:val="24"/>
          <w:u w:val="single"/>
        </w:rPr>
        <w:t xml:space="preserve">（应明确对被破坏的检测产品的处理方式）</w:t>
      </w:r>
      <w:r/>
    </w:p>
    <w:p>
      <w:pPr>
        <w:ind w:firstLine="480"/>
        <w:spacing w:line="400" w:lineRule="exact"/>
        <w:rPr>
          <w:rFonts w:ascii="Times New Roman" w:hAnsi="Times New Roman"/>
          <w:bCs/>
          <w:color w:val="000000"/>
          <w:sz w:val="24"/>
          <w:szCs w:val="24"/>
        </w:rPr>
      </w:pP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验收组织的其他事项：</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（2）履约验收时间：</w:t>
      </w:r>
      <w:r>
        <w:rPr>
          <w:rFonts w:ascii="Times New Roman" w:hAnsi="Times New Roman"/>
          <w:bCs/>
          <w:color w:val="000000"/>
          <w:sz w:val="24"/>
          <w:szCs w:val="24"/>
          <w:u w:val="single"/>
        </w:rPr>
        <w:t xml:space="preserve">（计划于何时验收/供应商提出验收申请之日起   日内组织验收）</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（3）履约验收方式：</w:t>
      </w:r>
      <w:r/>
    </w:p>
    <w:p>
      <w:pPr>
        <w:ind w:firstLine="480"/>
        <w:spacing w:line="400" w:lineRule="exact"/>
        <w:rPr>
          <w:rFonts w:ascii="Times New Roman" w:hAnsi="Times New Roman"/>
          <w:bCs/>
          <w:color w:val="000000"/>
          <w:sz w:val="24"/>
          <w:szCs w:val="24"/>
        </w:rPr>
      </w:pP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一次性验收 </w:t>
      </w:r>
      <w:r/>
    </w:p>
    <w:p>
      <w:pPr>
        <w:ind w:firstLine="480"/>
        <w:spacing w:line="400" w:lineRule="exact"/>
        <w:rPr>
          <w:rFonts w:ascii="Times New Roman" w:hAnsi="Times New Roman"/>
          <w:bCs/>
          <w:color w:val="000000"/>
          <w:sz w:val="24"/>
          <w:szCs w:val="24"/>
        </w:rPr>
      </w:pP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分期/分项验收：</w:t>
      </w:r>
      <w:r>
        <w:rPr>
          <w:rFonts w:ascii="Times New Roman" w:hAnsi="Times New Roman"/>
          <w:bCs/>
          <w:color w:val="000000"/>
          <w:sz w:val="24"/>
          <w:szCs w:val="24"/>
          <w:u w:val="single"/>
        </w:rPr>
        <w:t xml:space="preserve">（应明确分期/分项验收的工作安排）  </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（4）履约验收程序：</w:t>
      </w:r>
      <w:r/>
    </w:p>
    <w:p>
      <w:pPr>
        <w:ind w:firstLine="480"/>
        <w:spacing w:line="400" w:lineRule="exact"/>
        <w:rPr>
          <w:rFonts w:ascii="Times New Roman" w:hAnsi="Times New Roman"/>
          <w:bCs/>
          <w:color w:val="000000"/>
          <w:sz w:val="24"/>
          <w:szCs w:val="24"/>
          <w:u w:val="single"/>
        </w:rPr>
      </w:pPr>
      <w:r>
        <w:rPr>
          <w:rFonts w:hint="eastAsia" w:ascii="Times New Roman" w:hAnsi="Times New Roman"/>
          <w:bCs/>
          <w:color w:val="000000"/>
          <w:sz w:val="24"/>
          <w:szCs w:val="24"/>
        </w:rPr>
        <w:t xml:space="preserve">履约验收条件达到时，采购人在5个工作日内启动履约验收工作，并向供应商发出《政府采购履约验收通知单》</w:t>
      </w:r>
      <w:r>
        <w:rPr>
          <w:rFonts w:hint="eastAsia" w:ascii="Times New Roman" w:hAnsi="Times New Roman"/>
          <w:bCs/>
          <w:color w:val="000000"/>
          <w:sz w:val="24"/>
          <w:szCs w:val="24"/>
          <w:u w:val="single"/>
        </w:rPr>
        <w:t xml:space="preserve">。</w:t>
      </w:r>
      <w:r/>
    </w:p>
    <w:p>
      <w:pPr>
        <w:ind w:firstLine="480"/>
        <w:spacing w:line="400" w:lineRule="exact"/>
        <w:rPr>
          <w:rFonts w:ascii="Times New Roman" w:hAnsi="Times New Roman"/>
          <w:bCs/>
          <w:color w:val="000000"/>
          <w:sz w:val="24"/>
          <w:szCs w:val="24"/>
        </w:rPr>
      </w:pPr>
      <w:r>
        <w:rPr>
          <w:rFonts w:hint="eastAsia" w:ascii="Times New Roman" w:hAnsi="Times New Roman"/>
          <w:bCs/>
          <w:color w:val="000000"/>
          <w:sz w:val="24"/>
          <w:szCs w:val="24"/>
        </w:rPr>
        <w:t xml:space="preserve">验收小组制定验收工作实施方案，按照方案开展验收；履约验收工作结束后，验收小组应形成书面验收意见。</w:t>
      </w:r>
      <w:r/>
    </w:p>
    <w:p>
      <w:pPr>
        <w:ind w:firstLine="480"/>
        <w:spacing w:line="400" w:lineRule="exact"/>
        <w:rPr>
          <w:rFonts w:ascii="Times New Roman" w:hAnsi="Times New Roman"/>
          <w:bCs/>
          <w:color w:val="000000"/>
          <w:sz w:val="24"/>
          <w:szCs w:val="24"/>
        </w:rPr>
      </w:pPr>
      <w:r>
        <w:rPr>
          <w:rFonts w:hint="eastAsia" w:ascii="Times New Roman" w:hAnsi="Times New Roman"/>
          <w:bCs/>
          <w:color w:val="000000"/>
          <w:sz w:val="24"/>
          <w:szCs w:val="24"/>
        </w:rPr>
        <w:t xml:space="preserve">采购人、供应商对验收小组出具的验收意见进行确认，并形成政府采购履约验收书，验收书格式见江苏省财政厅印发的《政府采购履约验收书参考样本》。</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（5）履约验收的内容：</w:t>
      </w:r>
      <w:r>
        <w:rPr>
          <w:rFonts w:ascii="Times New Roman" w:hAnsi="Times New Roman"/>
          <w:bCs/>
          <w:color w:val="000000"/>
          <w:sz w:val="24"/>
          <w:szCs w:val="24"/>
          <w:u w:val="single"/>
        </w:rPr>
        <w:t xml:space="preserve"> （应当包括每一项技术和商务要求的履约情况，特别是落实政府采购扶持中小企业，支持绿色发展和乡村振兴等政策情况） </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（6）履约验收标准：</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（7）是否以采购活动中供应商提供的样品作为参考：</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（8）履约验收其他事项：</w:t>
      </w:r>
      <w:r>
        <w:rPr>
          <w:rFonts w:ascii="Times New Roman" w:hAnsi="Times New Roman"/>
          <w:bCs/>
          <w:color w:val="000000"/>
          <w:sz w:val="24"/>
          <w:szCs w:val="24"/>
          <w:u w:val="single"/>
        </w:rPr>
        <w:t xml:space="preserve">      （产权过户登记等）          </w:t>
      </w:r>
      <w:r/>
    </w:p>
    <w:p>
      <w:pPr>
        <w:ind w:left="482"/>
        <w:spacing w:line="400" w:lineRule="exact"/>
        <w:rPr>
          <w:rFonts w:hint="eastAsia" w:ascii="宋体" w:hAnsi="宋体"/>
          <w:b/>
          <w:color w:val="000000"/>
          <w:sz w:val="24"/>
          <w:szCs w:val="24"/>
        </w:rPr>
      </w:pPr>
      <w:r>
        <w:rPr>
          <w:rFonts w:hint="eastAsia" w:ascii="宋体" w:hAnsi="宋体"/>
          <w:b/>
          <w:color w:val="000000"/>
          <w:sz w:val="24"/>
          <w:szCs w:val="24"/>
        </w:rPr>
        <w:t xml:space="preserve">4.组成合同的文件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如下述文件之间有任何抵触、矛盾或歧义，应按以下顺序解释：</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（1）政府采购合同协议书及其变更、补充协议</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（2）政府采购合同专用条款</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（3）政府采购合同通用条款</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（4）中标通知书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（5）投标文件</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（6）采购文件</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（7）有关技术文件，图纸</w:t>
      </w:r>
      <w:r/>
    </w:p>
    <w:p>
      <w:pPr>
        <w:pStyle w:val="1302"/>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（8）国家法律、行政法规和规章制度规定或合同约定的作为合同组成部分的其他文件</w:t>
      </w:r>
      <w:r/>
    </w:p>
    <w:p>
      <w:pPr>
        <w:ind w:left="482"/>
        <w:spacing w:line="400" w:lineRule="exact"/>
        <w:rPr>
          <w:rFonts w:hint="eastAsia" w:ascii="宋体" w:hAnsi="宋体"/>
          <w:b/>
          <w:color w:val="000000"/>
          <w:sz w:val="24"/>
          <w:szCs w:val="24"/>
        </w:rPr>
      </w:pPr>
      <w:r>
        <w:rPr>
          <w:rFonts w:hint="eastAsia" w:ascii="宋体" w:hAnsi="宋体"/>
          <w:b/>
          <w:color w:val="000000"/>
          <w:sz w:val="24"/>
          <w:szCs w:val="24"/>
        </w:rPr>
        <w:t xml:space="preserve">5.合同生效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本合同自生效。</w:t>
      </w:r>
      <w:r/>
    </w:p>
    <w:p>
      <w:pPr>
        <w:ind w:left="482"/>
        <w:spacing w:line="400" w:lineRule="exact"/>
        <w:rPr>
          <w:rFonts w:hint="eastAsia" w:ascii="宋体" w:hAnsi="宋体"/>
          <w:b/>
          <w:color w:val="000000"/>
          <w:sz w:val="24"/>
          <w:szCs w:val="24"/>
        </w:rPr>
      </w:pPr>
      <w:r>
        <w:rPr>
          <w:rFonts w:hint="eastAsia" w:ascii="宋体" w:hAnsi="宋体"/>
          <w:b/>
          <w:color w:val="000000"/>
          <w:sz w:val="24"/>
          <w:szCs w:val="24"/>
        </w:rPr>
        <w:t xml:space="preserve">6.合同份数</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本合同一式份，甲方执份，乙方执份，</w:t>
      </w:r>
      <w:r>
        <w:rPr>
          <w:rFonts w:hint="eastAsia" w:ascii="宋体" w:hAnsi="宋体"/>
          <w:b/>
          <w:bCs/>
          <w:color w:val="000000"/>
          <w:sz w:val="24"/>
          <w:szCs w:val="24"/>
        </w:rPr>
        <w:t xml:space="preserve">纸质合同和双方在“苏采云”系统签订的电子合同</w:t>
      </w:r>
      <w:r>
        <w:rPr>
          <w:rFonts w:hint="eastAsia" w:ascii="宋体" w:hAnsi="宋体"/>
          <w:color w:val="000000"/>
          <w:sz w:val="24"/>
          <w:szCs w:val="24"/>
        </w:rPr>
        <w:t xml:space="preserve">均具有同等法律效力。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合同订立时间：年月日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合同订立地点：</w:t>
      </w:r>
      <w:bookmarkEnd w:id="156"/>
      <w:r/>
      <w:r/>
    </w:p>
    <w:p>
      <w:pPr>
        <w:ind w:firstLine="480"/>
        <w:spacing w:line="400" w:lineRule="exact"/>
        <w:rPr>
          <w:rFonts w:hint="eastAsia" w:ascii="宋体" w:hAnsi="宋体"/>
          <w:color w:val="000000"/>
          <w:sz w:val="24"/>
          <w:szCs w:val="24"/>
        </w:rPr>
      </w:pPr>
      <w:r/>
      <w:bookmarkStart w:id="157" w:name="_Hlk187835227"/>
      <w:r>
        <w:rPr>
          <w:rFonts w:hint="eastAsia" w:ascii="宋体" w:hAnsi="宋体"/>
          <w:color w:val="000000"/>
          <w:sz w:val="24"/>
          <w:szCs w:val="24"/>
        </w:rPr>
        <w:t xml:space="preserve">附件：具体标的及其技术要求和商务要求、联合协议、分包意向协议等</w:t>
      </w:r>
      <w:r/>
    </w:p>
    <w:p>
      <w:pPr>
        <w:spacing w:line="400" w:lineRule="exact"/>
        <w:rPr>
          <w:color w:val="000000"/>
          <w:sz w:val="24"/>
          <w:szCs w:val="24"/>
        </w:rPr>
      </w:pPr>
      <w:r>
        <w:rPr>
          <w:color w:val="000000"/>
          <w:sz w:val="24"/>
          <w:szCs w:val="24"/>
        </w:rPr>
      </w:r>
      <w:r/>
    </w:p>
    <w:tbl>
      <w:tblPr>
        <w:tblStyle w:val="822"/>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3363"/>
        <w:gridCol w:w="1105"/>
        <w:gridCol w:w="3105"/>
      </w:tblGrid>
      <w:tr>
        <w:trPr>
          <w:trHeight w:val="490"/>
        </w:trPr>
        <w:tc>
          <w:tcPr>
            <w:gridSpan w:val="2"/>
            <w:tcW w:w="4746"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甲方</w:t>
            </w:r>
            <w:r>
              <w:rPr>
                <w:rFonts w:hint="eastAsia" w:ascii="宋体" w:hAnsi="宋体"/>
                <w:color w:val="000000"/>
                <w:sz w:val="24"/>
                <w:szCs w:val="24"/>
              </w:rPr>
              <w:t xml:space="preserve">（采购人、受采购人委托签订合同的单位或采购文件约定的合同甲方）</w:t>
            </w:r>
            <w:r/>
          </w:p>
        </w:tc>
        <w:tc>
          <w:tcPr>
            <w:gridSpan w:val="2"/>
            <w:tcW w:w="4517"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乙方</w:t>
            </w:r>
            <w:r>
              <w:rPr>
                <w:rFonts w:hint="eastAsia" w:ascii="宋体" w:hAnsi="宋体"/>
                <w:color w:val="000000"/>
                <w:sz w:val="24"/>
                <w:szCs w:val="24"/>
              </w:rPr>
              <w:t xml:space="preserve">（供应商）</w:t>
            </w:r>
            <w:r/>
          </w:p>
        </w:tc>
      </w:tr>
      <w:tr>
        <w:trPr>
          <w:trHeight w:val="917"/>
        </w:trPr>
        <w:tc>
          <w:tcPr>
            <w:tcW w:w="1126"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单位名称</w:t>
            </w:r>
            <w:r>
              <w:rPr>
                <w:rFonts w:hint="eastAsia" w:ascii="宋体" w:hAnsi="宋体"/>
                <w:color w:val="000000"/>
                <w:sz w:val="24"/>
                <w:szCs w:val="24"/>
              </w:rPr>
              <w:t xml:space="preserve">（公章或合同章）</w:t>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单位名称</w:t>
            </w:r>
            <w:r>
              <w:rPr>
                <w:rFonts w:hint="eastAsia" w:ascii="宋体" w:hAnsi="宋体"/>
                <w:color w:val="000000"/>
                <w:sz w:val="24"/>
                <w:szCs w:val="24"/>
              </w:rPr>
              <w:t xml:space="preserve">（公章或合同章）</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1171"/>
        </w:trPr>
        <w:tc>
          <w:tcPr>
            <w:tcW w:w="1126" w:type="dxa"/>
            <w:vAlign w:val="center"/>
            <w:vMerge w:val="restart"/>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法定代表人</w:t>
            </w:r>
            <w:r/>
          </w:p>
          <w:p>
            <w:pPr>
              <w:ind w:firstLine="115"/>
              <w:jc w:val="center"/>
              <w:spacing w:line="300" w:lineRule="exact"/>
              <w:rPr>
                <w:rFonts w:hint="eastAsia" w:ascii="宋体" w:hAnsi="宋体"/>
                <w:color w:val="000000"/>
                <w:sz w:val="24"/>
                <w:szCs w:val="24"/>
              </w:rPr>
            </w:pPr>
            <w:r>
              <w:rPr>
                <w:rFonts w:hint="eastAsia" w:ascii="宋体" w:hAnsi="宋体"/>
                <w:color w:val="000000"/>
                <w:sz w:val="24"/>
                <w:szCs w:val="24"/>
              </w:rPr>
              <w:t xml:space="preserve">或其</w:t>
            </w:r>
            <w:r>
              <w:rPr>
                <w:rFonts w:ascii="宋体" w:hAnsi="宋体"/>
                <w:color w:val="000000"/>
                <w:sz w:val="24"/>
                <w:szCs w:val="24"/>
              </w:rPr>
              <w:t xml:space="preserve">委托代理人</w:t>
            </w:r>
            <w:r>
              <w:rPr>
                <w:rFonts w:hint="eastAsia" w:ascii="宋体" w:hAnsi="宋体"/>
                <w:color w:val="000000"/>
                <w:sz w:val="24"/>
                <w:szCs w:val="24"/>
              </w:rPr>
              <w:t xml:space="preserve">（签章）</w:t>
            </w:r>
            <w:r/>
          </w:p>
        </w:tc>
        <w:tc>
          <w:tcPr>
            <w:tcW w:w="1436" w:type="dxa"/>
            <w:vAlign w:val="center"/>
            <w:vMerge w:val="restart"/>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法定代表人</w:t>
            </w:r>
            <w:r/>
          </w:p>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或其</w:t>
            </w:r>
            <w:r>
              <w:rPr>
                <w:rFonts w:ascii="宋体" w:hAnsi="宋体"/>
                <w:color w:val="000000"/>
                <w:sz w:val="24"/>
                <w:szCs w:val="24"/>
              </w:rPr>
              <w:t xml:space="preserve">委托代理人</w:t>
            </w:r>
            <w:r>
              <w:rPr>
                <w:rFonts w:hint="eastAsia" w:ascii="宋体" w:hAnsi="宋体"/>
                <w:color w:val="000000"/>
                <w:sz w:val="24"/>
                <w:szCs w:val="24"/>
              </w:rPr>
              <w:t xml:space="preserve">（签章）</w:t>
            </w:r>
            <w:r/>
          </w:p>
        </w:tc>
        <w:tc>
          <w:tcPr>
            <w:tcW w:w="1259"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r>
      <w:tr>
        <w:trPr>
          <w:trHeight w:val="483"/>
        </w:trPr>
        <w:tc>
          <w:tcPr>
            <w:tcW w:w="1126" w:type="dxa"/>
            <w:vAlign w:val="center"/>
            <w:vMerge w:val="continue"/>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436" w:type="dxa"/>
            <w:vAlign w:val="center"/>
            <w:vMerge w:val="continue"/>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拥有者性别</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住  所</w:t>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住  所</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联 系 人</w:t>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联 系 人</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联系电话</w:t>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联系电话</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通信地址</w:t>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通信地址</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邮政编码</w:t>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邮政编码</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电子邮箱</w:t>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电子邮箱</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统一社会信用代码</w:t>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统一社会信用代码</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开户名称</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开户银行</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银行账号</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586"/>
        </w:trPr>
        <w:tc>
          <w:tcPr>
            <w:gridSpan w:val="4"/>
            <w:tcW w:w="9263" w:type="dxa"/>
            <w:vAlign w:val="center"/>
            <w:textDirection w:val="lrTb"/>
            <w:noWrap/>
          </w:tcPr>
          <w:p>
            <w:pPr>
              <w:pStyle w:val="900"/>
              <w:spacing w:before="120" w:line="360" w:lineRule="auto"/>
              <w:rPr>
                <w:rFonts w:hint="eastAsia" w:ascii="宋体" w:hAnsi="宋体" w:eastAsia="宋体"/>
                <w:color w:val="000000"/>
                <w:spacing w:val="20"/>
                <w:sz w:val="24"/>
                <w:szCs w:val="24"/>
              </w:rPr>
            </w:pPr>
            <w:r>
              <w:rPr>
                <w:rFonts w:hint="eastAsia" w:ascii="宋体" w:hAnsi="宋体" w:eastAsia="宋体"/>
                <w:color w:val="000000"/>
                <w:sz w:val="24"/>
                <w:szCs w:val="24"/>
              </w:rPr>
              <w:t xml:space="preserve">注：涉及联合体或其他合同主体的信息应按上表格式加列。</w:t>
            </w:r>
            <w:bookmarkEnd w:id="157"/>
            <w:r/>
            <w:r/>
          </w:p>
        </w:tc>
      </w:tr>
    </w:tbl>
    <w:p>
      <w:pPr>
        <w:pStyle w:val="862"/>
        <w:jc w:val="center"/>
        <w:spacing w:before="120"/>
        <w:rPr>
          <w:rFonts w:hint="eastAsia" w:ascii="黑体" w:hAnsi="黑体"/>
          <w:color w:val="000000"/>
          <w:szCs w:val="32"/>
        </w:rPr>
      </w:pPr>
      <w:r>
        <w:rPr>
          <w:rFonts w:hint="eastAsia" w:ascii="黑体" w:hAnsi="黑体"/>
          <w:b w:val="0"/>
          <w:color w:val="000000"/>
          <w:szCs w:val="32"/>
        </w:rPr>
        <w:t xml:space="preserve">第二节 政府采购合同通用条款</w:t>
      </w:r>
      <w:r/>
    </w:p>
    <w:p>
      <w:pPr>
        <w:ind w:firstLine="482"/>
        <w:spacing w:line="400" w:lineRule="exact"/>
        <w:tabs>
          <w:tab w:val="left" w:pos="8820" w:leader="none"/>
          <w:tab w:val="left" w:pos="9345" w:leader="none"/>
          <w:tab w:val="left" w:pos="9765" w:leader="none"/>
        </w:tabs>
        <w:rPr>
          <w:rFonts w:ascii="Times New Roman" w:hAnsi="Times New Roman"/>
          <w:b/>
          <w:bCs/>
          <w:color w:val="000000"/>
          <w:sz w:val="24"/>
          <w:szCs w:val="24"/>
        </w:rPr>
      </w:pPr>
      <w:r>
        <w:rPr>
          <w:rFonts w:ascii="Times New Roman" w:hAnsi="Times New Roman"/>
          <w:b/>
          <w:color w:val="000000"/>
          <w:sz w:val="24"/>
          <w:szCs w:val="24"/>
        </w:rPr>
        <w:t xml:space="preserve">1. </w:t>
      </w:r>
      <w:r>
        <w:rPr>
          <w:rFonts w:ascii="Times New Roman" w:hAnsi="Times New Roman"/>
          <w:b/>
          <w:bCs/>
          <w:color w:val="000000"/>
          <w:sz w:val="24"/>
          <w:szCs w:val="24"/>
        </w:rPr>
        <w:t xml:space="preserve">定义</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1.1合同当事人</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（1）采购人（以下称甲方）是指使用财政性资金，通过政府采购方式向供应商购买货物及其相关服务的国家机关、事业单位、团体组织。</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（2）供应商（以下称乙方）是指参加政府采购活动并且中标，向采购人提供合同约定的货物及其相关服务的法人、非法人组织或者自然人。</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（3）其他合同主体是指除采购人和供应商以外，</w:t>
      </w:r>
      <w:r>
        <w:rPr>
          <w:rFonts w:ascii="Times New Roman" w:hAnsi="Times New Roman"/>
          <w:bCs/>
          <w:color w:val="000000"/>
          <w:sz w:val="24"/>
          <w:szCs w:val="24"/>
        </w:rPr>
        <w:t xml:space="preserve">依法参与合同缔结或履行，享有权利、承担义务的合同当事人</w:t>
      </w:r>
      <w:r>
        <w:rPr>
          <w:rFonts w:ascii="Times New Roman" w:hAnsi="Times New Roman"/>
          <w:color w:val="000000"/>
          <w:sz w:val="24"/>
          <w:szCs w:val="24"/>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rPr>
      </w:pPr>
      <w:r>
        <w:rPr>
          <w:rFonts w:ascii="Times New Roman" w:hAnsi="Times New Roman"/>
          <w:color w:val="000000"/>
          <w:sz w:val="24"/>
          <w:szCs w:val="24"/>
        </w:rPr>
        <w:t xml:space="preserve">1.2本合同下列术语应解释为：</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（1）“合同”系指</w:t>
      </w:r>
      <w:r>
        <w:rPr>
          <w:rFonts w:ascii="Times New Roman" w:hAnsi="Times New Roman"/>
          <w:bCs/>
          <w:color w:val="000000"/>
          <w:sz w:val="24"/>
          <w:szCs w:val="24"/>
        </w:rPr>
        <w:t xml:space="preserve">合同当事人意思表示达成一致的任何协议，包括签署的</w:t>
      </w:r>
      <w:r>
        <w:rPr>
          <w:rFonts w:ascii="Times New Roman" w:hAnsi="Times New Roman"/>
          <w:color w:val="000000"/>
          <w:sz w:val="24"/>
          <w:szCs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rPr>
      </w:pPr>
      <w:r>
        <w:rPr>
          <w:rFonts w:ascii="Times New Roman" w:hAnsi="Times New Roman"/>
          <w:color w:val="000000"/>
          <w:sz w:val="24"/>
          <w:szCs w:val="24"/>
        </w:rPr>
        <w:t xml:space="preserve">（2）“合同价款”系指根据本合同规定乙方在全面履行合同义务后甲方应支付给乙方的价款。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rPr>
      </w:pPr>
      <w:r>
        <w:rPr>
          <w:rFonts w:ascii="Times New Roman" w:hAnsi="Times New Roman"/>
          <w:color w:val="000000"/>
          <w:sz w:val="24"/>
          <w:szCs w:val="24"/>
        </w:rPr>
        <w:t xml:space="preserve">（3）</w:t>
      </w:r>
      <w:r>
        <w:rPr>
          <w:rFonts w:ascii="宋体" w:hAnsi="宋体"/>
          <w:color w:val="000000"/>
          <w:sz w:val="24"/>
          <w:szCs w:val="24"/>
        </w:rPr>
        <w:t xml:space="preserve">“货物”系指乙方根据本合同规定须向甲方提供的各种形态和种类的物品，包括原材料、设备、产品（包括软件）及相关</w:t>
      </w:r>
      <w:r>
        <w:rPr>
          <w:rFonts w:hint="eastAsia" w:ascii="宋体" w:hAnsi="宋体"/>
          <w:color w:val="000000"/>
          <w:sz w:val="24"/>
          <w:szCs w:val="24"/>
        </w:rPr>
        <w:t xml:space="preserve">的</w:t>
      </w:r>
      <w:r>
        <w:rPr>
          <w:rFonts w:ascii="宋体" w:hAnsi="宋体"/>
          <w:color w:val="000000"/>
          <w:sz w:val="24"/>
          <w:szCs w:val="24"/>
        </w:rPr>
        <w:t xml:space="preserve">备品备件、工具、手册及其他技术资料</w:t>
      </w:r>
      <w:r>
        <w:rPr>
          <w:rFonts w:ascii="Times New Roman" w:hAnsi="Times New Roman"/>
          <w:color w:val="000000"/>
          <w:sz w:val="24"/>
          <w:szCs w:val="24"/>
        </w:rPr>
        <w:t xml:space="preserve">和材料等。</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（5）“分包”系指中标供应商按采购文件、投标文件的规定，根据分包意向协议，将中标项目中的部分履约内容，分给具有相应资质条件的供应商履行合同的行为。</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rPr>
      </w:pPr>
      <w:r>
        <w:rPr>
          <w:rFonts w:ascii="Times New Roman" w:hAnsi="Times New Roman"/>
          <w:color w:val="000000"/>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rPr>
      </w:pPr>
      <w:r>
        <w:rPr>
          <w:rFonts w:ascii="Times New Roman" w:hAnsi="Times New Roman"/>
          <w:color w:val="000000"/>
          <w:sz w:val="24"/>
          <w:szCs w:val="24"/>
        </w:rPr>
        <w:t xml:space="preserve">（7）其他术语解释，见【</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w:t>
      </w:r>
      <w:r/>
    </w:p>
    <w:p>
      <w:pPr>
        <w:numPr>
          <w:ilvl w:val="0"/>
          <w:numId w:val="6"/>
        </w:numPr>
        <w:ind w:firstLine="482"/>
        <w:spacing w:line="400" w:lineRule="exact"/>
        <w:rPr>
          <w:rFonts w:ascii="Times New Roman" w:hAnsi="Times New Roman"/>
          <w:b/>
          <w:bCs/>
          <w:color w:val="000000"/>
          <w:sz w:val="24"/>
          <w:szCs w:val="24"/>
        </w:rPr>
      </w:pPr>
      <w:r>
        <w:rPr>
          <w:rFonts w:ascii="Times New Roman" w:hAnsi="Times New Roman"/>
          <w:b/>
          <w:color w:val="000000"/>
          <w:sz w:val="24"/>
          <w:szCs w:val="24"/>
        </w:rPr>
        <w:t xml:space="preserve">合同标的及金额</w:t>
      </w:r>
      <w:r/>
    </w:p>
    <w:p>
      <w:pPr>
        <w:ind w:firstLine="480"/>
        <w:spacing w:line="400" w:lineRule="exact"/>
        <w:rPr>
          <w:rFonts w:ascii="Times New Roman" w:hAnsi="Times New Roman"/>
          <w:b/>
          <w:bCs/>
          <w:i/>
          <w:iCs/>
          <w:color w:val="000000"/>
          <w:sz w:val="24"/>
          <w:szCs w:val="24"/>
        </w:rPr>
      </w:pPr>
      <w:r>
        <w:rPr>
          <w:rFonts w:ascii="Times New Roman" w:hAnsi="Times New Roman"/>
          <w:color w:val="000000"/>
          <w:sz w:val="24"/>
          <w:szCs w:val="24"/>
        </w:rPr>
        <w:t xml:space="preserve">2.1 合同标的及金额应与中标（成交）结果一致。乙方为履行本合同而发生的所有费用均应包含在合同价款中，甲方不再另行支付其他任何费用。</w:t>
      </w:r>
      <w:r/>
    </w:p>
    <w:p>
      <w:pPr>
        <w:ind w:firstLine="482"/>
        <w:spacing w:line="400" w:lineRule="exact"/>
        <w:rPr>
          <w:rFonts w:ascii="Times New Roman" w:hAnsi="Times New Roman"/>
          <w:b/>
          <w:color w:val="000000"/>
          <w:sz w:val="24"/>
          <w:szCs w:val="24"/>
        </w:rPr>
      </w:pPr>
      <w:r>
        <w:rPr>
          <w:rFonts w:ascii="Times New Roman" w:hAnsi="Times New Roman"/>
          <w:b/>
          <w:color w:val="000000"/>
          <w:sz w:val="24"/>
          <w:szCs w:val="24"/>
        </w:rPr>
        <w:t xml:space="preserve">3. 履行合同的时间、地点和方式</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3.1 乙方应当在约定的时间、地点，按照约定方式履行合同。</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4. 甲方的权利和义务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4.3 甲方有权要求乙方对缺陷部分予以修复，并按合同约定享有货物保修及其他合同约定的权利。</w:t>
      </w:r>
      <w:r/>
    </w:p>
    <w:p>
      <w:pPr>
        <w:ind w:firstLine="480"/>
        <w:spacing w:line="400" w:lineRule="exact"/>
        <w:rPr>
          <w:rFonts w:ascii="Times New Roman" w:hAnsi="Times New Roman" w:eastAsia="华文楷体"/>
          <w:color w:val="000000"/>
          <w:sz w:val="24"/>
          <w:szCs w:val="24"/>
        </w:rPr>
      </w:pPr>
      <w:r>
        <w:rPr>
          <w:rFonts w:ascii="Times New Roman" w:hAnsi="Times New Roman"/>
          <w:color w:val="000000"/>
          <w:sz w:val="24"/>
          <w:szCs w:val="24"/>
        </w:rPr>
        <w:t xml:space="preserve">4.4 甲方应当按照合同约定及时对交付的货物进行验收，未在</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约定的期限内对乙方履约提出任何异议或者向乙方作出任何说明的，视为验收通过。</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4.5 甲方应当根据合同约定及时向乙方支付合同价款，不得以内部人员变更、履行内部付款流程等为由，拒绝或迟延支付。</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4.6 国家法律法规规定及</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约定应由甲方承担的其他义务和责任。</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5. 乙方的权利和义务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5.1 签署合同后，乙方应确定项目负责人（或项目联系人），负责与本合同有关的事务。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5.3乙方有权根据合同约定向甲方收取合同价款。</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5.4国家法律法规规定及</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约定应由乙方承担的其他义务和责任。</w:t>
      </w:r>
      <w:r/>
    </w:p>
    <w:p>
      <w:pPr>
        <w:numPr>
          <w:ilvl w:val="0"/>
          <w:numId w:val="7"/>
        </w:num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合同履行</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6.1 甲乙双方应当按照</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约定顺序履行合同义务；如果没有先后顺序的，应当同时履行。</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7. 货物包装、运输、保险和交付要求</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7.1 本合同</w:t>
      </w:r>
      <w:r>
        <w:rPr>
          <w:rFonts w:ascii="Times New Roman" w:hAnsi="Times New Roman"/>
          <w:bCs/>
          <w:color w:val="000000"/>
          <w:sz w:val="24"/>
          <w:szCs w:val="24"/>
        </w:rPr>
        <w:t xml:space="preserve">涉及商品包装、快递包装的，</w:t>
      </w:r>
      <w:r>
        <w:rPr>
          <w:rFonts w:ascii="Times New Roman" w:hAnsi="Times New Roman"/>
          <w:color w:val="000000"/>
          <w:sz w:val="24"/>
          <w:szCs w:val="24"/>
        </w:rPr>
        <w:t xml:space="preserve">除</w:t>
      </w:r>
      <w:r>
        <w:rPr>
          <w:rFonts w:ascii="Times New Roman" w:hAnsi="Times New Roman"/>
          <w:b/>
          <w:color w:val="000000"/>
          <w:sz w:val="24"/>
          <w:szCs w:val="24"/>
        </w:rPr>
        <w:t xml:space="preserve">【政府采购合同专用条款】</w:t>
      </w:r>
      <w:r>
        <w:rPr>
          <w:rFonts w:ascii="Times New Roman" w:hAnsi="Times New Roman"/>
          <w:bCs/>
          <w:color w:val="000000"/>
          <w:sz w:val="24"/>
          <w:szCs w:val="24"/>
        </w:rPr>
        <w:t xml:space="preserve">另有约定外，</w:t>
      </w:r>
      <w:r>
        <w:rPr>
          <w:rFonts w:ascii="Times New Roman" w:hAnsi="Times New Roman"/>
          <w:color w:val="000000"/>
          <w:sz w:val="24"/>
          <w:szCs w:val="24"/>
        </w:rPr>
        <w:t xml:space="preserve">包装应适应远距离运输、防潮、防震、防锈和防野蛮装卸等要求，确保货物安全无损地运抵</w:t>
      </w:r>
      <w:r>
        <w:rPr>
          <w:rFonts w:ascii="Times New Roman" w:hAnsi="Times New Roman"/>
          <w:b/>
          <w:color w:val="000000"/>
          <w:sz w:val="24"/>
          <w:szCs w:val="24"/>
        </w:rPr>
        <w:t xml:space="preserve">【政府采购合同专用条款】</w:t>
      </w:r>
      <w:r>
        <w:rPr>
          <w:rFonts w:ascii="Times New Roman" w:hAnsi="Times New Roman"/>
          <w:bCs/>
          <w:color w:val="000000"/>
          <w:sz w:val="24"/>
          <w:szCs w:val="24"/>
        </w:rPr>
        <w:t xml:space="preserve">约定的</w:t>
      </w:r>
      <w:r>
        <w:rPr>
          <w:rFonts w:ascii="Times New Roman" w:hAnsi="Times New Roman"/>
          <w:color w:val="000000"/>
          <w:sz w:val="24"/>
          <w:szCs w:val="24"/>
        </w:rPr>
        <w:t xml:space="preserve">指定现场。</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7.2 除</w:t>
      </w:r>
      <w:r>
        <w:rPr>
          <w:rFonts w:ascii="Times New Roman" w:hAnsi="Times New Roman"/>
          <w:b/>
          <w:color w:val="000000"/>
          <w:sz w:val="24"/>
          <w:szCs w:val="24"/>
        </w:rPr>
        <w:t xml:space="preserve">【政府采购合同专用条款】</w:t>
      </w:r>
      <w:r>
        <w:rPr>
          <w:rFonts w:ascii="Times New Roman" w:hAnsi="Times New Roman"/>
          <w:bCs/>
          <w:color w:val="000000"/>
          <w:sz w:val="24"/>
          <w:szCs w:val="24"/>
        </w:rPr>
        <w:t xml:space="preserve">另有约定外，</w:t>
      </w:r>
      <w:r>
        <w:rPr>
          <w:rFonts w:ascii="Times New Roman" w:hAnsi="Times New Roman"/>
          <w:color w:val="000000"/>
          <w:sz w:val="24"/>
          <w:szCs w:val="24"/>
        </w:rPr>
        <w:t xml:space="preserve">乙方负责办理将货物运抵本合同规定的交货地点，并装卸、交付至甲方的一切运输事项，相关费用应包含在合同价款中。</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7.3 货物保险要求按</w:t>
      </w:r>
      <w:r>
        <w:rPr>
          <w:rFonts w:ascii="Times New Roman" w:hAnsi="Times New Roman"/>
          <w:b/>
          <w:color w:val="000000"/>
          <w:sz w:val="24"/>
          <w:szCs w:val="24"/>
        </w:rPr>
        <w:t xml:space="preserve">【政府采购合同专用条款】</w:t>
      </w:r>
      <w:r>
        <w:rPr>
          <w:rFonts w:ascii="Times New Roman" w:hAnsi="Times New Roman"/>
          <w:bCs/>
          <w:color w:val="000000"/>
          <w:sz w:val="24"/>
          <w:szCs w:val="24"/>
        </w:rPr>
        <w:t xml:space="preserve">规定执行</w:t>
      </w:r>
      <w:r>
        <w:rPr>
          <w:rFonts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7.5 乙方在运输到达之前应提前通知甲方，并提示货物运输装卸的注意事项，甲方配合乙方做好货物的接收工作。</w:t>
      </w:r>
      <w:r/>
    </w:p>
    <w:p>
      <w:pPr>
        <w:pStyle w:val="1302"/>
        <w:ind w:firstLine="480"/>
        <w:jc w:val="both"/>
        <w:rPr>
          <w:rFonts w:ascii="Times New Roman" w:hAnsi="Times New Roman" w:cs="Times New Roman"/>
          <w:color w:val="000000"/>
          <w:sz w:val="24"/>
          <w:szCs w:val="24"/>
        </w:rPr>
      </w:pPr>
      <w:r>
        <w:rPr>
          <w:rFonts w:ascii="Times New Roman" w:hAnsi="Times New Roman" w:eastAsia="宋体" w:cs="Times New Roman"/>
          <w:color w:val="000000"/>
          <w:sz w:val="24"/>
          <w:szCs w:val="24"/>
        </w:rPr>
        <w:t xml:space="preserve">7.6 如因包装、运输问题导致货物损毁、丢失或者品质下降，甲方有权要求降价、换货、拒收部分或整批货物，由此产生的费用和损失，均由乙方承担。</w:t>
      </w:r>
      <w:r/>
    </w:p>
    <w:p>
      <w:pPr>
        <w:ind w:firstLine="482"/>
        <w:spacing w:line="400" w:lineRule="exact"/>
        <w:rPr>
          <w:rFonts w:ascii="Times New Roman" w:hAnsi="Times New Roman"/>
          <w:b/>
          <w:color w:val="000000"/>
          <w:sz w:val="24"/>
          <w:szCs w:val="24"/>
        </w:rPr>
      </w:pPr>
      <w:r>
        <w:rPr>
          <w:rFonts w:ascii="Times New Roman" w:hAnsi="Times New Roman"/>
          <w:b/>
          <w:color w:val="000000"/>
          <w:sz w:val="24"/>
          <w:szCs w:val="24"/>
        </w:rPr>
        <w:t xml:space="preserve">8. 质量标准和保证</w:t>
      </w:r>
      <w:r/>
    </w:p>
    <w:p>
      <w:pPr>
        <w:pStyle w:val="905"/>
        <w:ind w:firstLine="480"/>
        <w:spacing w:line="400" w:lineRule="exact"/>
        <w:rPr>
          <w:rFonts w:ascii="Times New Roman" w:hAnsi="Times New Roman" w:cs="Times New Roman"/>
          <w:b/>
          <w:color w:val="000000"/>
          <w:sz w:val="24"/>
          <w:szCs w:val="24"/>
        </w:rPr>
      </w:pPr>
      <w:r>
        <w:rPr>
          <w:rFonts w:ascii="Times New Roman" w:hAnsi="Times New Roman" w:cs="Times New Roman"/>
          <w:color w:val="000000"/>
          <w:sz w:val="24"/>
          <w:szCs w:val="24"/>
        </w:rPr>
        <w:t xml:space="preserve">8.1 质量标准</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5"/>
        <w:ind w:firstLine="480"/>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（2）采用中华人民共和国法定计量单位。</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（3）乙方所提供的货物应符合国家有关安全、环保、卫生的规定。</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8.2 保证</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规定或乙方书面承诺（两者以较长的为准）的质量保证期内，本保证保持有效。</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（2）在质量保证期内所发现的缺陷，甲方应尽快以书面形式通知乙方。</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（3）乙方收到通知后，应在</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规定的响应时间内以合理的速度免费维修或更换有缺陷的货物或部件。</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（5）乙方在约定的时间内未能弥补缺陷，甲方可采取必要的补救措施，但其风险和费用将由乙方承担，甲方根据合同约定对乙方行使的其他权利不受影响。</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9. 权利瑕疵担保</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9.1 乙方保证对其出售的货物享有合法的权利。</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9.2 乙方保证在交付的货物上不存在抵押权等担保物权。</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9.3 如甲方使用上述货物构成对第三人侵权的，则由乙方承担全部责任。</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10. 知识产权保护</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11. 保密义务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中约定。</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12. 合同价款支付</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12.1 合同价款支付按照国库集中支付制度及财政管理相关规定执行。</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】中约定。</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13. 履约保证金</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13.1 乙方应当以支票、汇票、本票或者金融机构、担保机构出具的保函等非现金形式提交。</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13.2 如果乙方出现</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13.3 甲方在项目通过验收后按照</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规定的时间内将履约保证金退还乙方；逾期退还的，乙方可要求甲方支付违约金，违约金按照</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规定支付。</w:t>
      </w:r>
      <w:r/>
    </w:p>
    <w:p>
      <w:pPr>
        <w:ind w:firstLine="482"/>
        <w:spacing w:line="400" w:lineRule="exact"/>
        <w:rPr>
          <w:rFonts w:ascii="Times New Roman" w:hAnsi="Times New Roman"/>
          <w:b/>
          <w:color w:val="000000"/>
          <w:sz w:val="24"/>
          <w:szCs w:val="24"/>
        </w:rPr>
      </w:pPr>
      <w:r>
        <w:rPr>
          <w:rFonts w:ascii="Times New Roman" w:hAnsi="Times New Roman"/>
          <w:b/>
          <w:bCs/>
          <w:color w:val="000000"/>
          <w:sz w:val="24"/>
          <w:szCs w:val="24"/>
        </w:rPr>
        <w:t xml:space="preserve">14. </w:t>
      </w:r>
      <w:r>
        <w:rPr>
          <w:rFonts w:ascii="Times New Roman" w:hAnsi="Times New Roman"/>
          <w:b/>
          <w:color w:val="000000"/>
          <w:sz w:val="24"/>
          <w:szCs w:val="24"/>
        </w:rPr>
        <w:t xml:space="preserve">售后服务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14.1 除项目不涉及或采购活动中明确约定无须承担外，乙方还应提供下列服务：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（1）货物的现场移动、安装、调试、启动监督及技术支持；</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（2）提供货物组装和维修所需的专用工具和辅助材料；</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（3）在</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约定的期限内对所有的货物实施运行监督、维修，但前提条件是该服务并不能免除乙方在质量保证期内所承担的义务；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（4）在制造商所在地或指定现场就货物的安装、启动、运营、维护、废弃处置等对甲方操作人员进行培训；</w:t>
      </w:r>
      <w:r/>
    </w:p>
    <w:p>
      <w:pPr>
        <w:pStyle w:val="1302"/>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（5）依照法律、行政法规的规定或者按照</w:t>
      </w:r>
      <w:r>
        <w:rPr>
          <w:rFonts w:ascii="Times New Roman" w:hAnsi="Times New Roman" w:eastAsia="宋体" w:cs="Times New Roman"/>
          <w:b/>
          <w:bCs/>
          <w:color w:val="000000"/>
          <w:sz w:val="24"/>
          <w:szCs w:val="24"/>
        </w:rPr>
        <w:t xml:space="preserve">【政府采购合同专用条款】</w:t>
      </w:r>
      <w:r>
        <w:rPr>
          <w:rFonts w:ascii="Times New Roman" w:hAnsi="Times New Roman" w:eastAsia="宋体" w:cs="Times New Roman"/>
          <w:color w:val="000000"/>
          <w:sz w:val="24"/>
          <w:szCs w:val="24"/>
        </w:rPr>
        <w:t xml:space="preserve">约定，货物在有效使用年限届满后应予回收的，乙方有自行或委托第三人对货物予以回收的义务；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（6）</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规定由乙方提供的其他服务。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14.2 乙方提供的售后服务的费用已包含在合同价款中，甲方不再另行支付。</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15. 违约责任</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15.1质量瑕疵的违约责任</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乙方提供的产品不符合合同约定的质量标准或存在产品质量缺陷，甲方有权要求乙方根据</w:t>
      </w:r>
      <w:r>
        <w:rPr>
          <w:rFonts w:ascii="Times New Roman" w:hAnsi="Times New Roman"/>
          <w:b/>
          <w:color w:val="000000"/>
          <w:sz w:val="24"/>
          <w:szCs w:val="24"/>
        </w:rPr>
        <w:t xml:space="preserve">【政府采购合同专用条款】</w:t>
      </w:r>
      <w:r>
        <w:rPr>
          <w:rFonts w:ascii="Times New Roman" w:hAnsi="Times New Roman"/>
          <w:bCs/>
          <w:color w:val="000000"/>
          <w:sz w:val="24"/>
          <w:szCs w:val="24"/>
        </w:rPr>
        <w:t xml:space="preserve">要求</w:t>
      </w:r>
      <w:r>
        <w:rPr>
          <w:rFonts w:ascii="Times New Roman" w:hAnsi="Times New Roman"/>
          <w:color w:val="000000"/>
          <w:sz w:val="24"/>
          <w:szCs w:val="24"/>
        </w:rPr>
        <w:t xml:space="preserve">及时修理、重作、更换，并承担由此给甲方造成的损失。</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15.2 迟延交货的违约责任</w:t>
      </w:r>
      <w:r/>
    </w:p>
    <w:p>
      <w:pPr>
        <w:ind w:firstLine="480"/>
        <w:spacing w:line="400" w:lineRule="exact"/>
        <w:rPr>
          <w:rFonts w:ascii="Times New Roman" w:hAnsi="Times New Roman"/>
          <w:bCs/>
          <w:color w:val="000000"/>
          <w:sz w:val="24"/>
          <w:szCs w:val="24"/>
        </w:rPr>
      </w:pPr>
      <w:r>
        <w:rPr>
          <w:rFonts w:ascii="Times New Roman" w:hAnsi="Times New Roman"/>
          <w:color w:val="000000"/>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ascii="Times New Roman" w:hAnsi="Times New Roman"/>
          <w:bCs/>
          <w:color w:val="000000"/>
          <w:sz w:val="24"/>
          <w:szCs w:val="24"/>
        </w:rPr>
      </w:pPr>
      <w:r>
        <w:rPr>
          <w:rFonts w:ascii="Times New Roman" w:hAnsi="Times New Roman"/>
          <w:color w:val="000000"/>
          <w:sz w:val="24"/>
          <w:szCs w:val="24"/>
        </w:rPr>
        <w:t xml:space="preserve">（2）如果乙方没有按照合同规定的时间交货和提供相关服务，甲方有权从货款中扣除误期赔偿费而不影响合同项下的其他补救方法，赔偿费按</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规定执行。如果涉及公共利益，且赔偿金额无法弥补公共利益损失，甲方可要求继续履行或者采取其他补救措施。</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15.3 迟延支付的违约责任</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甲方存在迟延支付乙方合同款项的，应当承担</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规定的逾期付款利息。</w:t>
      </w:r>
      <w:r/>
    </w:p>
    <w:p>
      <w:pPr>
        <w:ind w:firstLine="480"/>
        <w:spacing w:line="400" w:lineRule="exact"/>
        <w:rPr>
          <w:rFonts w:ascii="Times New Roman" w:hAnsi="Times New Roman"/>
          <w:color w:val="000000"/>
          <w:sz w:val="24"/>
          <w:szCs w:val="24"/>
        </w:rPr>
      </w:pPr>
      <w:r>
        <w:rPr>
          <w:rFonts w:ascii="Times New Roman" w:hAnsi="Times New Roman"/>
          <w:bCs/>
          <w:color w:val="000000"/>
          <w:sz w:val="24"/>
          <w:szCs w:val="24"/>
        </w:rPr>
        <w:t xml:space="preserve">15.4其他违约责任根据项目实际需要按</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规定执行。</w:t>
      </w:r>
      <w:r/>
    </w:p>
    <w:p>
      <w:pPr>
        <w:numPr>
          <w:ilvl w:val="0"/>
          <w:numId w:val="8"/>
        </w:numPr>
        <w:ind w:firstLine="482"/>
        <w:spacing w:line="400" w:lineRule="exact"/>
        <w:rPr>
          <w:rFonts w:ascii="Times New Roman" w:hAnsi="Times New Roman"/>
          <w:b/>
          <w:color w:val="000000"/>
          <w:sz w:val="24"/>
          <w:szCs w:val="24"/>
        </w:rPr>
      </w:pPr>
      <w:r>
        <w:rPr>
          <w:rFonts w:ascii="Times New Roman" w:hAnsi="Times New Roman"/>
          <w:b/>
          <w:color w:val="000000"/>
          <w:sz w:val="24"/>
          <w:szCs w:val="24"/>
        </w:rPr>
        <w:t xml:space="preserve">合同变更、中止与终止</w:t>
      </w:r>
      <w:r/>
    </w:p>
    <w:p>
      <w:pPr>
        <w:ind w:left="480"/>
        <w:spacing w:line="400" w:lineRule="exact"/>
        <w:rPr>
          <w:rFonts w:ascii="Times New Roman" w:hAnsi="Times New Roman"/>
          <w:b/>
          <w:color w:val="000000"/>
          <w:sz w:val="24"/>
          <w:szCs w:val="24"/>
        </w:rPr>
      </w:pPr>
      <w:r>
        <w:rPr>
          <w:rFonts w:ascii="Times New Roman" w:hAnsi="Times New Roman"/>
          <w:color w:val="000000"/>
          <w:sz w:val="24"/>
          <w:szCs w:val="24"/>
        </w:rPr>
        <w:t xml:space="preserve">16.1合同的变更</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16.2合同的中止</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（1）合同履行过程中因供应商就采购文件、采购过程或结果提起投诉的，甲方认为有必要的，可以中止合同的履行。</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（2）合同履行过程中，如果乙方出现以下情形之一的：</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rPr>
        <w:t xml:space="preserve">1.</w:t>
      </w:r>
      <w:r>
        <w:rPr>
          <w:rFonts w:ascii="Times New Roman" w:hAnsi="Times New Roman"/>
          <w:color w:val="000000"/>
          <w:sz w:val="24"/>
          <w:szCs w:val="24"/>
        </w:rPr>
        <w:t xml:space="preserve">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02"/>
        <w:ind w:firstLine="480"/>
        <w:jc w:val="both"/>
        <w:rPr>
          <w:rFonts w:ascii="Times New Roman" w:hAnsi="Times New Roman" w:cs="Times New Roman"/>
          <w:color w:val="000000"/>
          <w:sz w:val="24"/>
          <w:szCs w:val="24"/>
        </w:rPr>
      </w:pPr>
      <w:r>
        <w:rPr>
          <w:rFonts w:ascii="Times New Roman" w:hAnsi="Times New Roman" w:eastAsia="宋体" w:cs="Times New Roman"/>
          <w:color w:val="000000"/>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（4）甲方不得以行政区划调整、政府换届、机构或者职能调整以及相关责任人更替为由中止合同。</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16.3合同的终止</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（1）合同因有效期限届满而终止；</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（2）乙方未按合同约定履行，构成根本性违约的，甲方有权终止合同，并追究乙方的违约责任。</w:t>
      </w:r>
      <w:r/>
    </w:p>
    <w:p>
      <w:pPr>
        <w:pStyle w:val="1302"/>
        <w:ind w:firstLine="48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16.4 </w:t>
      </w:r>
      <w:r>
        <w:rPr>
          <w:rFonts w:ascii="Times New Roman" w:hAnsi="Times New Roman" w:eastAsia="宋体" w:cs="Times New Roman"/>
          <w:color w:val="000000"/>
          <w:sz w:val="24"/>
          <w:szCs w:val="24"/>
        </w:rPr>
        <w:t xml:space="preserve">涉及国家利益、社会公共利益的情形</w:t>
      </w:r>
      <w:r/>
    </w:p>
    <w:p>
      <w:pPr>
        <w:pStyle w:val="1302"/>
        <w:ind w:firstLine="480"/>
        <w:jc w:val="both"/>
        <w:rPr>
          <w:rFonts w:ascii="Times New Roman" w:hAnsi="Times New Roman" w:cs="Times New Roman"/>
          <w:color w:val="000000"/>
          <w:sz w:val="24"/>
          <w:szCs w:val="24"/>
        </w:rPr>
      </w:pPr>
      <w:r>
        <w:rPr>
          <w:rFonts w:ascii="Times New Roman" w:hAnsi="Times New Roman" w:eastAsia="宋体" w:cs="Times New Roman"/>
          <w:color w:val="000000"/>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17. 合同分包</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17.1 乙方不得将合同转包给其他供应商。涉及合同分包的，乙方应根据采购文件和投标（响应）文件规定进行合同分包。</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17.2 乙方执行政府采购政策向中小企业依法分包的，乙方应当按采购文件和投标（响应）文件签订分包意向协议，分包意向协议属于本合同组成部分。</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18. 不可抗力</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18.1 不可抗力是指合同双方不能预见、不能避免且不能克服的客观情况。</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18.2 任何一方对由于不可抗力造成的部分或全部不能履行合同不承担违约责任。但迟延履行后发生不可抗力的，不能免除责任。</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19. 解决争议的方法</w:t>
      </w:r>
      <w:r/>
    </w:p>
    <w:p>
      <w:pPr>
        <w:pStyle w:val="1302"/>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302"/>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19.2 选择仲裁的，应在</w:t>
      </w:r>
      <w:r>
        <w:rPr>
          <w:rFonts w:ascii="Times New Roman" w:hAnsi="Times New Roman" w:eastAsia="宋体" w:cs="Times New Roman"/>
          <w:b/>
          <w:bCs/>
          <w:color w:val="000000"/>
          <w:sz w:val="24"/>
          <w:szCs w:val="24"/>
        </w:rPr>
        <w:t xml:space="preserve">【政府采购合同专用条款】</w:t>
      </w:r>
      <w:r>
        <w:rPr>
          <w:rFonts w:ascii="Times New Roman" w:hAnsi="Times New Roman" w:eastAsia="宋体" w:cs="Times New Roman"/>
          <w:color w:val="000000"/>
          <w:sz w:val="24"/>
          <w:szCs w:val="24"/>
        </w:rPr>
        <w:t xml:space="preserve">中明确仲裁机构及仲裁地；通过诉讼方式解决的，可以在</w:t>
      </w:r>
      <w:r>
        <w:rPr>
          <w:rFonts w:ascii="Times New Roman" w:hAnsi="Times New Roman" w:eastAsia="宋体" w:cs="Times New Roman"/>
          <w:b/>
          <w:bCs/>
          <w:color w:val="000000"/>
          <w:sz w:val="24"/>
          <w:szCs w:val="24"/>
        </w:rPr>
        <w:t xml:space="preserve">【政府采购合同专用条款】</w:t>
      </w:r>
      <w:r>
        <w:rPr>
          <w:rFonts w:ascii="Times New Roman" w:hAnsi="Times New Roman" w:eastAsia="宋体" w:cs="Times New Roman"/>
          <w:color w:val="000000"/>
          <w:sz w:val="24"/>
          <w:szCs w:val="24"/>
        </w:rPr>
        <w:t xml:space="preserve">中进一步约定选择与争议有实际联系的地点的人民法院管辖，但管辖法院的约定不得违反级别管辖和专属管辖的规定。</w:t>
      </w:r>
      <w:r/>
    </w:p>
    <w:p>
      <w:pPr>
        <w:pStyle w:val="1302"/>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19.3 如甲乙双方有争议的事项不影响合同其他部分的履行，在争议解决期间，合同其他部分应当继续履行。</w:t>
      </w:r>
      <w:r/>
    </w:p>
    <w:p>
      <w:pPr>
        <w:ind w:firstLine="482"/>
        <w:spacing w:line="400" w:lineRule="exact"/>
        <w:rPr>
          <w:rFonts w:ascii="Times New Roman" w:hAnsi="Times New Roman"/>
          <w:color w:val="000000"/>
          <w:sz w:val="24"/>
          <w:szCs w:val="24"/>
        </w:rPr>
      </w:pPr>
      <w:r>
        <w:rPr>
          <w:rFonts w:ascii="Times New Roman" w:hAnsi="Times New Roman"/>
          <w:b/>
          <w:color w:val="000000"/>
          <w:sz w:val="24"/>
          <w:szCs w:val="24"/>
        </w:rPr>
        <w:t xml:space="preserve">20. 政府采购政策</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20.1 </w:t>
      </w:r>
      <w:r>
        <w:rPr>
          <w:rFonts w:ascii="Times New Roman" w:hAnsi="Times New Roman"/>
          <w:color w:val="000000"/>
          <w:sz w:val="24"/>
          <w:szCs w:val="24"/>
          <w:lang w:val="en-GB"/>
        </w:rPr>
        <w:t xml:space="preserve">本合同按照规定执行政府采购政策。</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20.2 本合同依法执行政府采购政策的方式和内容，属于合同履约验收的范围。甲乙双方</w:t>
      </w:r>
      <w:r>
        <w:rPr>
          <w:rFonts w:ascii="Times New Roman" w:hAnsi="Times New Roman"/>
          <w:color w:val="000000"/>
          <w:sz w:val="24"/>
          <w:szCs w:val="24"/>
          <w:lang w:val="en-GB"/>
        </w:rPr>
        <w:t xml:space="preserve">未按规定要求执行政府采购政策造成损失的</w:t>
      </w:r>
      <w:r>
        <w:rPr>
          <w:rFonts w:ascii="Times New Roman" w:hAnsi="Times New Roman"/>
          <w:color w:val="000000"/>
          <w:sz w:val="24"/>
          <w:szCs w:val="24"/>
        </w:rPr>
        <w:t xml:space="preserve">，有过错的一方应当承担赔偿责任，双方都有过错的，各自承担相应的责任。</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spacing w:line="400" w:lineRule="exact"/>
        <w:rPr>
          <w:rFonts w:ascii="Times New Roman" w:hAnsi="Times New Roman"/>
          <w:b/>
          <w:color w:val="000000"/>
          <w:sz w:val="24"/>
          <w:szCs w:val="24"/>
        </w:rPr>
      </w:pPr>
      <w:r>
        <w:rPr>
          <w:rFonts w:ascii="Times New Roman" w:hAnsi="Times New Roman"/>
          <w:b/>
          <w:color w:val="000000"/>
          <w:sz w:val="24"/>
          <w:szCs w:val="24"/>
        </w:rPr>
        <w:t xml:space="preserve">21. 法律适用</w:t>
      </w:r>
      <w:r/>
    </w:p>
    <w:p>
      <w:pPr>
        <w:pStyle w:val="1302"/>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21.1 本合同的订立、生效、解释、履行及与本合同有关的争议解决，均适用法律、行政法规。</w:t>
      </w:r>
      <w:r/>
    </w:p>
    <w:p>
      <w:pPr>
        <w:pStyle w:val="1302"/>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21.2 本合同条款与法律、行政法规的强制性规定不一致的，双方当事人应按照法律、行政法规的强制性规定修改本合同的相关条款。</w:t>
      </w:r>
      <w:r/>
    </w:p>
    <w:p>
      <w:pPr>
        <w:ind w:firstLine="482"/>
        <w:spacing w:line="400" w:lineRule="exact"/>
        <w:rPr>
          <w:rFonts w:ascii="Times New Roman" w:hAnsi="Times New Roman"/>
          <w:b/>
          <w:color w:val="000000"/>
          <w:sz w:val="24"/>
          <w:szCs w:val="24"/>
        </w:rPr>
      </w:pPr>
      <w:r>
        <w:rPr>
          <w:rFonts w:ascii="Times New Roman" w:hAnsi="Times New Roman"/>
          <w:b/>
          <w:color w:val="000000"/>
          <w:sz w:val="24"/>
          <w:szCs w:val="24"/>
        </w:rPr>
        <w:t xml:space="preserve">22. 通知</w:t>
      </w:r>
      <w:r/>
    </w:p>
    <w:p>
      <w:pPr>
        <w:pStyle w:val="1302"/>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22.1 本合同任何一方向对方发出的通知、信件、数据电文等，应当发送至本合同第一部分《政府采购合同协议书》所约定的通讯地址、联系人、联系电话或电子邮箱。</w:t>
      </w:r>
      <w:r/>
    </w:p>
    <w:p>
      <w:pPr>
        <w:pStyle w:val="1302"/>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22.3本合同一方给另一方的通知均应采用书面形式，传真或快递送到本合同中规定的对方的地址和办理签收手续。</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22.4通知以送达之日或通知书中规定的生效之日起生效，两者中以较迟之日为准。</w:t>
      </w:r>
      <w:r/>
    </w:p>
    <w:p>
      <w:pPr>
        <w:numPr>
          <w:ilvl w:val="0"/>
          <w:numId w:val="9"/>
        </w:num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合同未尽事项</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23.1合同未尽事项见</w:t>
      </w:r>
      <w:r>
        <w:rPr>
          <w:rFonts w:ascii="Times New Roman" w:hAnsi="Times New Roman"/>
          <w:b/>
          <w:color w:val="000000"/>
          <w:sz w:val="24"/>
          <w:szCs w:val="24"/>
        </w:rPr>
        <w:t xml:space="preserve">【政府采购合同专用条款】</w:t>
      </w:r>
      <w:r>
        <w:rPr>
          <w:rFonts w:ascii="Times New Roman" w:hAnsi="Times New Roman"/>
          <w:bCs/>
          <w:color w:val="000000"/>
          <w:sz w:val="24"/>
          <w:szCs w:val="24"/>
        </w:rPr>
        <w:t xml:space="preserve">。</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23.2 合同附件与合同正文具有同等的法律效力。</w:t>
      </w:r>
      <w:r/>
    </w:p>
    <w:p>
      <w:pPr>
        <w:spacing w:line="400" w:lineRule="exact"/>
        <w:rPr>
          <w:rFonts w:hint="eastAsia" w:ascii="黑体" w:hAnsi="华文中宋" w:eastAsia="黑体"/>
          <w:color w:val="000000"/>
          <w:sz w:val="24"/>
          <w:szCs w:val="24"/>
        </w:rPr>
      </w:pPr>
      <w:r>
        <w:rPr>
          <w:rFonts w:hint="eastAsia" w:ascii="黑体" w:hAnsi="华文中宋" w:eastAsia="黑体"/>
          <w:color w:val="000000"/>
          <w:sz w:val="24"/>
          <w:szCs w:val="24"/>
        </w:rPr>
      </w:r>
      <w:r/>
    </w:p>
    <w:p>
      <w:pPr>
        <w:pStyle w:val="862"/>
        <w:jc w:val="center"/>
        <w:rPr>
          <w:rFonts w:hint="eastAsia" w:ascii="黑体" w:hAnsi="华文中宋"/>
          <w:b w:val="0"/>
          <w:color w:val="000000"/>
          <w:szCs w:val="32"/>
        </w:rPr>
      </w:pPr>
      <w:r>
        <w:rPr>
          <w:rFonts w:hint="eastAsia" w:ascii="黑体" w:hAnsi="华文中宋"/>
          <w:b w:val="0"/>
          <w:color w:val="000000"/>
          <w:szCs w:val="32"/>
        </w:rPr>
        <w:t xml:space="preserve">第三节 政府采购合同专用条款</w:t>
      </w:r>
      <w:bookmarkEnd w:id="146"/>
      <w:r/>
      <w:bookmarkEnd w:id="147"/>
      <w:r/>
      <w:bookmarkEnd w:id="148"/>
      <w:r/>
      <w:r/>
    </w:p>
    <w:tbl>
      <w:tblPr>
        <w:tblStyle w:val="822"/>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07"/>
        <w:gridCol w:w="1742"/>
        <w:gridCol w:w="5170"/>
      </w:tblGrid>
      <w:tr>
        <w:trPr>
          <w:tblCellSpacing w:w="0" w:type="dxa"/>
          <w:trHeight w:val="736"/>
        </w:trPr>
        <w:tc>
          <w:tcPr>
            <w:shd w:val="clear" w:color="auto" w:fill="auto"/>
            <w:tcBorders>
              <w:top w:val="single" w:color="000000" w:sz="4"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58" w:name="_Toc9003"/>
            <w:r/>
            <w:bookmarkStart w:id="159" w:name="_Toc12937"/>
            <w:r/>
            <w:bookmarkStart w:id="160" w:name="_Toc19649"/>
            <w:r/>
            <w:bookmarkStart w:id="161" w:name="_Toc81575170"/>
            <w:r/>
            <w:bookmarkStart w:id="162" w:name="_Toc81575207"/>
            <w:r/>
            <w:bookmarkStart w:id="163" w:name="_Toc22853"/>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第1.2（6）项</w:t>
            </w:r>
            <w:r/>
          </w:p>
        </w:tc>
        <w:tc>
          <w:tcPr>
            <w:shd w:val="clear" w:color="auto" w:fill="auto"/>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联合体具体要求</w:t>
            </w:r>
            <w:r/>
          </w:p>
        </w:tc>
        <w:tc>
          <w:tcPr>
            <w:shd w:val="clear" w:color="auto" w:fill="auto"/>
            <w:tcBorders>
              <w:top w:val="single" w:color="000000" w:sz="4"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见招标文件</w:t>
            </w:r>
            <w:r/>
          </w:p>
        </w:tc>
      </w:tr>
      <w:tr>
        <w:trPr>
          <w:tblCellSpacing w:w="0" w:type="dxa"/>
          <w:trHeight w:val="604"/>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第1.2（7）项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其他术语解释</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无</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第4.4款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履约验收中甲方提出异议或作出说明的期限</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收到验收申请后3个工作日</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第4.6款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约定甲方承担的其他义务和责任</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甲方无正当理由拒收货物的，甲方向乙方偿付拒收货款总值0.5% 的违约金</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第5.4款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约定乙方承担的其他义务和责任</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乙方保证所交付的货物（包含与货物相关的服务）的所有权完全属于乙方且无任何抵押、查封等产权瑕疵；</w:t>
            </w:r>
            <w:r/>
          </w:p>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乙方所供货物质量不符合规定的，由其负责包换或包修，并承担修理、调换或退货而支付的实际费用；</w:t>
            </w:r>
            <w:r/>
          </w:p>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非因甲方原因，乙方不履行本合同规定的义务，致使工期延误，甲方有权要求其强制履行或解除合同，并要求乙方等额赔偿由此造成的一切损失。</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第6.1款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履行合同义务的顺序</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合同协议书、招标文件、投标文件、合同专用条款、合同通用条款、补充协议</w:t>
            </w:r>
            <w:r/>
          </w:p>
        </w:tc>
      </w:tr>
      <w:tr>
        <w:trPr>
          <w:tblCellSpacing w:w="0" w:type="dxa"/>
          <w:trHeight w:val="66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第7.1款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包装特殊要求</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2、使用说明书、质量检验证明书、随配附件和工具以及清单一并附于货物内。</w:t>
            </w:r>
            <w:r/>
          </w:p>
        </w:tc>
      </w:tr>
      <w:tr>
        <w:trPr>
          <w:tblCellSpacing w:w="0" w:type="dxa"/>
          <w:trHeight w:val="66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指定现场</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甲方指定的项目现场</w:t>
            </w:r>
            <w:r/>
          </w:p>
        </w:tc>
      </w:tr>
      <w:tr>
        <w:trPr>
          <w:tblCellSpacing w:w="0" w:type="dxa"/>
          <w:trHeight w:val="772"/>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第7.2款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运输特殊要求</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无</w:t>
            </w:r>
            <w:r/>
          </w:p>
        </w:tc>
      </w:tr>
      <w:tr>
        <w:trPr>
          <w:tblCellSpacing w:w="0" w:type="dxa"/>
          <w:trHeight w:val="66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第7.3款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保险要求</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货物在交付甲方前发生的风险均由乙方负责</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第8.2（1）项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质量保证期</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电梯整机质量保证期：不少于五年（自电梯验收取证之日算起）。在质量保证期内，采购人按照系统使用说明书，在正常条件下使用，由于投标人设计或制造上的缺陷而发生的损坏由投标人负责。</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第8.2（3）项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货物质量缺陷</w:t>
            </w:r>
            <w:r/>
          </w:p>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响应时间</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投标人服务时间应为 7×24小时，当投标产品或软件遭到损坏或出现故障时，乙方在接到甲方通知的20分钟内快速响应服务，派人到达现场处理设备故障和问题，小时内解决问题。另根据设备的具体情况，对其进行至少每月一次的维护服务。</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第11.1款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其他应当保密的信息</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blCellSpacing w:w="0" w:type="dxa"/>
          <w:trHeight w:val="69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第12.2款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合同价款支付时间</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预付款，签订合同后支付合同总价款的30%；</w:t>
            </w:r>
            <w:r/>
          </w:p>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进度款：设备安装进度至50%支付至合同价款的50%，全部安装完毕付，且特种设备安全监督部门验收合格、取得“电梯使用登记标志”后至合同价款的80%，其他附属设施安装完毕且取得竣工证明后付至合同价的100%。</w:t>
            </w:r>
            <w:r/>
          </w:p>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（1）可以采用数字人民币支付。</w:t>
            </w:r>
            <w:r/>
          </w:p>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（2）资金支付的时间：收到供应商发票10个工作日内。</w:t>
            </w:r>
            <w:r/>
          </w:p>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（3）资金支付的条件：满足相应阶段的要求且收到供应商发票。</w:t>
            </w:r>
            <w:r/>
          </w:p>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（4）在签订合同时，供应商明确表示无需预付款或者主动要求降低预付款比例的，采购人可不适用前述规定。</w:t>
            </w:r>
            <w:r/>
          </w:p>
        </w:tc>
      </w:tr>
      <w:tr>
        <w:trPr>
          <w:tblCellSpacing w:w="0" w:type="dxa"/>
          <w:trHeight w:val="69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第13.2款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履约保证金不予退还的情形</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履约保证金不予退还情形：除不可抗力外，投标人不履行与甲方订立的采购合同的，履约保证金不予退还，给甲方造成的损失超过履约保证金数额的，还应当对超过部分予以赔偿。</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第13.3款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履约保证金退还时间及逾期退还的违约金</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货物类项目，项目验收合格，出具验收报告及履约保证金收据申请退付；</w:t>
            </w:r>
            <w:r/>
          </w:p>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履约保证金退还时间：采购单位收到投标人退付申请后5个工作日内退还；</w:t>
            </w:r>
            <w:r/>
          </w:p>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逾期退还履约保证金的违约责任：除应当退还履约保证金外，还应当按中国人民银行同期贷款基准利率上浮 20％后的利率支付超期资金占用费，但因投标人自身原因导致无法及时退还的除外。</w:t>
            </w:r>
            <w:r/>
          </w:p>
        </w:tc>
      </w:tr>
      <w:tr>
        <w:trPr>
          <w:tblCellSpacing w:w="0" w:type="dxa"/>
          <w:trHeight w:val="784"/>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第14.1（3）项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运行监督、维修期限</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1、电梯整机维修保养期限：不少于8年（自电梯验收取证之日算起）。</w:t>
            </w:r>
            <w:r/>
          </w:p>
          <w:p>
            <w:pPr>
              <w:pStyle w:val="839"/>
              <w:keepLines w:val="0"/>
              <w:keepNext w:val="0"/>
              <w:spacing w:before="0" w:beforeAutospacing="0" w:after="0" w:afterAutospacing="0"/>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中标人在中标后应当在采购人当地设立售后服务站（点），售后服务站（点）必须取得项目所在地县级及以上主管部门的备案证明材料。如若后期由制造商分公司或分支机构）直接进行维保的，维保单位必须取得项目所在地县级及以上主管部门的备案证明材料。具有类似产品的维护、保养经验。</w:t>
            </w:r>
            <w:r/>
          </w:p>
          <w:p>
            <w:pPr>
              <w:pStyle w:val="839"/>
              <w:keepLines w:val="0"/>
              <w:keepNext w:val="0"/>
              <w:spacing w:before="0" w:beforeAutospacing="0" w:after="0" w:afterAutospacing="0"/>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2、中标人应以低于市场价的优惠价格提供易损件。</w:t>
            </w:r>
            <w:r/>
          </w:p>
          <w:p>
            <w:pPr>
              <w:pStyle w:val="839"/>
              <w:keepLines w:val="0"/>
              <w:keepNext w:val="0"/>
              <w:spacing w:before="0" w:beforeAutospacing="0" w:after="0" w:afterAutospacing="0"/>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3、保养电梯每年一次全面整梯检修且取得市场监督管理局备案合格证，并视不同易损部件实行1～6个月定期检修、维护。</w:t>
            </w:r>
            <w:r/>
          </w:p>
          <w:p>
            <w:pPr>
              <w:pStyle w:val="839"/>
              <w:keepLines w:val="0"/>
              <w:keepNext w:val="0"/>
              <w:spacing w:before="0" w:beforeAutospacing="0" w:after="0" w:afterAutospacing="0"/>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4、在运行中出现紧急故障时（如人员被困电梯等），在接到报警电话后 10分钟内予以响应，20分钟内派技术人员到达现场解决。</w:t>
            </w:r>
            <w:r/>
          </w:p>
        </w:tc>
      </w:tr>
      <w:tr>
        <w:trPr>
          <w:tblCellSpacing w:w="0" w:type="dxa"/>
          <w:trHeight w:val="784"/>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第14.1（5）项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货物回收的约定</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无</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第14.1（6）项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乙方提供的其他服务</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无</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第15.1款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修理、重作、更换相关具体规定</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乙方提供的货物在质量期内因货物本身的质量问题发生故障，乙方应负责免费更换。对达不到技术要求者，根据实际情况，经双方协商，可按以下办法处理：</w:t>
            </w:r>
            <w:r/>
          </w:p>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⑴更换：由乙方承担所发生的全部费用。</w:t>
            </w:r>
            <w:r/>
          </w:p>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⑵贬值处理：由甲乙双方合议定价。</w:t>
            </w:r>
            <w:r/>
          </w:p>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⑶退货处理：乙方应退还甲方支付的合同款，同时应承担该货物的直接费用（运输、保险、检验、货款利息及银行手续费等）。</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第15.2（2）项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迟延交货赔偿费</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第15.3款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逾期付款利息</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甲方无故逾期验收和办理货款支付手续的，甲方应按逾期付款总额每日万分之一向乙方支付违约金</w:t>
            </w:r>
            <w:r/>
          </w:p>
        </w:tc>
      </w:tr>
      <w:tr>
        <w:trPr>
          <w:tblCellSpacing w:w="0" w:type="dxa"/>
          <w:trHeight w:val="87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第15.4款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其他违约责任</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blCellSpacing w:w="0" w:type="dxa"/>
          <w:trHeight w:val="90"/>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第19.2款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解决争议的方法</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39"/>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因本合同及合同有关事项发生的争议，按下列第（2）种方式解决：</w:t>
            </w:r>
            <w:r/>
          </w:p>
          <w:p>
            <w:pPr>
              <w:pStyle w:val="839"/>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（1）向仲裁委员会申请仲裁，仲裁地点为；</w:t>
            </w:r>
            <w:r/>
          </w:p>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（2）向人民法院起诉。</w:t>
            </w:r>
            <w:r/>
          </w:p>
        </w:tc>
      </w:tr>
      <w:tr>
        <w:trPr>
          <w:tblCellSpacing w:w="0" w:type="dxa"/>
          <w:trHeight w:val="770"/>
        </w:trPr>
        <w:tc>
          <w:tcPr>
            <w:shd w:val="clear" w:color="auto" w:fill="auto"/>
            <w:tcBorders>
              <w:top w:val="single" w:color="000000" w:sz="6" w:space="0"/>
              <w:left w:val="single" w:color="000000" w:sz="4" w:space="0"/>
              <w:bottom w:val="single" w:color="000000" w:sz="4" w:space="0"/>
              <w:right w:val="single" w:color="000000" w:sz="6" w:space="0"/>
            </w:tcBorders>
            <w:tcW w:w="1607" w:type="dxa"/>
            <w:vAlign w:val="center"/>
            <w:textDirection w:val="lrTb"/>
            <w:noWrap w:val="false"/>
          </w:tcPr>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第二节</w:t>
            </w:r>
            <w:r/>
          </w:p>
          <w:p>
            <w:pPr>
              <w:pStyle w:val="83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第23.1款</w:t>
            </w:r>
            <w:r/>
          </w:p>
        </w:tc>
        <w:tc>
          <w:tcPr>
            <w:shd w:val="clear" w:color="auto" w:fill="auto"/>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其他专用条款</w:t>
            </w:r>
            <w:r/>
          </w:p>
        </w:tc>
        <w:tc>
          <w:tcPr>
            <w:shd w:val="clear" w:color="auto" w:fill="auto"/>
            <w:tcBorders>
              <w:top w:val="single" w:color="000000" w:sz="6" w:space="0"/>
              <w:left w:val="single" w:color="000000" w:sz="6" w:space="0"/>
              <w:bottom w:val="single" w:color="000000" w:sz="4" w:space="0"/>
              <w:right w:val="single" w:color="000000" w:sz="4" w:space="0"/>
            </w:tcBorders>
            <w:tcW w:w="5170" w:type="dxa"/>
            <w:vAlign w:val="center"/>
            <w:textDirection w:val="lrTb"/>
            <w:noWrap w:val="false"/>
          </w:tcPr>
          <w:p>
            <w:pPr>
              <w:pStyle w:val="839"/>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jc w:val="center"/>
        <w:keepLines/>
        <w:keepNext/>
        <w:pageBreakBefore/>
        <w:rPr>
          <w:b/>
          <w:color w:val="000000"/>
          <w:sz w:val="44"/>
          <w:szCs w:val="44"/>
        </w:rPr>
        <w:outlineLvl w:val="0"/>
      </w:pPr>
      <w:r>
        <w:rPr>
          <w:rFonts w:hint="eastAsia"/>
          <w:b/>
          <w:color w:val="000000"/>
          <w:sz w:val="44"/>
          <w:szCs w:val="44"/>
        </w:rPr>
        <w:t xml:space="preserve">第六章  投标文件格式</w:t>
      </w:r>
      <w:bookmarkEnd w:id="158"/>
      <w:r/>
      <w:bookmarkEnd w:id="159"/>
      <w:r/>
      <w:bookmarkEnd w:id="160"/>
      <w:r/>
      <w:bookmarkEnd w:id="161"/>
      <w:r/>
      <w:bookmarkEnd w:id="162"/>
      <w:r/>
      <w:bookmarkEnd w:id="163"/>
      <w:r/>
      <w:r/>
    </w:p>
    <w:p>
      <w:pPr>
        <w:rPr>
          <w:color w:val="000000"/>
        </w:rPr>
      </w:pPr>
      <w:r/>
      <w:bookmarkStart w:id="164" w:name="EB819316f773b24a75aef829f9b72900c0"/>
      <w:r/>
      <w:r/>
    </w:p>
    <w:p>
      <w:pPr>
        <w:rPr>
          <w:rFonts w:ascii="Times New Roman" w:hAnsi="Times New Roman"/>
          <w:b/>
          <w:color w:val="000000"/>
          <w:sz w:val="72"/>
        </w:rPr>
      </w:pPr>
      <w:r/>
      <w:bookmarkStart w:id="165"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hint="eastAsia" w:ascii="Times New Roman" w:hAnsi="Times New Roman"/>
          <w:b/>
          <w:color w:val="000000"/>
          <w:sz w:val="72"/>
        </w:rPr>
        <w:t xml:space="preserve">投  标  文  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ascii="Times New Roman" w:hAnsi="Times New Roman"/>
          <w:b/>
          <w:color w:val="000000"/>
          <w:sz w:val="36"/>
        </w:rPr>
      </w:pPr>
      <w:r>
        <w:rPr>
          <w:rFonts w:hint="eastAsia" w:ascii="Times New Roman" w:hAnsi="Times New Roman"/>
          <w:b/>
          <w:color w:val="000000"/>
          <w:sz w:val="36"/>
        </w:rPr>
        <w:t xml:space="preserve">项 目 名 称：</w:t>
      </w:r>
      <w:r/>
    </w:p>
    <w:p>
      <w:pPr>
        <w:ind w:firstLine="1084"/>
        <w:rPr>
          <w:rFonts w:ascii="Times New Roman" w:hAnsi="Times New Roman"/>
          <w:b/>
          <w:color w:val="000000"/>
          <w:sz w:val="36"/>
          <w:u w:val="single"/>
        </w:rPr>
      </w:pPr>
      <w:r>
        <w:rPr>
          <w:rFonts w:hint="eastAsia" w:ascii="Times New Roman" w:hAnsi="Times New Roman"/>
          <w:b/>
          <w:color w:val="000000"/>
          <w:sz w:val="36"/>
        </w:rPr>
        <w:t xml:space="preserve">项 目 编 号：</w:t>
      </w:r>
      <w:r/>
    </w:p>
    <w:p>
      <w:pPr>
        <w:rPr>
          <w:rFonts w:ascii="Times New Roman" w:hAnsi="Times New Roman"/>
          <w:b/>
          <w:color w:val="000000"/>
          <w:sz w:val="36"/>
          <w:u w:val="single"/>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 xml:space="preserve">（盖CA电子公章）</w:t>
      </w:r>
      <w:r/>
    </w:p>
    <w:p>
      <w:pPr>
        <w:rPr>
          <w:rFonts w:ascii="Times New Roman" w:hAnsi="Times New Roman"/>
          <w:b/>
          <w:color w:val="000000"/>
          <w:sz w:val="36"/>
          <w:u w:val="single"/>
        </w:rPr>
      </w:pPr>
      <w:r>
        <w:rPr>
          <w:rFonts w:hint="eastAsia" w:ascii="Times New Roman" w:hAnsi="Times New Roman"/>
          <w:b/>
          <w:color w:val="000000"/>
          <w:sz w:val="36"/>
        </w:rPr>
        <w:t xml:space="preserve">      日      期 ：</w:t>
      </w:r>
      <w:bookmarkEnd w:id="165"/>
      <w:r/>
      <w:r/>
    </w:p>
    <w:p>
      <w:pPr>
        <w:pStyle w:val="1125"/>
        <w:rPr>
          <w:rFonts w:hint="eastAsia" w:ascii="宋体" w:hAnsi="宋体" w:eastAsia="宋体" w:cs="宋体"/>
          <w:color w:val="000000"/>
        </w:rPr>
      </w:pPr>
      <w:r>
        <w:rPr>
          <w:rFonts w:hint="eastAsia" w:ascii="宋体" w:hAnsi="宋体" w:eastAsia="宋体" w:cs="宋体"/>
          <w:color w:val="000000"/>
        </w:rPr>
      </w:r>
      <w:r/>
    </w:p>
    <w:p>
      <w:pPr>
        <w:pStyle w:val="1125"/>
        <w:rPr>
          <w:rFonts w:hint="eastAsia" w:ascii="宋体" w:hAnsi="宋体" w:eastAsia="宋体" w:cs="宋体"/>
          <w:color w:val="000000"/>
        </w:rPr>
      </w:pPr>
      <w:r>
        <w:rPr>
          <w:rFonts w:hint="eastAsia" w:ascii="宋体" w:hAnsi="宋体" w:eastAsia="宋体" w:cs="宋体"/>
          <w:color w:val="000000"/>
        </w:rPr>
      </w:r>
      <w:r/>
    </w:p>
    <w:p>
      <w:pPr>
        <w:pStyle w:val="1125"/>
        <w:rPr>
          <w:rFonts w:hint="eastAsia" w:ascii="宋体" w:hAnsi="宋体" w:eastAsia="宋体" w:cs="宋体"/>
          <w:color w:val="000000"/>
        </w:rPr>
      </w:pPr>
      <w:r>
        <w:rPr>
          <w:rFonts w:hint="eastAsia" w:ascii="宋体" w:hAnsi="宋体" w:eastAsia="宋体" w:cs="宋体"/>
          <w:color w:val="000000"/>
        </w:rPr>
      </w:r>
      <w:r/>
    </w:p>
    <w:p>
      <w:pPr>
        <w:pStyle w:val="1125"/>
        <w:rPr>
          <w:rFonts w:hint="eastAsia" w:ascii="宋体" w:hAnsi="宋体" w:eastAsia="宋体" w:cs="宋体"/>
          <w:color w:val="000000"/>
        </w:rPr>
      </w:pPr>
      <w:r>
        <w:rPr>
          <w:rFonts w:hint="eastAsia" w:ascii="宋体" w:hAnsi="宋体" w:eastAsia="宋体" w:cs="宋体"/>
          <w:color w:val="000000"/>
        </w:rPr>
      </w:r>
      <w:r/>
    </w:p>
    <w:p>
      <w:pPr>
        <w:pStyle w:val="1125"/>
        <w:rPr>
          <w:rFonts w:hint="eastAsia" w:ascii="宋体" w:hAnsi="宋体" w:eastAsia="宋体" w:cs="宋体"/>
          <w:color w:val="000000"/>
        </w:rPr>
      </w:pPr>
      <w:r>
        <w:rPr>
          <w:rFonts w:hint="eastAsia" w:ascii="宋体" w:hAnsi="宋体" w:eastAsia="宋体" w:cs="宋体"/>
          <w:color w:val="000000"/>
        </w:rPr>
      </w:r>
      <w:bookmarkEnd w:id="164"/>
      <w:r/>
      <w:r/>
    </w:p>
    <w:p>
      <w:pPr>
        <w:pStyle w:val="1125"/>
        <w:rPr>
          <w:rFonts w:hint="eastAsia" w:ascii="宋体" w:hAnsi="宋体" w:eastAsia="宋体" w:cs="宋体"/>
          <w:color w:val="000000"/>
        </w:rPr>
      </w:pPr>
      <w:r>
        <w:rPr>
          <w:rFonts w:hint="eastAsia" w:ascii="宋体" w:hAnsi="宋体" w:eastAsia="宋体" w:cs="宋体"/>
          <w:color w:val="000000"/>
        </w:rPr>
      </w:r>
      <w:r/>
    </w:p>
    <w:p>
      <w:pPr>
        <w:pStyle w:val="1125"/>
        <w:rPr>
          <w:rFonts w:hint="eastAsia" w:ascii="宋体" w:hAnsi="宋体" w:eastAsia="宋体" w:cs="宋体"/>
          <w:color w:val="000000"/>
        </w:rPr>
      </w:pPr>
      <w:r>
        <w:rPr>
          <w:rFonts w:hint="eastAsia" w:ascii="宋体" w:hAnsi="宋体" w:eastAsia="宋体" w:cs="宋体"/>
          <w:color w:val="000000"/>
        </w:rPr>
      </w:r>
      <w:r/>
    </w:p>
    <w:p>
      <w:pPr>
        <w:pStyle w:val="1125"/>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1227"/>
        <w:jc w:val="center"/>
        <w:spacing w:line="440" w:lineRule="exact"/>
        <w:widowControl/>
        <w:rPr>
          <w:rFonts w:ascii="宋体" w:cs="宋体"/>
          <w:b/>
          <w:bCs/>
        </w:rPr>
        <w:outlineLvl w:val="1"/>
      </w:pPr>
      <w:r/>
      <w:bookmarkStart w:id="166" w:name="_Toc9275"/>
      <w:r/>
      <w:bookmarkStart w:id="167" w:name="_Toc26048"/>
      <w:r>
        <w:rPr>
          <w:rFonts w:hint="eastAsia" w:ascii="宋体" w:cs="宋体"/>
          <w:b/>
          <w:bCs/>
        </w:rPr>
        <w:t xml:space="preserve">投标文件目录</w:t>
      </w:r>
      <w:r/>
    </w:p>
    <w:p>
      <w:pPr>
        <w:ind w:firstLine="560"/>
        <w:spacing w:line="440" w:lineRule="exact"/>
        <w:rPr>
          <w:rFonts w:ascii="宋体" w:cs="宋体"/>
          <w:sz w:val="24"/>
        </w:rPr>
      </w:pPr>
      <w:r>
        <w:rPr>
          <w:rFonts w:hint="eastAsia" w:ascii="宋体" w:cs="宋体"/>
          <w:sz w:val="24"/>
        </w:rPr>
        <w:t xml:space="preserve">一、投标人响应承诺函</w:t>
      </w:r>
      <w:r/>
    </w:p>
    <w:p>
      <w:pPr>
        <w:ind w:firstLine="560"/>
        <w:spacing w:line="440" w:lineRule="exact"/>
        <w:rPr>
          <w:rFonts w:ascii="宋体" w:cs="宋体"/>
          <w:sz w:val="24"/>
        </w:rPr>
      </w:pPr>
      <w:r>
        <w:rPr>
          <w:rFonts w:hint="eastAsia" w:ascii="宋体" w:cs="宋体"/>
          <w:sz w:val="24"/>
        </w:rPr>
        <w:t xml:space="preserve">二、投标人基本情况</w:t>
      </w:r>
      <w:r/>
    </w:p>
    <w:p>
      <w:pPr>
        <w:ind w:firstLine="560"/>
        <w:spacing w:line="440" w:lineRule="exact"/>
        <w:rPr>
          <w:rFonts w:ascii="宋体" w:cs="宋体"/>
          <w:sz w:val="24"/>
        </w:rPr>
      </w:pPr>
      <w:r>
        <w:rPr>
          <w:rFonts w:hint="eastAsia" w:ascii="宋体" w:cs="宋体"/>
          <w:sz w:val="24"/>
        </w:rPr>
        <w:t xml:space="preserve">三、满足特定资格要求的证明文件（如果设置特定资格要求，则需要提供）</w:t>
      </w:r>
      <w:r/>
    </w:p>
    <w:p>
      <w:pPr>
        <w:ind w:firstLine="560"/>
        <w:spacing w:line="440" w:lineRule="exact"/>
        <w:rPr>
          <w:rFonts w:ascii="宋体" w:cs="宋体"/>
          <w:sz w:val="24"/>
        </w:rPr>
      </w:pPr>
      <w:r>
        <w:rPr>
          <w:rFonts w:hint="eastAsia" w:ascii="宋体" w:cs="宋体"/>
          <w:sz w:val="24"/>
        </w:rPr>
        <w:t xml:space="preserve">四、法人授权书</w:t>
      </w:r>
      <w:r/>
    </w:p>
    <w:p>
      <w:pPr>
        <w:ind w:firstLine="560"/>
        <w:spacing w:line="440" w:lineRule="exact"/>
        <w:rPr>
          <w:rFonts w:ascii="宋体" w:cs="宋体"/>
          <w:sz w:val="24"/>
        </w:rPr>
      </w:pPr>
      <w:r>
        <w:rPr>
          <w:rFonts w:hint="eastAsia" w:ascii="宋体" w:cs="宋体"/>
          <w:sz w:val="24"/>
        </w:rPr>
        <w:t xml:space="preserve">五、开标一览表</w:t>
      </w:r>
      <w:r/>
    </w:p>
    <w:p>
      <w:pPr>
        <w:ind w:firstLine="560"/>
        <w:spacing w:line="440" w:lineRule="exact"/>
        <w:rPr>
          <w:rFonts w:ascii="宋体" w:cs="宋体"/>
          <w:sz w:val="24"/>
        </w:rPr>
      </w:pPr>
      <w:r>
        <w:rPr>
          <w:rFonts w:hint="eastAsia" w:ascii="宋体" w:cs="宋体"/>
          <w:sz w:val="24"/>
        </w:rPr>
        <w:t xml:space="preserve">六、投标报价明细表</w:t>
      </w:r>
      <w:r/>
    </w:p>
    <w:p>
      <w:pPr>
        <w:ind w:firstLine="560"/>
        <w:spacing w:line="440" w:lineRule="exact"/>
        <w:rPr>
          <w:rFonts w:ascii="宋体" w:cs="宋体"/>
          <w:sz w:val="24"/>
        </w:rPr>
      </w:pPr>
      <w:r>
        <w:rPr>
          <w:rFonts w:hint="eastAsia" w:ascii="宋体" w:cs="宋体"/>
          <w:sz w:val="24"/>
        </w:rPr>
        <w:t xml:space="preserve">七、中小企业声明函及残疾人福利性单位声明函</w:t>
      </w:r>
      <w:r/>
    </w:p>
    <w:p>
      <w:pPr>
        <w:ind w:firstLine="560"/>
        <w:spacing w:line="440" w:lineRule="exact"/>
        <w:rPr>
          <w:rFonts w:ascii="宋体" w:cs="宋体"/>
          <w:sz w:val="24"/>
        </w:rPr>
      </w:pPr>
      <w:r>
        <w:rPr>
          <w:rFonts w:hint="eastAsia" w:ascii="宋体" w:cs="宋体"/>
          <w:sz w:val="24"/>
        </w:rPr>
        <w:t xml:space="preserve">八、技术要求响应及偏离表</w:t>
      </w:r>
      <w:r/>
    </w:p>
    <w:p>
      <w:pPr>
        <w:ind w:firstLine="560"/>
        <w:spacing w:line="440" w:lineRule="exact"/>
        <w:rPr>
          <w:rFonts w:ascii="宋体" w:cs="宋体"/>
          <w:sz w:val="24"/>
        </w:rPr>
      </w:pPr>
      <w:r>
        <w:rPr>
          <w:rFonts w:hint="eastAsia" w:ascii="宋体" w:cs="宋体"/>
          <w:sz w:val="24"/>
        </w:rPr>
        <w:t xml:space="preserve">九、项目组成员</w:t>
      </w:r>
      <w:r/>
    </w:p>
    <w:p>
      <w:pPr>
        <w:ind w:firstLine="560"/>
        <w:spacing w:line="440" w:lineRule="exact"/>
        <w:rPr>
          <w:rFonts w:ascii="宋体" w:cs="宋体"/>
          <w:sz w:val="24"/>
        </w:rPr>
      </w:pPr>
      <w:r>
        <w:rPr>
          <w:rFonts w:hint="eastAsia" w:ascii="宋体" w:cs="宋体"/>
          <w:sz w:val="24"/>
        </w:rPr>
        <w:t xml:space="preserve">十、企业业绩</w:t>
      </w:r>
      <w:r/>
    </w:p>
    <w:p>
      <w:pPr>
        <w:ind w:firstLine="560"/>
        <w:spacing w:line="440" w:lineRule="exact"/>
        <w:rPr>
          <w:rFonts w:ascii="宋体" w:cs="宋体"/>
          <w:sz w:val="24"/>
        </w:rPr>
      </w:pPr>
      <w:r>
        <w:rPr>
          <w:rFonts w:hint="eastAsia" w:ascii="宋体" w:cs="宋体"/>
          <w:sz w:val="24"/>
        </w:rPr>
        <w:t xml:space="preserve">十一、项目实施</w:t>
      </w:r>
      <w:r/>
    </w:p>
    <w:p>
      <w:pPr>
        <w:ind w:firstLine="560"/>
        <w:spacing w:line="440" w:lineRule="exact"/>
        <w:rPr>
          <w:rFonts w:ascii="宋体" w:cs="宋体"/>
          <w:sz w:val="24"/>
          <w:szCs w:val="24"/>
        </w:rPr>
      </w:pPr>
      <w:r>
        <w:rPr>
          <w:rFonts w:hint="eastAsia" w:ascii="宋体" w:cs="宋体"/>
          <w:sz w:val="24"/>
          <w:szCs w:val="24"/>
        </w:rPr>
        <w:t xml:space="preserve">十二、关于符合本国产品标准的声明函</w:t>
      </w:r>
      <w:r/>
    </w:p>
    <w:p>
      <w:pPr>
        <w:ind w:firstLine="560"/>
        <w:spacing w:line="440" w:lineRule="exact"/>
        <w:rPr>
          <w:rFonts w:ascii="宋体" w:cs="宋体"/>
          <w:sz w:val="24"/>
          <w:szCs w:val="24"/>
        </w:rPr>
      </w:pPr>
      <w:r>
        <w:rPr>
          <w:rFonts w:hint="eastAsia" w:ascii="宋体" w:cs="宋体"/>
          <w:sz w:val="24"/>
          <w:szCs w:val="24"/>
        </w:rPr>
        <w:t xml:space="preserve">十三、投标所需其他材料</w:t>
      </w:r>
      <w:r/>
    </w:p>
    <w:p>
      <w:pPr>
        <w:ind w:firstLine="560"/>
        <w:spacing w:line="440" w:lineRule="exact"/>
        <w:rPr>
          <w:rFonts w:ascii="宋体" w:cs="宋体"/>
          <w:sz w:val="24"/>
        </w:rPr>
      </w:pPr>
      <w:r>
        <w:rPr>
          <w:rFonts w:ascii="宋体" w:cs="宋体"/>
          <w:sz w:val="24"/>
        </w:rPr>
      </w:r>
      <w:r/>
    </w:p>
    <w:p>
      <w:pPr>
        <w:pStyle w:val="920"/>
        <w:spacing w:before="0" w:after="0" w:line="440" w:lineRule="exact"/>
        <w:tabs>
          <w:tab w:val="right" w:pos="8720" w:leader="dot"/>
        </w:tabs>
        <w:rPr>
          <w:rFonts w:cs="宋体"/>
        </w:rPr>
      </w:pPr>
      <w:r>
        <w:rPr>
          <w:rFonts w:cs="宋体"/>
        </w:rPr>
      </w:r>
      <w:r/>
    </w:p>
    <w:p>
      <w:pPr>
        <w:ind w:firstLine="480"/>
        <w:spacing w:line="440" w:lineRule="exact"/>
        <w:rPr>
          <w:rFonts w:ascii="宋体" w:cs="宋体"/>
          <w:sz w:val="24"/>
        </w:rPr>
      </w:pPr>
      <w:r>
        <w:rPr>
          <w:rFonts w:ascii="宋体" w:cs="宋体"/>
          <w:sz w:val="24"/>
        </w:rPr>
      </w:r>
      <w:r/>
    </w:p>
    <w:p>
      <w:pPr>
        <w:ind w:firstLine="480"/>
        <w:spacing w:line="440" w:lineRule="exact"/>
        <w:rPr>
          <w:rFonts w:ascii="宋体" w:cs="宋体"/>
          <w:sz w:val="24"/>
        </w:rPr>
      </w:pPr>
      <w:r>
        <w:rPr>
          <w:rFonts w:ascii="宋体" w:cs="宋体"/>
          <w:sz w:val="24"/>
        </w:rPr>
      </w:r>
      <w:r/>
    </w:p>
    <w:p>
      <w:pPr>
        <w:ind w:firstLine="480"/>
        <w:spacing w:line="440" w:lineRule="exact"/>
        <w:rPr>
          <w:rFonts w:ascii="宋体" w:cs="宋体"/>
          <w:sz w:val="24"/>
        </w:rPr>
      </w:pPr>
      <w:r>
        <w:rPr>
          <w:rFonts w:ascii="宋体" w:cs="宋体"/>
          <w:sz w:val="24"/>
        </w:rPr>
      </w:r>
      <w:r/>
    </w:p>
    <w:p>
      <w:pPr>
        <w:ind w:firstLine="480"/>
        <w:spacing w:line="440" w:lineRule="exact"/>
        <w:rPr>
          <w:rFonts w:ascii="宋体" w:cs="宋体"/>
          <w:sz w:val="24"/>
        </w:rPr>
      </w:pPr>
      <w:r>
        <w:rPr>
          <w:rFonts w:ascii="宋体" w:cs="宋体"/>
          <w:sz w:val="24"/>
        </w:rPr>
      </w:r>
      <w:r/>
    </w:p>
    <w:p>
      <w:pPr>
        <w:ind w:firstLine="480"/>
        <w:spacing w:line="440" w:lineRule="exact"/>
        <w:rPr>
          <w:rFonts w:ascii="宋体" w:cs="宋体"/>
          <w:sz w:val="24"/>
        </w:rPr>
      </w:pPr>
      <w:r>
        <w:rPr>
          <w:rFonts w:ascii="宋体" w:cs="宋体"/>
          <w:sz w:val="24"/>
        </w:rPr>
      </w:r>
      <w:r/>
    </w:p>
    <w:p>
      <w:pPr>
        <w:pStyle w:val="1125"/>
        <w:spacing w:line="440" w:lineRule="exact"/>
        <w:rPr>
          <w:rFonts w:ascii="宋体" w:eastAsia="宋体" w:cs="宋体"/>
        </w:rPr>
      </w:pPr>
      <w:r/>
      <w:bookmarkStart w:id="168" w:name="_Toc23838"/>
      <w:r/>
      <w:bookmarkEnd w:id="168"/>
      <w:r/>
      <w:r/>
    </w:p>
    <w:p>
      <w:pPr>
        <w:pStyle w:val="1125"/>
        <w:spacing w:line="440" w:lineRule="exact"/>
        <w:rPr>
          <w:rFonts w:ascii="宋体" w:eastAsia="宋体" w:cs="宋体"/>
        </w:rPr>
      </w:pPr>
      <w:r>
        <w:rPr>
          <w:rFonts w:ascii="宋体" w:eastAsia="宋体" w:cs="宋体"/>
        </w:rPr>
      </w:r>
      <w:r/>
    </w:p>
    <w:p>
      <w:pPr>
        <w:pStyle w:val="1125"/>
        <w:spacing w:line="440" w:lineRule="exact"/>
        <w:rPr>
          <w:rFonts w:ascii="宋体" w:eastAsia="宋体" w:cs="宋体"/>
        </w:rPr>
      </w:pPr>
      <w:r>
        <w:rPr>
          <w:rFonts w:ascii="宋体" w:eastAsia="宋体" w:cs="宋体"/>
        </w:rPr>
      </w:r>
      <w:r/>
    </w:p>
    <w:p>
      <w:pPr>
        <w:pStyle w:val="1125"/>
        <w:spacing w:line="440" w:lineRule="exact"/>
        <w:rPr>
          <w:rFonts w:ascii="宋体" w:eastAsia="宋体" w:cs="宋体"/>
        </w:rPr>
      </w:pPr>
      <w:r>
        <w:rPr>
          <w:rFonts w:ascii="宋体" w:eastAsia="宋体" w:cs="宋体"/>
        </w:rPr>
      </w:r>
      <w:r/>
    </w:p>
    <w:p>
      <w:pPr>
        <w:pStyle w:val="1125"/>
        <w:spacing w:line="440" w:lineRule="exact"/>
        <w:rPr>
          <w:rFonts w:ascii="宋体" w:eastAsia="宋体" w:cs="宋体"/>
        </w:rPr>
      </w:pPr>
      <w:r>
        <w:rPr>
          <w:rFonts w:ascii="宋体" w:eastAsia="宋体" w:cs="宋体"/>
        </w:rPr>
      </w:r>
      <w:r/>
    </w:p>
    <w:p>
      <w:pPr>
        <w:pStyle w:val="1125"/>
        <w:spacing w:line="440" w:lineRule="exact"/>
        <w:rPr>
          <w:rFonts w:ascii="宋体" w:eastAsia="宋体" w:cs="宋体"/>
        </w:rPr>
      </w:pPr>
      <w:r>
        <w:rPr>
          <w:rFonts w:ascii="宋体" w:eastAsia="宋体" w:cs="宋体"/>
        </w:rPr>
      </w:r>
      <w:r/>
    </w:p>
    <w:p>
      <w:pPr>
        <w:pStyle w:val="1136"/>
        <w:spacing w:line="440" w:lineRule="exact"/>
        <w:rPr>
          <w:rFonts w:ascii="宋体" w:cs="宋体"/>
          <w:b/>
          <w:sz w:val="24"/>
          <w:szCs w:val="24"/>
        </w:rPr>
        <w:sectPr>
          <w:footnotePr/>
          <w:endnotePr/>
          <w:type w:val="continuous"/>
          <w:pgSz w:w="11906" w:h="16838" w:orient="portrait"/>
          <w:pgMar w:top="1440" w:right="1800" w:bottom="1440" w:left="1800" w:header="851" w:footer="992" w:gutter="0"/>
          <w:cols w:num="1" w:sep="0" w:space="1701" w:equalWidth="1"/>
          <w:docGrid w:linePitch="360"/>
        </w:sectPr>
      </w:pPr>
      <w:r>
        <w:rPr>
          <w:rFonts w:ascii="宋体" w:cs="宋体"/>
          <w:b/>
          <w:sz w:val="24"/>
          <w:szCs w:val="24"/>
        </w:rPr>
      </w:r>
      <w:r/>
    </w:p>
    <w:p>
      <w:pPr>
        <w:pStyle w:val="1136"/>
        <w:spacing w:line="440" w:lineRule="exact"/>
        <w:rPr>
          <w:rFonts w:ascii="宋体" w:cs="宋体"/>
          <w:b/>
          <w:sz w:val="24"/>
          <w:szCs w:val="24"/>
        </w:rPr>
        <w:outlineLvl w:val="1"/>
      </w:pPr>
      <w:r>
        <w:rPr>
          <w:rFonts w:hint="eastAsia" w:ascii="宋体" w:cs="宋体"/>
          <w:b/>
          <w:sz w:val="24"/>
          <w:szCs w:val="24"/>
        </w:rPr>
        <w:t xml:space="preserve">一、投标声明及承诺函</w:t>
      </w:r>
      <w:r/>
    </w:p>
    <w:p>
      <w:pPr>
        <w:pStyle w:val="1136"/>
        <w:jc w:val="left"/>
        <w:spacing w:line="440" w:lineRule="exact"/>
        <w:rPr>
          <w:rFonts w:ascii="宋体" w:cs="宋体"/>
          <w:sz w:val="24"/>
          <w:szCs w:val="24"/>
          <w:u w:val="single"/>
        </w:rPr>
      </w:pPr>
      <w:r>
        <w:rPr>
          <w:rFonts w:hint="eastAsia" w:ascii="宋体" w:cs="宋体"/>
          <w:sz w:val="24"/>
          <w:szCs w:val="24"/>
          <w:u w:val="single"/>
        </w:rPr>
        <w:t xml:space="preserve">（采购单位名称）：</w:t>
      </w:r>
      <w:r/>
    </w:p>
    <w:p>
      <w:pPr>
        <w:pStyle w:val="1136"/>
        <w:ind w:firstLine="480"/>
        <w:jc w:val="left"/>
        <w:spacing w:line="440" w:lineRule="exact"/>
        <w:rPr>
          <w:rFonts w:ascii="宋体" w:cs="宋体"/>
          <w:sz w:val="24"/>
          <w:szCs w:val="24"/>
        </w:rPr>
      </w:pPr>
      <w:r>
        <w:rPr>
          <w:rFonts w:hint="eastAsia" w:ascii="宋体" w:cs="宋体"/>
          <w:sz w:val="24"/>
          <w:szCs w:val="24"/>
        </w:rPr>
        <w:t xml:space="preserve">根据已收到的项目编号</w:t>
      </w:r>
      <w:r>
        <w:rPr>
          <w:rFonts w:hint="eastAsia" w:ascii="宋体"/>
          <w:sz w:val="24"/>
          <w:szCs w:val="24"/>
        </w:rPr>
        <w:t xml:space="preserve">为</w:t>
      </w:r>
      <w:r>
        <w:rPr>
          <w:rFonts w:hint="eastAsia" w:ascii="宋体"/>
          <w:sz w:val="24"/>
          <w:szCs w:val="24"/>
          <w:u w:val="single"/>
        </w:rPr>
        <w:t xml:space="preserve">（项目编号）</w:t>
      </w:r>
      <w:r>
        <w:rPr>
          <w:rFonts w:hint="eastAsia" w:ascii="宋体"/>
          <w:sz w:val="24"/>
          <w:szCs w:val="24"/>
        </w:rPr>
        <w:t xml:space="preserve">的</w:t>
      </w:r>
      <w:r>
        <w:rPr>
          <w:rFonts w:hint="eastAsia" w:ascii="宋体"/>
          <w:sz w:val="24"/>
          <w:szCs w:val="24"/>
          <w:u w:val="single"/>
        </w:rPr>
        <w:t xml:space="preserve">（项目名称）</w:t>
      </w:r>
      <w:r>
        <w:rPr>
          <w:rFonts w:hint="eastAsia" w:ascii="宋体"/>
          <w:sz w:val="24"/>
          <w:szCs w:val="24"/>
        </w:rPr>
        <w:t xml:space="preserve">的招标文件</w:t>
      </w:r>
      <w:r>
        <w:rPr>
          <w:rFonts w:hint="eastAsia" w:ascii="宋体" w:cs="宋体"/>
          <w:sz w:val="24"/>
          <w:szCs w:val="24"/>
        </w:rPr>
        <w:t xml:space="preserve">，我方在参加本项目招投标活动中，特作出如下承诺：</w:t>
      </w:r>
      <w:r/>
    </w:p>
    <w:p>
      <w:pPr>
        <w:pStyle w:val="1136"/>
        <w:ind w:firstLine="480"/>
        <w:jc w:val="left"/>
        <w:spacing w:line="440" w:lineRule="exact"/>
        <w:rPr>
          <w:rFonts w:ascii="宋体" w:cs="宋体"/>
          <w:sz w:val="24"/>
          <w:szCs w:val="24"/>
        </w:rPr>
      </w:pPr>
      <w:r>
        <w:rPr>
          <w:rFonts w:hint="eastAsia" w:ascii="宋体" w:cs="宋体"/>
          <w:sz w:val="24"/>
          <w:szCs w:val="24"/>
        </w:rPr>
        <w:t xml:space="preserve">一、我方具备《中华人民共和国政府采购法》第二十二条第一款规定的6项条件；</w:t>
      </w:r>
      <w:r/>
    </w:p>
    <w:p>
      <w:pPr>
        <w:pStyle w:val="1136"/>
        <w:ind w:firstLine="480"/>
        <w:jc w:val="left"/>
        <w:spacing w:line="440" w:lineRule="exact"/>
        <w:rPr>
          <w:rFonts w:ascii="宋体" w:cs="宋体"/>
          <w:sz w:val="24"/>
          <w:szCs w:val="24"/>
        </w:rPr>
      </w:pPr>
      <w:r>
        <w:rPr>
          <w:rFonts w:hint="eastAsia" w:asci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36"/>
        <w:ind w:firstLine="480"/>
        <w:jc w:val="left"/>
        <w:spacing w:line="440" w:lineRule="exact"/>
        <w:rPr>
          <w:rFonts w:ascii="宋体" w:cs="宋体"/>
          <w:sz w:val="24"/>
          <w:szCs w:val="24"/>
        </w:rPr>
      </w:pPr>
      <w:r>
        <w:rPr>
          <w:rFonts w:hint="eastAsia" w:ascii="宋体" w:cs="宋体"/>
          <w:sz w:val="24"/>
          <w:szCs w:val="24"/>
        </w:rPr>
        <w:t xml:space="preserve">三、我方按招标文件要求提交投标文件，响应招标文件规定的投标有效期；</w:t>
      </w:r>
      <w:r/>
    </w:p>
    <w:p>
      <w:pPr>
        <w:pStyle w:val="1136"/>
        <w:ind w:firstLine="480"/>
        <w:jc w:val="left"/>
        <w:spacing w:line="440" w:lineRule="exact"/>
        <w:rPr>
          <w:rFonts w:ascii="宋体" w:cs="宋体"/>
          <w:sz w:val="24"/>
          <w:szCs w:val="24"/>
        </w:rPr>
      </w:pPr>
      <w:r>
        <w:rPr>
          <w:rFonts w:hint="eastAsia" w:ascii="宋体" w:cs="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136"/>
        <w:ind w:firstLine="480"/>
        <w:jc w:val="left"/>
        <w:spacing w:line="440" w:lineRule="exact"/>
        <w:rPr>
          <w:rFonts w:ascii="宋体" w:cs="宋体"/>
          <w:sz w:val="24"/>
          <w:szCs w:val="24"/>
        </w:rPr>
      </w:pPr>
      <w:r>
        <w:rPr>
          <w:rFonts w:hint="eastAsia" w:ascii="宋体" w:cs="宋体"/>
          <w:sz w:val="24"/>
          <w:szCs w:val="24"/>
        </w:rPr>
        <w:t xml:space="preserve">五、我方若违背本声明及承诺约定，经查实，自愿接受采购人及相关主管部门相应的规定处理，并依法承担相应的法律责任。</w:t>
      </w:r>
      <w:r/>
    </w:p>
    <w:p>
      <w:pPr>
        <w:pStyle w:val="1136"/>
        <w:ind w:firstLine="480"/>
        <w:jc w:val="left"/>
        <w:spacing w:line="440" w:lineRule="exact"/>
        <w:rPr>
          <w:rFonts w:ascii="宋体" w:cs="宋体"/>
          <w:sz w:val="24"/>
          <w:szCs w:val="24"/>
        </w:rPr>
      </w:pPr>
      <w:r>
        <w:rPr>
          <w:rFonts w:hint="eastAsia" w:ascii="宋体" w:cs="宋体"/>
          <w:sz w:val="24"/>
          <w:szCs w:val="24"/>
        </w:rPr>
        <w:t xml:space="preserve">六、我方同意采购人、采购代理机构将本声明及承诺函上网公开。</w:t>
      </w:r>
      <w:r/>
    </w:p>
    <w:p>
      <w:pPr>
        <w:pStyle w:val="1136"/>
        <w:ind w:firstLine="480"/>
        <w:jc w:val="left"/>
        <w:spacing w:line="440" w:lineRule="exact"/>
        <w:rPr>
          <w:rFonts w:ascii="宋体" w:cs="宋体"/>
          <w:sz w:val="24"/>
          <w:szCs w:val="24"/>
        </w:rPr>
      </w:pPr>
      <w:r>
        <w:rPr>
          <w:rFonts w:ascii="宋体" w:cs="宋体"/>
          <w:sz w:val="24"/>
          <w:szCs w:val="24"/>
        </w:rPr>
      </w:r>
      <w:r/>
    </w:p>
    <w:p>
      <w:pPr>
        <w:pStyle w:val="1136"/>
        <w:jc w:val="left"/>
        <w:spacing w:line="440" w:lineRule="exact"/>
        <w:rPr>
          <w:rFonts w:ascii="宋体" w:cs="宋体"/>
          <w:sz w:val="24"/>
          <w:szCs w:val="24"/>
        </w:rPr>
      </w:pPr>
      <w:r>
        <w:rPr>
          <w:rFonts w:ascii="宋体" w:cs="宋体"/>
          <w:sz w:val="24"/>
          <w:szCs w:val="24"/>
        </w:rPr>
      </w:r>
      <w:r/>
    </w:p>
    <w:p>
      <w:pPr>
        <w:pStyle w:val="1136"/>
        <w:ind w:firstLine="480"/>
        <w:jc w:val="left"/>
        <w:spacing w:line="440" w:lineRule="exact"/>
        <w:rPr>
          <w:rFonts w:ascii="宋体" w:cs="宋体"/>
          <w:sz w:val="24"/>
          <w:szCs w:val="24"/>
        </w:rPr>
      </w:pPr>
      <w:r>
        <w:rPr>
          <w:rFonts w:hint="eastAsia" w:ascii="宋体" w:cs="宋体"/>
          <w:sz w:val="24"/>
          <w:szCs w:val="24"/>
        </w:rPr>
        <w:t xml:space="preserve">投标人名称： （加盖CA电子公章）</w:t>
      </w:r>
      <w:r/>
    </w:p>
    <w:p>
      <w:pPr>
        <w:pStyle w:val="1136"/>
        <w:ind w:firstLine="480"/>
        <w:spacing w:line="440" w:lineRule="exact"/>
        <w:rPr>
          <w:rFonts w:ascii="宋体" w:cs="宋体"/>
          <w:sz w:val="24"/>
          <w:szCs w:val="24"/>
        </w:rPr>
      </w:pPr>
      <w:r>
        <w:rPr>
          <w:rFonts w:hint="eastAsia" w:ascii="宋体" w:cs="宋体"/>
          <w:sz w:val="24"/>
          <w:szCs w:val="24"/>
        </w:rPr>
        <w:t xml:space="preserve">日期：    年    月   日</w:t>
      </w:r>
      <w:r/>
    </w:p>
    <w:p>
      <w:pPr>
        <w:pStyle w:val="1125"/>
        <w:spacing w:line="440" w:lineRule="exact"/>
        <w:rPr>
          <w:rFonts w:ascii="宋体" w:eastAsia="宋体" w:cs="宋体"/>
        </w:rPr>
        <w:outlineLvl w:val="1"/>
      </w:pPr>
      <w:r>
        <w:rPr>
          <w:rFonts w:hint="eastAsia" w:ascii="宋体" w:eastAsia="宋体" w:cs="宋体"/>
        </w:rPr>
        <w:br w:type="page" w:clear="all"/>
      </w:r>
      <w:r>
        <w:rPr>
          <w:rFonts w:hint="eastAsia" w:ascii="宋体" w:eastAsia="宋体" w:cs="宋体"/>
          <w:b/>
        </w:rPr>
        <w:t xml:space="preserve">二、投标人基本情况</w:t>
      </w:r>
      <w:r/>
    </w:p>
    <w:p>
      <w:pPr>
        <w:pStyle w:val="1122"/>
        <w:jc w:val="center"/>
        <w:spacing w:line="440" w:lineRule="exact"/>
        <w:rPr>
          <w:rFonts w:ascii="宋体" w:cs="宋体"/>
          <w:sz w:val="24"/>
          <w:szCs w:val="24"/>
        </w:rPr>
      </w:pPr>
      <w:r>
        <w:rPr>
          <w:rFonts w:hint="eastAsia" w:ascii="宋体" w:cs="宋体"/>
          <w:sz w:val="24"/>
          <w:szCs w:val="24"/>
        </w:rPr>
        <w:t xml:space="preserve">投标人基本情况表</w:t>
      </w:r>
      <w:r/>
    </w:p>
    <w:tbl>
      <w:tblPr>
        <w:tblStyle w:val="8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1122"/>
              <w:jc w:val="center"/>
              <w:spacing w:line="440" w:lineRule="exact"/>
              <w:rPr>
                <w:rFonts w:ascii="宋体" w:cs="宋体"/>
                <w:sz w:val="24"/>
                <w:szCs w:val="24"/>
              </w:rPr>
            </w:pPr>
            <w:r>
              <w:rPr>
                <w:rFonts w:hint="eastAsia" w:ascii="宋体" w:cs="宋体"/>
                <w:sz w:val="24"/>
                <w:szCs w:val="24"/>
              </w:rPr>
              <w:t xml:space="preserve">投标人名称</w:t>
            </w:r>
            <w:r/>
          </w:p>
        </w:tc>
        <w:tc>
          <w:tcPr>
            <w:gridSpan w:val="3"/>
            <w:tcW w:w="6998" w:type="dxa"/>
            <w:vAlign w:val="center"/>
            <w:textDirection w:val="lrTb"/>
            <w:noWrap/>
          </w:tcPr>
          <w:p>
            <w:pPr>
              <w:pStyle w:val="1122"/>
              <w:jc w:val="center"/>
              <w:spacing w:line="440" w:lineRule="exact"/>
              <w:rPr>
                <w:rFonts w:ascii="宋体" w:cs="宋体"/>
                <w:sz w:val="24"/>
                <w:szCs w:val="24"/>
              </w:rPr>
            </w:pPr>
            <w:r>
              <w:rPr>
                <w:rFonts w:ascii="宋体" w:cs="宋体"/>
                <w:sz w:val="24"/>
                <w:szCs w:val="24"/>
              </w:rPr>
            </w:r>
            <w:r/>
          </w:p>
        </w:tc>
      </w:tr>
      <w:tr>
        <w:trPr>
          <w:jc w:val="center"/>
        </w:trPr>
        <w:tc>
          <w:tcPr>
            <w:tcW w:w="1526" w:type="dxa"/>
            <w:vAlign w:val="center"/>
            <w:textDirection w:val="lrTb"/>
            <w:noWrap/>
          </w:tcPr>
          <w:p>
            <w:pPr>
              <w:pStyle w:val="1122"/>
              <w:jc w:val="center"/>
              <w:spacing w:line="440" w:lineRule="exact"/>
              <w:rPr>
                <w:rFonts w:ascii="宋体" w:cs="宋体"/>
                <w:sz w:val="24"/>
                <w:szCs w:val="24"/>
              </w:rPr>
            </w:pPr>
            <w:r>
              <w:rPr>
                <w:rFonts w:hint="eastAsia" w:ascii="宋体" w:cs="宋体"/>
                <w:sz w:val="24"/>
                <w:szCs w:val="24"/>
              </w:rPr>
              <w:t xml:space="preserve">法定代表人</w:t>
            </w:r>
            <w:r/>
          </w:p>
        </w:tc>
        <w:tc>
          <w:tcPr>
            <w:tcW w:w="3118" w:type="dxa"/>
            <w:vAlign w:val="center"/>
            <w:textDirection w:val="lrTb"/>
            <w:noWrap/>
          </w:tcPr>
          <w:p>
            <w:pPr>
              <w:pStyle w:val="1122"/>
              <w:jc w:val="center"/>
              <w:spacing w:line="440" w:lineRule="exact"/>
              <w:rPr>
                <w:rFonts w:ascii="宋体" w:cs="宋体"/>
                <w:sz w:val="24"/>
                <w:szCs w:val="24"/>
              </w:rPr>
            </w:pPr>
            <w:r>
              <w:rPr>
                <w:rFonts w:ascii="宋体" w:cs="宋体"/>
                <w:sz w:val="24"/>
                <w:szCs w:val="24"/>
              </w:rPr>
            </w:r>
            <w:r/>
          </w:p>
        </w:tc>
        <w:tc>
          <w:tcPr>
            <w:tcW w:w="1276" w:type="dxa"/>
            <w:vAlign w:val="center"/>
            <w:textDirection w:val="lrTb"/>
            <w:noWrap/>
          </w:tcPr>
          <w:p>
            <w:pPr>
              <w:pStyle w:val="1122"/>
              <w:jc w:val="center"/>
              <w:spacing w:line="440" w:lineRule="exact"/>
              <w:rPr>
                <w:rFonts w:ascii="宋体" w:cs="宋体"/>
                <w:sz w:val="24"/>
                <w:szCs w:val="24"/>
              </w:rPr>
            </w:pPr>
            <w:r>
              <w:rPr>
                <w:rFonts w:hint="eastAsia" w:ascii="宋体" w:cs="宋体"/>
                <w:sz w:val="24"/>
                <w:szCs w:val="24"/>
              </w:rPr>
              <w:t xml:space="preserve">注册地区</w:t>
            </w:r>
            <w:r/>
          </w:p>
        </w:tc>
        <w:tc>
          <w:tcPr>
            <w:tcW w:w="2604" w:type="dxa"/>
            <w:vAlign w:val="center"/>
            <w:textDirection w:val="lrTb"/>
            <w:noWrap/>
          </w:tcPr>
          <w:p>
            <w:pPr>
              <w:pStyle w:val="1122"/>
              <w:jc w:val="center"/>
              <w:spacing w:line="440" w:lineRule="exact"/>
              <w:rPr>
                <w:rFonts w:ascii="宋体" w:cs="宋体"/>
                <w:sz w:val="24"/>
                <w:szCs w:val="24"/>
              </w:rPr>
            </w:pPr>
            <w:r>
              <w:rPr>
                <w:rFonts w:ascii="宋体" w:cs="宋体"/>
                <w:sz w:val="24"/>
                <w:szCs w:val="24"/>
              </w:rPr>
            </w:r>
            <w:r/>
          </w:p>
        </w:tc>
      </w:tr>
      <w:tr>
        <w:trPr>
          <w:jc w:val="center"/>
        </w:trPr>
        <w:tc>
          <w:tcPr>
            <w:tcW w:w="1526" w:type="dxa"/>
            <w:vAlign w:val="center"/>
            <w:textDirection w:val="lrTb"/>
            <w:noWrap/>
          </w:tcPr>
          <w:p>
            <w:pPr>
              <w:pStyle w:val="1122"/>
              <w:jc w:val="center"/>
              <w:spacing w:line="440" w:lineRule="exact"/>
              <w:rPr>
                <w:rFonts w:ascii="宋体" w:cs="宋体"/>
                <w:sz w:val="24"/>
                <w:szCs w:val="24"/>
              </w:rPr>
            </w:pPr>
            <w:r>
              <w:rPr>
                <w:rFonts w:hint="eastAsia" w:ascii="宋体" w:cs="宋体"/>
                <w:sz w:val="24"/>
                <w:szCs w:val="24"/>
              </w:rPr>
              <w:t xml:space="preserve">地址</w:t>
            </w:r>
            <w:r/>
          </w:p>
        </w:tc>
        <w:tc>
          <w:tcPr>
            <w:tcW w:w="3118" w:type="dxa"/>
            <w:vAlign w:val="center"/>
            <w:textDirection w:val="lrTb"/>
            <w:noWrap/>
          </w:tcPr>
          <w:p>
            <w:pPr>
              <w:pStyle w:val="1122"/>
              <w:jc w:val="center"/>
              <w:spacing w:line="440" w:lineRule="exact"/>
              <w:rPr>
                <w:rFonts w:ascii="宋体" w:cs="宋体"/>
                <w:sz w:val="24"/>
                <w:szCs w:val="24"/>
              </w:rPr>
            </w:pPr>
            <w:r>
              <w:rPr>
                <w:rFonts w:ascii="宋体" w:cs="宋体"/>
                <w:sz w:val="24"/>
                <w:szCs w:val="24"/>
              </w:rPr>
            </w:r>
            <w:r/>
          </w:p>
        </w:tc>
        <w:tc>
          <w:tcPr>
            <w:tcW w:w="1276" w:type="dxa"/>
            <w:vAlign w:val="center"/>
            <w:textDirection w:val="lrTb"/>
            <w:noWrap/>
          </w:tcPr>
          <w:p>
            <w:pPr>
              <w:pStyle w:val="1122"/>
              <w:jc w:val="center"/>
              <w:spacing w:line="440" w:lineRule="exact"/>
              <w:rPr>
                <w:rFonts w:ascii="宋体" w:cs="宋体"/>
                <w:sz w:val="24"/>
                <w:szCs w:val="24"/>
              </w:rPr>
            </w:pPr>
            <w:r>
              <w:rPr>
                <w:rFonts w:hint="eastAsia" w:ascii="宋体" w:cs="宋体"/>
                <w:sz w:val="24"/>
                <w:szCs w:val="24"/>
              </w:rPr>
              <w:t xml:space="preserve">邮政编码</w:t>
            </w:r>
            <w:r/>
          </w:p>
        </w:tc>
        <w:tc>
          <w:tcPr>
            <w:tcW w:w="2604" w:type="dxa"/>
            <w:vAlign w:val="center"/>
            <w:textDirection w:val="lrTb"/>
            <w:noWrap/>
          </w:tcPr>
          <w:p>
            <w:pPr>
              <w:pStyle w:val="1122"/>
              <w:jc w:val="center"/>
              <w:spacing w:line="440" w:lineRule="exact"/>
              <w:rPr>
                <w:rFonts w:ascii="宋体" w:cs="宋体"/>
                <w:sz w:val="24"/>
                <w:szCs w:val="24"/>
              </w:rPr>
            </w:pPr>
            <w:r>
              <w:rPr>
                <w:rFonts w:ascii="宋体" w:cs="宋体"/>
                <w:sz w:val="24"/>
                <w:szCs w:val="24"/>
              </w:rPr>
            </w:r>
            <w:r/>
          </w:p>
        </w:tc>
      </w:tr>
      <w:tr>
        <w:trPr>
          <w:jc w:val="center"/>
        </w:trPr>
        <w:tc>
          <w:tcPr>
            <w:tcW w:w="1526" w:type="dxa"/>
            <w:vAlign w:val="center"/>
            <w:textDirection w:val="lrTb"/>
            <w:noWrap/>
          </w:tcPr>
          <w:p>
            <w:pPr>
              <w:pStyle w:val="1122"/>
              <w:jc w:val="center"/>
              <w:spacing w:line="440" w:lineRule="exact"/>
              <w:rPr>
                <w:rFonts w:ascii="宋体" w:cs="宋体"/>
                <w:sz w:val="24"/>
                <w:szCs w:val="24"/>
              </w:rPr>
            </w:pPr>
            <w:r>
              <w:rPr>
                <w:rFonts w:hint="eastAsia" w:ascii="宋体" w:cs="宋体"/>
                <w:sz w:val="24"/>
                <w:szCs w:val="24"/>
              </w:rPr>
              <w:t xml:space="preserve">成立时间</w:t>
            </w:r>
            <w:r/>
          </w:p>
        </w:tc>
        <w:tc>
          <w:tcPr>
            <w:tcW w:w="3118" w:type="dxa"/>
            <w:vAlign w:val="center"/>
            <w:textDirection w:val="lrTb"/>
            <w:noWrap/>
          </w:tcPr>
          <w:p>
            <w:pPr>
              <w:pStyle w:val="1122"/>
              <w:jc w:val="center"/>
              <w:spacing w:line="440" w:lineRule="exact"/>
              <w:rPr>
                <w:rFonts w:ascii="宋体" w:cs="宋体"/>
                <w:sz w:val="24"/>
                <w:szCs w:val="24"/>
              </w:rPr>
            </w:pPr>
            <w:r>
              <w:rPr>
                <w:rFonts w:ascii="宋体" w:cs="宋体"/>
                <w:sz w:val="24"/>
                <w:szCs w:val="24"/>
              </w:rPr>
            </w:r>
            <w:r/>
          </w:p>
        </w:tc>
        <w:tc>
          <w:tcPr>
            <w:tcW w:w="1276" w:type="dxa"/>
            <w:vAlign w:val="center"/>
            <w:textDirection w:val="lrTb"/>
            <w:noWrap/>
          </w:tcPr>
          <w:p>
            <w:pPr>
              <w:pStyle w:val="1122"/>
              <w:jc w:val="center"/>
              <w:spacing w:line="440" w:lineRule="exact"/>
              <w:rPr>
                <w:rFonts w:ascii="宋体" w:cs="宋体"/>
                <w:sz w:val="24"/>
                <w:szCs w:val="24"/>
              </w:rPr>
            </w:pPr>
            <w:r>
              <w:rPr>
                <w:rFonts w:hint="eastAsia" w:ascii="宋体" w:cs="宋体"/>
                <w:sz w:val="24"/>
                <w:szCs w:val="24"/>
              </w:rPr>
              <w:t xml:space="preserve">单位性质</w:t>
            </w:r>
            <w:r/>
          </w:p>
        </w:tc>
        <w:tc>
          <w:tcPr>
            <w:tcW w:w="2604" w:type="dxa"/>
            <w:vAlign w:val="center"/>
            <w:textDirection w:val="lrTb"/>
            <w:noWrap/>
          </w:tcPr>
          <w:p>
            <w:pPr>
              <w:pStyle w:val="1122"/>
              <w:jc w:val="center"/>
              <w:spacing w:line="440" w:lineRule="exact"/>
              <w:rPr>
                <w:rFonts w:ascii="宋体" w:cs="宋体"/>
                <w:sz w:val="24"/>
                <w:szCs w:val="24"/>
              </w:rPr>
            </w:pPr>
            <w:r>
              <w:rPr>
                <w:rFonts w:ascii="宋体" w:cs="宋体"/>
                <w:sz w:val="24"/>
                <w:szCs w:val="24"/>
              </w:rPr>
            </w:r>
            <w:r/>
          </w:p>
        </w:tc>
      </w:tr>
      <w:tr>
        <w:trPr>
          <w:jc w:val="center"/>
        </w:trPr>
        <w:tc>
          <w:tcPr>
            <w:tcW w:w="1526" w:type="dxa"/>
            <w:vAlign w:val="center"/>
            <w:textDirection w:val="lrTb"/>
            <w:noWrap/>
          </w:tcPr>
          <w:p>
            <w:pPr>
              <w:pStyle w:val="1122"/>
              <w:jc w:val="center"/>
              <w:spacing w:line="440" w:lineRule="exact"/>
              <w:rPr>
                <w:rFonts w:ascii="宋体" w:cs="宋体"/>
                <w:sz w:val="24"/>
                <w:szCs w:val="24"/>
              </w:rPr>
            </w:pPr>
            <w:r>
              <w:rPr>
                <w:rFonts w:hint="eastAsia" w:ascii="宋体" w:cs="宋体"/>
                <w:sz w:val="24"/>
                <w:szCs w:val="24"/>
              </w:rPr>
              <w:t xml:space="preserve">注册号或社会信用代码</w:t>
            </w:r>
            <w:r/>
          </w:p>
        </w:tc>
        <w:tc>
          <w:tcPr>
            <w:tcW w:w="3118" w:type="dxa"/>
            <w:vAlign w:val="center"/>
            <w:textDirection w:val="lrTb"/>
            <w:noWrap/>
          </w:tcPr>
          <w:p>
            <w:pPr>
              <w:pStyle w:val="1122"/>
              <w:jc w:val="center"/>
              <w:spacing w:line="440" w:lineRule="exact"/>
              <w:rPr>
                <w:rFonts w:ascii="宋体" w:cs="宋体"/>
                <w:sz w:val="24"/>
                <w:szCs w:val="24"/>
              </w:rPr>
            </w:pPr>
            <w:r>
              <w:rPr>
                <w:rFonts w:ascii="宋体" w:cs="宋体"/>
                <w:sz w:val="24"/>
                <w:szCs w:val="24"/>
              </w:rPr>
            </w:r>
            <w:r/>
          </w:p>
        </w:tc>
        <w:tc>
          <w:tcPr>
            <w:tcW w:w="1276" w:type="dxa"/>
            <w:vAlign w:val="center"/>
            <w:textDirection w:val="lrTb"/>
            <w:noWrap/>
          </w:tcPr>
          <w:p>
            <w:pPr>
              <w:pStyle w:val="1122"/>
              <w:jc w:val="center"/>
              <w:spacing w:line="440" w:lineRule="exact"/>
              <w:rPr>
                <w:rFonts w:ascii="宋体" w:cs="宋体"/>
                <w:sz w:val="24"/>
                <w:szCs w:val="24"/>
              </w:rPr>
            </w:pPr>
            <w:r>
              <w:rPr>
                <w:rFonts w:hint="eastAsia" w:ascii="宋体" w:cs="宋体"/>
                <w:sz w:val="24"/>
                <w:szCs w:val="24"/>
              </w:rPr>
              <w:t xml:space="preserve">注册资本（万元）</w:t>
            </w:r>
            <w:r/>
          </w:p>
        </w:tc>
        <w:tc>
          <w:tcPr>
            <w:tcW w:w="2604" w:type="dxa"/>
            <w:vAlign w:val="center"/>
            <w:textDirection w:val="lrTb"/>
            <w:noWrap/>
          </w:tcPr>
          <w:p>
            <w:pPr>
              <w:pStyle w:val="1122"/>
              <w:jc w:val="center"/>
              <w:spacing w:line="440" w:lineRule="exact"/>
              <w:rPr>
                <w:rFonts w:ascii="宋体" w:cs="宋体"/>
                <w:sz w:val="24"/>
                <w:szCs w:val="24"/>
              </w:rPr>
            </w:pPr>
            <w:r>
              <w:rPr>
                <w:rFonts w:ascii="宋体" w:cs="宋体"/>
                <w:sz w:val="24"/>
                <w:szCs w:val="24"/>
              </w:rPr>
            </w:r>
            <w:r/>
          </w:p>
        </w:tc>
      </w:tr>
      <w:tr>
        <w:trPr>
          <w:jc w:val="center"/>
        </w:trPr>
        <w:tc>
          <w:tcPr>
            <w:tcW w:w="1526" w:type="dxa"/>
            <w:vAlign w:val="center"/>
            <w:textDirection w:val="lrTb"/>
            <w:noWrap/>
          </w:tcPr>
          <w:p>
            <w:pPr>
              <w:pStyle w:val="1122"/>
              <w:jc w:val="center"/>
              <w:spacing w:line="440" w:lineRule="exact"/>
              <w:rPr>
                <w:rFonts w:ascii="宋体" w:cs="宋体"/>
                <w:sz w:val="24"/>
                <w:szCs w:val="24"/>
              </w:rPr>
            </w:pPr>
            <w:r>
              <w:rPr>
                <w:rFonts w:hint="eastAsia" w:ascii="宋体" w:cs="宋体"/>
                <w:sz w:val="24"/>
                <w:szCs w:val="24"/>
              </w:rPr>
              <w:t xml:space="preserve">投标人类别</w:t>
            </w:r>
            <w:r/>
          </w:p>
        </w:tc>
        <w:tc>
          <w:tcPr>
            <w:gridSpan w:val="3"/>
            <w:tcW w:w="6998" w:type="dxa"/>
            <w:vAlign w:val="center"/>
            <w:textDirection w:val="lrTb"/>
            <w:noWrap/>
          </w:tcPr>
          <w:p>
            <w:pPr>
              <w:pStyle w:val="1122"/>
              <w:jc w:val="center"/>
              <w:spacing w:line="440" w:lineRule="exact"/>
              <w:rPr>
                <w:rFonts w:ascii="宋体" w:cs="宋体"/>
                <w:sz w:val="24"/>
                <w:szCs w:val="24"/>
              </w:rPr>
            </w:pPr>
            <w:r>
              <w:rPr>
                <w:rFonts w:ascii="宋体" w:cs="宋体"/>
                <w:sz w:val="24"/>
                <w:szCs w:val="24"/>
              </w:rPr>
            </w:r>
            <w:r/>
          </w:p>
        </w:tc>
      </w:tr>
      <w:tr>
        <w:trPr>
          <w:jc w:val="center"/>
        </w:trPr>
        <w:tc>
          <w:tcPr>
            <w:tcW w:w="1526" w:type="dxa"/>
            <w:vAlign w:val="center"/>
            <w:textDirection w:val="lrTb"/>
            <w:noWrap/>
          </w:tcPr>
          <w:p>
            <w:pPr>
              <w:pStyle w:val="1122"/>
              <w:jc w:val="center"/>
              <w:spacing w:line="440" w:lineRule="exact"/>
              <w:rPr>
                <w:rFonts w:ascii="宋体" w:cs="宋体"/>
                <w:sz w:val="24"/>
                <w:szCs w:val="24"/>
              </w:rPr>
            </w:pPr>
            <w:r>
              <w:rPr>
                <w:rFonts w:hint="eastAsia" w:ascii="宋体" w:cs="宋体"/>
                <w:sz w:val="24"/>
                <w:szCs w:val="24"/>
              </w:rPr>
              <w:t xml:space="preserve">开户银行</w:t>
            </w:r>
            <w:r/>
          </w:p>
        </w:tc>
        <w:tc>
          <w:tcPr>
            <w:tcW w:w="3118" w:type="dxa"/>
            <w:vAlign w:val="center"/>
            <w:textDirection w:val="lrTb"/>
            <w:noWrap/>
          </w:tcPr>
          <w:p>
            <w:pPr>
              <w:pStyle w:val="1122"/>
              <w:jc w:val="center"/>
              <w:spacing w:line="440" w:lineRule="exact"/>
              <w:rPr>
                <w:rFonts w:ascii="宋体" w:cs="宋体"/>
                <w:sz w:val="24"/>
                <w:szCs w:val="24"/>
              </w:rPr>
            </w:pPr>
            <w:r>
              <w:rPr>
                <w:rFonts w:ascii="宋体" w:cs="宋体"/>
                <w:sz w:val="24"/>
                <w:szCs w:val="24"/>
              </w:rPr>
            </w:r>
            <w:r/>
          </w:p>
        </w:tc>
        <w:tc>
          <w:tcPr>
            <w:tcW w:w="1276" w:type="dxa"/>
            <w:vAlign w:val="center"/>
            <w:textDirection w:val="lrTb"/>
            <w:noWrap/>
          </w:tcPr>
          <w:p>
            <w:pPr>
              <w:pStyle w:val="1122"/>
              <w:jc w:val="center"/>
              <w:spacing w:line="440" w:lineRule="exact"/>
              <w:rPr>
                <w:rFonts w:ascii="宋体" w:cs="宋体"/>
                <w:sz w:val="24"/>
                <w:szCs w:val="24"/>
              </w:rPr>
            </w:pPr>
            <w:r>
              <w:rPr>
                <w:rFonts w:hint="eastAsia" w:ascii="宋体" w:cs="宋体"/>
                <w:sz w:val="24"/>
                <w:szCs w:val="24"/>
              </w:rPr>
              <w:t xml:space="preserve">账号</w:t>
            </w:r>
            <w:r/>
          </w:p>
        </w:tc>
        <w:tc>
          <w:tcPr>
            <w:tcW w:w="2604" w:type="dxa"/>
            <w:vAlign w:val="center"/>
            <w:textDirection w:val="lrTb"/>
            <w:noWrap/>
          </w:tcPr>
          <w:p>
            <w:pPr>
              <w:pStyle w:val="1122"/>
              <w:jc w:val="center"/>
              <w:spacing w:line="440" w:lineRule="exact"/>
              <w:rPr>
                <w:rFonts w:ascii="宋体" w:cs="宋体"/>
                <w:sz w:val="24"/>
                <w:szCs w:val="24"/>
              </w:rPr>
            </w:pPr>
            <w:r>
              <w:rPr>
                <w:rFonts w:ascii="宋体" w:cs="宋体"/>
                <w:sz w:val="24"/>
                <w:szCs w:val="24"/>
              </w:rPr>
            </w:r>
            <w:r/>
          </w:p>
        </w:tc>
      </w:tr>
      <w:tr>
        <w:trPr>
          <w:jc w:val="center"/>
        </w:trPr>
        <w:tc>
          <w:tcPr>
            <w:tcW w:w="1526" w:type="dxa"/>
            <w:vAlign w:val="center"/>
            <w:textDirection w:val="lrTb"/>
            <w:noWrap/>
          </w:tcPr>
          <w:p>
            <w:pPr>
              <w:pStyle w:val="1122"/>
              <w:jc w:val="center"/>
              <w:spacing w:line="440" w:lineRule="exact"/>
              <w:rPr>
                <w:rFonts w:ascii="宋体" w:cs="宋体"/>
                <w:sz w:val="24"/>
                <w:szCs w:val="24"/>
              </w:rPr>
            </w:pPr>
            <w:r>
              <w:rPr>
                <w:rFonts w:hint="eastAsia" w:ascii="宋体" w:cs="宋体"/>
                <w:sz w:val="24"/>
                <w:szCs w:val="24"/>
              </w:rPr>
              <w:t xml:space="preserve">联系人</w:t>
            </w:r>
            <w:r/>
          </w:p>
        </w:tc>
        <w:tc>
          <w:tcPr>
            <w:tcW w:w="3118" w:type="dxa"/>
            <w:vAlign w:val="center"/>
            <w:textDirection w:val="lrTb"/>
            <w:noWrap/>
          </w:tcPr>
          <w:p>
            <w:pPr>
              <w:pStyle w:val="1122"/>
              <w:jc w:val="center"/>
              <w:spacing w:line="440" w:lineRule="exact"/>
              <w:rPr>
                <w:rFonts w:ascii="宋体" w:cs="宋体"/>
                <w:sz w:val="24"/>
                <w:szCs w:val="24"/>
              </w:rPr>
            </w:pPr>
            <w:r>
              <w:rPr>
                <w:rFonts w:ascii="宋体" w:cs="宋体"/>
                <w:sz w:val="24"/>
                <w:szCs w:val="24"/>
              </w:rPr>
            </w:r>
            <w:r/>
          </w:p>
        </w:tc>
        <w:tc>
          <w:tcPr>
            <w:tcW w:w="1276" w:type="dxa"/>
            <w:vAlign w:val="center"/>
            <w:textDirection w:val="lrTb"/>
            <w:noWrap/>
          </w:tcPr>
          <w:p>
            <w:pPr>
              <w:pStyle w:val="1122"/>
              <w:jc w:val="center"/>
              <w:spacing w:line="440" w:lineRule="exact"/>
              <w:rPr>
                <w:rFonts w:ascii="宋体" w:cs="宋体"/>
                <w:sz w:val="24"/>
                <w:szCs w:val="24"/>
              </w:rPr>
            </w:pPr>
            <w:r>
              <w:rPr>
                <w:rFonts w:hint="eastAsia" w:ascii="宋体" w:cs="宋体"/>
                <w:sz w:val="24"/>
                <w:szCs w:val="24"/>
              </w:rPr>
              <w:t xml:space="preserve">联系电话</w:t>
            </w:r>
            <w:r/>
          </w:p>
        </w:tc>
        <w:tc>
          <w:tcPr>
            <w:tcW w:w="2604" w:type="dxa"/>
            <w:vAlign w:val="center"/>
            <w:textDirection w:val="lrTb"/>
            <w:noWrap/>
          </w:tcPr>
          <w:p>
            <w:pPr>
              <w:pStyle w:val="1122"/>
              <w:jc w:val="center"/>
              <w:spacing w:line="440" w:lineRule="exact"/>
              <w:rPr>
                <w:rFonts w:ascii="宋体" w:cs="宋体"/>
                <w:sz w:val="24"/>
                <w:szCs w:val="24"/>
              </w:rPr>
            </w:pPr>
            <w:r>
              <w:rPr>
                <w:rFonts w:ascii="宋体" w:cs="宋体"/>
                <w:sz w:val="24"/>
                <w:szCs w:val="24"/>
              </w:rPr>
            </w:r>
            <w:r/>
          </w:p>
        </w:tc>
      </w:tr>
      <w:tr>
        <w:trPr>
          <w:jc w:val="center"/>
          <w:trHeight w:val="1046"/>
        </w:trPr>
        <w:tc>
          <w:tcPr>
            <w:tcW w:w="1526" w:type="dxa"/>
            <w:vAlign w:val="center"/>
            <w:textDirection w:val="lrTb"/>
            <w:noWrap/>
          </w:tcPr>
          <w:p>
            <w:pPr>
              <w:pStyle w:val="1122"/>
              <w:jc w:val="center"/>
              <w:spacing w:line="440" w:lineRule="exact"/>
              <w:rPr>
                <w:rFonts w:ascii="宋体" w:cs="宋体"/>
                <w:sz w:val="24"/>
                <w:szCs w:val="24"/>
              </w:rPr>
            </w:pPr>
            <w:r>
              <w:rPr>
                <w:rFonts w:hint="eastAsia" w:ascii="宋体" w:cs="宋体"/>
                <w:sz w:val="24"/>
                <w:szCs w:val="24"/>
              </w:rPr>
              <w:t xml:space="preserve">经营范围</w:t>
            </w:r>
            <w:r/>
          </w:p>
        </w:tc>
        <w:tc>
          <w:tcPr>
            <w:gridSpan w:val="3"/>
            <w:tcW w:w="6998" w:type="dxa"/>
            <w:textDirection w:val="lrTb"/>
            <w:noWrap/>
          </w:tcPr>
          <w:p>
            <w:pPr>
              <w:pStyle w:val="1122"/>
              <w:ind w:firstLine="1432"/>
              <w:spacing w:line="440" w:lineRule="exact"/>
              <w:rPr>
                <w:rFonts w:ascii="宋体" w:cs="宋体"/>
                <w:sz w:val="24"/>
                <w:szCs w:val="24"/>
              </w:rPr>
            </w:pPr>
            <w:r>
              <w:rPr>
                <w:rFonts w:ascii="宋体" w:cs="宋体"/>
                <w:sz w:val="24"/>
                <w:szCs w:val="24"/>
              </w:rPr>
            </w:r>
            <w:r/>
          </w:p>
        </w:tc>
      </w:tr>
      <w:tr>
        <w:trPr>
          <w:jc w:val="center"/>
          <w:trHeight w:val="1134"/>
        </w:trPr>
        <w:tc>
          <w:tcPr>
            <w:tcW w:w="1526" w:type="dxa"/>
            <w:vAlign w:val="center"/>
            <w:textDirection w:val="lrTb"/>
            <w:noWrap/>
          </w:tcPr>
          <w:p>
            <w:pPr>
              <w:pStyle w:val="1122"/>
              <w:jc w:val="center"/>
              <w:spacing w:line="440" w:lineRule="exact"/>
              <w:rPr>
                <w:rFonts w:ascii="宋体" w:cs="宋体"/>
                <w:sz w:val="24"/>
                <w:szCs w:val="24"/>
              </w:rPr>
            </w:pPr>
            <w:r>
              <w:rPr>
                <w:rFonts w:hint="eastAsia" w:ascii="宋体" w:cs="宋体"/>
                <w:sz w:val="24"/>
                <w:szCs w:val="24"/>
              </w:rPr>
              <w:t xml:space="preserve">备注</w:t>
            </w:r>
            <w:r/>
          </w:p>
        </w:tc>
        <w:tc>
          <w:tcPr>
            <w:gridSpan w:val="3"/>
            <w:tcW w:w="6998" w:type="dxa"/>
            <w:vAlign w:val="center"/>
            <w:textDirection w:val="lrTb"/>
            <w:noWrap/>
          </w:tcPr>
          <w:p>
            <w:pPr>
              <w:pStyle w:val="1122"/>
              <w:spacing w:line="440" w:lineRule="exact"/>
              <w:rPr>
                <w:rFonts w:ascii="宋体" w:cs="宋体"/>
                <w:sz w:val="24"/>
                <w:szCs w:val="24"/>
              </w:rPr>
            </w:pPr>
            <w:r>
              <w:rPr>
                <w:rFonts w:hint="eastAsia" w:ascii="宋体" w:cs="宋体"/>
                <w:sz w:val="24"/>
                <w:szCs w:val="24"/>
              </w:rPr>
              <w:t xml:space="preserve">附营业执照</w:t>
            </w:r>
            <w:r/>
          </w:p>
        </w:tc>
      </w:tr>
    </w:tbl>
    <w:p>
      <w:pPr>
        <w:ind w:firstLine="480"/>
        <w:spacing w:line="440" w:lineRule="exact"/>
        <w:rPr>
          <w:rFonts w:ascii="宋体" w:cs="宋体"/>
          <w:sz w:val="24"/>
        </w:rPr>
      </w:pPr>
      <w:r>
        <w:rPr>
          <w:rFonts w:ascii="宋体" w:cs="宋体"/>
          <w:sz w:val="24"/>
        </w:rPr>
      </w:r>
      <w:r/>
    </w:p>
    <w:p>
      <w:pPr>
        <w:ind w:firstLine="480"/>
        <w:spacing w:line="440" w:lineRule="exact"/>
        <w:rPr>
          <w:rFonts w:ascii="宋体" w:cs="宋体"/>
          <w:sz w:val="24"/>
        </w:rPr>
      </w:pPr>
      <w:r>
        <w:rPr>
          <w:rFonts w:ascii="宋体" w:cs="宋体"/>
          <w:sz w:val="24"/>
        </w:rPr>
      </w:r>
      <w:r/>
    </w:p>
    <w:p>
      <w:pPr>
        <w:spacing w:line="440" w:lineRule="exact"/>
        <w:rPr>
          <w:rFonts w:ascii="宋体" w:cs="宋体"/>
          <w:i/>
          <w:sz w:val="24"/>
          <w:u w:val="single"/>
        </w:rPr>
        <w:outlineLvl w:val="1"/>
      </w:pPr>
      <w:r>
        <w:rPr>
          <w:rFonts w:hint="eastAsia" w:ascii="宋体" w:cs="宋体"/>
          <w:b/>
          <w:sz w:val="24"/>
        </w:rPr>
        <w:t xml:space="preserve">三、特定资格要求的证明文件</w:t>
      </w:r>
      <w:r/>
    </w:p>
    <w:p>
      <w:pPr>
        <w:spacing w:line="440" w:lineRule="exact"/>
        <w:rPr>
          <w:rFonts w:ascii="宋体" w:cs="宋体"/>
          <w:bCs/>
          <w:sz w:val="24"/>
        </w:rPr>
      </w:pPr>
      <w:r>
        <w:rPr>
          <w:rFonts w:hint="eastAsia" w:ascii="宋体" w:cs="宋体"/>
          <w:sz w:val="24"/>
        </w:rPr>
        <w:t xml:space="preserve">    如果本项目申请人的特定资格要求中要求提供的，必须提供。</w:t>
      </w:r>
      <w:r/>
    </w:p>
    <w:p>
      <w:pPr>
        <w:ind w:firstLine="420"/>
        <w:spacing w:line="440" w:lineRule="exact"/>
        <w:rPr>
          <w:rFonts w:ascii="宋体" w:cs="宋体"/>
          <w:bCs/>
          <w:sz w:val="24"/>
        </w:rPr>
      </w:pPr>
      <w:r>
        <w:rPr>
          <w:rFonts w:ascii="宋体" w:cs="宋体"/>
          <w:bCs/>
          <w:sz w:val="24"/>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spacing w:line="440" w:lineRule="exact"/>
        <w:rPr>
          <w:rFonts w:ascii="宋体" w:cs="宋体"/>
          <w:b/>
          <w:sz w:val="24"/>
        </w:rPr>
        <w:outlineLvl w:val="1"/>
      </w:pPr>
      <w:r>
        <w:rPr>
          <w:rFonts w:hint="eastAsia" w:ascii="宋体" w:cs="宋体"/>
          <w:b/>
          <w:sz w:val="24"/>
        </w:rPr>
        <w:t xml:space="preserve">四、法人授权书</w:t>
      </w:r>
      <w:r/>
    </w:p>
    <w:p>
      <w:pPr>
        <w:pStyle w:val="1136"/>
        <w:ind w:firstLine="480"/>
        <w:jc w:val="left"/>
        <w:spacing w:line="440" w:lineRule="exact"/>
        <w:rPr>
          <w:rFonts w:ascii="宋体" w:cs="宋体"/>
          <w:sz w:val="24"/>
          <w:szCs w:val="24"/>
        </w:rPr>
      </w:pPr>
      <w:r>
        <w:rPr>
          <w:rFonts w:hint="eastAsia" w:ascii="宋体" w:cs="宋体"/>
          <w:sz w:val="24"/>
          <w:szCs w:val="24"/>
        </w:rPr>
        <w:t xml:space="preserve">本授权书声明：____________（投标人名称）授权_____（被授权人的姓名）为我方就</w:t>
      </w:r>
      <w:r>
        <w:rPr>
          <w:rFonts w:hint="eastAsia" w:ascii="宋体" w:cs="宋体"/>
          <w:sz w:val="24"/>
          <w:szCs w:val="24"/>
          <w:u w:val="single"/>
        </w:rPr>
        <w:t xml:space="preserve">JSZC-</w:t>
      </w:r>
      <w:r>
        <w:rPr>
          <w:rFonts w:hint="eastAsia" w:ascii="宋体" w:cs="宋体"/>
          <w:sz w:val="24"/>
          <w:szCs w:val="24"/>
        </w:rPr>
        <w:t xml:space="preserve">号项目采购活动的合法代理人，以本单位名义全权处理一切与该项目采购有关的事务。</w:t>
      </w:r>
      <w:r/>
    </w:p>
    <w:p>
      <w:pPr>
        <w:pStyle w:val="1136"/>
        <w:ind w:firstLine="480"/>
        <w:jc w:val="left"/>
        <w:spacing w:line="440" w:lineRule="exact"/>
        <w:rPr>
          <w:rFonts w:ascii="宋体" w:cs="宋体"/>
          <w:sz w:val="24"/>
          <w:szCs w:val="24"/>
        </w:rPr>
      </w:pPr>
      <w:r>
        <w:rPr>
          <w:rFonts w:hint="eastAsia" w:ascii="宋体" w:cs="宋体"/>
          <w:sz w:val="24"/>
          <w:szCs w:val="24"/>
        </w:rPr>
        <w:t xml:space="preserve">本授权书于______年____月____日起生效，特此声明。</w:t>
      </w:r>
      <w:r/>
    </w:p>
    <w:p>
      <w:pPr>
        <w:pStyle w:val="1136"/>
        <w:ind w:firstLine="480"/>
        <w:jc w:val="left"/>
        <w:spacing w:line="440" w:lineRule="exact"/>
        <w:rPr>
          <w:rFonts w:ascii="宋体" w:cs="宋体"/>
          <w:color w:val="ff0000"/>
          <w:sz w:val="24"/>
          <w:szCs w:val="24"/>
        </w:rPr>
      </w:pPr>
      <w:r>
        <w:rPr>
          <w:rFonts w:hint="eastAsia" w:ascii="宋体" w:cs="宋体"/>
          <w:color w:val="ff0000"/>
          <w:sz w:val="24"/>
          <w:szCs w:val="24"/>
        </w:rPr>
        <w:t xml:space="preserve">注：提供202</w:t>
      </w:r>
      <w:r>
        <w:rPr>
          <w:rFonts w:hint="eastAsia" w:ascii="宋体" w:cs="宋体"/>
          <w:color w:val="ff0000"/>
          <w:sz w:val="24"/>
          <w:szCs w:val="24"/>
          <w:lang w:val="en-US" w:eastAsia="zh-CN"/>
        </w:rPr>
        <w:t xml:space="preserve">6</w:t>
      </w:r>
      <w:r>
        <w:rPr>
          <w:rFonts w:hint="eastAsia" w:ascii="宋体" w:cs="宋体"/>
          <w:color w:val="ff0000"/>
          <w:sz w:val="24"/>
          <w:szCs w:val="24"/>
        </w:rPr>
        <w:t xml:space="preserve">年</w:t>
      </w:r>
      <w:r>
        <w:rPr>
          <w:rFonts w:hint="eastAsia" w:ascii="宋体" w:cs="宋体"/>
          <w:color w:val="ff0000"/>
          <w:sz w:val="24"/>
          <w:szCs w:val="24"/>
          <w:lang w:val="en-US" w:eastAsia="zh-CN"/>
        </w:rPr>
        <w:t xml:space="preserve">2</w:t>
      </w:r>
      <w:r>
        <w:rPr>
          <w:rFonts w:hint="eastAsia" w:ascii="宋体" w:cs="宋体"/>
          <w:color w:val="ff0000"/>
          <w:sz w:val="24"/>
          <w:szCs w:val="24"/>
        </w:rPr>
        <w:t xml:space="preserve">月（含）以来任意一个月本单位为其（被授权人）办理的养老保险或医疗保险缴纳证明原件彩色扫描件。</w:t>
      </w:r>
      <w:r/>
    </w:p>
    <w:p>
      <w:pPr>
        <w:pStyle w:val="1136"/>
        <w:ind w:firstLine="480"/>
        <w:jc w:val="left"/>
        <w:spacing w:line="440" w:lineRule="exact"/>
        <w:rPr>
          <w:rFonts w:ascii="宋体" w:cs="宋体"/>
          <w:sz w:val="24"/>
          <w:szCs w:val="24"/>
        </w:rPr>
      </w:pPr>
      <w:r>
        <w:rPr>
          <w:rFonts w:hint="eastAsia" w:ascii="宋体" w:cs="宋体"/>
          <w:sz w:val="24"/>
          <w:szCs w:val="24"/>
        </w:rPr>
        <w:t xml:space="preserve">    被授权人身份证号码：</w:t>
      </w:r>
      <w:r/>
    </w:p>
    <w:p>
      <w:pPr>
        <w:pStyle w:val="1136"/>
        <w:ind w:firstLine="480"/>
        <w:jc w:val="left"/>
        <w:spacing w:line="440" w:lineRule="exact"/>
        <w:rPr>
          <w:rFonts w:ascii="宋体" w:cs="宋体"/>
          <w:sz w:val="24"/>
          <w:szCs w:val="24"/>
        </w:rPr>
      </w:pPr>
      <w:r>
        <w:rPr>
          <w:rFonts w:hint="eastAsia" w:ascii="宋体" w:cs="宋体"/>
          <w:sz w:val="24"/>
          <w:szCs w:val="24"/>
        </w:rPr>
        <w:t xml:space="preserve">被授权人联系电话：（手机）</w:t>
      </w:r>
      <w:r/>
    </w:p>
    <w:p>
      <w:pPr>
        <w:pStyle w:val="1136"/>
        <w:ind w:firstLine="480"/>
        <w:jc w:val="left"/>
        <w:spacing w:line="440" w:lineRule="exact"/>
        <w:rPr>
          <w:rFonts w:ascii="宋体" w:cs="宋体"/>
          <w:sz w:val="24"/>
          <w:szCs w:val="24"/>
        </w:rPr>
      </w:pPr>
      <w:r>
        <w:rPr>
          <w:rFonts w:hint="eastAsia" w:ascii="宋体" w:cs="宋体"/>
          <w:sz w:val="24"/>
          <w:szCs w:val="24"/>
        </w:rPr>
        <w:t xml:space="preserve">授权单位名称：（加盖CA电子公章）</w:t>
      </w:r>
      <w:r/>
    </w:p>
    <w:p>
      <w:pPr>
        <w:pStyle w:val="1136"/>
        <w:ind w:firstLine="480"/>
        <w:jc w:val="left"/>
        <w:spacing w:line="440" w:lineRule="exact"/>
        <w:rPr>
          <w:rFonts w:ascii="宋体" w:cs="宋体"/>
          <w:sz w:val="24"/>
          <w:szCs w:val="24"/>
        </w:rPr>
      </w:pPr>
      <w:r>
        <w:rPr>
          <w:rFonts w:hint="eastAsia" w:ascii="宋体" w:cs="宋体"/>
          <w:sz w:val="24"/>
          <w:szCs w:val="24"/>
        </w:rPr>
        <w:t xml:space="preserve">单位地址：</w:t>
      </w:r>
      <w:r/>
    </w:p>
    <w:p>
      <w:pPr>
        <w:pStyle w:val="1136"/>
        <w:ind w:firstLine="480"/>
        <w:jc w:val="left"/>
        <w:spacing w:line="440" w:lineRule="exact"/>
        <w:rPr>
          <w:rFonts w:ascii="宋体" w:cs="宋体"/>
          <w:sz w:val="24"/>
          <w:szCs w:val="24"/>
        </w:rPr>
      </w:pPr>
      <w:r>
        <w:rPr>
          <w:rFonts w:hint="eastAsia" w:ascii="宋体" w:cs="宋体"/>
          <w:sz w:val="24"/>
          <w:szCs w:val="24"/>
        </w:rPr>
        <w:t xml:space="preserve">日期：</w:t>
      </w:r>
      <w:bookmarkStart w:id="169" w:name="_格式3__银行出具的资信证明"/>
      <w:r/>
      <w:bookmarkEnd w:id="169"/>
      <w:r/>
      <w:bookmarkStart w:id="170" w:name="_Hlt26955070"/>
      <w:r/>
      <w:bookmarkEnd w:id="170"/>
      <w:r/>
      <w:bookmarkStart w:id="171" w:name="_Hlt26671380"/>
      <w:r/>
      <w:bookmarkEnd w:id="171"/>
      <w:r/>
      <w:r/>
    </w:p>
    <w:p>
      <w:pPr>
        <w:pStyle w:val="1136"/>
        <w:ind w:firstLine="480"/>
        <w:jc w:val="left"/>
        <w:spacing w:line="440" w:lineRule="exact"/>
        <w:rPr>
          <w:rFonts w:ascii="宋体" w:cs="宋体"/>
          <w:sz w:val="24"/>
          <w:szCs w:val="24"/>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cs="宋体"/>
          <w:sz w:val="24"/>
          <w:szCs w:val="24"/>
        </w:rPr>
        <w:t xml:space="preserve">（附双方身份证证明资料）</w:t>
      </w:r>
      <w:r/>
    </w:p>
    <w:p>
      <w:pPr>
        <w:spacing w:line="440" w:lineRule="exact"/>
        <w:rPr>
          <w:rFonts w:ascii="宋体" w:cs="宋体"/>
          <w:iCs/>
          <w:sz w:val="24"/>
        </w:rPr>
        <w:outlineLvl w:val="1"/>
      </w:pPr>
      <w:r>
        <w:rPr>
          <w:rFonts w:hint="eastAsia" w:ascii="宋体" w:cs="宋体"/>
          <w:b/>
          <w:iCs/>
          <w:sz w:val="24"/>
        </w:rPr>
        <w:t xml:space="preserve">五、开标一览表</w:t>
      </w:r>
      <w:r/>
    </w:p>
    <w:p>
      <w:pPr>
        <w:ind w:firstLine="480"/>
        <w:spacing w:line="440" w:lineRule="exact"/>
        <w:rPr>
          <w:rFonts w:ascii="宋体" w:cs="宋体"/>
          <w:sz w:val="24"/>
        </w:rPr>
      </w:pPr>
      <w:r>
        <w:rPr>
          <w:rFonts w:hint="eastAsia" w:ascii="宋体" w:cs="宋体"/>
          <w:sz w:val="24"/>
        </w:rPr>
        <w:t xml:space="preserve">投标人全称（加盖CA电子签章）：</w:t>
      </w:r>
      <w:r/>
    </w:p>
    <w:p>
      <w:pPr>
        <w:ind w:firstLine="480"/>
        <w:spacing w:line="440" w:lineRule="exact"/>
        <w:rPr>
          <w:rFonts w:ascii="宋体" w:cs="宋体"/>
          <w:sz w:val="24"/>
        </w:rPr>
      </w:pPr>
      <w:r>
        <w:rPr>
          <w:rFonts w:hint="eastAsia" w:ascii="宋体" w:cs="宋体"/>
          <w:sz w:val="24"/>
        </w:rPr>
        <w:t xml:space="preserve">项目名称：</w:t>
      </w:r>
      <w:r/>
    </w:p>
    <w:p>
      <w:pPr>
        <w:ind w:firstLine="480"/>
        <w:spacing w:line="440" w:lineRule="exact"/>
        <w:rPr>
          <w:rFonts w:ascii="宋体" w:cs="宋体"/>
          <w:sz w:val="24"/>
        </w:rPr>
      </w:pPr>
      <w:r>
        <w:rPr>
          <w:rFonts w:hint="eastAsia" w:ascii="宋体" w:cs="宋体"/>
          <w:sz w:val="24"/>
        </w:rPr>
        <w:t xml:space="preserve">项目编号：                                 </w:t>
      </w:r>
      <w:r/>
    </w:p>
    <w:p>
      <w:pPr>
        <w:ind w:firstLine="480"/>
        <w:spacing w:line="440" w:lineRule="exact"/>
        <w:rPr>
          <w:rFonts w:ascii="宋体" w:cs="宋体"/>
          <w:sz w:val="24"/>
        </w:rPr>
      </w:pPr>
      <w:r>
        <w:rPr>
          <w:rFonts w:ascii="宋体" w:cs="宋体"/>
          <w:sz w:val="24"/>
        </w:rPr>
      </w:r>
      <w:r/>
    </w:p>
    <w:tbl>
      <w:tblPr>
        <w:tblStyle w:val="8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tcPr>
          <w:p>
            <w:pPr>
              <w:spacing w:line="440" w:lineRule="exact"/>
              <w:rPr>
                <w:rFonts w:ascii="宋体" w:cs="宋体"/>
                <w:sz w:val="24"/>
              </w:rPr>
            </w:pPr>
            <w:r>
              <w:rPr>
                <w:rFonts w:hint="eastAsia" w:ascii="宋体" w:cs="宋体"/>
                <w:sz w:val="24"/>
              </w:rPr>
              <w:t xml:space="preserve">                      投标总报价</w:t>
            </w:r>
            <w:r/>
          </w:p>
        </w:tc>
      </w:tr>
      <w:tr>
        <w:trPr>
          <w:cantSplit/>
          <w:jc w:val="center"/>
          <w:trHeight w:val="612"/>
        </w:trPr>
        <w:tc>
          <w:tcPr>
            <w:tcW w:w="8206" w:type="dxa"/>
            <w:vAlign w:val="center"/>
            <w:textDirection w:val="lrTb"/>
            <w:noWrap/>
          </w:tcPr>
          <w:p>
            <w:pPr>
              <w:pStyle w:val="1224"/>
              <w:ind w:firstLine="0"/>
              <w:spacing w:before="0" w:after="0" w:line="440" w:lineRule="exact"/>
              <w:rPr>
                <w:rFonts w:ascii="宋体" w:cs="宋体"/>
              </w:rPr>
            </w:pPr>
            <w:r>
              <w:rPr>
                <w:rFonts w:hint="eastAsia" w:ascii="宋体" w:cs="宋体"/>
              </w:rPr>
              <w:t xml:space="preserve">总价（小写）：                             （人民币：元）</w:t>
            </w:r>
            <w:r/>
          </w:p>
        </w:tc>
      </w:tr>
      <w:tr>
        <w:trPr>
          <w:cantSplit/>
          <w:jc w:val="center"/>
          <w:trHeight w:val="612"/>
        </w:trPr>
        <w:tc>
          <w:tcPr>
            <w:tcW w:w="8206" w:type="dxa"/>
            <w:vAlign w:val="center"/>
            <w:textDirection w:val="lrTb"/>
            <w:noWrap/>
          </w:tcPr>
          <w:p>
            <w:pPr>
              <w:pStyle w:val="1224"/>
              <w:ind w:firstLine="0"/>
              <w:spacing w:before="0" w:after="0" w:line="440" w:lineRule="exact"/>
              <w:rPr>
                <w:rFonts w:ascii="宋体" w:cs="宋体"/>
              </w:rPr>
            </w:pPr>
            <w:r>
              <w:rPr>
                <w:rFonts w:hint="eastAsia" w:ascii="宋体" w:cs="宋体"/>
              </w:rPr>
              <w:t xml:space="preserve">总价（大写）：                             （人民币：元）</w:t>
            </w:r>
            <w:r/>
          </w:p>
        </w:tc>
      </w:tr>
    </w:tbl>
    <w:p>
      <w:pPr>
        <w:spacing w:line="440" w:lineRule="exact"/>
        <w:rPr>
          <w:rFonts w:ascii="宋体" w:cs="宋体"/>
          <w:sz w:val="24"/>
        </w:rPr>
      </w:pPr>
      <w:r>
        <w:rPr>
          <w:rFonts w:ascii="宋体" w:cs="宋体"/>
          <w:sz w:val="24"/>
        </w:rPr>
      </w:r>
      <w:r/>
    </w:p>
    <w:p>
      <w:pPr>
        <w:ind w:firstLine="480"/>
        <w:spacing w:line="440" w:lineRule="exact"/>
        <w:rPr>
          <w:rFonts w:ascii="宋体" w:cs="宋体"/>
          <w:sz w:val="24"/>
        </w:rPr>
      </w:pPr>
      <w:r>
        <w:rPr>
          <w:rFonts w:hint="eastAsia" w:ascii="宋体" w:cs="宋体"/>
          <w:sz w:val="24"/>
        </w:rPr>
        <w:t xml:space="preserve">                                日期：年月日</w:t>
      </w:r>
      <w:r/>
    </w:p>
    <w:p>
      <w:pPr>
        <w:ind w:firstLine="480"/>
        <w:spacing w:line="440" w:lineRule="exact"/>
        <w:rPr>
          <w:rFonts w:ascii="宋体" w:cs="宋体"/>
          <w:sz w:val="24"/>
        </w:rPr>
      </w:pPr>
      <w:r>
        <w:rPr>
          <w:rFonts w:ascii="宋体" w:cs="宋体"/>
          <w:sz w:val="24"/>
        </w:rPr>
      </w:r>
      <w:r/>
    </w:p>
    <w:p>
      <w:pPr>
        <w:ind w:firstLine="480"/>
        <w:spacing w:line="440" w:lineRule="exact"/>
        <w:rPr>
          <w:rFonts w:ascii="宋体" w:cs="宋体"/>
          <w:sz w:val="24"/>
        </w:rPr>
      </w:pPr>
      <w:r>
        <w:rPr>
          <w:rFonts w:ascii="宋体" w:cs="宋体"/>
          <w:sz w:val="24"/>
        </w:rPr>
      </w:r>
      <w:r/>
    </w:p>
    <w:p>
      <w:pPr>
        <w:ind w:firstLine="480"/>
        <w:spacing w:line="440" w:lineRule="exact"/>
        <w:rPr>
          <w:rFonts w:ascii="宋体" w:cs="宋体"/>
          <w:sz w:val="24"/>
        </w:rPr>
      </w:pPr>
      <w:r>
        <w:rPr>
          <w:rFonts w:ascii="宋体" w:cs="宋体"/>
          <w:sz w:val="24"/>
        </w:rPr>
      </w:r>
      <w:r/>
    </w:p>
    <w:p>
      <w:pPr>
        <w:jc w:val="center"/>
        <w:spacing w:line="440" w:lineRule="exact"/>
        <w:rPr>
          <w:rFonts w:ascii="宋体" w:cs="宋体"/>
          <w:b/>
          <w:bCs/>
          <w:sz w:val="24"/>
        </w:rPr>
      </w:pPr>
      <w:r>
        <w:rPr>
          <w:rFonts w:ascii="宋体" w:cs="宋体"/>
          <w:b/>
          <w:bCs/>
          <w:sz w:val="24"/>
        </w:rPr>
      </w:r>
      <w:r/>
    </w:p>
    <w:p>
      <w:pPr>
        <w:pStyle w:val="1224"/>
        <w:spacing w:before="0" w:after="0" w:line="440" w:lineRule="exact"/>
        <w:rPr>
          <w:rFonts w:ascii="宋体" w:cs="宋体"/>
        </w:rPr>
      </w:pPr>
      <w:r>
        <w:rPr>
          <w:rFonts w:ascii="宋体" w:cs="宋体"/>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spacing w:line="440" w:lineRule="exact"/>
        <w:rPr>
          <w:rFonts w:ascii="宋体" w:cs="宋体"/>
          <w:b/>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cs="宋体"/>
          <w:b/>
          <w:sz w:val="24"/>
          <w:szCs w:val="24"/>
        </w:rPr>
      </w:r>
      <w:r/>
    </w:p>
    <w:p>
      <w:pPr>
        <w:spacing w:line="440" w:lineRule="exact"/>
        <w:rPr>
          <w:rFonts w:ascii="宋体" w:cs="宋体"/>
          <w:b/>
          <w:sz w:val="24"/>
        </w:rPr>
        <w:outlineLvl w:val="1"/>
      </w:pPr>
      <w:r>
        <w:rPr>
          <w:rFonts w:hint="eastAsia" w:ascii="宋体" w:cs="宋体"/>
          <w:b/>
          <w:sz w:val="24"/>
          <w:szCs w:val="24"/>
        </w:rPr>
        <w:t xml:space="preserve">六、</w:t>
      </w:r>
      <w:r>
        <w:rPr>
          <w:rFonts w:hint="eastAsia" w:ascii="宋体" w:cs="宋体"/>
          <w:b/>
          <w:sz w:val="24"/>
        </w:rPr>
        <w:t xml:space="preserve">投标报价明细表</w:t>
      </w:r>
      <w:r/>
    </w:p>
    <w:p>
      <w:pPr>
        <w:jc w:val="center"/>
        <w:spacing w:line="440" w:lineRule="exact"/>
        <w:rPr>
          <w:rFonts w:ascii="宋体" w:cs="宋体"/>
          <w:b/>
          <w:sz w:val="24"/>
        </w:rPr>
      </w:pPr>
      <w:r>
        <w:rPr>
          <w:rFonts w:ascii="宋体" w:cs="宋体"/>
          <w:b/>
          <w:sz w:val="24"/>
        </w:rPr>
      </w:r>
      <w:r/>
    </w:p>
    <w:p>
      <w:pPr>
        <w:jc w:val="center"/>
        <w:spacing w:line="440" w:lineRule="exact"/>
        <w:rPr>
          <w:rFonts w:ascii="宋体" w:cs="宋体"/>
          <w:b/>
          <w:sz w:val="24"/>
        </w:rPr>
      </w:pPr>
      <w:r>
        <w:rPr>
          <w:rFonts w:hint="eastAsia" w:ascii="宋体" w:cs="宋体"/>
          <w:b/>
          <w:sz w:val="24"/>
        </w:rPr>
        <w:t xml:space="preserve">分项报价表</w:t>
      </w:r>
      <w:r/>
    </w:p>
    <w:tbl>
      <w:tblPr>
        <w:tblStyle w:val="822"/>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tcPr>
          <w:p>
            <w:pPr>
              <w:jc w:val="center"/>
              <w:spacing w:line="0" w:lineRule="atLeast"/>
              <w:rPr>
                <w:rFonts w:hint="eastAsia" w:ascii="宋体" w:hAnsi="宋体"/>
                <w:sz w:val="24"/>
                <w:szCs w:val="24"/>
              </w:rPr>
            </w:pPr>
            <w:r>
              <w:rPr>
                <w:rFonts w:ascii="仿宋" w:hAnsi="仿宋" w:eastAsia="仿宋" w:cs="仿宋"/>
                <w:color w:val="000000"/>
                <w:sz w:val="24"/>
              </w:rPr>
              <w:t xml:space="preserve">交付期</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textDirection w:val="lrTb"/>
            <w:noWrap/>
          </w:tcPr>
          <w:p>
            <w:pPr>
              <w:rPr>
                <w:rFonts w:hint="eastAsia" w:ascii="宋体" w:hAnsi="宋体"/>
                <w:sz w:val="24"/>
                <w:szCs w:val="24"/>
                <w:u w:val="single"/>
              </w:rPr>
            </w:pPr>
            <w:r>
              <w:rPr>
                <w:rFonts w:hint="eastAsia" w:ascii="宋体" w:hAnsi="宋体"/>
                <w:sz w:val="24"/>
                <w:szCs w:val="24"/>
              </w:rPr>
              <w:t xml:space="preserve">投标总报价（人民币：元）</w:t>
            </w:r>
            <w:r/>
          </w:p>
        </w:tc>
      </w:tr>
      <w:tr>
        <w:trPr>
          <w:cantSplit/>
          <w:trHeight w:val="767"/>
        </w:trPr>
        <w:tc>
          <w:tcPr>
            <w:gridSpan w:val="10"/>
            <w:tcW w:w="9263" w:type="dxa"/>
            <w:textDirection w:val="lrTb"/>
            <w:noWrap/>
          </w:tcPr>
          <w:p>
            <w:pPr>
              <w:pStyle w:val="839"/>
              <w:spacing w:beforeAutospacing="0" w:afterAutospacing="0" w:line="0" w:lineRule="atLeast"/>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p>
        </w:tc>
      </w:tr>
    </w:tbl>
    <w:p>
      <w:pPr>
        <w:pStyle w:val="1145"/>
        <w:rPr>
          <w:rFonts w:ascii="宋体"/>
          <w:sz w:val="24"/>
        </w:rPr>
      </w:pPr>
      <w:r>
        <w:rPr>
          <w:rFonts w:ascii="宋体"/>
          <w:sz w:val="24"/>
        </w:rPr>
      </w:r>
      <w:r/>
    </w:p>
    <w:p>
      <w:pPr>
        <w:spacing w:line="0" w:lineRule="atLeast"/>
        <w:rPr>
          <w:rFonts w:ascii="宋体"/>
          <w:sz w:val="24"/>
          <w:szCs w:val="24"/>
        </w:rPr>
      </w:pPr>
      <w:r>
        <w:rPr>
          <w:rFonts w:hint="eastAsia" w:ascii="宋体"/>
          <w:sz w:val="24"/>
          <w:szCs w:val="24"/>
        </w:rPr>
        <w:t xml:space="preserve">备注：1.“投标总报价”数额应当与“开标一览表”中“投标总报价”数额一致。</w:t>
      </w:r>
      <w:r/>
    </w:p>
    <w:p>
      <w:pPr>
        <w:pStyle w:val="1220"/>
        <w:keepNext w:val="0"/>
        <w:spacing w:before="0" w:after="0" w:line="400" w:lineRule="exact"/>
        <w:rPr>
          <w:rFonts w:ascii="宋体" w:eastAsia="宋体" w:cs="宋体"/>
          <w:b w:val="0"/>
          <w:sz w:val="24"/>
          <w:szCs w:val="24"/>
        </w:rPr>
        <w:outlineLvl w:val="9"/>
      </w:pPr>
      <w:r>
        <w:rPr>
          <w:rFonts w:hint="eastAsia" w:ascii="宋体" w:hAnsi="Calibri" w:eastAsia="宋体" w:cs="Times New Roman"/>
          <w:b w:val="0"/>
          <w:sz w:val="24"/>
          <w:szCs w:val="24"/>
        </w:rPr>
        <w:t xml:space="preserve">2.投标报价采用总承包方式，“投标总报价”应包括：（1）</w:t>
      </w:r>
      <w:r>
        <w:rPr>
          <w:rFonts w:hint="eastAsia" w:ascii="宋体" w:eastAsia="宋体" w:cs="宋体"/>
          <w:b w:val="0"/>
          <w:sz w:val="24"/>
          <w:szCs w:val="24"/>
        </w:rPr>
        <w:t xml:space="preserve">所投货物（包含与货物相关的服务）费用、拆除费、安装费（含拆除及安装施工用水电费、电梯安装所需的全部主辅材料、人工费、机械费、措施费等）、调试费、测试验收费、培训费、售后服务费用、税金、电梯监检费（取得电梯运行合格证）及其他有关</w:t>
      </w:r>
      <w:r>
        <w:rPr>
          <w:rFonts w:hint="eastAsia" w:ascii="宋体" w:eastAsia="宋体" w:cs="宋体"/>
          <w:b w:val="0"/>
          <w:sz w:val="24"/>
          <w:szCs w:val="24"/>
        </w:rPr>
        <w:t xml:space="preserve">的为完成本项目发生的所有费用。（2）各潜在投标人应自行踏勘现场，充分理解采购人使用需求，必须保证产品的功能性和完整性，未在清单中明示的辅材、配件及安装调试费已含在报价内，如项目实施过程中因缺少配件、辅材导致产品无法正常运行，中标人须免费提供。井道施工中，如涉及到建筑物拆除恢复及恢复、电梯基坑、土建安装、钢结构施工及措施费（安全文明施工、二次搬运、地上、地下设施、建筑物的临时保护设施、已完工程及设备保护、临时设施、脚手架、模板、机械吊装等）等所有费用均包含在投标报价内。“投标总报价”数额为各“分项总价”之和。</w:t>
      </w:r>
      <w:r/>
    </w:p>
    <w:p>
      <w:pPr>
        <w:pStyle w:val="1220"/>
        <w:keepNext w:val="0"/>
        <w:spacing w:before="0" w:after="0" w:line="400" w:lineRule="exact"/>
        <w:rPr>
          <w:rFonts w:ascii="宋体" w:eastAsia="宋体" w:cs="宋体"/>
          <w:b w:val="0"/>
          <w:sz w:val="24"/>
          <w:szCs w:val="24"/>
        </w:rPr>
        <w:outlineLvl w:val="9"/>
      </w:pPr>
      <w:r>
        <w:rPr>
          <w:rFonts w:hint="eastAsia" w:ascii="宋体" w:eastAsia="宋体" w:cs="宋体"/>
          <w:b w:val="0"/>
          <w:sz w:val="24"/>
          <w:szCs w:val="24"/>
        </w:rPr>
        <w:t xml:space="preserve">3.投标人需认真填写本表，尤其注意设备品牌型号的准确填写。投标人须提供所供设备产品品牌、规格型号、除辅材、辅助材料(含以施工为主的条目)和技术参数标明为定制的产品之外的其它应该标明品牌和型号的产品，在投标文件中必须标明产品的品牌、型号。</w:t>
      </w:r>
      <w:r/>
    </w:p>
    <w:p>
      <w:pPr>
        <w:pStyle w:val="1220"/>
        <w:keepNext w:val="0"/>
        <w:spacing w:before="0" w:after="0" w:line="400" w:lineRule="exact"/>
        <w:rPr>
          <w:rFonts w:ascii="宋体" w:eastAsia="宋体" w:cs="宋体"/>
          <w:b w:val="0"/>
          <w:sz w:val="24"/>
          <w:szCs w:val="24"/>
        </w:rPr>
        <w:outlineLvl w:val="9"/>
      </w:pPr>
      <w:r>
        <w:rPr>
          <w:rFonts w:hint="eastAsia" w:ascii="宋体" w:eastAsia="宋体" w:cs="宋体"/>
          <w:b w:val="0"/>
          <w:sz w:val="24"/>
          <w:szCs w:val="24"/>
        </w:rPr>
        <w:t xml:space="preserve">4.</w:t>
      </w:r>
      <w:bookmarkStart w:id="172" w:name="_Toc158281567"/>
      <w:r>
        <w:rPr>
          <w:rFonts w:hint="eastAsia" w:ascii="宋体" w:eastAsia="宋体" w:cs="宋体"/>
          <w:b w:val="0"/>
          <w:sz w:val="24"/>
          <w:szCs w:val="24"/>
        </w:rPr>
        <w:t xml:space="preserve">符合报价折扣情形的请将此表填报上传至“企业报价折扣证明”一栏中。</w:t>
      </w:r>
      <w:r/>
    </w:p>
    <w:p>
      <w:pPr>
        <w:pStyle w:val="1220"/>
        <w:keepNext w:val="0"/>
        <w:spacing w:before="0" w:after="0" w:line="400" w:lineRule="exact"/>
        <w:rPr>
          <w:rFonts w:ascii="宋体" w:eastAsia="宋体" w:cs="宋体"/>
          <w:b w:val="0"/>
          <w:sz w:val="24"/>
          <w:szCs w:val="24"/>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sz w:val="24"/>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政府采购服务类项目中涉及的货物为多种产品时，适用本国产品优惠政策。）</w:t>
      </w:r>
      <w:r/>
    </w:p>
    <w:p>
      <w:pPr>
        <w:pStyle w:val="958"/>
        <w:rPr>
          <w:rFonts w:ascii="Times New Roman" w:hAnsi="Times New Roman" w:eastAsia="宋体"/>
          <w:szCs w:val="32"/>
        </w:rPr>
        <w:outlineLvl w:val="1"/>
      </w:pPr>
      <w:r>
        <w:rPr>
          <w:rFonts w:hint="eastAsia"/>
        </w:rPr>
        <w:t xml:space="preserve">七、中小企业声明函</w:t>
      </w:r>
      <w:bookmarkEnd w:id="172"/>
      <w:r/>
      <w:r/>
    </w:p>
    <w:p>
      <w:pPr>
        <w:ind w:firstLine="360"/>
        <w:jc w:val="center"/>
        <w:spacing w:line="560" w:lineRule="exact"/>
        <w:rPr>
          <w:sz w:val="24"/>
        </w:rPr>
      </w:pPr>
      <w:r>
        <w:rPr>
          <w:rFonts w:hint="eastAsia" w:ascii="黑体" w:eastAsia="黑体" w:cs="黑体"/>
          <w:b/>
          <w:sz w:val="32"/>
          <w:szCs w:val="24"/>
        </w:rPr>
        <w:t xml:space="preserve">中小企业声明函（货物）</w:t>
      </w:r>
      <w:r/>
    </w:p>
    <w:p>
      <w:pPr>
        <w:ind w:firstLine="360"/>
        <w:spacing w:line="400" w:lineRule="exact"/>
        <w:rPr>
          <w:rFonts w:hint="eastAsia" w:ascii="宋体" w:hAnsi="宋体"/>
          <w:sz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rPr>
      </w:pPr>
      <w:r>
        <w:rPr>
          <w:rFonts w:hint="eastAsia" w:ascii="宋体" w:hAnsi="宋体"/>
          <w:sz w:val="24"/>
          <w:szCs w:val="24"/>
        </w:rPr>
        <w:t xml:space="preserve">……</w:t>
      </w:r>
      <w:r/>
    </w:p>
    <w:p>
      <w:pPr>
        <w:ind w:firstLine="360"/>
        <w:spacing w:line="400" w:lineRule="exact"/>
        <w:rPr>
          <w:rFonts w:hint="eastAsia" w:ascii="宋体" w:hAnsi="宋体"/>
          <w:sz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sz w:val="24"/>
        </w:rPr>
      </w:pPr>
      <w:r>
        <w:rPr>
          <w:rFonts w:hint="eastAsia" w:ascii="宋体" w:hAnsi="宋体"/>
          <w:sz w:val="24"/>
          <w:szCs w:val="24"/>
        </w:rPr>
        <w:t xml:space="preserve">本企业对上述声明内容的真实性负责。如有虚假，将依法承担相应责任</w:t>
      </w:r>
      <w:r>
        <w:rPr>
          <w:rFonts w:hint="eastAsia"/>
          <w:sz w:val="24"/>
        </w:rPr>
        <w:t xml:space="preserve">。</w:t>
      </w:r>
      <w:r/>
    </w:p>
    <w:p>
      <w:pPr>
        <w:ind w:right="180" w:firstLine="360"/>
        <w:jc w:val="right"/>
        <w:spacing w:line="360" w:lineRule="auto"/>
        <w:rPr>
          <w:sz w:val="24"/>
        </w:rPr>
      </w:pPr>
      <w:r>
        <w:rPr>
          <w:sz w:val="24"/>
        </w:rPr>
      </w:r>
      <w:r/>
    </w:p>
    <w:p>
      <w:pPr>
        <w:ind w:right="180" w:firstLine="360"/>
        <w:jc w:val="right"/>
        <w:spacing w:line="360" w:lineRule="auto"/>
        <w:rPr>
          <w:sz w:val="24"/>
        </w:rPr>
      </w:pPr>
      <w:r>
        <w:rPr>
          <w:rFonts w:hint="eastAsia"/>
          <w:sz w:val="24"/>
        </w:rPr>
        <w:t xml:space="preserve">企业名称：（加盖CA电子公章）</w:t>
      </w:r>
      <w:r/>
    </w:p>
    <w:p>
      <w:pPr>
        <w:jc w:val="right"/>
        <w:spacing w:line="360" w:lineRule="auto"/>
        <w:rPr>
          <w:sz w:val="24"/>
        </w:rPr>
      </w:pPr>
      <w:r>
        <w:rPr>
          <w:rFonts w:hint="eastAsia"/>
          <w:sz w:val="24"/>
        </w:rPr>
        <w:t xml:space="preserve">日  期：</w:t>
      </w:r>
      <w:r>
        <w:rPr>
          <w:rFonts w:hint="eastAsia"/>
          <w:sz w:val="24"/>
          <w:u w:val="single"/>
        </w:rPr>
        <w:t xml:space="preserve">   </w:t>
      </w:r>
      <w:r>
        <w:rPr>
          <w:rFonts w:hint="eastAsia"/>
          <w:sz w:val="24"/>
        </w:rPr>
        <w:t xml:space="preserve">年___月___日</w:t>
      </w:r>
      <w:r/>
    </w:p>
    <w:p>
      <w:pPr>
        <w:ind w:firstLine="360"/>
        <w:spacing w:line="360" w:lineRule="auto"/>
        <w:rPr>
          <w:sz w:val="24"/>
        </w:rPr>
      </w:pPr>
      <w:r>
        <w:rPr>
          <w:sz w:val="24"/>
        </w:rPr>
      </w:r>
      <w:r/>
    </w:p>
    <w:p>
      <w:pPr>
        <w:ind w:firstLine="360"/>
        <w:spacing w:line="360" w:lineRule="auto"/>
        <w:rPr>
          <w:sz w:val="24"/>
        </w:rPr>
      </w:pPr>
      <w:r>
        <w:rPr>
          <w:sz w:val="24"/>
        </w:rPr>
      </w:r>
      <w:r/>
    </w:p>
    <w:p>
      <w:pPr>
        <w:rPr>
          <w:sz w:val="24"/>
        </w:rPr>
      </w:pPr>
      <w:r>
        <w:rPr>
          <w:rFonts w:hint="eastAsia"/>
          <w:sz w:val="24"/>
        </w:rPr>
        <w:t xml:space="preserve">备注：1.从业人员、营业收入、资产总额填报上一年度数据，无上一年度数据的新成立企业可不填报。</w:t>
      </w:r>
      <w:r/>
    </w:p>
    <w:p>
      <w:pPr>
        <w:rPr>
          <w:sz w:val="24"/>
        </w:rPr>
      </w:pPr>
      <w:r>
        <w:rPr>
          <w:rFonts w:hint="eastAsia"/>
          <w:sz w:val="24"/>
        </w:rPr>
        <w:t xml:space="preserve">2.符合报价折扣情形的请将此函填报上传至“企业报价折扣证明”一栏中。</w:t>
      </w:r>
      <w:r/>
    </w:p>
    <w:p>
      <w:pPr>
        <w:rPr>
          <w:sz w:val="24"/>
        </w:rPr>
      </w:pPr>
      <w:r>
        <w:rPr>
          <w:rFonts w:hint="eastAsia"/>
          <w:sz w:val="24"/>
        </w:rPr>
        <w:t xml:space="preserve">3.对照《工业和信息化部、国家统计局、国家发展和改革委员会、财政部关于印发中小企业划型标准规定的通知》(工信部联企业[2011]300号)的规定，投标人自行勾选承接企业的企业规模类型。</w:t>
      </w:r>
      <w:r/>
    </w:p>
    <w:p>
      <w:pPr>
        <w:ind w:firstLine="360"/>
        <w:spacing w:line="360" w:lineRule="auto"/>
        <w:rPr>
          <w:sz w:val="24"/>
        </w:rPr>
      </w:pPr>
      <w:r>
        <w:rPr>
          <w:sz w:val="24"/>
        </w:rPr>
      </w:r>
      <w:r/>
    </w:p>
    <w:p>
      <w:pPr>
        <w:jc w:val="center"/>
        <w:spacing w:line="360" w:lineRule="auto"/>
        <w:rPr>
          <w:rFonts w:eastAsia="黑体"/>
          <w:sz w:val="32"/>
          <w:szCs w:val="32"/>
        </w:rPr>
        <w:outlineLvl w:val="1"/>
      </w:pPr>
      <w:r>
        <w:rPr>
          <w:rFonts w:hint="eastAsia" w:eastAsia="黑体"/>
          <w:sz w:val="32"/>
          <w:szCs w:val="32"/>
        </w:rPr>
        <w:br w:type="page" w:clear="all"/>
      </w:r>
      <w:bookmarkStart w:id="173" w:name="_Toc158125008"/>
      <w:r/>
      <w:bookmarkStart w:id="174" w:name="_Toc158133337"/>
      <w:r/>
      <w:bookmarkStart w:id="175" w:name="_Toc158281568"/>
      <w:r/>
      <w:bookmarkStart w:id="176" w:name="_Toc18617"/>
      <w:r>
        <w:rPr>
          <w:rFonts w:hint="eastAsia" w:eastAsia="黑体"/>
          <w:sz w:val="32"/>
          <w:szCs w:val="32"/>
        </w:rPr>
        <w:t xml:space="preserve">残疾人福利性单位声明函</w:t>
      </w:r>
      <w:bookmarkEnd w:id="173"/>
      <w:r/>
      <w:bookmarkEnd w:id="174"/>
      <w:r/>
      <w:bookmarkEnd w:id="175"/>
      <w:r/>
      <w:bookmarkEnd w:id="176"/>
      <w:r/>
      <w:r/>
    </w:p>
    <w:p>
      <w:pPr>
        <w:ind w:firstLine="480"/>
        <w:spacing w:line="360" w:lineRule="auto"/>
        <w:rPr>
          <w:sz w:val="24"/>
        </w:rPr>
      </w:pPr>
      <w:r>
        <w:rPr>
          <w:rFonts w:hint="eastAsia"/>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282"/>
        <w:spacing w:line="360" w:lineRule="auto"/>
        <w:rPr>
          <w:rFonts w:ascii="Times New Roman" w:hAnsi="Times New Roman"/>
        </w:rPr>
      </w:pPr>
      <w:r>
        <w:rPr>
          <w:rFonts w:ascii="Times New Roman" w:hAnsi="Times New Roman"/>
        </w:rPr>
      </w:r>
      <w:r/>
    </w:p>
    <w:p>
      <w:pPr>
        <w:ind w:right="180" w:firstLine="360"/>
        <w:jc w:val="right"/>
        <w:spacing w:line="360" w:lineRule="auto"/>
        <w:rPr>
          <w:sz w:val="24"/>
        </w:rPr>
      </w:pPr>
      <w:r>
        <w:rPr>
          <w:rFonts w:hint="eastAsia"/>
          <w:sz w:val="24"/>
        </w:rPr>
        <w:t xml:space="preserve">企业名称：（加盖CA电子公章）</w:t>
      </w:r>
      <w:r/>
    </w:p>
    <w:p>
      <w:pPr>
        <w:jc w:val="right"/>
        <w:spacing w:line="360" w:lineRule="auto"/>
        <w:rPr>
          <w:sz w:val="24"/>
        </w:rPr>
      </w:pPr>
      <w:r>
        <w:rPr>
          <w:rFonts w:hint="eastAsia"/>
          <w:sz w:val="24"/>
        </w:rPr>
        <w:t xml:space="preserve">日  期：年___月___日</w:t>
      </w:r>
      <w:r/>
    </w:p>
    <w:p>
      <w:pPr>
        <w:jc w:val="right"/>
        <w:spacing w:line="440" w:lineRule="exact"/>
        <w:rPr>
          <w:rFonts w:ascii="宋体" w:cs="宋体"/>
          <w:b/>
          <w:sz w:val="24"/>
        </w:rPr>
      </w:pPr>
      <w:r>
        <w:rPr>
          <w:rFonts w:hint="eastAsia" w:ascii="宋体" w:cs="宋体"/>
          <w:b/>
          <w:sz w:val="24"/>
        </w:rPr>
        <w:br w:type="page" w:clear="all"/>
      </w:r>
      <w:r/>
    </w:p>
    <w:p>
      <w:pPr>
        <w:jc w:val="left"/>
        <w:spacing w:line="440" w:lineRule="exact"/>
        <w:rPr>
          <w:rFonts w:ascii="宋体" w:cs="宋体"/>
          <w:b/>
          <w:sz w:val="24"/>
        </w:rPr>
        <w:outlineLvl w:val="1"/>
      </w:pPr>
      <w:r>
        <w:rPr>
          <w:rFonts w:hint="eastAsia" w:ascii="宋体" w:cs="宋体"/>
          <w:b/>
          <w:sz w:val="24"/>
        </w:rPr>
        <w:t xml:space="preserve">八、响应及偏离表</w:t>
      </w:r>
      <w:r/>
    </w:p>
    <w:p>
      <w:pPr>
        <w:ind w:firstLine="1446"/>
        <w:rPr>
          <w:rFonts w:ascii="宋体" w:cs="宋体"/>
          <w:b/>
          <w:sz w:val="24"/>
        </w:rPr>
        <w:pBdr>
          <w:top w:val="none" w:color="000000" w:sz="0" w:space="0"/>
          <w:left w:val="none" w:color="000000" w:sz="0" w:space="0"/>
          <w:bottom w:val="none" w:color="000000" w:sz="0" w:space="0"/>
          <w:right w:val="none" w:color="000000" w:sz="0" w:space="0"/>
        </w:pBdr>
      </w:pPr>
      <w:r>
        <w:rPr>
          <w:rFonts w:ascii="宋体" w:cs="宋体"/>
          <w:b/>
          <w:sz w:val="24"/>
        </w:rPr>
      </w:r>
      <w:r/>
    </w:p>
    <w:p>
      <w:pPr>
        <w:jc w:val="center"/>
        <w:pBdr>
          <w:top w:val="none" w:color="000000" w:sz="0" w:space="0"/>
          <w:left w:val="none" w:color="000000" w:sz="0" w:space="0"/>
          <w:bottom w:val="none" w:color="000000" w:sz="0" w:space="0"/>
          <w:right w:val="none" w:color="000000" w:sz="0" w:space="0"/>
        </w:pBdr>
      </w:pPr>
      <w:r>
        <w:rPr>
          <w:rFonts w:hint="eastAsia" w:ascii="宋体" w:cs="宋体"/>
          <w:b/>
          <w:sz w:val="24"/>
        </w:rPr>
        <w:t xml:space="preserve">实质性要求响应及偏离表（分包号：）</w:t>
      </w:r>
      <w:r/>
    </w:p>
    <w:tbl>
      <w:tblPr>
        <w:tblStyle w:val="822"/>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技术要求和商务要求中的实质性要求</w:t>
            </w:r>
            <w:r>
              <w:rPr>
                <w:rFonts w:hint="eastAsia" w:ascii="宋体" w:cs="宋体"/>
                <w:i/>
                <w:sz w:val="24"/>
                <w:u w:val="single"/>
              </w:rPr>
              <w:t xml:space="preserve">（</w:t>
            </w:r>
            <w:r>
              <w:rPr>
                <w:rFonts w:hint="eastAsia" w:ascii="宋体" w:cs="宋体"/>
                <w:sz w:val="24"/>
                <w:u w:val="single"/>
              </w:rPr>
              <w:t xml:space="preserve">打“★”内容）</w:t>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1</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2</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附件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1.投标人必须对技术要求和商务要求中的实质性要求</w:t>
      </w:r>
      <w:r>
        <w:rPr>
          <w:rFonts w:hint="eastAsia" w:ascii="宋体" w:cs="宋体"/>
          <w:i/>
          <w:sz w:val="24"/>
          <w:u w:val="single"/>
        </w:rPr>
        <w:t xml:space="preserve">（</w:t>
      </w:r>
      <w:r>
        <w:rPr>
          <w:rFonts w:hint="eastAsia" w:ascii="宋体" w:cs="宋体"/>
          <w:sz w:val="24"/>
          <w:u w:val="single"/>
        </w:rPr>
        <w:t xml:space="preserve">打“★”内容）</w:t>
      </w:r>
      <w:r>
        <w:rPr>
          <w:rFonts w:hint="eastAsia" w:ascii="宋体" w:cs="宋体"/>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3.投标人未对实质性要求逐条作出明确响应的，或未按招标文件要求提供证明材料的，该采购包作无效标处理。</w:t>
      </w:r>
      <w:r/>
    </w:p>
    <w:p>
      <w:pPr>
        <w:jc w:val="center"/>
        <w:spacing w:line="560" w:lineRule="exact"/>
        <w:rPr>
          <w:rFonts w:ascii="宋体" w:cs="宋体"/>
          <w:b/>
          <w:sz w:val="32"/>
          <w:szCs w:val="32"/>
        </w:rPr>
      </w:pPr>
      <w:r>
        <w:rPr>
          <w:rFonts w:ascii="宋体" w:cs="宋体"/>
          <w:b/>
          <w:sz w:val="32"/>
          <w:szCs w:val="32"/>
        </w:rPr>
      </w:r>
      <w:r/>
    </w:p>
    <w:p>
      <w:pPr>
        <w:jc w:val="center"/>
        <w:spacing w:line="560" w:lineRule="exact"/>
        <w:rPr>
          <w:rFonts w:ascii="宋体" w:cs="宋体"/>
          <w:b/>
          <w:sz w:val="32"/>
          <w:szCs w:val="32"/>
        </w:rPr>
      </w:pPr>
      <w:r>
        <w:rPr>
          <w:rFonts w:ascii="宋体" w:cs="宋体"/>
          <w:b/>
          <w:sz w:val="32"/>
          <w:szCs w:val="32"/>
        </w:rPr>
      </w:r>
      <w:r/>
    </w:p>
    <w:p>
      <w:pPr>
        <w:jc w:val="center"/>
        <w:rPr>
          <w:rFonts w:ascii="宋体" w:cs="宋体"/>
          <w:b/>
          <w:sz w:val="24"/>
        </w:rPr>
      </w:pPr>
      <w:r>
        <w:rPr>
          <w:rFonts w:hint="eastAsia" w:ascii="宋体" w:cs="宋体"/>
          <w:b/>
          <w:sz w:val="24"/>
        </w:rPr>
        <w:t xml:space="preserve">技术要求响应及偏离表（分包号：）</w:t>
      </w:r>
      <w:r/>
    </w:p>
    <w:tbl>
      <w:tblPr>
        <w:tblStyle w:val="8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cs="宋体"/>
                <w:sz w:val="24"/>
              </w:rPr>
            </w:pPr>
            <w:r>
              <w:rPr>
                <w:rFonts w:hint="eastAsia" w:ascii="宋体" w:cs="宋体"/>
                <w:sz w:val="24"/>
              </w:rPr>
              <w:t xml:space="preserve">序号</w:t>
            </w:r>
            <w:r/>
          </w:p>
        </w:tc>
        <w:tc>
          <w:tcPr>
            <w:tcW w:w="3063" w:type="dxa"/>
            <w:vAlign w:val="center"/>
            <w:textDirection w:val="lrTb"/>
            <w:noWrap/>
          </w:tcPr>
          <w:p>
            <w:pPr>
              <w:jc w:val="center"/>
              <w:spacing w:line="400" w:lineRule="exact"/>
              <w:rPr>
                <w:rFonts w:ascii="宋体" w:cs="宋体"/>
                <w:sz w:val="24"/>
              </w:rPr>
            </w:pPr>
            <w:r>
              <w:rPr>
                <w:rFonts w:hint="eastAsia" w:ascii="宋体" w:cs="宋体"/>
                <w:sz w:val="24"/>
              </w:rPr>
              <w:t xml:space="preserve">技术要求</w:t>
            </w:r>
            <w:r/>
          </w:p>
        </w:tc>
        <w:tc>
          <w:tcPr>
            <w:tcW w:w="3191" w:type="dxa"/>
            <w:vAlign w:val="center"/>
            <w:textDirection w:val="lrTb"/>
            <w:noWrap/>
          </w:tcPr>
          <w:p>
            <w:pPr>
              <w:jc w:val="center"/>
              <w:spacing w:line="400" w:lineRule="exact"/>
              <w:rPr>
                <w:rFonts w:ascii="宋体" w:cs="宋体"/>
                <w:sz w:val="24"/>
              </w:rPr>
            </w:pPr>
            <w:r>
              <w:rPr>
                <w:rFonts w:hint="eastAsia" w:ascii="宋体" w:cs="宋体"/>
                <w:sz w:val="24"/>
              </w:rPr>
              <w:t xml:space="preserve">投标响应情况</w:t>
            </w:r>
            <w:r/>
          </w:p>
        </w:tc>
        <w:tc>
          <w:tcPr>
            <w:tcW w:w="2128" w:type="dxa"/>
            <w:vAlign w:val="center"/>
            <w:textDirection w:val="lrTb"/>
            <w:noWrap/>
          </w:tcPr>
          <w:p>
            <w:pPr>
              <w:jc w:val="center"/>
              <w:spacing w:line="400" w:lineRule="exact"/>
              <w:rPr>
                <w:rFonts w:ascii="宋体" w:cs="宋体"/>
                <w:sz w:val="24"/>
              </w:rPr>
            </w:pPr>
            <w:r>
              <w:rPr>
                <w:rFonts w:hint="eastAsia" w:ascii="宋体" w:cs="宋体"/>
                <w:sz w:val="24"/>
              </w:rPr>
              <w:t xml:space="preserve">超出、符合或偏离</w:t>
            </w:r>
            <w:r/>
          </w:p>
        </w:tc>
      </w:tr>
      <w:tr>
        <w:trPr>
          <w:cantSplit/>
          <w:trHeight w:val="640"/>
        </w:trPr>
        <w:tc>
          <w:tcPr>
            <w:tcW w:w="545" w:type="dxa"/>
            <w:textDirection w:val="lrTb"/>
            <w:noWrap/>
          </w:tcPr>
          <w:p>
            <w:pPr>
              <w:jc w:val="center"/>
              <w:spacing w:line="400" w:lineRule="exact"/>
              <w:rPr>
                <w:rFonts w:ascii="宋体" w:cs="宋体"/>
                <w:sz w:val="24"/>
              </w:rPr>
            </w:pPr>
            <w:r>
              <w:rPr>
                <w:rFonts w:hint="eastAsia" w:ascii="宋体" w:cs="宋体"/>
                <w:sz w:val="24"/>
              </w:rPr>
              <w:t xml:space="preserve">1</w:t>
            </w:r>
            <w:r/>
          </w:p>
        </w:tc>
        <w:tc>
          <w:tcPr>
            <w:tcW w:w="3063" w:type="dxa"/>
            <w:textDirection w:val="lrTb"/>
            <w:noWrap/>
          </w:tcPr>
          <w:p>
            <w:pPr>
              <w:jc w:val="center"/>
              <w:spacing w:line="400" w:lineRule="exact"/>
              <w:rPr>
                <w:rFonts w:ascii="宋体" w:cs="宋体"/>
                <w:sz w:val="24"/>
              </w:rPr>
            </w:pPr>
            <w:r>
              <w:rPr>
                <w:rFonts w:ascii="宋体" w:cs="宋体"/>
                <w:sz w:val="24"/>
              </w:rPr>
            </w:r>
            <w:r/>
          </w:p>
        </w:tc>
        <w:tc>
          <w:tcPr>
            <w:tcW w:w="3191" w:type="dxa"/>
            <w:textDirection w:val="lrTb"/>
            <w:noWrap/>
          </w:tcPr>
          <w:p>
            <w:pPr>
              <w:jc w:val="center"/>
              <w:spacing w:line="400" w:lineRule="exact"/>
              <w:rPr>
                <w:rFonts w:ascii="宋体" w:cs="宋体"/>
                <w:sz w:val="24"/>
              </w:rPr>
            </w:pPr>
            <w:r>
              <w:rPr>
                <w:rFonts w:ascii="宋体" w:cs="宋体"/>
                <w:sz w:val="24"/>
              </w:rPr>
            </w:r>
            <w:r/>
          </w:p>
        </w:tc>
        <w:tc>
          <w:tcPr>
            <w:tcW w:w="2128" w:type="dxa"/>
            <w:textDirection w:val="lrTb"/>
            <w:noWrap/>
          </w:tcPr>
          <w:p>
            <w:pPr>
              <w:jc w:val="center"/>
              <w:spacing w:line="400" w:lineRule="exact"/>
              <w:rPr>
                <w:rFonts w:ascii="宋体" w:cs="宋体"/>
                <w:sz w:val="24"/>
              </w:rPr>
            </w:pPr>
            <w:r>
              <w:rPr>
                <w:rFonts w:ascii="宋体" w:cs="宋体"/>
                <w:sz w:val="24"/>
              </w:rPr>
            </w:r>
            <w:r/>
          </w:p>
        </w:tc>
      </w:tr>
      <w:tr>
        <w:trPr>
          <w:cantSplit/>
          <w:trHeight w:val="640"/>
        </w:trPr>
        <w:tc>
          <w:tcPr>
            <w:tcW w:w="545" w:type="dxa"/>
            <w:textDirection w:val="lrTb"/>
            <w:noWrap/>
          </w:tcPr>
          <w:p>
            <w:pPr>
              <w:jc w:val="center"/>
              <w:spacing w:line="400" w:lineRule="exact"/>
              <w:rPr>
                <w:rFonts w:ascii="宋体" w:cs="宋体"/>
                <w:sz w:val="24"/>
              </w:rPr>
            </w:pPr>
            <w:r>
              <w:rPr>
                <w:rFonts w:ascii="宋体" w:cs="宋体"/>
                <w:sz w:val="24"/>
              </w:rPr>
            </w:r>
            <w:r/>
          </w:p>
        </w:tc>
        <w:tc>
          <w:tcPr>
            <w:tcW w:w="3063" w:type="dxa"/>
            <w:textDirection w:val="lrTb"/>
            <w:noWrap/>
          </w:tcPr>
          <w:p>
            <w:pPr>
              <w:jc w:val="center"/>
              <w:spacing w:line="400" w:lineRule="exact"/>
              <w:rPr>
                <w:rFonts w:ascii="宋体" w:cs="宋体"/>
                <w:sz w:val="24"/>
              </w:rPr>
            </w:pPr>
            <w:r>
              <w:rPr>
                <w:rFonts w:hint="eastAsia" w:ascii="宋体" w:cs="宋体"/>
                <w:sz w:val="24"/>
              </w:rPr>
              <w:t xml:space="preserve">……</w:t>
            </w:r>
            <w:r/>
          </w:p>
        </w:tc>
        <w:tc>
          <w:tcPr>
            <w:tcW w:w="3191" w:type="dxa"/>
            <w:textDirection w:val="lrTb"/>
            <w:noWrap/>
          </w:tcPr>
          <w:p>
            <w:pPr>
              <w:jc w:val="center"/>
              <w:spacing w:line="400" w:lineRule="exact"/>
              <w:rPr>
                <w:rFonts w:ascii="宋体" w:cs="宋体"/>
                <w:sz w:val="24"/>
              </w:rPr>
            </w:pPr>
            <w:r>
              <w:rPr>
                <w:rFonts w:ascii="宋体" w:cs="宋体"/>
                <w:sz w:val="24"/>
              </w:rPr>
            </w:r>
            <w:r/>
          </w:p>
        </w:tc>
        <w:tc>
          <w:tcPr>
            <w:tcW w:w="2128" w:type="dxa"/>
            <w:textDirection w:val="lrTb"/>
            <w:noWrap/>
          </w:tcPr>
          <w:p>
            <w:pPr>
              <w:jc w:val="center"/>
              <w:spacing w:line="400" w:lineRule="exact"/>
              <w:rPr>
                <w:rFonts w:ascii="宋体" w:cs="宋体"/>
                <w:sz w:val="24"/>
              </w:rPr>
            </w:pPr>
            <w:r>
              <w:rPr>
                <w:rFonts w:ascii="宋体" w:cs="宋体"/>
                <w:sz w:val="24"/>
              </w:rPr>
            </w:r>
            <w:r/>
          </w:p>
        </w:tc>
      </w:tr>
    </w:tbl>
    <w:p>
      <w:pPr>
        <w:spacing w:line="400" w:lineRule="exact"/>
        <w:rPr>
          <w:rFonts w:ascii="宋体" w:cs="宋体"/>
          <w:sz w:val="24"/>
        </w:rPr>
      </w:pPr>
      <w:r>
        <w:rPr>
          <w:rFonts w:hint="eastAsia" w:ascii="宋体" w:cs="宋体"/>
          <w:sz w:val="24"/>
        </w:rPr>
        <w:t xml:space="preserve">附件  证明材料1，证明材料2，……</w:t>
      </w:r>
      <w:r/>
    </w:p>
    <w:p>
      <w:pPr>
        <w:spacing w:line="400" w:lineRule="exact"/>
        <w:rPr>
          <w:rFonts w:ascii="宋体" w:cs="宋体"/>
          <w:sz w:val="24"/>
        </w:rPr>
      </w:pPr>
      <w:r>
        <w:rPr>
          <w:rFonts w:ascii="宋体" w:cs="宋体"/>
          <w:sz w:val="24"/>
        </w:rPr>
      </w:r>
      <w:r/>
    </w:p>
    <w:p>
      <w:pPr>
        <w:spacing w:line="400" w:lineRule="exact"/>
        <w:rPr>
          <w:rFonts w:ascii="宋体" w:cs="宋体"/>
          <w:sz w:val="24"/>
        </w:rPr>
      </w:pPr>
      <w:r>
        <w:rPr>
          <w:rFonts w:hint="eastAsia" w:ascii="宋体" w:cs="宋体"/>
          <w:sz w:val="24"/>
        </w:rPr>
        <w:t xml:space="preserve">备注：</w:t>
      </w:r>
      <w:r/>
    </w:p>
    <w:p>
      <w:pPr>
        <w:spacing w:line="400" w:lineRule="exact"/>
        <w:rPr>
          <w:rFonts w:ascii="宋体" w:cs="宋体"/>
          <w:sz w:val="24"/>
        </w:rPr>
      </w:pPr>
      <w:r>
        <w:rPr>
          <w:rFonts w:hint="eastAsia" w:ascii="宋体" w:cs="宋体"/>
          <w:sz w:val="24"/>
        </w:rPr>
        <w:t xml:space="preserve">1.投标人需对技术要求（</w:t>
      </w:r>
      <w:r>
        <w:rPr>
          <w:rFonts w:hint="eastAsia" w:ascii="宋体" w:cs="宋体"/>
          <w:iCs/>
          <w:sz w:val="24"/>
          <w:u w:val="single"/>
        </w:rPr>
        <w:t xml:space="preserve">未打“★”内容，对打“▲”、“＊”</w:t>
      </w:r>
      <w:r>
        <w:rPr>
          <w:rFonts w:hint="eastAsia" w:ascii="宋体" w:cs="宋体"/>
          <w:sz w:val="24"/>
        </w:rPr>
        <w:t xml:space="preserve">）逐条做出明确响应。</w:t>
      </w:r>
      <w:r/>
    </w:p>
    <w:p>
      <w:pPr>
        <w:spacing w:line="400" w:lineRule="exact"/>
        <w:rPr>
          <w:rFonts w:ascii="宋体" w:cs="宋体"/>
          <w:sz w:val="24"/>
        </w:rPr>
      </w:pPr>
      <w:r>
        <w:rPr>
          <w:rFonts w:hint="eastAsia" w:ascii="宋体" w:cs="宋体"/>
          <w:sz w:val="24"/>
        </w:rPr>
        <w:t xml:space="preserve">2.如果招标文件要求提供证明材料，投标人需将证明材料列于该表之下。</w:t>
      </w:r>
      <w:r/>
    </w:p>
    <w:p>
      <w:pPr>
        <w:spacing w:line="400" w:lineRule="exact"/>
        <w:rPr>
          <w:rFonts w:ascii="宋体" w:cs="宋体"/>
          <w:sz w:val="24"/>
        </w:rPr>
      </w:pPr>
      <w:r>
        <w:rPr>
          <w:rFonts w:ascii="宋体" w:cs="宋体"/>
          <w:sz w:val="24"/>
        </w:rPr>
      </w:r>
      <w:r/>
    </w:p>
    <w:p>
      <w:pPr>
        <w:pStyle w:val="1170"/>
        <w:rPr>
          <w:rFonts w:hint="eastAsia" w:ascii="宋体" w:eastAsia="宋体" w:cs="宋体"/>
        </w:rPr>
      </w:pPr>
      <w:r>
        <w:rPr>
          <w:rFonts w:hint="eastAsia" w:ascii="宋体" w:eastAsia="宋体" w:cs="宋体"/>
        </w:rPr>
      </w:r>
      <w:r/>
    </w:p>
    <w:p>
      <w:pPr>
        <w:jc w:val="left"/>
        <w:spacing w:line="360" w:lineRule="auto"/>
        <w:rPr>
          <w:rFonts w:ascii="宋体" w:cs="宋体"/>
          <w:b/>
          <w:sz w:val="32"/>
        </w:rPr>
      </w:pPr>
      <w:r>
        <w:rPr>
          <w:rFonts w:ascii="宋体" w:cs="宋体"/>
          <w:b/>
          <w:sz w:val="32"/>
        </w:rPr>
      </w:r>
      <w:r/>
    </w:p>
    <w:p>
      <w:pPr>
        <w:jc w:val="center"/>
        <w:rPr>
          <w:rFonts w:ascii="宋体" w:cs="宋体"/>
          <w:b/>
          <w:sz w:val="24"/>
        </w:rPr>
      </w:pPr>
      <w:r>
        <w:rPr>
          <w:rFonts w:hint="eastAsia" w:ascii="宋体" w:cs="宋体"/>
          <w:b/>
          <w:sz w:val="24"/>
        </w:rPr>
        <w:t xml:space="preserve">商务要求响应及偏离表（分包号：    ）</w:t>
      </w:r>
      <w:r/>
    </w:p>
    <w:tbl>
      <w:tblPr>
        <w:tblStyle w:val="822"/>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ascii="宋体" w:cs="宋体"/>
                <w:sz w:val="24"/>
              </w:rPr>
            </w:pPr>
            <w:r>
              <w:rPr>
                <w:rFonts w:hint="eastAsia" w:ascii="宋体" w:cs="宋体"/>
                <w:sz w:val="24"/>
              </w:rPr>
              <w:t xml:space="preserve">序号</w:t>
            </w:r>
            <w:r/>
          </w:p>
        </w:tc>
        <w:tc>
          <w:tcPr>
            <w:tcW w:w="3063" w:type="dxa"/>
            <w:vAlign w:val="center"/>
            <w:textDirection w:val="lrTb"/>
            <w:noWrap/>
          </w:tcPr>
          <w:p>
            <w:pPr>
              <w:jc w:val="center"/>
              <w:spacing w:line="400" w:lineRule="exact"/>
              <w:rPr>
                <w:rFonts w:ascii="宋体" w:cs="宋体"/>
                <w:sz w:val="24"/>
              </w:rPr>
            </w:pPr>
            <w:r>
              <w:rPr>
                <w:rFonts w:hint="eastAsia" w:ascii="宋体" w:cs="宋体"/>
                <w:sz w:val="24"/>
              </w:rPr>
              <w:t xml:space="preserve">商务要求</w:t>
            </w:r>
            <w:r/>
          </w:p>
        </w:tc>
        <w:tc>
          <w:tcPr>
            <w:tcW w:w="2508" w:type="dxa"/>
            <w:vAlign w:val="center"/>
            <w:textDirection w:val="lrTb"/>
            <w:noWrap/>
          </w:tcPr>
          <w:p>
            <w:pPr>
              <w:jc w:val="center"/>
              <w:spacing w:line="400" w:lineRule="exact"/>
              <w:rPr>
                <w:rFonts w:ascii="宋体" w:cs="宋体"/>
                <w:sz w:val="24"/>
              </w:rPr>
            </w:pPr>
            <w:r>
              <w:rPr>
                <w:rFonts w:hint="eastAsia" w:ascii="宋体" w:cs="宋体"/>
                <w:sz w:val="24"/>
              </w:rPr>
              <w:t xml:space="preserve">投标响应情况</w:t>
            </w:r>
            <w:r/>
          </w:p>
        </w:tc>
        <w:tc>
          <w:tcPr>
            <w:tcW w:w="2324" w:type="dxa"/>
            <w:vAlign w:val="center"/>
            <w:textDirection w:val="lrTb"/>
            <w:noWrap/>
          </w:tcPr>
          <w:p>
            <w:pPr>
              <w:jc w:val="center"/>
              <w:spacing w:line="400" w:lineRule="exact"/>
              <w:rPr>
                <w:rFonts w:ascii="宋体" w:cs="宋体"/>
                <w:sz w:val="24"/>
              </w:rPr>
            </w:pPr>
            <w:r>
              <w:rPr>
                <w:rFonts w:hint="eastAsia" w:ascii="宋体" w:cs="宋体"/>
                <w:sz w:val="24"/>
              </w:rPr>
              <w:t xml:space="preserve">超出、符合或偏离</w:t>
            </w:r>
            <w:r/>
          </w:p>
        </w:tc>
      </w:tr>
      <w:tr>
        <w:trPr>
          <w:cantSplit/>
          <w:trHeight w:val="640"/>
        </w:trPr>
        <w:tc>
          <w:tcPr>
            <w:tcW w:w="545" w:type="dxa"/>
            <w:textDirection w:val="lrTb"/>
            <w:noWrap/>
          </w:tcPr>
          <w:p>
            <w:pPr>
              <w:jc w:val="center"/>
              <w:spacing w:line="400" w:lineRule="exact"/>
              <w:rPr>
                <w:rFonts w:ascii="宋体" w:cs="宋体"/>
                <w:sz w:val="24"/>
              </w:rPr>
            </w:pPr>
            <w:r>
              <w:rPr>
                <w:rFonts w:hint="eastAsia" w:ascii="宋体" w:cs="宋体"/>
                <w:sz w:val="24"/>
              </w:rPr>
              <w:t xml:space="preserve">1</w:t>
            </w:r>
            <w:r/>
          </w:p>
        </w:tc>
        <w:tc>
          <w:tcPr>
            <w:tcW w:w="3063" w:type="dxa"/>
            <w:textDirection w:val="lrTb"/>
            <w:noWrap/>
          </w:tcPr>
          <w:p>
            <w:pPr>
              <w:jc w:val="center"/>
              <w:spacing w:line="400" w:lineRule="exact"/>
              <w:rPr>
                <w:rFonts w:ascii="宋体" w:cs="宋体"/>
                <w:sz w:val="24"/>
              </w:rPr>
            </w:pPr>
            <w:r>
              <w:rPr>
                <w:rFonts w:ascii="宋体" w:cs="宋体"/>
                <w:sz w:val="24"/>
              </w:rPr>
            </w:r>
            <w:r/>
          </w:p>
        </w:tc>
        <w:tc>
          <w:tcPr>
            <w:tcW w:w="2508" w:type="dxa"/>
            <w:textDirection w:val="lrTb"/>
            <w:noWrap/>
          </w:tcPr>
          <w:p>
            <w:pPr>
              <w:jc w:val="center"/>
              <w:spacing w:line="400" w:lineRule="exact"/>
              <w:rPr>
                <w:rFonts w:ascii="宋体" w:cs="宋体"/>
                <w:sz w:val="24"/>
              </w:rPr>
            </w:pPr>
            <w:r>
              <w:rPr>
                <w:rFonts w:ascii="宋体" w:cs="宋体"/>
                <w:sz w:val="24"/>
              </w:rPr>
            </w:r>
            <w:r/>
          </w:p>
        </w:tc>
        <w:tc>
          <w:tcPr>
            <w:tcW w:w="2324" w:type="dxa"/>
            <w:textDirection w:val="lrTb"/>
            <w:noWrap/>
          </w:tcPr>
          <w:p>
            <w:pPr>
              <w:jc w:val="center"/>
              <w:spacing w:line="400" w:lineRule="exact"/>
              <w:rPr>
                <w:rFonts w:ascii="宋体" w:cs="宋体"/>
                <w:sz w:val="24"/>
              </w:rPr>
            </w:pPr>
            <w:r>
              <w:rPr>
                <w:rFonts w:ascii="宋体" w:cs="宋体"/>
                <w:sz w:val="24"/>
              </w:rPr>
            </w:r>
            <w:r/>
          </w:p>
        </w:tc>
      </w:tr>
      <w:tr>
        <w:trPr>
          <w:cantSplit/>
          <w:trHeight w:val="640"/>
        </w:trPr>
        <w:tc>
          <w:tcPr>
            <w:tcW w:w="545" w:type="dxa"/>
            <w:textDirection w:val="lrTb"/>
            <w:noWrap/>
          </w:tcPr>
          <w:p>
            <w:pPr>
              <w:jc w:val="center"/>
              <w:spacing w:line="400" w:lineRule="exact"/>
              <w:rPr>
                <w:rFonts w:ascii="宋体" w:cs="宋体"/>
                <w:sz w:val="24"/>
              </w:rPr>
            </w:pPr>
            <w:r>
              <w:rPr>
                <w:rFonts w:ascii="宋体" w:cs="宋体"/>
                <w:sz w:val="24"/>
              </w:rPr>
            </w:r>
            <w:r/>
          </w:p>
        </w:tc>
        <w:tc>
          <w:tcPr>
            <w:tcW w:w="3063" w:type="dxa"/>
            <w:textDirection w:val="lrTb"/>
            <w:noWrap/>
          </w:tcPr>
          <w:p>
            <w:pPr>
              <w:jc w:val="center"/>
              <w:spacing w:line="400" w:lineRule="exact"/>
              <w:rPr>
                <w:rFonts w:ascii="宋体" w:cs="宋体"/>
                <w:sz w:val="24"/>
              </w:rPr>
            </w:pPr>
            <w:r>
              <w:rPr>
                <w:rFonts w:hint="eastAsia" w:ascii="宋体" w:cs="宋体"/>
                <w:sz w:val="24"/>
              </w:rPr>
              <w:t xml:space="preserve">……</w:t>
            </w:r>
            <w:r/>
          </w:p>
        </w:tc>
        <w:tc>
          <w:tcPr>
            <w:tcW w:w="2508" w:type="dxa"/>
            <w:textDirection w:val="lrTb"/>
            <w:noWrap/>
          </w:tcPr>
          <w:p>
            <w:pPr>
              <w:jc w:val="center"/>
              <w:spacing w:line="400" w:lineRule="exact"/>
              <w:rPr>
                <w:rFonts w:ascii="宋体" w:cs="宋体"/>
                <w:sz w:val="24"/>
              </w:rPr>
            </w:pPr>
            <w:r>
              <w:rPr>
                <w:rFonts w:ascii="宋体" w:cs="宋体"/>
                <w:sz w:val="24"/>
              </w:rPr>
            </w:r>
            <w:r/>
          </w:p>
        </w:tc>
        <w:tc>
          <w:tcPr>
            <w:tcW w:w="2324" w:type="dxa"/>
            <w:textDirection w:val="lrTb"/>
            <w:noWrap/>
          </w:tcPr>
          <w:p>
            <w:pPr>
              <w:jc w:val="center"/>
              <w:spacing w:line="400" w:lineRule="exact"/>
              <w:rPr>
                <w:rFonts w:ascii="宋体" w:cs="宋体"/>
                <w:sz w:val="24"/>
              </w:rPr>
            </w:pPr>
            <w:r>
              <w:rPr>
                <w:rFonts w:ascii="宋体" w:cs="宋体"/>
                <w:sz w:val="24"/>
              </w:rPr>
            </w:r>
            <w:r/>
          </w:p>
        </w:tc>
      </w:tr>
    </w:tbl>
    <w:p>
      <w:pPr>
        <w:spacing w:line="400" w:lineRule="exact"/>
        <w:rPr>
          <w:rFonts w:ascii="宋体" w:cs="宋体"/>
          <w:sz w:val="24"/>
        </w:rPr>
      </w:pPr>
      <w:r>
        <w:rPr>
          <w:rFonts w:hint="eastAsia" w:ascii="宋体" w:cs="宋体"/>
          <w:sz w:val="24"/>
        </w:rPr>
        <w:t xml:space="preserve">附件  证明材料1，证明材料2，……</w:t>
      </w:r>
      <w:r/>
    </w:p>
    <w:p>
      <w:pPr>
        <w:spacing w:line="400" w:lineRule="exact"/>
        <w:rPr>
          <w:rFonts w:ascii="宋体" w:cs="宋体"/>
          <w:sz w:val="24"/>
        </w:rPr>
      </w:pPr>
      <w:r>
        <w:rPr>
          <w:rFonts w:ascii="宋体" w:cs="宋体"/>
          <w:sz w:val="24"/>
        </w:rPr>
      </w:r>
      <w:r/>
    </w:p>
    <w:p>
      <w:pPr>
        <w:spacing w:line="400" w:lineRule="exact"/>
        <w:rPr>
          <w:rFonts w:ascii="宋体" w:cs="宋体"/>
          <w:sz w:val="24"/>
        </w:rPr>
      </w:pPr>
      <w:r>
        <w:rPr>
          <w:rFonts w:hint="eastAsia" w:ascii="宋体" w:cs="宋体"/>
          <w:sz w:val="24"/>
        </w:rPr>
        <w:t xml:space="preserve">备注：</w:t>
      </w:r>
      <w:r/>
    </w:p>
    <w:p>
      <w:pPr>
        <w:spacing w:line="400" w:lineRule="exact"/>
        <w:rPr>
          <w:rFonts w:ascii="宋体" w:cs="宋体"/>
          <w:sz w:val="24"/>
        </w:rPr>
      </w:pPr>
      <w:r>
        <w:rPr>
          <w:rFonts w:hint="eastAsia" w:ascii="宋体" w:cs="宋体"/>
          <w:sz w:val="24"/>
        </w:rPr>
        <w:t xml:space="preserve">1.投标人需对商务要求（</w:t>
      </w:r>
      <w:r>
        <w:rPr>
          <w:rFonts w:hint="eastAsia" w:ascii="宋体" w:cs="宋体"/>
          <w:iCs/>
          <w:sz w:val="24"/>
          <w:u w:val="single"/>
        </w:rPr>
        <w:t xml:space="preserve">未打“★”内容</w:t>
      </w:r>
      <w:r>
        <w:rPr>
          <w:rFonts w:hint="eastAsia" w:ascii="宋体" w:cs="宋体"/>
          <w:sz w:val="24"/>
        </w:rPr>
        <w:t xml:space="preserve">）逐条做出明确响应。</w:t>
      </w:r>
      <w:r/>
    </w:p>
    <w:p>
      <w:pPr>
        <w:spacing w:line="400" w:lineRule="exact"/>
        <w:rPr>
          <w:rFonts w:ascii="宋体" w:cs="宋体"/>
          <w:sz w:val="24"/>
        </w:rPr>
      </w:pPr>
      <w:r>
        <w:rPr>
          <w:rFonts w:hint="eastAsia" w:ascii="宋体" w:cs="宋体"/>
          <w:sz w:val="24"/>
        </w:rPr>
        <w:t xml:space="preserve">2.如果招标文件要求提供证明材料，投标人需将证明材料列于该表之下。</w:t>
      </w:r>
      <w:r/>
    </w:p>
    <w:p>
      <w:pPr>
        <w:pStyle w:val="1302"/>
        <w:rPr>
          <w:rFonts w:hint="eastAsia" w:ascii="宋体" w:eastAsia="宋体" w:cs="宋体"/>
        </w:rPr>
      </w:pPr>
      <w:r>
        <w:rPr>
          <w:rFonts w:hint="eastAsia" w:ascii="宋体" w:eastAsia="宋体" w:cs="宋体"/>
        </w:rPr>
      </w:r>
      <w:r/>
    </w:p>
    <w:p>
      <w:pPr>
        <w:pStyle w:val="1302"/>
        <w:rPr>
          <w:rFonts w:hint="eastAsia" w:ascii="宋体" w:eastAsia="宋体" w:cs="宋体"/>
        </w:rPr>
      </w:pPr>
      <w:r>
        <w:rPr>
          <w:rFonts w:hint="eastAsia" w:ascii="宋体" w:eastAsia="宋体" w:cs="宋体"/>
        </w:rPr>
      </w:r>
      <w:r/>
    </w:p>
    <w:p>
      <w:pPr>
        <w:pStyle w:val="1170"/>
        <w:spacing w:line="440" w:lineRule="exact"/>
        <w:rPr>
          <w:rFonts w:hint="eastAsia" w:ascii="宋体" w:eastAsia="宋体" w:cs="宋体"/>
          <w:sz w:val="24"/>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sz w:val="24"/>
        </w:rPr>
      </w:r>
      <w:r/>
    </w:p>
    <w:p>
      <w:pPr>
        <w:pStyle w:val="1170"/>
        <w:spacing w:line="440" w:lineRule="exact"/>
        <w:rPr>
          <w:rFonts w:hint="eastAsia" w:ascii="宋体" w:eastAsia="宋体" w:cs="宋体"/>
          <w:sz w:val="24"/>
        </w:rPr>
        <w:outlineLvl w:val="1"/>
      </w:pPr>
      <w:r>
        <w:rPr>
          <w:rFonts w:hint="eastAsia" w:ascii="宋体" w:eastAsia="宋体" w:cs="宋体"/>
          <w:sz w:val="24"/>
        </w:rPr>
        <w:t xml:space="preserve">九、项目组人员</w:t>
      </w:r>
      <w:r/>
    </w:p>
    <w:p>
      <w:pPr>
        <w:pStyle w:val="1227"/>
        <w:jc w:val="center"/>
        <w:spacing w:line="440" w:lineRule="exact"/>
        <w:rPr>
          <w:rFonts w:ascii="宋体" w:cs="宋体"/>
          <w:b/>
          <w:bCs/>
        </w:rPr>
      </w:pPr>
      <w:r>
        <w:rPr>
          <w:rFonts w:hint="eastAsia" w:ascii="宋体" w:cs="宋体"/>
          <w:b/>
          <w:bCs/>
        </w:rPr>
        <w:t xml:space="preserve">项目组成员</w:t>
      </w:r>
      <w:r/>
    </w:p>
    <w:tbl>
      <w:tblPr>
        <w:tblStyle w:val="822"/>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pStyle w:val="1242"/>
              <w:jc w:val="center"/>
              <w:spacing w:line="440" w:lineRule="exact"/>
              <w:widowControl/>
              <w:rPr>
                <w:rFonts w:ascii="宋体" w:cs="宋体"/>
                <w:sz w:val="24"/>
              </w:rPr>
            </w:pPr>
            <w:r>
              <w:rPr>
                <w:rFonts w:hint="eastAsia" w:ascii="宋体" w:cs="宋体"/>
                <w:sz w:val="24"/>
              </w:rPr>
              <w:t xml:space="preserve">姓名</w:t>
            </w:r>
            <w:r/>
          </w:p>
        </w:tc>
        <w:tc>
          <w:tcPr>
            <w:tcW w:w="1843" w:type="dxa"/>
            <w:vAlign w:val="center"/>
            <w:textDirection w:val="lrTb"/>
            <w:noWrap/>
          </w:tcPr>
          <w:p>
            <w:pPr>
              <w:pStyle w:val="1242"/>
              <w:jc w:val="center"/>
              <w:spacing w:line="440" w:lineRule="exact"/>
              <w:widowControl/>
              <w:rPr>
                <w:rFonts w:ascii="宋体" w:cs="宋体"/>
                <w:sz w:val="24"/>
              </w:rPr>
            </w:pPr>
            <w:r>
              <w:rPr>
                <w:rFonts w:hint="eastAsia" w:ascii="宋体" w:cs="宋体"/>
                <w:sz w:val="24"/>
              </w:rPr>
              <w:t xml:space="preserve">职务</w:t>
            </w:r>
            <w:r/>
          </w:p>
        </w:tc>
        <w:tc>
          <w:tcPr>
            <w:tcW w:w="992" w:type="dxa"/>
            <w:vAlign w:val="center"/>
            <w:textDirection w:val="lrTb"/>
            <w:noWrap/>
          </w:tcPr>
          <w:p>
            <w:pPr>
              <w:pStyle w:val="1242"/>
              <w:jc w:val="center"/>
              <w:spacing w:line="440" w:lineRule="exact"/>
              <w:widowControl/>
              <w:rPr>
                <w:rFonts w:ascii="宋体" w:cs="宋体"/>
                <w:sz w:val="24"/>
              </w:rPr>
            </w:pPr>
            <w:r>
              <w:rPr>
                <w:rFonts w:hint="eastAsia" w:ascii="宋体" w:cs="宋体"/>
                <w:sz w:val="24"/>
              </w:rPr>
              <w:t xml:space="preserve">学历</w:t>
            </w:r>
            <w:r/>
          </w:p>
        </w:tc>
        <w:tc>
          <w:tcPr>
            <w:tcW w:w="1984" w:type="dxa"/>
            <w:vAlign w:val="center"/>
            <w:textDirection w:val="lrTb"/>
            <w:noWrap/>
          </w:tcPr>
          <w:p>
            <w:pPr>
              <w:pStyle w:val="1242"/>
              <w:ind w:firstLine="280"/>
              <w:spacing w:line="440" w:lineRule="exact"/>
              <w:widowControl/>
              <w:rPr>
                <w:rFonts w:ascii="宋体" w:cs="宋体"/>
                <w:sz w:val="24"/>
              </w:rPr>
            </w:pPr>
            <w:r>
              <w:rPr>
                <w:rFonts w:hint="eastAsia" w:ascii="宋体" w:cs="宋体"/>
                <w:sz w:val="24"/>
              </w:rPr>
              <w:t xml:space="preserve">身份证号</w:t>
            </w:r>
            <w:r/>
          </w:p>
        </w:tc>
        <w:tc>
          <w:tcPr>
            <w:tcW w:w="1702" w:type="dxa"/>
            <w:vAlign w:val="center"/>
            <w:textDirection w:val="lrTb"/>
            <w:noWrap/>
          </w:tcPr>
          <w:p>
            <w:pPr>
              <w:pStyle w:val="1242"/>
              <w:jc w:val="center"/>
              <w:spacing w:line="440" w:lineRule="exact"/>
              <w:widowControl/>
              <w:rPr>
                <w:rFonts w:ascii="宋体" w:cs="宋体"/>
                <w:sz w:val="24"/>
              </w:rPr>
            </w:pPr>
            <w:r>
              <w:rPr>
                <w:rFonts w:hint="eastAsia" w:ascii="宋体" w:cs="宋体"/>
                <w:sz w:val="24"/>
              </w:rPr>
              <w:t xml:space="preserve">相关证书</w:t>
            </w:r>
            <w:r/>
          </w:p>
        </w:tc>
        <w:tc>
          <w:tcPr>
            <w:tcW w:w="962" w:type="dxa"/>
            <w:vAlign w:val="center"/>
            <w:textDirection w:val="lrTb"/>
            <w:noWrap/>
          </w:tcPr>
          <w:p>
            <w:pPr>
              <w:pStyle w:val="1242"/>
              <w:spacing w:line="440" w:lineRule="exact"/>
              <w:widowControl/>
              <w:rPr>
                <w:rFonts w:ascii="宋体" w:cs="宋体"/>
                <w:sz w:val="24"/>
              </w:rPr>
            </w:pPr>
            <w:r>
              <w:rPr>
                <w:rFonts w:hint="eastAsia" w:ascii="宋体" w:cs="宋体"/>
                <w:sz w:val="24"/>
              </w:rPr>
              <w:t xml:space="preserve">备注</w:t>
            </w:r>
            <w:r/>
          </w:p>
        </w:tc>
      </w:tr>
      <w:tr>
        <w:trPr>
          <w:trHeight w:val="729"/>
        </w:trPr>
        <w:tc>
          <w:tcPr>
            <w:tcW w:w="959"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227"/>
              <w:jc w:val="center"/>
              <w:spacing w:line="440" w:lineRule="exact"/>
              <w:rPr>
                <w:rFonts w:ascii="宋体" w:cs="宋体"/>
              </w:rPr>
            </w:pPr>
            <w:r>
              <w:rPr>
                <w:rFonts w:hint="eastAsia" w:ascii="宋体" w:cs="宋体"/>
              </w:rPr>
              <w:t xml:space="preserve">项目经理</w:t>
            </w:r>
            <w:r/>
          </w:p>
        </w:tc>
        <w:tc>
          <w:tcPr>
            <w:tcW w:w="99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r>
      <w:tr>
        <w:trPr>
          <w:trHeight w:val="729"/>
        </w:trPr>
        <w:tc>
          <w:tcPr>
            <w:tcW w:w="959"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227"/>
              <w:jc w:val="center"/>
              <w:spacing w:line="440" w:lineRule="exact"/>
              <w:rPr>
                <w:rFonts w:ascii="宋体" w:cs="宋体"/>
              </w:rPr>
            </w:pPr>
            <w:r>
              <w:rPr>
                <w:rFonts w:hint="eastAsia" w:ascii="宋体" w:cs="宋体"/>
              </w:rPr>
              <w:t xml:space="preserve">......</w:t>
            </w:r>
            <w:r/>
          </w:p>
        </w:tc>
        <w:tc>
          <w:tcPr>
            <w:tcW w:w="99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r>
      <w:tr>
        <w:trPr>
          <w:trHeight w:val="729"/>
        </w:trPr>
        <w:tc>
          <w:tcPr>
            <w:tcW w:w="959"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227"/>
              <w:ind w:firstLine="280"/>
              <w:spacing w:line="440" w:lineRule="exact"/>
              <w:rPr>
                <w:rFonts w:ascii="宋体" w:cs="宋体"/>
              </w:rPr>
            </w:pPr>
            <w:r>
              <w:rPr>
                <w:rFonts w:hint="eastAsia" w:ascii="宋体" w:cs="宋体"/>
              </w:rPr>
              <w:t xml:space="preserve">......</w:t>
            </w:r>
            <w:r/>
          </w:p>
        </w:tc>
        <w:tc>
          <w:tcPr>
            <w:tcW w:w="99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r>
      <w:tr>
        <w:trPr>
          <w:trHeight w:val="729"/>
        </w:trPr>
        <w:tc>
          <w:tcPr>
            <w:tcW w:w="959"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227"/>
              <w:spacing w:line="440" w:lineRule="exact"/>
              <w:rPr>
                <w:rFonts w:ascii="宋体" w:cs="宋体"/>
              </w:rPr>
            </w:pPr>
            <w:r>
              <w:rPr>
                <w:rFonts w:ascii="宋体" w:cs="宋体"/>
              </w:rPr>
            </w:r>
            <w:r/>
          </w:p>
        </w:tc>
        <w:tc>
          <w:tcPr>
            <w:tcW w:w="99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r>
      <w:tr>
        <w:trPr>
          <w:trHeight w:val="729"/>
        </w:trPr>
        <w:tc>
          <w:tcPr>
            <w:tcW w:w="959"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227"/>
              <w:spacing w:line="440" w:lineRule="exact"/>
              <w:rPr>
                <w:rFonts w:ascii="宋体" w:cs="宋体"/>
              </w:rPr>
            </w:pPr>
            <w:r>
              <w:rPr>
                <w:rFonts w:ascii="宋体" w:cs="宋体"/>
              </w:rPr>
            </w:r>
            <w:r/>
          </w:p>
        </w:tc>
        <w:tc>
          <w:tcPr>
            <w:tcW w:w="99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r>
      <w:tr>
        <w:trPr>
          <w:trHeight w:val="729"/>
        </w:trPr>
        <w:tc>
          <w:tcPr>
            <w:tcW w:w="959"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99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r>
      <w:tr>
        <w:trPr>
          <w:trHeight w:val="729"/>
        </w:trPr>
        <w:tc>
          <w:tcPr>
            <w:tcW w:w="959"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99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r>
      <w:tr>
        <w:trPr>
          <w:trHeight w:val="729"/>
        </w:trPr>
        <w:tc>
          <w:tcPr>
            <w:tcW w:w="959"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99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r>
      <w:tr>
        <w:trPr>
          <w:trHeight w:val="729"/>
        </w:trPr>
        <w:tc>
          <w:tcPr>
            <w:tcW w:w="959"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99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r>
      <w:tr>
        <w:trPr>
          <w:trHeight w:val="729"/>
        </w:trPr>
        <w:tc>
          <w:tcPr>
            <w:tcW w:w="959"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99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242"/>
              <w:ind w:firstLine="560"/>
              <w:jc w:val="center"/>
              <w:spacing w:line="440" w:lineRule="exact"/>
              <w:widowControl/>
              <w:rPr>
                <w:rFonts w:ascii="宋体" w:cs="宋体"/>
                <w:sz w:val="24"/>
              </w:rPr>
            </w:pPr>
            <w:r>
              <w:rPr>
                <w:rFonts w:ascii="宋体" w:cs="宋体"/>
                <w:sz w:val="24"/>
              </w:rPr>
            </w:r>
            <w:r/>
          </w:p>
        </w:tc>
      </w:tr>
    </w:tbl>
    <w:p>
      <w:pPr>
        <w:pStyle w:val="1227"/>
        <w:ind w:firstLine="398"/>
        <w:spacing w:line="440" w:lineRule="exact"/>
        <w:rPr>
          <w:rFonts w:ascii="宋体" w:cs="宋体"/>
        </w:rPr>
      </w:pPr>
      <w:r>
        <w:rPr>
          <w:rFonts w:hint="eastAsia" w:ascii="宋体" w:cs="宋体"/>
          <w:b/>
        </w:rPr>
        <w:t xml:space="preserve">注：如供应商中标，项目组成员必须按本表承诺人员操作，不得随意更换。按招标文件要求附相关人员证书。</w:t>
      </w:r>
      <w:r/>
    </w:p>
    <w:p>
      <w:pPr>
        <w:pStyle w:val="1227"/>
        <w:ind w:firstLine="280"/>
        <w:spacing w:line="440" w:lineRule="exact"/>
        <w:rPr>
          <w:rFonts w:ascii="宋体" w:cs="宋体"/>
        </w:rPr>
      </w:pPr>
      <w:r>
        <w:rPr>
          <w:rFonts w:ascii="宋体" w:cs="宋体"/>
        </w:rPr>
      </w:r>
      <w:r/>
    </w:p>
    <w:p>
      <w:pPr>
        <w:pStyle w:val="1175"/>
        <w:spacing w:line="440" w:lineRule="exact"/>
        <w:rPr>
          <w:rFonts w:ascii="宋体" w:cs="宋体"/>
          <w:sz w:val="24"/>
        </w:rPr>
        <w:outlineLvl w:val="1"/>
      </w:pPr>
      <w:r>
        <w:rPr>
          <w:rFonts w:hint="eastAsia" w:ascii="宋体" w:cs="宋体"/>
          <w:sz w:val="24"/>
        </w:rPr>
        <w:br w:type="page" w:clear="all"/>
      </w:r>
      <w:bookmarkStart w:id="177" w:name="_Toc11176"/>
      <w:r>
        <w:rPr>
          <w:rFonts w:hint="eastAsia" w:ascii="宋体" w:cs="宋体"/>
          <w:b/>
          <w:sz w:val="24"/>
        </w:rPr>
        <w:t xml:space="preserve">十、</w:t>
      </w:r>
      <w:bookmarkEnd w:id="177"/>
      <w:r>
        <w:rPr>
          <w:rFonts w:hint="eastAsia" w:ascii="宋体" w:cs="宋体"/>
          <w:b/>
          <w:sz w:val="24"/>
        </w:rPr>
        <w:t xml:space="preserve">企业业绩</w:t>
      </w:r>
      <w:r/>
    </w:p>
    <w:p>
      <w:pPr>
        <w:pStyle w:val="1178"/>
        <w:jc w:val="center"/>
        <w:spacing w:line="440" w:lineRule="exact"/>
        <w:rPr>
          <w:rFonts w:ascii="宋体" w:cs="宋体"/>
          <w:b/>
          <w:sz w:val="24"/>
          <w:szCs w:val="24"/>
        </w:rPr>
      </w:pPr>
      <w:r>
        <w:rPr>
          <w:rFonts w:hint="eastAsia" w:ascii="宋体" w:cs="宋体"/>
          <w:b/>
          <w:sz w:val="24"/>
          <w:szCs w:val="24"/>
        </w:rPr>
        <w:t xml:space="preserve">投标人承担类似项目业绩一览表</w:t>
      </w:r>
      <w:r/>
    </w:p>
    <w:tbl>
      <w:tblPr>
        <w:tblStyle w:val="8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1179"/>
              <w:jc w:val="center"/>
              <w:spacing w:line="440" w:lineRule="exact"/>
              <w:rPr>
                <w:rFonts w:ascii="宋体" w:cs="宋体"/>
                <w:sz w:val="24"/>
              </w:rPr>
            </w:pPr>
            <w:r>
              <w:rPr>
                <w:rFonts w:hint="eastAsia" w:ascii="宋体" w:cs="宋体"/>
                <w:sz w:val="24"/>
              </w:rPr>
              <w:t xml:space="preserve">序号</w:t>
            </w:r>
            <w:r/>
          </w:p>
        </w:tc>
        <w:tc>
          <w:tcPr>
            <w:tcW w:w="3827" w:type="dxa"/>
            <w:vAlign w:val="center"/>
            <w:textDirection w:val="lrTb"/>
            <w:noWrap/>
          </w:tcPr>
          <w:p>
            <w:pPr>
              <w:pStyle w:val="1179"/>
              <w:jc w:val="center"/>
              <w:spacing w:line="440" w:lineRule="exact"/>
              <w:rPr>
                <w:rFonts w:ascii="宋体" w:cs="宋体"/>
                <w:sz w:val="24"/>
              </w:rPr>
            </w:pPr>
            <w:r>
              <w:rPr>
                <w:rFonts w:hint="eastAsia" w:ascii="宋体" w:cs="宋体"/>
                <w:sz w:val="24"/>
              </w:rPr>
              <w:t xml:space="preserve">项目名称</w:t>
            </w:r>
            <w:r/>
          </w:p>
        </w:tc>
        <w:tc>
          <w:tcPr>
            <w:tcW w:w="2433" w:type="dxa"/>
            <w:vAlign w:val="center"/>
            <w:textDirection w:val="lrTb"/>
            <w:noWrap/>
          </w:tcPr>
          <w:p>
            <w:pPr>
              <w:pStyle w:val="1179"/>
              <w:jc w:val="center"/>
              <w:spacing w:line="440" w:lineRule="exact"/>
              <w:rPr>
                <w:rFonts w:ascii="宋体" w:cs="宋体"/>
                <w:sz w:val="24"/>
              </w:rPr>
            </w:pPr>
            <w:r>
              <w:rPr>
                <w:rFonts w:hint="eastAsia" w:ascii="宋体" w:cs="宋体"/>
                <w:sz w:val="24"/>
              </w:rPr>
              <w:t xml:space="preserve">采购单位</w:t>
            </w:r>
            <w:r/>
          </w:p>
        </w:tc>
        <w:tc>
          <w:tcPr>
            <w:tcW w:w="1395" w:type="dxa"/>
            <w:vAlign w:val="center"/>
            <w:textDirection w:val="lrTb"/>
            <w:noWrap/>
          </w:tcPr>
          <w:p>
            <w:pPr>
              <w:pStyle w:val="1179"/>
              <w:jc w:val="center"/>
              <w:spacing w:line="440" w:lineRule="exact"/>
              <w:rPr>
                <w:rFonts w:ascii="宋体" w:cs="宋体"/>
                <w:sz w:val="24"/>
              </w:rPr>
            </w:pPr>
            <w:r>
              <w:rPr>
                <w:rFonts w:hint="eastAsia" w:ascii="宋体" w:cs="宋体"/>
                <w:sz w:val="24"/>
              </w:rPr>
              <w:t xml:space="preserve">合同金额</w:t>
            </w:r>
            <w:r/>
          </w:p>
        </w:tc>
      </w:tr>
      <w:tr>
        <w:trPr>
          <w:jc w:val="center"/>
          <w:trHeight w:val="1510"/>
        </w:trPr>
        <w:tc>
          <w:tcPr>
            <w:tcW w:w="1229" w:type="dxa"/>
            <w:textDirection w:val="lrTb"/>
            <w:noWrap/>
          </w:tcPr>
          <w:p>
            <w:pPr>
              <w:pStyle w:val="1179"/>
              <w:jc w:val="center"/>
              <w:spacing w:line="440" w:lineRule="exact"/>
              <w:rPr>
                <w:rFonts w:ascii="宋体" w:cs="宋体"/>
                <w:sz w:val="24"/>
              </w:rPr>
            </w:pPr>
            <w:r>
              <w:rPr>
                <w:rFonts w:ascii="宋体" w:cs="宋体"/>
                <w:sz w:val="24"/>
              </w:rPr>
            </w:r>
            <w:r/>
          </w:p>
        </w:tc>
        <w:tc>
          <w:tcPr>
            <w:tcW w:w="3827" w:type="dxa"/>
            <w:vAlign w:val="center"/>
            <w:textDirection w:val="lrTb"/>
            <w:noWrap/>
          </w:tcPr>
          <w:p>
            <w:pPr>
              <w:pStyle w:val="1179"/>
              <w:jc w:val="center"/>
              <w:spacing w:line="440" w:lineRule="exact"/>
              <w:rPr>
                <w:rFonts w:ascii="宋体" w:cs="宋体"/>
                <w:sz w:val="24"/>
              </w:rPr>
            </w:pPr>
            <w:r>
              <w:rPr>
                <w:rFonts w:ascii="宋体" w:cs="宋体"/>
                <w:sz w:val="24"/>
              </w:rPr>
            </w:r>
            <w:r/>
          </w:p>
        </w:tc>
        <w:tc>
          <w:tcPr>
            <w:tcW w:w="2433" w:type="dxa"/>
            <w:vAlign w:val="center"/>
            <w:textDirection w:val="lrTb"/>
            <w:noWrap/>
          </w:tcPr>
          <w:p>
            <w:pPr>
              <w:pStyle w:val="1179"/>
              <w:jc w:val="center"/>
              <w:spacing w:line="440" w:lineRule="exact"/>
              <w:rPr>
                <w:rFonts w:ascii="宋体" w:cs="宋体"/>
                <w:sz w:val="24"/>
              </w:rPr>
            </w:pPr>
            <w:r>
              <w:rPr>
                <w:rFonts w:ascii="宋体" w:cs="宋体"/>
                <w:sz w:val="24"/>
              </w:rPr>
            </w:r>
            <w:r/>
          </w:p>
        </w:tc>
        <w:tc>
          <w:tcPr>
            <w:tcW w:w="1395" w:type="dxa"/>
            <w:vAlign w:val="center"/>
            <w:textDirection w:val="lrTb"/>
            <w:noWrap/>
          </w:tcPr>
          <w:p>
            <w:pPr>
              <w:pStyle w:val="1179"/>
              <w:jc w:val="center"/>
              <w:spacing w:line="440" w:lineRule="exact"/>
              <w:rPr>
                <w:rFonts w:ascii="宋体" w:cs="宋体"/>
                <w:sz w:val="24"/>
              </w:rPr>
            </w:pPr>
            <w:r>
              <w:rPr>
                <w:rFonts w:ascii="宋体" w:cs="宋体"/>
                <w:sz w:val="24"/>
              </w:rPr>
            </w:r>
            <w:r/>
          </w:p>
        </w:tc>
      </w:tr>
      <w:tr>
        <w:trPr>
          <w:jc w:val="center"/>
          <w:trHeight w:val="1510"/>
        </w:trPr>
        <w:tc>
          <w:tcPr>
            <w:tcW w:w="1229" w:type="dxa"/>
            <w:textDirection w:val="lrTb"/>
            <w:noWrap/>
          </w:tcPr>
          <w:p>
            <w:pPr>
              <w:pStyle w:val="1179"/>
              <w:jc w:val="center"/>
              <w:spacing w:line="440" w:lineRule="exact"/>
              <w:rPr>
                <w:rFonts w:ascii="宋体" w:cs="宋体"/>
                <w:sz w:val="24"/>
              </w:rPr>
            </w:pPr>
            <w:r>
              <w:rPr>
                <w:rFonts w:ascii="宋体" w:cs="宋体"/>
                <w:sz w:val="24"/>
              </w:rPr>
            </w:r>
            <w:r/>
          </w:p>
        </w:tc>
        <w:tc>
          <w:tcPr>
            <w:tcW w:w="3827" w:type="dxa"/>
            <w:vAlign w:val="center"/>
            <w:textDirection w:val="lrTb"/>
            <w:noWrap/>
          </w:tcPr>
          <w:p>
            <w:pPr>
              <w:pStyle w:val="1179"/>
              <w:jc w:val="center"/>
              <w:spacing w:line="440" w:lineRule="exact"/>
              <w:rPr>
                <w:rFonts w:ascii="宋体" w:cs="宋体"/>
                <w:sz w:val="24"/>
              </w:rPr>
            </w:pPr>
            <w:r>
              <w:rPr>
                <w:rFonts w:ascii="宋体" w:cs="宋体"/>
                <w:sz w:val="24"/>
              </w:rPr>
            </w:r>
            <w:r/>
          </w:p>
        </w:tc>
        <w:tc>
          <w:tcPr>
            <w:tcW w:w="2433" w:type="dxa"/>
            <w:vAlign w:val="center"/>
            <w:textDirection w:val="lrTb"/>
            <w:noWrap/>
          </w:tcPr>
          <w:p>
            <w:pPr>
              <w:pStyle w:val="1179"/>
              <w:jc w:val="center"/>
              <w:spacing w:line="440" w:lineRule="exact"/>
              <w:rPr>
                <w:rFonts w:ascii="宋体" w:cs="宋体"/>
                <w:sz w:val="24"/>
              </w:rPr>
            </w:pPr>
            <w:r>
              <w:rPr>
                <w:rFonts w:ascii="宋体" w:cs="宋体"/>
                <w:sz w:val="24"/>
              </w:rPr>
            </w:r>
            <w:r/>
          </w:p>
        </w:tc>
        <w:tc>
          <w:tcPr>
            <w:tcW w:w="1395" w:type="dxa"/>
            <w:vAlign w:val="center"/>
            <w:textDirection w:val="lrTb"/>
            <w:noWrap/>
          </w:tcPr>
          <w:p>
            <w:pPr>
              <w:pStyle w:val="1179"/>
              <w:jc w:val="center"/>
              <w:spacing w:line="440" w:lineRule="exact"/>
              <w:rPr>
                <w:rFonts w:ascii="宋体" w:cs="宋体"/>
                <w:sz w:val="24"/>
              </w:rPr>
            </w:pPr>
            <w:r>
              <w:rPr>
                <w:rFonts w:ascii="宋体" w:cs="宋体"/>
                <w:sz w:val="24"/>
              </w:rPr>
            </w:r>
            <w:r/>
          </w:p>
        </w:tc>
      </w:tr>
      <w:tr>
        <w:trPr>
          <w:jc w:val="center"/>
          <w:trHeight w:val="1510"/>
        </w:trPr>
        <w:tc>
          <w:tcPr>
            <w:tcW w:w="1229" w:type="dxa"/>
            <w:textDirection w:val="lrTb"/>
            <w:noWrap/>
          </w:tcPr>
          <w:p>
            <w:pPr>
              <w:pStyle w:val="1179"/>
              <w:jc w:val="center"/>
              <w:spacing w:line="440" w:lineRule="exact"/>
              <w:rPr>
                <w:rFonts w:ascii="宋体" w:cs="宋体"/>
                <w:sz w:val="24"/>
              </w:rPr>
            </w:pPr>
            <w:r>
              <w:rPr>
                <w:rFonts w:ascii="宋体" w:cs="宋体"/>
                <w:sz w:val="24"/>
              </w:rPr>
            </w:r>
            <w:r/>
          </w:p>
        </w:tc>
        <w:tc>
          <w:tcPr>
            <w:tcW w:w="3827" w:type="dxa"/>
            <w:vAlign w:val="center"/>
            <w:textDirection w:val="lrTb"/>
            <w:noWrap/>
          </w:tcPr>
          <w:p>
            <w:pPr>
              <w:pStyle w:val="1179"/>
              <w:jc w:val="center"/>
              <w:spacing w:line="440" w:lineRule="exact"/>
              <w:rPr>
                <w:rFonts w:ascii="宋体" w:cs="宋体"/>
                <w:sz w:val="24"/>
              </w:rPr>
            </w:pPr>
            <w:r>
              <w:rPr>
                <w:rFonts w:ascii="宋体" w:cs="宋体"/>
                <w:sz w:val="24"/>
              </w:rPr>
            </w:r>
            <w:r/>
          </w:p>
        </w:tc>
        <w:tc>
          <w:tcPr>
            <w:tcW w:w="2433" w:type="dxa"/>
            <w:vAlign w:val="center"/>
            <w:textDirection w:val="lrTb"/>
            <w:noWrap/>
          </w:tcPr>
          <w:p>
            <w:pPr>
              <w:pStyle w:val="1179"/>
              <w:jc w:val="center"/>
              <w:spacing w:line="440" w:lineRule="exact"/>
              <w:rPr>
                <w:rFonts w:ascii="宋体" w:cs="宋体"/>
                <w:sz w:val="24"/>
              </w:rPr>
            </w:pPr>
            <w:r>
              <w:rPr>
                <w:rFonts w:ascii="宋体" w:cs="宋体"/>
                <w:sz w:val="24"/>
              </w:rPr>
            </w:r>
            <w:r/>
          </w:p>
        </w:tc>
        <w:tc>
          <w:tcPr>
            <w:tcW w:w="1395" w:type="dxa"/>
            <w:vAlign w:val="center"/>
            <w:textDirection w:val="lrTb"/>
            <w:noWrap/>
          </w:tcPr>
          <w:p>
            <w:pPr>
              <w:pStyle w:val="1179"/>
              <w:jc w:val="center"/>
              <w:spacing w:line="440" w:lineRule="exact"/>
              <w:rPr>
                <w:rFonts w:ascii="宋体" w:cs="宋体"/>
                <w:sz w:val="24"/>
              </w:rPr>
            </w:pPr>
            <w:r>
              <w:rPr>
                <w:rFonts w:ascii="宋体" w:cs="宋体"/>
                <w:sz w:val="24"/>
              </w:rPr>
            </w:r>
            <w:r/>
          </w:p>
        </w:tc>
      </w:tr>
      <w:tr>
        <w:trPr>
          <w:jc w:val="center"/>
          <w:trHeight w:val="1525"/>
        </w:trPr>
        <w:tc>
          <w:tcPr>
            <w:tcW w:w="1229" w:type="dxa"/>
            <w:textDirection w:val="lrTb"/>
            <w:noWrap/>
          </w:tcPr>
          <w:p>
            <w:pPr>
              <w:pStyle w:val="1179"/>
              <w:jc w:val="center"/>
              <w:spacing w:line="440" w:lineRule="exact"/>
              <w:rPr>
                <w:rFonts w:ascii="宋体" w:cs="宋体"/>
                <w:sz w:val="24"/>
              </w:rPr>
            </w:pPr>
            <w:r>
              <w:rPr>
                <w:rFonts w:ascii="宋体" w:cs="宋体"/>
                <w:sz w:val="24"/>
              </w:rPr>
            </w:r>
            <w:r/>
          </w:p>
        </w:tc>
        <w:tc>
          <w:tcPr>
            <w:tcW w:w="3827" w:type="dxa"/>
            <w:vAlign w:val="center"/>
            <w:textDirection w:val="lrTb"/>
            <w:noWrap/>
          </w:tcPr>
          <w:p>
            <w:pPr>
              <w:pStyle w:val="1179"/>
              <w:jc w:val="center"/>
              <w:spacing w:line="440" w:lineRule="exact"/>
              <w:rPr>
                <w:rFonts w:ascii="宋体" w:cs="宋体"/>
                <w:sz w:val="24"/>
              </w:rPr>
            </w:pPr>
            <w:r>
              <w:rPr>
                <w:rFonts w:ascii="宋体" w:cs="宋体"/>
                <w:sz w:val="24"/>
              </w:rPr>
            </w:r>
            <w:r/>
          </w:p>
        </w:tc>
        <w:tc>
          <w:tcPr>
            <w:tcW w:w="2433" w:type="dxa"/>
            <w:vAlign w:val="center"/>
            <w:textDirection w:val="lrTb"/>
            <w:noWrap/>
          </w:tcPr>
          <w:p>
            <w:pPr>
              <w:pStyle w:val="1179"/>
              <w:jc w:val="center"/>
              <w:spacing w:line="440" w:lineRule="exact"/>
              <w:rPr>
                <w:rFonts w:ascii="宋体" w:cs="宋体"/>
                <w:sz w:val="24"/>
              </w:rPr>
            </w:pPr>
            <w:r>
              <w:rPr>
                <w:rFonts w:ascii="宋体" w:cs="宋体"/>
                <w:sz w:val="24"/>
              </w:rPr>
            </w:r>
            <w:r/>
          </w:p>
        </w:tc>
        <w:tc>
          <w:tcPr>
            <w:tcW w:w="1395" w:type="dxa"/>
            <w:vAlign w:val="center"/>
            <w:textDirection w:val="lrTb"/>
            <w:noWrap/>
          </w:tcPr>
          <w:p>
            <w:pPr>
              <w:pStyle w:val="1179"/>
              <w:jc w:val="center"/>
              <w:spacing w:line="440" w:lineRule="exact"/>
              <w:rPr>
                <w:rFonts w:ascii="宋体" w:cs="宋体"/>
                <w:sz w:val="24"/>
              </w:rPr>
            </w:pPr>
            <w:r>
              <w:rPr>
                <w:rFonts w:ascii="宋体" w:cs="宋体"/>
                <w:sz w:val="24"/>
              </w:rPr>
            </w:r>
            <w:r/>
          </w:p>
        </w:tc>
      </w:tr>
    </w:tbl>
    <w:p>
      <w:pPr>
        <w:pStyle w:val="1178"/>
        <w:spacing w:line="440" w:lineRule="exact"/>
        <w:rPr>
          <w:rFonts w:ascii="宋体" w:cs="宋体"/>
          <w:sz w:val="24"/>
          <w:szCs w:val="24"/>
        </w:rPr>
      </w:pPr>
      <w:r>
        <w:rPr>
          <w:rFonts w:hint="eastAsia" w:ascii="宋体" w:cs="宋体"/>
          <w:b/>
          <w:sz w:val="24"/>
          <w:szCs w:val="24"/>
        </w:rPr>
        <w:t xml:space="preserve">注：请填写此表，并按要求上传业绩资料电子件。</w:t>
      </w:r>
      <w:r/>
    </w:p>
    <w:p>
      <w:pPr>
        <w:pStyle w:val="958"/>
        <w:spacing w:line="440" w:lineRule="exact"/>
        <w:rPr>
          <w:rFonts w:hint="eastAsia" w:ascii="宋体" w:eastAsia="宋体" w:cs="宋体"/>
          <w:sz w:val="24"/>
        </w:rPr>
        <w:outlineLvl w:val="1"/>
      </w:pPr>
      <w:r>
        <w:rPr>
          <w:rFonts w:hint="eastAsia" w:ascii="宋体" w:eastAsia="宋体" w:cs="宋体"/>
          <w:sz w:val="24"/>
        </w:rPr>
        <w:br w:type="page" w:clear="all"/>
      </w:r>
      <w:r>
        <w:rPr>
          <w:rFonts w:hint="eastAsia" w:ascii="宋体" w:eastAsia="宋体" w:cs="宋体"/>
          <w:sz w:val="24"/>
        </w:rPr>
        <w:t xml:space="preserve">十一、项目实施方案</w:t>
      </w:r>
      <w:r/>
    </w:p>
    <w:p>
      <w:pPr>
        <w:pStyle w:val="958"/>
        <w:spacing w:line="440" w:lineRule="exact"/>
        <w:rPr>
          <w:rFonts w:hint="eastAsia" w:ascii="宋体" w:eastAsia="宋体" w:cs="宋体"/>
          <w:b w:val="0"/>
          <w:sz w:val="24"/>
        </w:rPr>
        <w:outlineLvl w:val="1"/>
      </w:pPr>
      <w:r>
        <w:rPr>
          <w:rFonts w:hint="eastAsia" w:ascii="宋体" w:eastAsia="宋体" w:cs="宋体"/>
          <w:b w:val="0"/>
          <w:sz w:val="24"/>
        </w:rPr>
        <w:t xml:space="preserve">根据评分办法自行编制</w:t>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pPr>
      <w:r>
        <w:rPr>
          <w:rFonts w:hint="eastAsia" w:ascii="宋体" w:eastAsia="宋体" w:cs="宋体"/>
          <w:sz w:val="24"/>
        </w:rPr>
      </w:r>
      <w:r/>
    </w:p>
    <w:p>
      <w:pPr>
        <w:pStyle w:val="958"/>
        <w:spacing w:line="440" w:lineRule="exact"/>
        <w:rPr>
          <w:rFonts w:hint="eastAsia" w:ascii="宋体" w:eastAsia="宋体" w:cs="宋体"/>
          <w:sz w:val="24"/>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sz w:val="24"/>
        </w:rPr>
      </w:r>
      <w:r/>
    </w:p>
    <w:p>
      <w:pPr>
        <w:spacing w:line="480" w:lineRule="exact"/>
        <w:rPr>
          <w:rFonts w:ascii="宋体" w:cs="宋体"/>
          <w:b/>
          <w:sz w:val="24"/>
          <w:szCs w:val="24"/>
        </w:rPr>
        <w:outlineLvl w:val="1"/>
      </w:pPr>
      <w:r>
        <w:rPr>
          <w:rFonts w:hint="eastAsia" w:ascii="宋体" w:cs="宋体"/>
          <w:b/>
          <w:sz w:val="24"/>
          <w:szCs w:val="24"/>
        </w:rPr>
        <w:t xml:space="preserve">十二、关于符合本国产品标准的声明函（采购包号：**）</w:t>
      </w:r>
      <w:r/>
    </w:p>
    <w:p>
      <w:pPr>
        <w:spacing w:line="480" w:lineRule="exact"/>
        <w:rPr>
          <w:rFonts w:hint="eastAsia" w:ascii="宋体" w:hAnsi="宋体" w:eastAsia="黑体" w:cs="黑体"/>
          <w:sz w:val="32"/>
          <w:szCs w:val="32"/>
        </w:rPr>
      </w:pPr>
      <w:r>
        <w:rPr>
          <w:rFonts w:hint="eastAsia" w:ascii="宋体" w:hAnsi="宋体" w:eastAsia="黑体" w:cs="黑体"/>
          <w:sz w:val="32"/>
          <w:szCs w:val="32"/>
        </w:rPr>
      </w:r>
      <w:r/>
    </w:p>
    <w:p>
      <w:pPr>
        <w:ind w:firstLine="480"/>
        <w:jc w:val="left"/>
        <w:spacing w:line="480" w:lineRule="exact"/>
        <w:widowControl/>
        <w:rPr>
          <w:rFonts w:ascii="宋体" w:cs="宋体"/>
          <w:sz w:val="24"/>
          <w:szCs w:val="24"/>
        </w:rPr>
      </w:pPr>
      <w:r>
        <w:rPr>
          <w:rFonts w:hint="eastAsia" w:asci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0"/>
        </w:numPr>
        <w:ind w:firstLine="480"/>
        <w:jc w:val="left"/>
        <w:spacing w:line="480" w:lineRule="exact"/>
        <w:widowControl/>
        <w:rPr>
          <w:rFonts w:ascii="宋体" w:cs="宋体"/>
          <w:sz w:val="24"/>
          <w:szCs w:val="24"/>
          <w:shd w:val="clear" w:color="auto" w:fill="ffffff"/>
        </w:rPr>
      </w:pPr>
      <w:r>
        <w:rPr>
          <w:rStyle w:val="1317"/>
          <w:rFonts w:hint="eastAsia" w:ascii="宋体" w:cs="宋体"/>
          <w:sz w:val="24"/>
          <w:szCs w:val="24"/>
          <w:u w:val="single"/>
          <w:shd w:val="clear" w:color="auto" w:fill="ffffff"/>
        </w:rPr>
        <w:t xml:space="preserve">（产品名称1）</w:t>
      </w:r>
      <w:r>
        <w:rPr>
          <w:rFonts w:hint="eastAsia" w:ascii="宋体" w:cs="宋体"/>
          <w:sz w:val="24"/>
          <w:szCs w:val="24"/>
          <w:shd w:val="clear" w:color="auto" w:fill="ffffff"/>
        </w:rPr>
        <w:t xml:space="preserve">，生产厂为</w:t>
      </w:r>
      <w:r>
        <w:rPr>
          <w:rStyle w:val="1317"/>
          <w:rFonts w:hint="eastAsia" w:ascii="宋体" w:cs="宋体"/>
          <w:sz w:val="24"/>
          <w:szCs w:val="24"/>
          <w:u w:val="single"/>
          <w:shd w:val="clear" w:color="auto" w:fill="ffffff"/>
        </w:rPr>
        <w:t xml:space="preserve">（厂名）</w:t>
      </w:r>
      <w:r>
        <w:rPr>
          <w:rFonts w:hint="eastAsia" w:ascii="宋体" w:cs="宋体"/>
          <w:sz w:val="24"/>
          <w:szCs w:val="24"/>
          <w:shd w:val="clear" w:color="auto" w:fill="ffffff"/>
        </w:rPr>
        <w:t xml:space="preserve">，厂址为</w:t>
      </w:r>
      <w:r>
        <w:rPr>
          <w:rStyle w:val="1317"/>
          <w:rFonts w:hint="eastAsia" w:ascii="宋体" w:cs="宋体"/>
          <w:sz w:val="24"/>
          <w:szCs w:val="24"/>
          <w:u w:val="single"/>
          <w:shd w:val="clear" w:color="auto" w:fill="ffffff"/>
        </w:rPr>
        <w:t xml:space="preserve">（生产厂址）</w:t>
      </w:r>
      <w:r>
        <w:rPr>
          <w:rFonts w:hint="eastAsia" w:ascii="宋体" w:cs="宋体"/>
          <w:sz w:val="24"/>
          <w:szCs w:val="24"/>
          <w:shd w:val="clear" w:color="auto" w:fill="ffffff"/>
        </w:rPr>
        <w:t xml:space="preserve">。</w:t>
      </w:r>
      <w:r>
        <w:rPr>
          <w:rStyle w:val="1317"/>
          <w:rFonts w:hint="eastAsia" w:ascii="宋体" w:cs="宋体"/>
          <w:strike/>
          <w:sz w:val="24"/>
          <w:szCs w:val="24"/>
          <w:u w:val="single"/>
          <w:shd w:val="clear" w:color="auto" w:fill="ffffff"/>
        </w:rPr>
        <w:t xml:space="preserve">（产品名称1）</w:t>
      </w:r>
      <w:r>
        <w:rPr>
          <w:rFonts w:hint="eastAsia" w:ascii="宋体" w:cs="宋体"/>
          <w:sz w:val="24"/>
          <w:szCs w:val="24"/>
          <w:shd w:val="clear" w:color="auto" w:fill="ffffff"/>
        </w:rPr>
        <w:t xml:space="preserve">的中国境内生产的组件成本占比≥</w:t>
      </w:r>
      <w:r>
        <w:rPr>
          <w:rStyle w:val="1317"/>
          <w:rFonts w:hint="eastAsia" w:ascii="宋体" w:cs="宋体"/>
          <w:strike/>
          <w:sz w:val="24"/>
          <w:szCs w:val="24"/>
          <w:u w:val="single"/>
          <w:shd w:val="clear" w:color="auto" w:fill="ffffff"/>
        </w:rPr>
        <w:t xml:space="preserve">（规定比例）</w:t>
      </w:r>
      <w:r>
        <w:rPr>
          <w:rFonts w:hint="eastAsia" w:ascii="宋体" w:cs="宋体"/>
          <w:sz w:val="24"/>
          <w:szCs w:val="24"/>
          <w:shd w:val="clear" w:color="auto" w:fill="ffffff"/>
        </w:rPr>
        <w:t xml:space="preserve">。</w:t>
      </w:r>
      <w:r>
        <w:rPr>
          <w:rStyle w:val="1317"/>
          <w:rFonts w:hint="eastAsia" w:ascii="宋体" w:cs="宋体"/>
          <w:strike/>
          <w:sz w:val="24"/>
          <w:szCs w:val="24"/>
          <w:u w:val="single"/>
          <w:shd w:val="clear" w:color="auto" w:fill="ffffff"/>
        </w:rPr>
        <w:t xml:space="preserve">（产品名称1）</w:t>
      </w:r>
      <w:r>
        <w:rPr>
          <w:rFonts w:hint="eastAsia" w:ascii="宋体" w:cs="宋体"/>
          <w:sz w:val="24"/>
          <w:szCs w:val="24"/>
          <w:shd w:val="clear" w:color="auto" w:fill="ffffff"/>
        </w:rPr>
        <w:t xml:space="preserve">的</w:t>
      </w:r>
      <w:r>
        <w:rPr>
          <w:rStyle w:val="1317"/>
          <w:rFonts w:hint="eastAsia" w:ascii="宋体" w:cs="宋体"/>
          <w:strike/>
          <w:sz w:val="24"/>
          <w:szCs w:val="24"/>
          <w:u w:val="single"/>
          <w:shd w:val="clear" w:color="auto" w:fill="ffffff"/>
        </w:rPr>
        <w:t xml:space="preserve">（关键组件）</w:t>
      </w:r>
      <w:r>
        <w:rPr>
          <w:rFonts w:hint="eastAsia" w:ascii="宋体" w:cs="宋体"/>
          <w:sz w:val="24"/>
          <w:szCs w:val="24"/>
          <w:shd w:val="clear" w:color="auto" w:fill="ffffff"/>
        </w:rPr>
        <w:t xml:space="preserve">在中国境内生产。</w:t>
      </w:r>
      <w:r>
        <w:rPr>
          <w:rStyle w:val="1317"/>
          <w:rFonts w:hint="eastAsia" w:ascii="宋体" w:cs="宋体"/>
          <w:strike/>
          <w:sz w:val="24"/>
          <w:szCs w:val="24"/>
          <w:u w:val="single"/>
          <w:shd w:val="clear" w:color="auto" w:fill="ffffff"/>
        </w:rPr>
        <w:t xml:space="preserve">（产品名称1）</w:t>
      </w:r>
      <w:r>
        <w:rPr>
          <w:rFonts w:hint="eastAsia" w:ascii="宋体" w:cs="宋体"/>
          <w:sz w:val="24"/>
          <w:szCs w:val="24"/>
          <w:shd w:val="clear" w:color="auto" w:fill="ffffff"/>
        </w:rPr>
        <w:t xml:space="preserve">的</w:t>
      </w:r>
      <w:r>
        <w:rPr>
          <w:rStyle w:val="1317"/>
          <w:rFonts w:hint="eastAsia" w:ascii="宋体" w:cs="宋体"/>
          <w:strike/>
          <w:sz w:val="24"/>
          <w:szCs w:val="24"/>
          <w:u w:val="single"/>
          <w:shd w:val="clear" w:color="auto" w:fill="ffffff"/>
        </w:rPr>
        <w:t xml:space="preserve">（关键工序）</w:t>
      </w:r>
      <w:r>
        <w:rPr>
          <w:rFonts w:hint="eastAsia" w:ascii="宋体" w:cs="宋体"/>
          <w:sz w:val="24"/>
          <w:szCs w:val="24"/>
          <w:shd w:val="clear" w:color="auto" w:fill="ffffff"/>
        </w:rPr>
        <w:t xml:space="preserve">在中国境内完成。</w:t>
      </w:r>
      <w:r/>
    </w:p>
    <w:p>
      <w:pPr>
        <w:ind w:firstLine="480"/>
        <w:jc w:val="left"/>
        <w:spacing w:line="480" w:lineRule="exact"/>
        <w:widowControl/>
        <w:rPr>
          <w:rFonts w:ascii="宋体" w:cs="宋体"/>
          <w:sz w:val="24"/>
          <w:szCs w:val="24"/>
        </w:rPr>
      </w:pPr>
      <w:r>
        <w:rPr>
          <w:rFonts w:hint="eastAsia" w:ascii="宋体" w:cs="宋体"/>
          <w:sz w:val="24"/>
          <w:szCs w:val="24"/>
          <w:shd w:val="clear" w:color="auto" w:fill="ffffff"/>
        </w:rPr>
        <w:t xml:space="preserve">2.</w:t>
      </w:r>
      <w:r>
        <w:rPr>
          <w:rStyle w:val="1317"/>
          <w:rFonts w:hint="eastAsia" w:ascii="宋体" w:cs="宋体"/>
          <w:sz w:val="24"/>
          <w:szCs w:val="24"/>
          <w:u w:val="single"/>
          <w:shd w:val="clear" w:color="auto" w:fill="ffffff"/>
        </w:rPr>
        <w:t xml:space="preserve">（产品名称2）</w:t>
      </w:r>
      <w:r>
        <w:rPr>
          <w:rFonts w:hint="eastAsia" w:ascii="宋体" w:cs="宋体"/>
          <w:sz w:val="24"/>
          <w:szCs w:val="24"/>
          <w:shd w:val="clear" w:color="auto" w:fill="ffffff"/>
        </w:rPr>
        <w:t xml:space="preserve">，生产厂为</w:t>
      </w:r>
      <w:r>
        <w:rPr>
          <w:rStyle w:val="1317"/>
          <w:rFonts w:hint="eastAsia" w:ascii="宋体" w:cs="宋体"/>
          <w:sz w:val="24"/>
          <w:szCs w:val="24"/>
          <w:u w:val="single"/>
          <w:shd w:val="clear" w:color="auto" w:fill="ffffff"/>
        </w:rPr>
        <w:t xml:space="preserve">（厂名）</w:t>
      </w:r>
      <w:r>
        <w:rPr>
          <w:rFonts w:hint="eastAsia" w:ascii="宋体" w:cs="宋体"/>
          <w:sz w:val="24"/>
          <w:szCs w:val="24"/>
          <w:shd w:val="clear" w:color="auto" w:fill="ffffff"/>
        </w:rPr>
        <w:t xml:space="preserve">，厂址为</w:t>
      </w:r>
      <w:r>
        <w:rPr>
          <w:rStyle w:val="1317"/>
          <w:rFonts w:hint="eastAsia" w:ascii="宋体" w:cs="宋体"/>
          <w:sz w:val="24"/>
          <w:szCs w:val="24"/>
          <w:u w:val="single"/>
          <w:shd w:val="clear" w:color="auto" w:fill="ffffff"/>
        </w:rPr>
        <w:t xml:space="preserve">（生产厂址）</w:t>
      </w:r>
      <w:r>
        <w:rPr>
          <w:rFonts w:hint="eastAsia" w:ascii="宋体" w:cs="宋体"/>
          <w:sz w:val="24"/>
          <w:szCs w:val="24"/>
          <w:shd w:val="clear" w:color="auto" w:fill="ffffff"/>
        </w:rPr>
        <w:t xml:space="preserve">。</w:t>
      </w:r>
      <w:r>
        <w:rPr>
          <w:rStyle w:val="1317"/>
          <w:rFonts w:hint="eastAsia" w:ascii="宋体" w:cs="宋体"/>
          <w:strike/>
          <w:sz w:val="24"/>
          <w:szCs w:val="24"/>
          <w:u w:val="single"/>
          <w:shd w:val="clear" w:color="auto" w:fill="ffffff"/>
        </w:rPr>
        <w:t xml:space="preserve">（产品名称2）</w:t>
      </w:r>
      <w:r>
        <w:rPr>
          <w:rFonts w:hint="eastAsia" w:ascii="宋体" w:cs="宋体"/>
          <w:sz w:val="24"/>
          <w:szCs w:val="24"/>
          <w:shd w:val="clear" w:color="auto" w:fill="ffffff"/>
        </w:rPr>
        <w:t xml:space="preserve">的中国境内生产的组件成本占比≥</w:t>
      </w:r>
      <w:r>
        <w:rPr>
          <w:rStyle w:val="1317"/>
          <w:rFonts w:hint="eastAsia" w:ascii="宋体" w:cs="宋体"/>
          <w:strike/>
          <w:sz w:val="24"/>
          <w:szCs w:val="24"/>
          <w:u w:val="single"/>
          <w:shd w:val="clear" w:color="auto" w:fill="ffffff"/>
        </w:rPr>
        <w:t xml:space="preserve">（规定比例）</w:t>
      </w:r>
      <w:r>
        <w:rPr>
          <w:rFonts w:hint="eastAsia" w:ascii="宋体" w:cs="宋体"/>
          <w:sz w:val="24"/>
          <w:szCs w:val="24"/>
          <w:shd w:val="clear" w:color="auto" w:fill="ffffff"/>
        </w:rPr>
        <w:t xml:space="preserve">。</w:t>
      </w:r>
      <w:r>
        <w:rPr>
          <w:rStyle w:val="1317"/>
          <w:rFonts w:hint="eastAsia" w:ascii="宋体" w:cs="宋体"/>
          <w:strike/>
          <w:sz w:val="24"/>
          <w:szCs w:val="24"/>
          <w:u w:val="single"/>
          <w:shd w:val="clear" w:color="auto" w:fill="ffffff"/>
        </w:rPr>
        <w:t xml:space="preserve">（产品名称2）</w:t>
      </w:r>
      <w:r>
        <w:rPr>
          <w:rFonts w:hint="eastAsia" w:ascii="宋体" w:cs="宋体"/>
          <w:sz w:val="24"/>
          <w:szCs w:val="24"/>
          <w:shd w:val="clear" w:color="auto" w:fill="ffffff"/>
        </w:rPr>
        <w:t xml:space="preserve">的</w:t>
      </w:r>
      <w:r>
        <w:rPr>
          <w:rStyle w:val="1317"/>
          <w:rFonts w:hint="eastAsia" w:ascii="宋体" w:cs="宋体"/>
          <w:strike/>
          <w:sz w:val="24"/>
          <w:szCs w:val="24"/>
          <w:u w:val="single"/>
          <w:shd w:val="clear" w:color="auto" w:fill="ffffff"/>
        </w:rPr>
        <w:t xml:space="preserve">（关键组件）</w:t>
      </w:r>
      <w:r>
        <w:rPr>
          <w:rFonts w:hint="eastAsia" w:ascii="宋体" w:cs="宋体"/>
          <w:sz w:val="24"/>
          <w:szCs w:val="24"/>
          <w:shd w:val="clear" w:color="auto" w:fill="ffffff"/>
        </w:rPr>
        <w:t xml:space="preserve">在中国境内生产。</w:t>
      </w:r>
      <w:r>
        <w:rPr>
          <w:rStyle w:val="1317"/>
          <w:rFonts w:hint="eastAsia" w:ascii="宋体" w:cs="宋体"/>
          <w:strike/>
          <w:sz w:val="24"/>
          <w:szCs w:val="24"/>
          <w:u w:val="single"/>
          <w:shd w:val="clear" w:color="auto" w:fill="ffffff"/>
        </w:rPr>
        <w:t xml:space="preserve">（产品名称1）</w:t>
      </w:r>
      <w:r>
        <w:rPr>
          <w:rFonts w:hint="eastAsia" w:ascii="宋体" w:cs="宋体"/>
          <w:sz w:val="24"/>
          <w:szCs w:val="24"/>
          <w:shd w:val="clear" w:color="auto" w:fill="ffffff"/>
        </w:rPr>
        <w:t xml:space="preserve">的</w:t>
      </w:r>
      <w:r>
        <w:rPr>
          <w:rStyle w:val="1317"/>
          <w:rFonts w:hint="eastAsia" w:ascii="宋体" w:cs="宋体"/>
          <w:strike/>
          <w:sz w:val="24"/>
          <w:szCs w:val="24"/>
          <w:u w:val="single"/>
          <w:shd w:val="clear" w:color="auto" w:fill="ffffff"/>
        </w:rPr>
        <w:t xml:space="preserve">（关键工序）</w:t>
      </w:r>
      <w:r>
        <w:rPr>
          <w:rFonts w:hint="eastAsia" w:ascii="宋体" w:cs="宋体"/>
          <w:sz w:val="24"/>
          <w:szCs w:val="24"/>
          <w:shd w:val="clear" w:color="auto" w:fill="ffffff"/>
        </w:rPr>
        <w:t xml:space="preserve">在中国境内完成。</w:t>
      </w:r>
      <w:r/>
    </w:p>
    <w:p>
      <w:pPr>
        <w:ind w:firstLine="480"/>
        <w:jc w:val="left"/>
        <w:spacing w:line="480" w:lineRule="exact"/>
        <w:widowControl/>
        <w:rPr>
          <w:rFonts w:ascii="宋体" w:cs="宋体"/>
          <w:sz w:val="24"/>
          <w:szCs w:val="24"/>
        </w:rPr>
      </w:pPr>
      <w:r>
        <w:rPr>
          <w:rFonts w:hint="eastAsia" w:ascii="宋体" w:cs="宋体"/>
          <w:sz w:val="24"/>
          <w:szCs w:val="24"/>
          <w:shd w:val="clear" w:color="auto" w:fill="ffffff"/>
        </w:rPr>
        <w:t xml:space="preserve">……</w:t>
      </w:r>
      <w:r/>
    </w:p>
    <w:p>
      <w:pPr>
        <w:ind w:firstLine="480"/>
        <w:jc w:val="left"/>
        <w:spacing w:line="480" w:lineRule="exact"/>
        <w:widowControl/>
        <w:rPr>
          <w:rFonts w:ascii="宋体" w:cs="宋体"/>
          <w:sz w:val="24"/>
          <w:szCs w:val="24"/>
        </w:rPr>
      </w:pPr>
      <w:r>
        <w:rPr>
          <w:rFonts w:hint="eastAsia" w:ascii="宋体" w:cs="宋体"/>
          <w:sz w:val="24"/>
          <w:szCs w:val="24"/>
          <w:shd w:val="clear" w:color="auto" w:fill="ffffff"/>
        </w:rPr>
        <w:t xml:space="preserve">本公司（单位）对上述声明内容的真实性负责。如有虚假，愿承担相应法律责任。</w:t>
      </w:r>
      <w:r/>
    </w:p>
    <w:p>
      <w:pPr>
        <w:ind w:firstLine="480"/>
        <w:jc w:val="left"/>
        <w:spacing w:line="480" w:lineRule="exact"/>
        <w:widowControl/>
        <w:rPr>
          <w:rFonts w:ascii="宋体" w:cs="宋体"/>
          <w:sz w:val="24"/>
          <w:szCs w:val="24"/>
        </w:rPr>
      </w:pPr>
      <w:r>
        <w:rPr>
          <w:rFonts w:ascii="宋体" w:cs="宋体"/>
          <w:sz w:val="24"/>
          <w:szCs w:val="24"/>
        </w:rPr>
      </w:r>
      <w:r/>
    </w:p>
    <w:p>
      <w:pPr>
        <w:ind w:firstLine="480"/>
        <w:jc w:val="left"/>
        <w:spacing w:line="480" w:lineRule="exact"/>
        <w:widowControl/>
        <w:rPr>
          <w:rFonts w:ascii="宋体" w:cs="宋体"/>
          <w:sz w:val="24"/>
          <w:szCs w:val="24"/>
        </w:rPr>
      </w:pPr>
      <w:r>
        <w:rPr>
          <w:rFonts w:hint="eastAsia" w:ascii="宋体" w:cs="宋体"/>
          <w:sz w:val="24"/>
          <w:szCs w:val="24"/>
          <w:shd w:val="clear" w:color="auto" w:fill="ffffff"/>
        </w:rPr>
        <w:t xml:space="preserve">公司（单位）名称（盖章）：　        </w:t>
      </w:r>
      <w:r/>
    </w:p>
    <w:p>
      <w:pPr>
        <w:ind w:firstLine="480"/>
        <w:jc w:val="center"/>
        <w:spacing w:line="480" w:lineRule="exact"/>
        <w:widowControl/>
        <w:rPr>
          <w:rFonts w:ascii="宋体" w:cs="宋体"/>
          <w:sz w:val="24"/>
          <w:szCs w:val="24"/>
        </w:rPr>
      </w:pPr>
      <w:r>
        <w:rPr>
          <w:rFonts w:hint="eastAsia" w:ascii="宋体" w:cs="宋体"/>
          <w:sz w:val="24"/>
          <w:szCs w:val="24"/>
          <w:shd w:val="clear" w:color="auto" w:fill="ffffff"/>
        </w:rPr>
        <w:t xml:space="preserve">                                日期：　   年　  月　  日         </w:t>
      </w:r>
      <w:r/>
    </w:p>
    <w:p>
      <w:pPr>
        <w:ind w:firstLine="480"/>
        <w:jc w:val="left"/>
        <w:spacing w:line="480" w:lineRule="exact"/>
        <w:widowControl/>
        <w:rPr>
          <w:rFonts w:ascii="宋体" w:cs="宋体"/>
          <w:sz w:val="24"/>
          <w:szCs w:val="24"/>
        </w:rPr>
      </w:pPr>
      <w:r>
        <w:rPr>
          <w:rFonts w:hint="eastAsia" w:ascii="宋体" w:cs="宋体"/>
          <w:sz w:val="24"/>
          <w:szCs w:val="24"/>
          <w:shd w:val="clear" w:color="auto" w:fill="ffffff"/>
        </w:rPr>
        <w:t xml:space="preserve">1.产品如有型号，请在“产品名称”栏一并填写。</w:t>
      </w:r>
      <w:r/>
    </w:p>
    <w:p>
      <w:pPr>
        <w:ind w:firstLine="480"/>
        <w:jc w:val="left"/>
        <w:spacing w:line="480" w:lineRule="exact"/>
        <w:widowControl/>
        <w:rPr>
          <w:rFonts w:ascii="宋体" w:cs="宋体"/>
          <w:sz w:val="24"/>
          <w:szCs w:val="24"/>
        </w:rPr>
      </w:pPr>
      <w:r>
        <w:rPr>
          <w:rFonts w:hint="eastAsia" w:ascii="宋体" w:cs="宋体"/>
          <w:sz w:val="24"/>
          <w:szCs w:val="24"/>
          <w:shd w:val="clear" w:color="auto" w:fill="ffffff"/>
        </w:rPr>
        <w:t xml:space="preserve">2.生产厂名与厂址应与生产厂营业执照载明的相关信息保持一致。</w:t>
      </w:r>
      <w:r/>
    </w:p>
    <w:p>
      <w:pPr>
        <w:ind w:firstLine="480"/>
        <w:jc w:val="left"/>
        <w:spacing w:line="480" w:lineRule="exact"/>
        <w:widowControl/>
        <w:rPr>
          <w:rFonts w:ascii="宋体" w:cs="宋体"/>
          <w:sz w:val="24"/>
          <w:szCs w:val="24"/>
        </w:rPr>
      </w:pPr>
      <w:r>
        <w:rPr>
          <w:rFonts w:hint="eastAsia" w:ascii="宋体" w:cs="宋体"/>
          <w:sz w:val="24"/>
          <w:szCs w:val="24"/>
          <w:shd w:val="clear" w:color="auto" w:fill="ffffff"/>
        </w:rPr>
        <w:t xml:space="preserve">3.该产品的中国境内生产的组件成本占比相关要求实施前，“规定比例”栏可不填，下同。</w:t>
      </w:r>
      <w:r/>
    </w:p>
    <w:p>
      <w:pPr>
        <w:ind w:firstLine="480"/>
        <w:jc w:val="left"/>
        <w:spacing w:line="480" w:lineRule="exact"/>
        <w:widowControl/>
        <w:rPr>
          <w:rFonts w:ascii="宋体" w:cs="宋体"/>
          <w:sz w:val="24"/>
          <w:szCs w:val="24"/>
        </w:rPr>
      </w:pPr>
      <w:r>
        <w:rPr>
          <w:rFonts w:hint="eastAsia" w:ascii="宋体" w:cs="宋体"/>
          <w:sz w:val="24"/>
          <w:szCs w:val="24"/>
          <w:shd w:val="clear" w:color="auto" w:fill="ffffff"/>
        </w:rPr>
        <w:t xml:space="preserve">4.该产品的关键组件要求实施前，“关键组件”栏可不填，下同。</w:t>
      </w:r>
      <w:r/>
    </w:p>
    <w:p>
      <w:pPr>
        <w:ind w:firstLine="480"/>
        <w:jc w:val="left"/>
        <w:spacing w:line="480" w:lineRule="exact"/>
        <w:widowControl/>
        <w:rPr>
          <w:rFonts w:ascii="宋体" w:cs="宋体"/>
          <w:sz w:val="24"/>
          <w:szCs w:val="24"/>
          <w:shd w:val="clear" w:color="auto" w:fill="ffffff"/>
        </w:rPr>
      </w:pPr>
      <w:r>
        <w:rPr>
          <w:rFonts w:hint="eastAsia" w:ascii="宋体" w:cs="宋体"/>
          <w:sz w:val="24"/>
          <w:szCs w:val="24"/>
          <w:shd w:val="clear" w:color="auto" w:fill="ffffff"/>
        </w:rPr>
        <w:t xml:space="preserve">5.该产品的关键工序要求实施前，“关键工序”栏可不填，下同。</w:t>
      </w:r>
      <w:r/>
    </w:p>
    <w:p>
      <w:pPr>
        <w:pStyle w:val="958"/>
        <w:ind w:firstLine="480"/>
        <w:spacing w:line="440" w:lineRule="exact"/>
        <w:rPr>
          <w:rFonts w:hint="eastAsia" w:ascii="宋体" w:eastAsia="宋体" w:cs="宋体"/>
          <w:b w:val="0"/>
          <w:sz w:val="24"/>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val="0"/>
          <w:sz w:val="24"/>
          <w:shd w:val="clear" w:color="auto" w:fill="ffffff"/>
        </w:rPr>
        <w:t xml:space="preserve">6.用线划除的地方无需填写。</w:t>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br w:type="page" w:clear="all"/>
      </w:r>
      <w:r>
        <w:rPr>
          <w:rFonts w:hint="eastAsia" w:ascii="宋体" w:hAnsi="黑体" w:eastAsia="黑体" w:cs="黑体"/>
          <w:color w:val="000000"/>
          <w:sz w:val="32"/>
          <w:szCs w:val="32"/>
        </w:rPr>
        <w:t xml:space="preserve">十三、投标所需其他材料</w:t>
      </w:r>
      <w:bookmarkEnd w:id="166"/>
      <w:r/>
      <w:bookmarkEnd w:id="167"/>
      <w:r/>
      <w:r/>
    </w:p>
    <w:p>
      <w:pPr>
        <w:pStyle w:val="1182"/>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r/>
    </w:p>
    <w:p>
      <w:pPr>
        <w:jc w:val="center"/>
        <w:rPr>
          <w:rFonts w:hint="eastAsia"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p>
    <w:p>
      <w:pPr>
        <w:spacing w:before="290"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联系人：联系电话：</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联系电话：</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质疑项目的名称：</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p>
    <w:p>
      <w:pPr>
        <w:rPr>
          <w:rFonts w:hint="eastAsia" w:ascii="宋体" w:hAnsi="宋体"/>
          <w:color w:val="000000"/>
          <w:sz w:val="24"/>
          <w:szCs w:val="24"/>
        </w:rPr>
      </w:pPr>
      <w:r>
        <w:rPr>
          <w:rFonts w:hint="eastAsia" w:ascii="宋体" w:hAnsi="宋体"/>
          <w:color w:val="000000"/>
          <w:sz w:val="24"/>
          <w:szCs w:val="24"/>
        </w:rPr>
        <w:t xml:space="preserve">签字(签章)：                   公章：                      </w:t>
      </w:r>
      <w:r/>
    </w:p>
    <w:p>
      <w:pPr>
        <w:rPr>
          <w:rFonts w:hint="eastAsia" w:ascii="宋体" w:hAnsi="宋体"/>
          <w:color w:val="000000"/>
          <w:sz w:val="24"/>
          <w:szCs w:val="24"/>
        </w:rPr>
      </w:pPr>
      <w:r>
        <w:rPr>
          <w:rFonts w:hint="eastAsia" w:ascii="宋体" w:hAnsi="宋体"/>
          <w:color w:val="000000"/>
          <w:sz w:val="24"/>
          <w:szCs w:val="24"/>
        </w:rPr>
        <w:t xml:space="preserve">日期：    </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魏碑_GBK">
    <w:panose1 w:val="020B0503020202020204"/>
  </w:font>
  <w:font w:name="Cambria Math">
    <w:panose1 w:val="02040503050406030204"/>
  </w:font>
  <w:font w:name="方正仿宋_GB2312">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290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770890" cy="342900"/>
                      </a:xfrm>
                      <a:prstGeom prst="rect">
                        <a:avLst/>
                      </a:prstGeom>
                      <a:noFill/>
                      <a:ln>
                        <a:noFill/>
                      </a:ln>
                    </wps:spPr>
                    <wps:txbx>
                      <w:txbxContent>
                        <w:p>
                          <w:pPr>
                            <w:pStyle w:val="916"/>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62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916"/>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62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9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2847340</wp:posOffset>
              </wp:positionH>
              <wp:positionV relativeFrom="paragraph">
                <wp:posOffset>-13970</wp:posOffset>
              </wp:positionV>
              <wp:extent cx="742950" cy="279400"/>
              <wp:effectExtent l="0" t="0" r="0" b="0"/>
              <wp:wrapNone/>
              <wp:docPr id="3" name="shape 2"/>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1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81</w:t>
                          </w:r>
                          <w:r>
                            <w:rPr>
                              <w:rFonts w:ascii="Times New Roman" w:hAnsi="Times New Roman"/>
                              <w:sz w:val="32"/>
                              <w:szCs w:val="32"/>
                            </w:rPr>
                            <w:fldChar w:fldCharType="end"/>
                          </w:r>
                          <w:r>
                            <w:rPr>
                              <w:rFonts w:ascii="Times New Roman" w:hAnsi="Times New Roman"/>
                              <w:sz w:val="32"/>
                              <w:szCs w:val="32"/>
                            </w:rPr>
                            <w:t xml:space="preserve">—</w:t>
                          </w:r>
                          <w:r/>
                        </w:p>
                        <w:p>
                          <w:r/>
                          <w:r/>
                        </w:p>
                      </w:txbxContent>
                    </wps:txbx>
                    <wps:bodyPr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91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81</w:t>
                    </w:r>
                    <w:r>
                      <w:rPr>
                        <w:rFonts w:ascii="Times New Roman" w:hAnsi="Times New Roman"/>
                        <w:sz w:val="32"/>
                        <w:szCs w:val="32"/>
                      </w:rPr>
                      <w:fldChar w:fldCharType="end"/>
                    </w:r>
                    <w:r>
                      <w:rPr>
                        <w:rFonts w:ascii="Times New Roman" w:hAnsi="Times New Roman"/>
                        <w:sz w:val="32"/>
                        <w:szCs w:val="32"/>
                      </w:rPr>
                      <w:t xml:space="preserve">—</w:t>
                    </w:r>
                    <w:r/>
                  </w:p>
                  <w:p>
                    <w:r/>
                    <w:r/>
                  </w:p>
                </w:txbxContent>
              </v:textbox>
            </v:shape>
          </w:pict>
        </mc:Fallback>
      </mc:AlternateContent>
    </w:r>
    <w:r/>
  </w:p>
  <w:p>
    <w:pPr>
      <w:pStyle w:val="91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50"/>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pStyle w:val="1265"/>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num w:numId="1">
    <w:abstractNumId w:val="2"/>
  </w:num>
  <w:num w:numId="2">
    <w:abstractNumId w:val="8"/>
  </w:num>
  <w:num w:numId="3">
    <w:abstractNumId w:val="7"/>
  </w:num>
  <w:num w:numId="4">
    <w:abstractNumId w:val="6"/>
  </w:num>
  <w:num w:numId="5">
    <w:abstractNumId w:val="5"/>
  </w:num>
  <w:num w:numId="6">
    <w:abstractNumId w:val="1"/>
  </w:num>
  <w:num w:numId="7">
    <w:abstractNumId w:val="4"/>
  </w:num>
  <w:num w:numId="8">
    <w:abstractNumId w:val="3"/>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1"/>
    <w:basedOn w:val="820"/>
    <w:next w:val="820"/>
    <w:link w:val="987"/>
    <w:uiPriority w:val="9"/>
    <w:qFormat/>
    <w:pPr>
      <w:keepLines/>
      <w:keepNext/>
      <w:spacing w:before="480" w:after="200"/>
      <w:outlineLvl w:val="0"/>
    </w:pPr>
    <w:rPr>
      <w:rFonts w:ascii="Arial" w:hAnsi="Arial" w:eastAsia="Arial" w:cs="Arial"/>
      <w:sz w:val="40"/>
      <w:szCs w:val="40"/>
    </w:rPr>
  </w:style>
  <w:style w:type="paragraph" w:styleId="791">
    <w:name w:val="Heading 2"/>
    <w:basedOn w:val="820"/>
    <w:next w:val="820"/>
    <w:link w:val="988"/>
    <w:uiPriority w:val="9"/>
    <w:unhideWhenUsed/>
    <w:qFormat/>
    <w:pPr>
      <w:keepLines/>
      <w:keepNext/>
      <w:spacing w:before="360" w:after="200"/>
      <w:outlineLvl w:val="1"/>
    </w:pPr>
    <w:rPr>
      <w:rFonts w:ascii="Arial" w:hAnsi="Arial" w:eastAsia="Arial" w:cs="Arial"/>
      <w:sz w:val="34"/>
    </w:rPr>
  </w:style>
  <w:style w:type="paragraph" w:styleId="792">
    <w:name w:val="Heading 3"/>
    <w:basedOn w:val="820"/>
    <w:next w:val="820"/>
    <w:link w:val="989"/>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820"/>
    <w:next w:val="820"/>
    <w:link w:val="990"/>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820"/>
    <w:next w:val="820"/>
    <w:link w:val="991"/>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820"/>
    <w:next w:val="820"/>
    <w:link w:val="992"/>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820"/>
    <w:next w:val="820"/>
    <w:link w:val="993"/>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820"/>
    <w:next w:val="820"/>
    <w:link w:val="994"/>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820"/>
    <w:next w:val="820"/>
    <w:link w:val="995"/>
    <w:uiPriority w:val="9"/>
    <w:unhideWhenUsed/>
    <w:qFormat/>
    <w:pPr>
      <w:keepLines/>
      <w:keepNext/>
      <w:spacing w:before="320" w:after="200"/>
      <w:outlineLvl w:val="8"/>
    </w:pPr>
    <w:rPr>
      <w:rFonts w:ascii="Arial" w:hAnsi="Arial" w:eastAsia="Arial" w:cs="Arial"/>
      <w:i/>
      <w:iCs/>
      <w:sz w:val="21"/>
      <w:szCs w:val="21"/>
    </w:rPr>
  </w:style>
  <w:style w:type="paragraph" w:styleId="799">
    <w:name w:val="Caption"/>
    <w:basedOn w:val="820"/>
    <w:next w:val="820"/>
    <w:uiPriority w:val="35"/>
    <w:semiHidden/>
    <w:unhideWhenUsed/>
    <w:qFormat/>
    <w:pPr>
      <w:spacing w:line="276" w:lineRule="auto"/>
    </w:pPr>
    <w:rPr>
      <w:b/>
      <w:bCs/>
      <w:color w:val="4f81bd" w:themeColor="accent1"/>
      <w:sz w:val="18"/>
      <w:szCs w:val="18"/>
    </w:rPr>
  </w:style>
  <w:style w:type="table" w:styleId="800">
    <w:name w:val="Plain Table 1"/>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basedOn w:val="8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basedOn w:val="8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2"/>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3"/>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8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5 Dark"/>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6 Colorful"/>
    <w:basedOn w:val="8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7 Colorful"/>
    <w:basedOn w:val="8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List Table 1 Light"/>
    <w:basedOn w:val="8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2"/>
    <w:basedOn w:val="8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3"/>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5 Dark"/>
    <w:basedOn w:val="8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7 Colorful"/>
    <w:basedOn w:val="8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9">
    <w:name w:val="TOC Heading"/>
    <w:uiPriority w:val="39"/>
    <w:unhideWhenUsed/>
  </w:style>
  <w:style w:type="paragraph" w:styleId="820" w:default="1">
    <w:name w:val="Normal"/>
    <w:uiPriority w:val="0"/>
    <w:qFormat/>
    <w:pPr>
      <w:jc w:val="both"/>
      <w:widowControl w:val="off"/>
    </w:pPr>
    <w:rPr>
      <w:rFonts w:ascii="Calibri" w:hAnsi="Calibri" w:eastAsia="宋体" w:cs="Times New Roman"/>
      <w:sz w:val="21"/>
      <w:szCs w:val="22"/>
      <w:lang w:val="en-US" w:eastAsia="zh-CN" w:bidi="ar-SA"/>
    </w:rPr>
  </w:style>
  <w:style w:type="character" w:styleId="821" w:default="1">
    <w:name w:val="Default Paragraph Font"/>
    <w:uiPriority w:val="1"/>
    <w:unhideWhenUsed/>
    <w:qFormat/>
  </w:style>
  <w:style w:type="table" w:styleId="822" w:default="1">
    <w:name w:val="Normal Table"/>
    <w:uiPriority w:val="99"/>
    <w:semiHidden/>
    <w:unhideWhenUsed/>
    <w:qFormat/>
    <w:tblPr>
      <w:tblCellMar>
        <w:left w:w="108" w:type="dxa"/>
        <w:top w:w="0" w:type="dxa"/>
        <w:right w:w="108" w:type="dxa"/>
        <w:bottom w:w="0" w:type="dxa"/>
      </w:tblCellMar>
    </w:tblPr>
  </w:style>
  <w:style w:type="paragraph" w:styleId="823">
    <w:name w:val="toc 7"/>
    <w:basedOn w:val="820"/>
    <w:next w:val="820"/>
    <w:uiPriority w:val="39"/>
    <w:unhideWhenUsed/>
    <w:qFormat/>
    <w:pPr>
      <w:ind w:left="1701"/>
      <w:spacing w:after="57"/>
    </w:pPr>
  </w:style>
  <w:style w:type="paragraph" w:styleId="824">
    <w:name w:val="toc 5"/>
    <w:basedOn w:val="820"/>
    <w:next w:val="820"/>
    <w:uiPriority w:val="39"/>
    <w:unhideWhenUsed/>
    <w:qFormat/>
    <w:pPr>
      <w:ind w:left="1134"/>
      <w:spacing w:after="57"/>
    </w:pPr>
  </w:style>
  <w:style w:type="paragraph" w:styleId="825">
    <w:name w:val="toc 3"/>
    <w:basedOn w:val="820"/>
    <w:next w:val="820"/>
    <w:uiPriority w:val="39"/>
    <w:unhideWhenUsed/>
    <w:qFormat/>
    <w:pPr>
      <w:ind w:left="567"/>
      <w:spacing w:after="57"/>
    </w:pPr>
  </w:style>
  <w:style w:type="paragraph" w:styleId="826">
    <w:name w:val="toc 8"/>
    <w:basedOn w:val="820"/>
    <w:next w:val="820"/>
    <w:uiPriority w:val="39"/>
    <w:unhideWhenUsed/>
    <w:qFormat/>
    <w:pPr>
      <w:ind w:left="1984"/>
      <w:spacing w:after="57"/>
    </w:pPr>
  </w:style>
  <w:style w:type="paragraph" w:styleId="827">
    <w:name w:val="endnote text"/>
    <w:basedOn w:val="820"/>
    <w:uiPriority w:val="99"/>
    <w:semiHidden/>
    <w:unhideWhenUsed/>
    <w:qFormat/>
    <w:rPr>
      <w:sz w:val="20"/>
    </w:rPr>
  </w:style>
  <w:style w:type="paragraph" w:styleId="828">
    <w:name w:val="Balloon Text"/>
    <w:basedOn w:val="820"/>
    <w:link w:val="1318"/>
    <w:uiPriority w:val="99"/>
    <w:semiHidden/>
    <w:unhideWhenUsed/>
    <w:qFormat/>
    <w:rPr>
      <w:sz w:val="18"/>
      <w:szCs w:val="18"/>
    </w:rPr>
  </w:style>
  <w:style w:type="paragraph" w:styleId="829">
    <w:name w:val="Footer"/>
    <w:basedOn w:val="820"/>
    <w:link w:val="1316"/>
    <w:uiPriority w:val="99"/>
    <w:unhideWhenUsed/>
    <w:qFormat/>
    <w:pPr>
      <w:jc w:val="left"/>
      <w:tabs>
        <w:tab w:val="center" w:pos="4153" w:leader="none"/>
        <w:tab w:val="right" w:pos="8306" w:leader="none"/>
      </w:tabs>
    </w:pPr>
    <w:rPr>
      <w:sz w:val="18"/>
      <w:szCs w:val="18"/>
    </w:rPr>
  </w:style>
  <w:style w:type="paragraph" w:styleId="830">
    <w:name w:val="Header"/>
    <w:basedOn w:val="820"/>
    <w:link w:val="131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31">
    <w:name w:val="toc 1"/>
    <w:basedOn w:val="820"/>
    <w:next w:val="820"/>
    <w:uiPriority w:val="39"/>
    <w:unhideWhenUsed/>
    <w:qFormat/>
    <w:pPr>
      <w:spacing w:after="57"/>
    </w:pPr>
  </w:style>
  <w:style w:type="paragraph" w:styleId="832">
    <w:name w:val="toc 4"/>
    <w:basedOn w:val="820"/>
    <w:next w:val="820"/>
    <w:uiPriority w:val="39"/>
    <w:unhideWhenUsed/>
    <w:qFormat/>
    <w:pPr>
      <w:ind w:left="850"/>
      <w:spacing w:after="57"/>
    </w:pPr>
  </w:style>
  <w:style w:type="paragraph" w:styleId="833">
    <w:name w:val="Subtitle"/>
    <w:basedOn w:val="820"/>
    <w:next w:val="820"/>
    <w:uiPriority w:val="11"/>
    <w:qFormat/>
    <w:pPr>
      <w:spacing w:before="200" w:after="200"/>
    </w:pPr>
    <w:rPr>
      <w:sz w:val="24"/>
      <w:szCs w:val="24"/>
    </w:rPr>
  </w:style>
  <w:style w:type="paragraph" w:styleId="834">
    <w:name w:val="footnote text"/>
    <w:basedOn w:val="820"/>
    <w:uiPriority w:val="99"/>
    <w:semiHidden/>
    <w:unhideWhenUsed/>
    <w:qFormat/>
    <w:pPr>
      <w:spacing w:after="40"/>
    </w:pPr>
    <w:rPr>
      <w:sz w:val="18"/>
    </w:rPr>
  </w:style>
  <w:style w:type="paragraph" w:styleId="835">
    <w:name w:val="toc 6"/>
    <w:basedOn w:val="820"/>
    <w:next w:val="820"/>
    <w:uiPriority w:val="39"/>
    <w:unhideWhenUsed/>
    <w:qFormat/>
    <w:pPr>
      <w:ind w:left="1417"/>
      <w:spacing w:after="57"/>
    </w:pPr>
  </w:style>
  <w:style w:type="paragraph" w:styleId="836">
    <w:name w:val="table of figures"/>
    <w:basedOn w:val="820"/>
    <w:next w:val="820"/>
    <w:uiPriority w:val="99"/>
    <w:unhideWhenUsed/>
    <w:qFormat/>
  </w:style>
  <w:style w:type="paragraph" w:styleId="837">
    <w:name w:val="toc 2"/>
    <w:basedOn w:val="820"/>
    <w:next w:val="820"/>
    <w:uiPriority w:val="39"/>
    <w:unhideWhenUsed/>
    <w:qFormat/>
    <w:pPr>
      <w:ind w:left="283"/>
      <w:spacing w:after="57"/>
    </w:pPr>
  </w:style>
  <w:style w:type="paragraph" w:styleId="838">
    <w:name w:val="toc 9"/>
    <w:basedOn w:val="820"/>
    <w:next w:val="820"/>
    <w:uiPriority w:val="39"/>
    <w:unhideWhenUsed/>
    <w:qFormat/>
    <w:pPr>
      <w:ind w:left="2268"/>
      <w:spacing w:after="57"/>
    </w:pPr>
  </w:style>
  <w:style w:type="paragraph" w:styleId="839">
    <w:name w:val="Normal (Web)"/>
    <w:basedOn w:val="820"/>
    <w:uiPriority w:val="99"/>
    <w:semiHidden/>
    <w:unhideWhenUsed/>
    <w:qFormat/>
    <w:pPr>
      <w:jc w:val="left"/>
      <w:spacing w:beforeAutospacing="1" w:afterAutospacing="1"/>
    </w:pPr>
    <w:rPr>
      <w:sz w:val="24"/>
    </w:rPr>
  </w:style>
  <w:style w:type="paragraph" w:styleId="840">
    <w:name w:val="Title"/>
    <w:basedOn w:val="820"/>
    <w:next w:val="820"/>
    <w:uiPriority w:val="10"/>
    <w:qFormat/>
    <w:pPr>
      <w:contextualSpacing/>
      <w:spacing w:before="300" w:after="200"/>
    </w:pPr>
    <w:rPr>
      <w:sz w:val="48"/>
      <w:szCs w:val="48"/>
    </w:rPr>
  </w:style>
  <w:style w:type="table" w:styleId="8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2">
    <w:name w:val="endnote reference"/>
    <w:uiPriority w:val="99"/>
    <w:semiHidden/>
    <w:unhideWhenUsed/>
    <w:qFormat/>
    <w:rPr>
      <w:vertAlign w:val="superscript"/>
    </w:rPr>
  </w:style>
  <w:style w:type="character" w:styleId="843">
    <w:name w:val="Hyperlink"/>
    <w:uiPriority w:val="99"/>
    <w:unhideWhenUsed/>
    <w:qFormat/>
    <w:rPr>
      <w:color w:val="0000ff" w:themeColor="hyperlink"/>
      <w:u w:val="single"/>
      <w14:textFill>
        <w14:solidFill>
          <w14:schemeClr w14:val="hlink"/>
        </w14:solidFill>
      </w14:textFill>
    </w:rPr>
  </w:style>
  <w:style w:type="character" w:styleId="844">
    <w:name w:val="footnote reference"/>
    <w:uiPriority w:val="99"/>
    <w:unhideWhenUsed/>
    <w:qFormat/>
    <w:rPr>
      <w:vertAlign w:val="superscript"/>
    </w:rPr>
  </w:style>
  <w:style w:type="paragraph" w:styleId="845" w:customStyle="1">
    <w:name w:val="标题 11"/>
    <w:basedOn w:val="820"/>
    <w:next w:val="820"/>
    <w:uiPriority w:val="9"/>
    <w:qFormat/>
    <w:pPr>
      <w:keepLines/>
      <w:keepNext/>
      <w:spacing w:before="480" w:after="200"/>
      <w:outlineLvl w:val="0"/>
    </w:pPr>
    <w:rPr>
      <w:rFonts w:ascii="Arial" w:hAnsi="Arial" w:eastAsia="Arial" w:cs="Arial"/>
      <w:sz w:val="40"/>
      <w:szCs w:val="40"/>
    </w:rPr>
  </w:style>
  <w:style w:type="paragraph" w:styleId="846" w:customStyle="1">
    <w:name w:val="标题 21"/>
    <w:basedOn w:val="820"/>
    <w:next w:val="820"/>
    <w:uiPriority w:val="9"/>
    <w:unhideWhenUsed/>
    <w:qFormat/>
    <w:pPr>
      <w:keepLines/>
      <w:keepNext/>
      <w:spacing w:before="360" w:after="200"/>
      <w:outlineLvl w:val="1"/>
    </w:pPr>
    <w:rPr>
      <w:rFonts w:ascii="Arial" w:hAnsi="Arial" w:eastAsia="Arial" w:cs="Arial"/>
      <w:sz w:val="34"/>
    </w:rPr>
  </w:style>
  <w:style w:type="paragraph" w:styleId="847" w:customStyle="1">
    <w:name w:val="标题 31"/>
    <w:basedOn w:val="820"/>
    <w:next w:val="820"/>
    <w:uiPriority w:val="9"/>
    <w:unhideWhenUsed/>
    <w:qFormat/>
    <w:pPr>
      <w:keepLines/>
      <w:keepNext/>
      <w:spacing w:before="320" w:after="200"/>
      <w:outlineLvl w:val="2"/>
    </w:pPr>
    <w:rPr>
      <w:rFonts w:ascii="Arial" w:hAnsi="Arial" w:eastAsia="Arial" w:cs="Arial"/>
      <w:sz w:val="30"/>
      <w:szCs w:val="30"/>
    </w:rPr>
  </w:style>
  <w:style w:type="paragraph" w:styleId="848" w:customStyle="1">
    <w:name w:val="标题 41"/>
    <w:basedOn w:val="820"/>
    <w:next w:val="820"/>
    <w:uiPriority w:val="9"/>
    <w:unhideWhenUsed/>
    <w:qFormat/>
    <w:pPr>
      <w:keepLines/>
      <w:keepNext/>
      <w:spacing w:before="320" w:after="200"/>
      <w:outlineLvl w:val="3"/>
    </w:pPr>
    <w:rPr>
      <w:rFonts w:ascii="Arial" w:hAnsi="Arial" w:eastAsia="Arial" w:cs="Arial"/>
      <w:b/>
      <w:bCs/>
      <w:sz w:val="26"/>
      <w:szCs w:val="26"/>
    </w:rPr>
  </w:style>
  <w:style w:type="paragraph" w:styleId="849" w:customStyle="1">
    <w:name w:val="标题 51"/>
    <w:basedOn w:val="820"/>
    <w:next w:val="820"/>
    <w:uiPriority w:val="9"/>
    <w:unhideWhenUsed/>
    <w:qFormat/>
    <w:pPr>
      <w:keepLines/>
      <w:keepNext/>
      <w:spacing w:before="320" w:after="200"/>
      <w:outlineLvl w:val="4"/>
    </w:pPr>
    <w:rPr>
      <w:rFonts w:ascii="Arial" w:hAnsi="Arial" w:eastAsia="Arial" w:cs="Arial"/>
      <w:b/>
      <w:bCs/>
      <w:sz w:val="24"/>
      <w:szCs w:val="24"/>
    </w:rPr>
  </w:style>
  <w:style w:type="paragraph" w:styleId="850" w:customStyle="1">
    <w:name w:val="标题 61"/>
    <w:basedOn w:val="820"/>
    <w:next w:val="820"/>
    <w:uiPriority w:val="9"/>
    <w:unhideWhenUsed/>
    <w:qFormat/>
    <w:pPr>
      <w:keepLines/>
      <w:keepNext/>
      <w:spacing w:before="320" w:after="200"/>
      <w:outlineLvl w:val="5"/>
    </w:pPr>
    <w:rPr>
      <w:rFonts w:ascii="Arial" w:hAnsi="Arial" w:eastAsia="Arial" w:cs="Arial"/>
      <w:b/>
      <w:bCs/>
      <w:sz w:val="22"/>
    </w:rPr>
  </w:style>
  <w:style w:type="paragraph" w:styleId="851" w:customStyle="1">
    <w:name w:val="标题 71"/>
    <w:basedOn w:val="820"/>
    <w:next w:val="820"/>
    <w:uiPriority w:val="9"/>
    <w:unhideWhenUsed/>
    <w:qFormat/>
    <w:pPr>
      <w:keepLines/>
      <w:keepNext/>
      <w:spacing w:before="320" w:after="200"/>
      <w:outlineLvl w:val="6"/>
    </w:pPr>
    <w:rPr>
      <w:rFonts w:ascii="Arial" w:hAnsi="Arial" w:eastAsia="Arial" w:cs="Arial"/>
      <w:b/>
      <w:bCs/>
      <w:i/>
      <w:iCs/>
      <w:sz w:val="22"/>
    </w:rPr>
  </w:style>
  <w:style w:type="paragraph" w:styleId="852" w:customStyle="1">
    <w:name w:val="标题 81"/>
    <w:basedOn w:val="820"/>
    <w:next w:val="820"/>
    <w:uiPriority w:val="9"/>
    <w:unhideWhenUsed/>
    <w:qFormat/>
    <w:pPr>
      <w:keepLines/>
      <w:keepNext/>
      <w:spacing w:before="320" w:after="200"/>
      <w:outlineLvl w:val="7"/>
    </w:pPr>
    <w:rPr>
      <w:rFonts w:ascii="Arial" w:hAnsi="Arial" w:eastAsia="Arial" w:cs="Arial"/>
      <w:i/>
      <w:iCs/>
      <w:sz w:val="22"/>
    </w:rPr>
  </w:style>
  <w:style w:type="paragraph" w:styleId="853" w:customStyle="1">
    <w:name w:val="标题 91"/>
    <w:basedOn w:val="820"/>
    <w:next w:val="820"/>
    <w:uiPriority w:val="9"/>
    <w:unhideWhenUsed/>
    <w:qFormat/>
    <w:pPr>
      <w:keepLines/>
      <w:keepNext/>
      <w:spacing w:before="320" w:after="200"/>
      <w:outlineLvl w:val="8"/>
    </w:pPr>
    <w:rPr>
      <w:rFonts w:ascii="Arial" w:hAnsi="Arial" w:eastAsia="Arial" w:cs="Arial"/>
      <w:i/>
      <w:iCs/>
      <w:szCs w:val="21"/>
    </w:rPr>
  </w:style>
  <w:style w:type="paragraph" w:styleId="854" w:customStyle="1">
    <w:name w:val="题注1"/>
    <w:basedOn w:val="820"/>
    <w:next w:val="8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5" w:customStyle="1">
    <w:name w:val="页脚1"/>
    <w:basedOn w:val="820"/>
    <w:uiPriority w:val="99"/>
    <w:unhideWhenUsed/>
    <w:qFormat/>
    <w:pPr>
      <w:tabs>
        <w:tab w:val="center" w:pos="7143" w:leader="none"/>
        <w:tab w:val="right" w:pos="14287" w:leader="none"/>
      </w:tabs>
    </w:pPr>
  </w:style>
  <w:style w:type="paragraph" w:styleId="856" w:customStyle="1">
    <w:name w:val="页眉1"/>
    <w:basedOn w:val="820"/>
    <w:uiPriority w:val="99"/>
    <w:unhideWhenUsed/>
    <w:qFormat/>
    <w:pPr>
      <w:tabs>
        <w:tab w:val="center" w:pos="7143" w:leader="none"/>
        <w:tab w:val="right" w:pos="14287" w:leader="none"/>
      </w:tabs>
    </w:pPr>
  </w:style>
  <w:style w:type="paragraph" w:styleId="857">
    <w:name w:val="List Paragraph"/>
    <w:basedOn w:val="820"/>
    <w:uiPriority w:val="34"/>
    <w:qFormat/>
    <w:pPr>
      <w:contextualSpacing/>
      <w:ind w:left="720"/>
    </w:pPr>
  </w:style>
  <w:style w:type="paragraph" w:styleId="858">
    <w:name w:val="No Spacing"/>
    <w:uiPriority w:val="1"/>
    <w:qFormat/>
    <w:rPr>
      <w:rFonts w:ascii="Times New Roman" w:hAnsi="Times New Roman" w:eastAsia="宋体" w:cs="Times New Roman"/>
      <w:lang w:val="en-US" w:eastAsia="zh-CN" w:bidi="ar-SA"/>
    </w:rPr>
  </w:style>
  <w:style w:type="paragraph" w:styleId="859">
    <w:name w:val="Quote"/>
    <w:basedOn w:val="820"/>
    <w:next w:val="820"/>
    <w:uiPriority w:val="29"/>
    <w:qFormat/>
    <w:pPr>
      <w:ind w:left="720" w:right="720"/>
    </w:pPr>
    <w:rPr>
      <w:i/>
    </w:rPr>
  </w:style>
  <w:style w:type="paragraph" w:styleId="860">
    <w:name w:val="Intense Quote"/>
    <w:basedOn w:val="820"/>
    <w:next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1" w:customStyle="1">
    <w:name w:val="标题 111"/>
    <w:basedOn w:val="820"/>
    <w:next w:val="820"/>
    <w:link w:val="880"/>
    <w:uiPriority w:val="0"/>
    <w:qFormat/>
    <w:pPr>
      <w:keepLines/>
      <w:keepNext/>
      <w:spacing w:before="480" w:after="200"/>
      <w:outlineLvl w:val="0"/>
    </w:pPr>
    <w:rPr>
      <w:rFonts w:ascii="Arial" w:hAnsi="Arial" w:eastAsia="Arial" w:cs="Arial"/>
      <w:sz w:val="40"/>
      <w:szCs w:val="40"/>
    </w:rPr>
  </w:style>
  <w:style w:type="paragraph" w:styleId="862" w:customStyle="1">
    <w:name w:val="标题 211"/>
    <w:basedOn w:val="820"/>
    <w:next w:val="863"/>
    <w:link w:val="881"/>
    <w:uiPriority w:val="0"/>
    <w:qFormat/>
    <w:pPr>
      <w:keepLines/>
      <w:keepNext/>
      <w:spacing w:before="260" w:after="260" w:line="413" w:lineRule="auto"/>
      <w:outlineLvl w:val="1"/>
    </w:pPr>
    <w:rPr>
      <w:rFonts w:ascii="Arial" w:hAnsi="Arial" w:eastAsia="黑体"/>
      <w:b/>
      <w:sz w:val="32"/>
      <w:szCs w:val="20"/>
    </w:rPr>
  </w:style>
  <w:style w:type="paragraph" w:styleId="863" w:customStyle="1">
    <w:name w:val="正文缩进11"/>
    <w:basedOn w:val="820"/>
    <w:link w:val="882"/>
    <w:uiPriority w:val="0"/>
    <w:qFormat/>
    <w:pPr>
      <w:ind w:firstLine="420"/>
    </w:pPr>
    <w:rPr>
      <w:rFonts w:ascii="宋体"/>
      <w:color w:val="000000"/>
      <w:sz w:val="24"/>
      <w:szCs w:val="20"/>
    </w:rPr>
  </w:style>
  <w:style w:type="paragraph" w:styleId="864" w:customStyle="1">
    <w:name w:val="标题 311"/>
    <w:basedOn w:val="865"/>
    <w:next w:val="866"/>
    <w:link w:val="883"/>
    <w:uiPriority w:val="0"/>
    <w:qFormat/>
    <w:pPr>
      <w:keepLines/>
      <w:keepNext/>
      <w:spacing w:before="320" w:after="200"/>
      <w:outlineLvl w:val="2"/>
    </w:pPr>
    <w:rPr>
      <w:rFonts w:ascii="Arial" w:hAnsi="Arial" w:eastAsia="Arial" w:cs="Arial"/>
      <w:sz w:val="30"/>
      <w:szCs w:val="30"/>
    </w:rPr>
  </w:style>
  <w:style w:type="paragraph" w:styleId="865" w:customStyle="1">
    <w:name w:val="Normal1"/>
    <w:next w:val="864"/>
    <w:uiPriority w:val="0"/>
    <w:qFormat/>
    <w:pPr>
      <w:jc w:val="both"/>
      <w:widowControl w:val="off"/>
    </w:pPr>
    <w:rPr>
      <w:rFonts w:ascii="Calibri" w:hAnsi="Calibri" w:eastAsia="宋体" w:cs="Times New Roman"/>
      <w:sz w:val="21"/>
      <w:szCs w:val="22"/>
      <w:lang w:val="en-US" w:eastAsia="zh-CN" w:bidi="ar-SA"/>
    </w:rPr>
  </w:style>
  <w:style w:type="paragraph" w:styleId="866" w:customStyle="1">
    <w:name w:val="Normal_19"/>
    <w:next w:val="867"/>
    <w:uiPriority w:val="0"/>
    <w:qFormat/>
    <w:rPr>
      <w:rFonts w:ascii="黑体" w:hAnsi="黑体" w:eastAsia="黑体" w:cs="黑体"/>
      <w:b/>
      <w:sz w:val="32"/>
      <w:szCs w:val="24"/>
      <w:lang w:val="en-US" w:eastAsia="zh-CN" w:bidi="ar-SA"/>
    </w:rPr>
  </w:style>
  <w:style w:type="paragraph" w:styleId="867" w:customStyle="1">
    <w:name w:val="正文1"/>
    <w:next w:val="868"/>
    <w:uiPriority w:val="0"/>
    <w:qFormat/>
    <w:rPr>
      <w:rFonts w:ascii="Times New Roman" w:hAnsi="Times New Roman" w:eastAsia="Times New Roman" w:cs="Times New Roman"/>
      <w:sz w:val="24"/>
      <w:szCs w:val="24"/>
      <w:lang w:val="en-US" w:eastAsia="zh-CN" w:bidi="ar-SA"/>
    </w:rPr>
  </w:style>
  <w:style w:type="paragraph" w:styleId="868" w:customStyle="1">
    <w:name w:val="Body Text First Indent1"/>
    <w:basedOn w:val="869"/>
    <w:uiPriority w:val="99"/>
    <w:unhideWhenUsed/>
    <w:qFormat/>
    <w:pPr>
      <w:ind w:firstLine="420"/>
    </w:pPr>
  </w:style>
  <w:style w:type="paragraph" w:styleId="869" w:customStyle="1">
    <w:name w:val="Body Text1"/>
    <w:basedOn w:val="870"/>
    <w:uiPriority w:val="99"/>
    <w:unhideWhenUsed/>
    <w:qFormat/>
    <w:pPr>
      <w:spacing w:after="120"/>
    </w:pPr>
  </w:style>
  <w:style w:type="paragraph" w:styleId="870" w:customStyle="1">
    <w:name w:val="Normal11"/>
    <w:next w:val="868"/>
    <w:uiPriority w:val="0"/>
    <w:qFormat/>
    <w:pPr>
      <w:jc w:val="both"/>
      <w:widowControl w:val="off"/>
    </w:pPr>
    <w:rPr>
      <w:rFonts w:ascii="Times New Roman" w:hAnsi="Times New Roman" w:eastAsia="宋体" w:cs="Times New Roman"/>
      <w:szCs w:val="21"/>
      <w:lang w:val="en-US" w:eastAsia="zh-CN" w:bidi="ar-SA"/>
    </w:rPr>
  </w:style>
  <w:style w:type="paragraph" w:styleId="871" w:customStyle="1">
    <w:name w:val="标题 411"/>
    <w:basedOn w:val="820"/>
    <w:next w:val="820"/>
    <w:link w:val="884"/>
    <w:uiPriority w:val="0"/>
    <w:qFormat/>
    <w:pPr>
      <w:jc w:val="center"/>
      <w:keepNext/>
      <w:outlineLvl w:val="3"/>
    </w:pPr>
    <w:rPr>
      <w:rFonts w:eastAsia="新宋体"/>
      <w:sz w:val="30"/>
      <w:szCs w:val="21"/>
    </w:rPr>
  </w:style>
  <w:style w:type="paragraph" w:styleId="872" w:customStyle="1">
    <w:name w:val="标题 511"/>
    <w:basedOn w:val="820"/>
    <w:next w:val="820"/>
    <w:link w:val="885"/>
    <w:uiPriority w:val="0"/>
    <w:qFormat/>
    <w:pPr>
      <w:keepLines/>
      <w:keepNext/>
      <w:spacing w:before="320" w:after="200"/>
      <w:outlineLvl w:val="4"/>
    </w:pPr>
    <w:rPr>
      <w:rFonts w:ascii="Arial" w:hAnsi="Arial" w:eastAsia="Arial" w:cs="Arial"/>
      <w:b/>
      <w:bCs/>
      <w:sz w:val="24"/>
      <w:szCs w:val="24"/>
    </w:rPr>
  </w:style>
  <w:style w:type="paragraph" w:styleId="873" w:customStyle="1">
    <w:name w:val="标题 611"/>
    <w:basedOn w:val="820"/>
    <w:next w:val="820"/>
    <w:link w:val="886"/>
    <w:uiPriority w:val="0"/>
    <w:qFormat/>
    <w:pPr>
      <w:keepLines/>
      <w:keepNext/>
      <w:spacing w:before="320" w:after="200"/>
      <w:outlineLvl w:val="5"/>
    </w:pPr>
    <w:rPr>
      <w:rFonts w:ascii="Arial" w:hAnsi="Arial" w:eastAsia="Arial" w:cs="Arial"/>
      <w:b/>
      <w:bCs/>
      <w:sz w:val="22"/>
    </w:rPr>
  </w:style>
  <w:style w:type="paragraph" w:styleId="874" w:customStyle="1">
    <w:name w:val="标题 711"/>
    <w:basedOn w:val="820"/>
    <w:next w:val="820"/>
    <w:link w:val="887"/>
    <w:uiPriority w:val="0"/>
    <w:qFormat/>
    <w:pPr>
      <w:keepLines/>
      <w:keepNext/>
      <w:spacing w:before="320" w:after="200"/>
      <w:outlineLvl w:val="6"/>
    </w:pPr>
    <w:rPr>
      <w:rFonts w:ascii="Arial" w:hAnsi="Arial" w:eastAsia="Arial" w:cs="Arial"/>
      <w:b/>
      <w:bCs/>
      <w:i/>
      <w:iCs/>
      <w:sz w:val="22"/>
    </w:rPr>
  </w:style>
  <w:style w:type="paragraph" w:styleId="875" w:customStyle="1">
    <w:name w:val="标题 811"/>
    <w:basedOn w:val="820"/>
    <w:next w:val="820"/>
    <w:link w:val="888"/>
    <w:uiPriority w:val="0"/>
    <w:qFormat/>
    <w:pPr>
      <w:keepLines/>
      <w:keepNext/>
      <w:spacing w:before="320" w:after="200"/>
      <w:outlineLvl w:val="7"/>
    </w:pPr>
    <w:rPr>
      <w:rFonts w:ascii="Arial" w:hAnsi="Arial" w:eastAsia="Arial" w:cs="Arial"/>
      <w:i/>
      <w:iCs/>
      <w:sz w:val="22"/>
    </w:rPr>
  </w:style>
  <w:style w:type="paragraph" w:styleId="876" w:customStyle="1">
    <w:name w:val="标题 911"/>
    <w:basedOn w:val="820"/>
    <w:next w:val="820"/>
    <w:link w:val="889"/>
    <w:uiPriority w:val="0"/>
    <w:qFormat/>
    <w:pPr>
      <w:keepLines/>
      <w:keepNext/>
      <w:spacing w:before="320" w:after="200"/>
      <w:outlineLvl w:val="8"/>
    </w:pPr>
    <w:rPr>
      <w:rFonts w:ascii="Arial" w:hAnsi="Arial" w:eastAsia="Arial" w:cs="Arial"/>
      <w:i/>
      <w:iCs/>
      <w:szCs w:val="21"/>
    </w:rPr>
  </w:style>
  <w:style w:type="character" w:styleId="877" w:customStyle="1">
    <w:name w:val="默认段落字体11"/>
    <w:uiPriority w:val="1"/>
    <w:unhideWhenUsed/>
    <w:qFormat/>
  </w:style>
  <w:style w:type="table" w:styleId="878" w:customStyle="1">
    <w:name w:val="普通表格1"/>
    <w:uiPriority w:val="99"/>
    <w:unhideWhenUsed/>
    <w:qFormat/>
    <w:tblPr>
      <w:tblCellMar>
        <w:left w:w="0" w:type="dxa"/>
        <w:top w:w="0" w:type="dxa"/>
        <w:right w:w="0" w:type="dxa"/>
        <w:bottom w:w="0" w:type="dxa"/>
      </w:tblCellMar>
    </w:tblPr>
  </w:style>
  <w:style w:type="character" w:styleId="879" w:customStyle="1">
    <w:name w:val="页码1"/>
    <w:uiPriority w:val="0"/>
    <w:qFormat/>
    <w:rPr>
      <w:rFonts w:ascii="Calibri" w:hAnsi="Calibri"/>
      <w:sz w:val="21"/>
      <w:szCs w:val="22"/>
      <w:lang w:val="en-US" w:eastAsia="zh-CN" w:bidi="ar-SA"/>
    </w:rPr>
  </w:style>
  <w:style w:type="character" w:styleId="880" w:customStyle="1">
    <w:name w:val="标题 1 字符"/>
    <w:link w:val="861"/>
    <w:uiPriority w:val="0"/>
    <w:qFormat/>
    <w:rPr>
      <w:rFonts w:ascii="Arial" w:hAnsi="Arial" w:eastAsia="Arial" w:cs="Arial"/>
      <w:sz w:val="40"/>
      <w:szCs w:val="40"/>
    </w:rPr>
  </w:style>
  <w:style w:type="character" w:styleId="881" w:customStyle="1">
    <w:name w:val="标题 2 字符"/>
    <w:link w:val="862"/>
    <w:uiPriority w:val="0"/>
    <w:qFormat/>
    <w:rPr>
      <w:rFonts w:ascii="Arial" w:hAnsi="Arial" w:eastAsia="Arial" w:cs="Arial"/>
      <w:sz w:val="34"/>
    </w:rPr>
  </w:style>
  <w:style w:type="character" w:styleId="882" w:customStyle="1">
    <w:name w:val="正文缩进 字符"/>
    <w:link w:val="863"/>
    <w:uiPriority w:val="0"/>
    <w:qFormat/>
    <w:rPr>
      <w:rFonts w:ascii="宋体" w:hAnsi="Calibri"/>
      <w:color w:val="000000"/>
      <w:sz w:val="24"/>
    </w:rPr>
  </w:style>
  <w:style w:type="character" w:styleId="883" w:customStyle="1">
    <w:name w:val="标题 3 字符"/>
    <w:link w:val="864"/>
    <w:uiPriority w:val="0"/>
    <w:qFormat/>
    <w:rPr>
      <w:rFonts w:ascii="Arial" w:hAnsi="Arial" w:eastAsia="Arial" w:cs="Arial"/>
      <w:sz w:val="30"/>
      <w:szCs w:val="30"/>
    </w:rPr>
  </w:style>
  <w:style w:type="character" w:styleId="884" w:customStyle="1">
    <w:name w:val="标题 4 字符"/>
    <w:link w:val="871"/>
    <w:uiPriority w:val="0"/>
    <w:qFormat/>
    <w:rPr>
      <w:rFonts w:ascii="Arial" w:hAnsi="Arial" w:eastAsia="Arial" w:cs="Arial"/>
      <w:b/>
      <w:bCs/>
      <w:sz w:val="26"/>
      <w:szCs w:val="26"/>
    </w:rPr>
  </w:style>
  <w:style w:type="character" w:styleId="885" w:customStyle="1">
    <w:name w:val="标题 5 字符"/>
    <w:link w:val="872"/>
    <w:uiPriority w:val="0"/>
    <w:qFormat/>
    <w:rPr>
      <w:rFonts w:ascii="Arial" w:hAnsi="Arial" w:eastAsia="Arial" w:cs="Arial"/>
      <w:b/>
      <w:bCs/>
      <w:sz w:val="24"/>
      <w:szCs w:val="24"/>
    </w:rPr>
  </w:style>
  <w:style w:type="character" w:styleId="886" w:customStyle="1">
    <w:name w:val="标题 6 字符"/>
    <w:link w:val="873"/>
    <w:uiPriority w:val="0"/>
    <w:qFormat/>
    <w:rPr>
      <w:rFonts w:ascii="Arial" w:hAnsi="Arial" w:eastAsia="Arial" w:cs="Arial"/>
      <w:b/>
      <w:bCs/>
      <w:sz w:val="22"/>
      <w:szCs w:val="22"/>
    </w:rPr>
  </w:style>
  <w:style w:type="character" w:styleId="887" w:customStyle="1">
    <w:name w:val="标题 7 字符"/>
    <w:link w:val="874"/>
    <w:uiPriority w:val="0"/>
    <w:qFormat/>
    <w:rPr>
      <w:rFonts w:ascii="Arial" w:hAnsi="Arial" w:eastAsia="Arial" w:cs="Arial"/>
      <w:b/>
      <w:bCs/>
      <w:i/>
      <w:iCs/>
      <w:sz w:val="22"/>
      <w:szCs w:val="22"/>
    </w:rPr>
  </w:style>
  <w:style w:type="character" w:styleId="888" w:customStyle="1">
    <w:name w:val="标题 8 字符"/>
    <w:link w:val="875"/>
    <w:uiPriority w:val="0"/>
    <w:qFormat/>
    <w:rPr>
      <w:rFonts w:ascii="Arial" w:hAnsi="Arial" w:eastAsia="Arial" w:cs="Arial"/>
      <w:i/>
      <w:iCs/>
      <w:sz w:val="22"/>
      <w:szCs w:val="22"/>
    </w:rPr>
  </w:style>
  <w:style w:type="character" w:styleId="889" w:customStyle="1">
    <w:name w:val="标题 9 字符"/>
    <w:link w:val="876"/>
    <w:uiPriority w:val="0"/>
    <w:qFormat/>
    <w:rPr>
      <w:rFonts w:ascii="Arial" w:hAnsi="Arial" w:eastAsia="Arial" w:cs="Arial"/>
      <w:i/>
      <w:iCs/>
      <w:sz w:val="21"/>
      <w:szCs w:val="21"/>
    </w:rPr>
  </w:style>
  <w:style w:type="paragraph" w:styleId="890" w:customStyle="1">
    <w:name w:val="列表 31"/>
    <w:basedOn w:val="820"/>
    <w:uiPriority w:val="0"/>
    <w:qFormat/>
    <w:pPr>
      <w:ind w:left="100" w:hanging="200"/>
    </w:pPr>
    <w:rPr>
      <w:rFonts w:ascii="Times New Roman" w:hAnsi="Times New Roman"/>
      <w:szCs w:val="21"/>
    </w:rPr>
  </w:style>
  <w:style w:type="paragraph" w:styleId="891" w:customStyle="1">
    <w:name w:val="目录 71"/>
    <w:basedOn w:val="820"/>
    <w:next w:val="820"/>
    <w:uiPriority w:val="0"/>
    <w:unhideWhenUsed/>
    <w:qFormat/>
    <w:pPr>
      <w:ind w:left="1701"/>
      <w:spacing w:after="57"/>
    </w:pPr>
  </w:style>
  <w:style w:type="paragraph" w:styleId="892" w:customStyle="1">
    <w:name w:val="题注11"/>
    <w:basedOn w:val="820"/>
    <w:next w:val="820"/>
    <w:uiPriority w:val="35"/>
    <w:qFormat/>
    <w:pPr>
      <w:spacing w:line="276" w:lineRule="auto"/>
    </w:pPr>
    <w:rPr>
      <w:b/>
      <w:bCs/>
      <w:color w:val="5b9bd5"/>
      <w:sz w:val="18"/>
      <w:szCs w:val="18"/>
    </w:rPr>
  </w:style>
  <w:style w:type="paragraph" w:styleId="893" w:customStyle="1">
    <w:name w:val="文档结构图1"/>
    <w:basedOn w:val="820"/>
    <w:link w:val="894"/>
    <w:uiPriority w:val="0"/>
    <w:semiHidden/>
    <w:qFormat/>
    <w:pPr>
      <w:shd w:val="clear" w:color="auto" w:fill="000080"/>
    </w:pPr>
    <w:rPr>
      <w:rFonts w:ascii="Times New Roman" w:hAnsi="Times New Roman"/>
      <w:szCs w:val="21"/>
    </w:rPr>
  </w:style>
  <w:style w:type="character" w:styleId="894" w:customStyle="1">
    <w:name w:val="文档结构图 字符"/>
    <w:link w:val="893"/>
    <w:uiPriority w:val="0"/>
    <w:semiHidden/>
    <w:qFormat/>
    <w:rPr>
      <w:sz w:val="21"/>
      <w:szCs w:val="21"/>
      <w:shd w:val="clear" w:color="auto" w:fill="000080"/>
    </w:rPr>
  </w:style>
  <w:style w:type="paragraph" w:styleId="895" w:customStyle="1">
    <w:name w:val="批注文字1"/>
    <w:basedOn w:val="820"/>
    <w:link w:val="896"/>
    <w:uiPriority w:val="0"/>
    <w:semiHidden/>
    <w:qFormat/>
    <w:pPr>
      <w:jc w:val="left"/>
    </w:pPr>
    <w:rPr>
      <w:rFonts w:ascii="Times New Roman" w:hAnsi="Times New Roman"/>
      <w:szCs w:val="21"/>
    </w:rPr>
  </w:style>
  <w:style w:type="character" w:styleId="896" w:customStyle="1">
    <w:name w:val="批注文字 字符"/>
    <w:link w:val="895"/>
    <w:uiPriority w:val="0"/>
    <w:semiHidden/>
    <w:qFormat/>
    <w:rPr>
      <w:sz w:val="21"/>
      <w:szCs w:val="21"/>
    </w:rPr>
  </w:style>
  <w:style w:type="paragraph" w:styleId="897" w:customStyle="1">
    <w:name w:val="正文文本 31"/>
    <w:basedOn w:val="820"/>
    <w:link w:val="898"/>
    <w:uiPriority w:val="0"/>
    <w:qFormat/>
    <w:rPr>
      <w:rFonts w:ascii="仿宋_GB2312" w:hAnsi="Arial" w:eastAsia="仿宋_GB2312"/>
      <w:sz w:val="32"/>
      <w:szCs w:val="32"/>
    </w:rPr>
  </w:style>
  <w:style w:type="character" w:styleId="898" w:customStyle="1">
    <w:name w:val="正文文本 3 字符"/>
    <w:link w:val="897"/>
    <w:uiPriority w:val="0"/>
    <w:qFormat/>
    <w:rPr>
      <w:rFonts w:ascii="仿宋_GB2312" w:hAnsi="Arial" w:eastAsia="仿宋_GB2312"/>
      <w:sz w:val="32"/>
      <w:szCs w:val="32"/>
    </w:rPr>
  </w:style>
  <w:style w:type="paragraph" w:styleId="899" w:customStyle="1">
    <w:name w:val="正文文本111"/>
    <w:basedOn w:val="820"/>
    <w:uiPriority w:val="0"/>
    <w:semiHidden/>
    <w:qFormat/>
    <w:rPr>
      <w:rFonts w:ascii="仿宋" w:hAnsi="仿宋" w:eastAsia="仿宋" w:cs="仿宋"/>
      <w:sz w:val="32"/>
      <w:szCs w:val="32"/>
      <w:lang w:eastAsia="en-US"/>
    </w:rPr>
  </w:style>
  <w:style w:type="paragraph" w:styleId="900" w:customStyle="1">
    <w:name w:val="正文文本缩进111"/>
    <w:basedOn w:val="820"/>
    <w:link w:val="901"/>
    <w:uiPriority w:val="0"/>
    <w:qFormat/>
    <w:pPr>
      <w:ind w:firstLine="225"/>
    </w:pPr>
    <w:rPr>
      <w:rFonts w:ascii="仿宋_GB2312" w:eastAsia="仿宋_GB2312"/>
      <w:sz w:val="32"/>
    </w:rPr>
  </w:style>
  <w:style w:type="character" w:styleId="901" w:customStyle="1">
    <w:name w:val="正文文本缩进 字符1"/>
    <w:link w:val="900"/>
    <w:uiPriority w:val="0"/>
    <w:qFormat/>
    <w:rPr>
      <w:rFonts w:ascii="仿宋_GB2312" w:hAnsi="Calibri" w:eastAsia="仿宋_GB2312"/>
      <w:sz w:val="32"/>
      <w:szCs w:val="22"/>
    </w:rPr>
  </w:style>
  <w:style w:type="paragraph" w:styleId="902" w:customStyle="1">
    <w:name w:val="列表 21"/>
    <w:basedOn w:val="820"/>
    <w:uiPriority w:val="0"/>
    <w:qFormat/>
    <w:pPr>
      <w:ind w:left="100" w:hanging="200"/>
    </w:pPr>
    <w:rPr>
      <w:rFonts w:ascii="Times New Roman" w:hAnsi="Times New Roman"/>
      <w:szCs w:val="21"/>
    </w:rPr>
  </w:style>
  <w:style w:type="paragraph" w:styleId="903" w:customStyle="1">
    <w:name w:val="目录 51"/>
    <w:basedOn w:val="820"/>
    <w:next w:val="820"/>
    <w:uiPriority w:val="0"/>
    <w:unhideWhenUsed/>
    <w:qFormat/>
    <w:pPr>
      <w:ind w:left="1134"/>
      <w:spacing w:after="57"/>
    </w:pPr>
  </w:style>
  <w:style w:type="paragraph" w:styleId="904" w:customStyle="1">
    <w:name w:val="目录 31"/>
    <w:basedOn w:val="820"/>
    <w:next w:val="820"/>
    <w:uiPriority w:val="0"/>
    <w:unhideWhenUsed/>
    <w:qFormat/>
    <w:pPr>
      <w:ind w:left="567"/>
      <w:spacing w:after="57"/>
    </w:pPr>
  </w:style>
  <w:style w:type="paragraph" w:styleId="905" w:customStyle="1">
    <w:name w:val="纯文本11"/>
    <w:basedOn w:val="820"/>
    <w:link w:val="906"/>
    <w:uiPriority w:val="0"/>
    <w:qFormat/>
    <w:rPr>
      <w:rFonts w:ascii="宋体" w:hAnsi="Courier New" w:cs="Courier New"/>
      <w:szCs w:val="21"/>
    </w:rPr>
  </w:style>
  <w:style w:type="character" w:styleId="906" w:customStyle="1">
    <w:name w:val="纯文本 字符"/>
    <w:link w:val="905"/>
    <w:uiPriority w:val="0"/>
    <w:qFormat/>
    <w:rPr>
      <w:rFonts w:ascii="宋体" w:hAnsi="Courier New" w:cs="Courier New"/>
      <w:sz w:val="21"/>
      <w:szCs w:val="21"/>
    </w:rPr>
  </w:style>
  <w:style w:type="paragraph" w:styleId="907" w:customStyle="1">
    <w:name w:val="目录 81"/>
    <w:basedOn w:val="820"/>
    <w:next w:val="820"/>
    <w:uiPriority w:val="0"/>
    <w:unhideWhenUsed/>
    <w:qFormat/>
    <w:pPr>
      <w:ind w:left="1984"/>
      <w:spacing w:after="57"/>
    </w:pPr>
  </w:style>
  <w:style w:type="paragraph" w:styleId="908" w:customStyle="1">
    <w:name w:val="日期1"/>
    <w:basedOn w:val="820"/>
    <w:next w:val="820"/>
    <w:link w:val="909"/>
    <w:uiPriority w:val="0"/>
    <w:qFormat/>
    <w:rPr>
      <w:rFonts w:ascii="Times New Roman" w:hAnsi="Times New Roman"/>
      <w:sz w:val="24"/>
      <w:szCs w:val="24"/>
    </w:rPr>
  </w:style>
  <w:style w:type="character" w:styleId="909" w:customStyle="1">
    <w:name w:val="日期 字符"/>
    <w:link w:val="908"/>
    <w:uiPriority w:val="0"/>
    <w:qFormat/>
    <w:rPr>
      <w:sz w:val="24"/>
      <w:szCs w:val="24"/>
    </w:rPr>
  </w:style>
  <w:style w:type="paragraph" w:styleId="910" w:customStyle="1">
    <w:name w:val="正文文本缩进 21"/>
    <w:basedOn w:val="820"/>
    <w:link w:val="911"/>
    <w:uiPriority w:val="0"/>
    <w:qFormat/>
    <w:pPr>
      <w:ind w:left="630" w:firstLine="645"/>
    </w:pPr>
    <w:rPr>
      <w:rFonts w:ascii="Arial" w:hAnsi="Arial" w:eastAsia="仿宋_GB2312" w:cs="Arial"/>
      <w:sz w:val="32"/>
      <w:szCs w:val="32"/>
    </w:rPr>
  </w:style>
  <w:style w:type="character" w:styleId="911" w:customStyle="1">
    <w:name w:val="正文文本缩进 2 字符"/>
    <w:link w:val="910"/>
    <w:uiPriority w:val="0"/>
    <w:qFormat/>
    <w:rPr>
      <w:rFonts w:ascii="Arial" w:hAnsi="Arial" w:eastAsia="仿宋_GB2312" w:cs="Arial"/>
      <w:sz w:val="32"/>
      <w:szCs w:val="32"/>
    </w:rPr>
  </w:style>
  <w:style w:type="paragraph" w:styleId="912" w:customStyle="1">
    <w:name w:val="尾注文本1"/>
    <w:basedOn w:val="820"/>
    <w:link w:val="913"/>
    <w:uiPriority w:val="99"/>
    <w:unhideWhenUsed/>
    <w:qFormat/>
    <w:rPr>
      <w:sz w:val="20"/>
    </w:rPr>
  </w:style>
  <w:style w:type="character" w:styleId="913" w:customStyle="1">
    <w:name w:val="尾注文本 字符"/>
    <w:link w:val="912"/>
    <w:uiPriority w:val="99"/>
    <w:qFormat/>
    <w:rPr>
      <w:sz w:val="20"/>
    </w:rPr>
  </w:style>
  <w:style w:type="paragraph" w:styleId="914" w:customStyle="1">
    <w:name w:val="批注框文本1"/>
    <w:basedOn w:val="820"/>
    <w:link w:val="915"/>
    <w:uiPriority w:val="0"/>
    <w:qFormat/>
    <w:rPr>
      <w:rFonts w:ascii="Times New Roman" w:hAnsi="Times New Roman"/>
      <w:sz w:val="18"/>
      <w:szCs w:val="18"/>
    </w:rPr>
  </w:style>
  <w:style w:type="character" w:styleId="915" w:customStyle="1">
    <w:name w:val="批注框文本 字符"/>
    <w:link w:val="914"/>
    <w:uiPriority w:val="0"/>
    <w:qFormat/>
    <w:rPr>
      <w:sz w:val="18"/>
      <w:szCs w:val="18"/>
    </w:rPr>
  </w:style>
  <w:style w:type="paragraph" w:styleId="916" w:customStyle="1">
    <w:name w:val="页脚11"/>
    <w:basedOn w:val="820"/>
    <w:link w:val="917"/>
    <w:uiPriority w:val="99"/>
    <w:qFormat/>
    <w:pPr>
      <w:jc w:val="left"/>
      <w:tabs>
        <w:tab w:val="center" w:pos="4153" w:leader="none"/>
        <w:tab w:val="right" w:pos="8306" w:leader="none"/>
      </w:tabs>
    </w:pPr>
    <w:rPr>
      <w:sz w:val="18"/>
      <w:szCs w:val="18"/>
    </w:rPr>
  </w:style>
  <w:style w:type="character" w:styleId="917" w:customStyle="1">
    <w:name w:val="页脚 字符"/>
    <w:link w:val="916"/>
    <w:uiPriority w:val="99"/>
    <w:qFormat/>
  </w:style>
  <w:style w:type="paragraph" w:styleId="918" w:customStyle="1">
    <w:name w:val="页眉11"/>
    <w:basedOn w:val="820"/>
    <w:link w:val="919"/>
    <w:uiPriority w:val="0"/>
    <w:qFormat/>
    <w:pPr>
      <w:jc w:val="center"/>
      <w:tabs>
        <w:tab w:val="center" w:pos="4153" w:leader="none"/>
        <w:tab w:val="right" w:pos="8306" w:leader="none"/>
      </w:tabs>
    </w:pPr>
    <w:rPr>
      <w:sz w:val="18"/>
      <w:szCs w:val="18"/>
    </w:rPr>
  </w:style>
  <w:style w:type="character" w:styleId="919" w:customStyle="1">
    <w:name w:val="页眉 字符"/>
    <w:link w:val="918"/>
    <w:uiPriority w:val="0"/>
    <w:qFormat/>
    <w:rPr>
      <w:rFonts w:ascii="Calibri" w:hAnsi="Calibri"/>
      <w:sz w:val="18"/>
      <w:szCs w:val="18"/>
    </w:rPr>
  </w:style>
  <w:style w:type="paragraph" w:styleId="920" w:customStyle="1">
    <w:name w:val="目录 11"/>
    <w:basedOn w:val="820"/>
    <w:next w:val="820"/>
    <w:uiPriority w:val="0"/>
    <w:qFormat/>
    <w:pPr>
      <w:jc w:val="left"/>
      <w:spacing w:before="120" w:after="120"/>
    </w:pPr>
    <w:rPr>
      <w:rFonts w:cs="Calibri"/>
      <w:b/>
      <w:bCs/>
      <w:caps/>
      <w:sz w:val="20"/>
      <w:szCs w:val="20"/>
    </w:rPr>
  </w:style>
  <w:style w:type="paragraph" w:styleId="921" w:customStyle="1">
    <w:name w:val="目录 41"/>
    <w:basedOn w:val="820"/>
    <w:next w:val="820"/>
    <w:uiPriority w:val="0"/>
    <w:unhideWhenUsed/>
    <w:qFormat/>
    <w:pPr>
      <w:ind w:left="850"/>
      <w:spacing w:after="57"/>
    </w:pPr>
  </w:style>
  <w:style w:type="paragraph" w:styleId="922" w:customStyle="1">
    <w:name w:val="副标题1"/>
    <w:basedOn w:val="820"/>
    <w:next w:val="820"/>
    <w:link w:val="923"/>
    <w:uiPriority w:val="11"/>
    <w:qFormat/>
    <w:pPr>
      <w:spacing w:before="200" w:after="200"/>
    </w:pPr>
    <w:rPr>
      <w:sz w:val="24"/>
      <w:szCs w:val="24"/>
    </w:rPr>
  </w:style>
  <w:style w:type="character" w:styleId="923" w:customStyle="1">
    <w:name w:val="副标题 字符"/>
    <w:link w:val="922"/>
    <w:uiPriority w:val="11"/>
    <w:qFormat/>
    <w:rPr>
      <w:sz w:val="24"/>
      <w:szCs w:val="24"/>
    </w:rPr>
  </w:style>
  <w:style w:type="paragraph" w:styleId="924" w:customStyle="1">
    <w:name w:val="列表1"/>
    <w:basedOn w:val="820"/>
    <w:uiPriority w:val="0"/>
    <w:qFormat/>
    <w:pPr>
      <w:ind w:left="200" w:hanging="200"/>
    </w:pPr>
    <w:rPr>
      <w:rFonts w:ascii="Times New Roman" w:hAnsi="Times New Roman"/>
      <w:szCs w:val="21"/>
    </w:rPr>
  </w:style>
  <w:style w:type="paragraph" w:styleId="925" w:customStyle="1">
    <w:name w:val="脚注文本11"/>
    <w:basedOn w:val="820"/>
    <w:link w:val="926"/>
    <w:uiPriority w:val="99"/>
    <w:unhideWhenUsed/>
    <w:qFormat/>
    <w:pPr>
      <w:spacing w:after="40"/>
    </w:pPr>
    <w:rPr>
      <w:sz w:val="18"/>
    </w:rPr>
  </w:style>
  <w:style w:type="character" w:styleId="926" w:customStyle="1">
    <w:name w:val="脚注文本 字符"/>
    <w:link w:val="925"/>
    <w:uiPriority w:val="99"/>
    <w:qFormat/>
    <w:rPr>
      <w:sz w:val="18"/>
    </w:rPr>
  </w:style>
  <w:style w:type="paragraph" w:styleId="927" w:customStyle="1">
    <w:name w:val="目录 61"/>
    <w:basedOn w:val="820"/>
    <w:next w:val="820"/>
    <w:uiPriority w:val="0"/>
    <w:unhideWhenUsed/>
    <w:qFormat/>
    <w:pPr>
      <w:ind w:left="1417"/>
      <w:spacing w:after="57"/>
    </w:pPr>
  </w:style>
  <w:style w:type="paragraph" w:styleId="928" w:customStyle="1">
    <w:name w:val="正文文本缩进 31"/>
    <w:basedOn w:val="820"/>
    <w:link w:val="929"/>
    <w:uiPriority w:val="0"/>
    <w:qFormat/>
    <w:pPr>
      <w:ind w:left="645" w:firstLine="645"/>
    </w:pPr>
    <w:rPr>
      <w:rFonts w:ascii="Arial" w:hAnsi="Arial" w:eastAsia="仿宋_GB2312" w:cs="Arial"/>
      <w:color w:val="ffff00"/>
      <w:sz w:val="32"/>
      <w:szCs w:val="32"/>
    </w:rPr>
  </w:style>
  <w:style w:type="character" w:styleId="929" w:customStyle="1">
    <w:name w:val="正文文本缩进 3 字符"/>
    <w:link w:val="928"/>
    <w:uiPriority w:val="0"/>
    <w:qFormat/>
    <w:rPr>
      <w:rFonts w:ascii="Arial" w:hAnsi="Arial" w:eastAsia="仿宋_GB2312" w:cs="Arial"/>
      <w:color w:val="ffff00"/>
      <w:sz w:val="32"/>
      <w:szCs w:val="32"/>
    </w:rPr>
  </w:style>
  <w:style w:type="paragraph" w:styleId="930" w:customStyle="1">
    <w:name w:val="图表目录1"/>
    <w:basedOn w:val="820"/>
    <w:next w:val="820"/>
    <w:uiPriority w:val="0"/>
    <w:unhideWhenUsed/>
    <w:qFormat/>
  </w:style>
  <w:style w:type="paragraph" w:styleId="931" w:customStyle="1">
    <w:name w:val="目录 21"/>
    <w:basedOn w:val="820"/>
    <w:next w:val="820"/>
    <w:uiPriority w:val="0"/>
    <w:qFormat/>
    <w:pPr>
      <w:ind w:left="210"/>
      <w:jc w:val="left"/>
    </w:pPr>
    <w:rPr>
      <w:rFonts w:cs="Calibri"/>
      <w:smallCaps/>
      <w:sz w:val="20"/>
      <w:szCs w:val="20"/>
    </w:rPr>
  </w:style>
  <w:style w:type="paragraph" w:styleId="932" w:customStyle="1">
    <w:name w:val="目录 91"/>
    <w:basedOn w:val="820"/>
    <w:next w:val="820"/>
    <w:uiPriority w:val="0"/>
    <w:unhideWhenUsed/>
    <w:qFormat/>
    <w:pPr>
      <w:ind w:left="2268"/>
      <w:spacing w:after="57"/>
    </w:pPr>
  </w:style>
  <w:style w:type="paragraph" w:styleId="933" w:customStyle="1">
    <w:name w:val="正文文本 21"/>
    <w:basedOn w:val="820"/>
    <w:link w:val="934"/>
    <w:uiPriority w:val="0"/>
    <w:qFormat/>
    <w:pPr>
      <w:jc w:val="center"/>
      <w:widowControl/>
    </w:pPr>
    <w:rPr>
      <w:rFonts w:ascii="楷体_GB2312" w:hAnsi="Times New Roman" w:eastAsia="楷体_GB2312"/>
      <w:sz w:val="28"/>
      <w:szCs w:val="28"/>
    </w:rPr>
  </w:style>
  <w:style w:type="character" w:styleId="934" w:customStyle="1">
    <w:name w:val="正文文本 2 字符"/>
    <w:link w:val="933"/>
    <w:uiPriority w:val="0"/>
    <w:qFormat/>
    <w:rPr>
      <w:rFonts w:ascii="楷体_GB2312" w:eastAsia="楷体_GB2312"/>
      <w:sz w:val="28"/>
      <w:szCs w:val="28"/>
    </w:rPr>
  </w:style>
  <w:style w:type="paragraph" w:styleId="935" w:customStyle="1">
    <w:name w:val="HTML 预设格式1"/>
    <w:basedOn w:val="820"/>
    <w:link w:val="93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6" w:customStyle="1">
    <w:name w:val="HTML 预设格式 字符"/>
    <w:link w:val="935"/>
    <w:uiPriority w:val="99"/>
    <w:qFormat/>
    <w:rPr>
      <w:rFonts w:ascii="宋体" w:hAnsi="宋体"/>
      <w:sz w:val="24"/>
      <w:szCs w:val="24"/>
    </w:rPr>
  </w:style>
  <w:style w:type="paragraph" w:styleId="937" w:customStyle="1">
    <w:name w:val="普通(网站)111"/>
    <w:basedOn w:val="820"/>
    <w:uiPriority w:val="99"/>
    <w:qFormat/>
    <w:pPr>
      <w:jc w:val="left"/>
      <w:spacing w:before="100" w:beforeAutospacing="1" w:after="100" w:afterAutospacing="1"/>
      <w:widowControl/>
    </w:pPr>
    <w:rPr>
      <w:rFonts w:ascii="宋体" w:hAnsi="宋体" w:cs="宋体"/>
      <w:sz w:val="24"/>
      <w:szCs w:val="24"/>
    </w:rPr>
  </w:style>
  <w:style w:type="paragraph" w:styleId="938" w:customStyle="1">
    <w:name w:val="索引 11"/>
    <w:basedOn w:val="820"/>
    <w:next w:val="820"/>
    <w:uiPriority w:val="0"/>
    <w:semiHidden/>
    <w:qFormat/>
    <w:pPr>
      <w:spacing w:line="240" w:lineRule="atLeast"/>
    </w:pPr>
    <w:rPr>
      <w:rFonts w:ascii="Times New Roman" w:hAnsi="Times New Roman"/>
      <w:b/>
      <w:bCs/>
      <w:szCs w:val="21"/>
    </w:rPr>
  </w:style>
  <w:style w:type="paragraph" w:styleId="939" w:customStyle="1">
    <w:name w:val="标题11"/>
    <w:basedOn w:val="820"/>
    <w:next w:val="820"/>
    <w:link w:val="940"/>
    <w:uiPriority w:val="10"/>
    <w:qFormat/>
    <w:pPr>
      <w:contextualSpacing/>
      <w:spacing w:before="300" w:after="200"/>
    </w:pPr>
    <w:rPr>
      <w:sz w:val="48"/>
      <w:szCs w:val="48"/>
    </w:rPr>
  </w:style>
  <w:style w:type="character" w:styleId="940" w:customStyle="1">
    <w:name w:val="标题 字符"/>
    <w:link w:val="939"/>
    <w:uiPriority w:val="10"/>
    <w:qFormat/>
    <w:rPr>
      <w:sz w:val="48"/>
      <w:szCs w:val="48"/>
    </w:rPr>
  </w:style>
  <w:style w:type="paragraph" w:styleId="941" w:customStyle="1">
    <w:name w:val="批注主题1"/>
    <w:basedOn w:val="895"/>
    <w:next w:val="895"/>
    <w:link w:val="942"/>
    <w:uiPriority w:val="0"/>
    <w:semiHidden/>
    <w:qFormat/>
    <w:rPr>
      <w:b/>
      <w:bCs/>
    </w:rPr>
  </w:style>
  <w:style w:type="character" w:styleId="942" w:customStyle="1">
    <w:name w:val="批注主题 字符"/>
    <w:link w:val="941"/>
    <w:uiPriority w:val="0"/>
    <w:semiHidden/>
    <w:qFormat/>
    <w:rPr>
      <w:b/>
      <w:bCs/>
      <w:sz w:val="21"/>
      <w:szCs w:val="21"/>
    </w:rPr>
  </w:style>
  <w:style w:type="paragraph" w:styleId="943" w:customStyle="1">
    <w:name w:val="正文首行缩进 2111"/>
    <w:basedOn w:val="900"/>
    <w:link w:val="944"/>
    <w:uiPriority w:val="0"/>
    <w:qFormat/>
    <w:pPr>
      <w:ind w:firstLine="420"/>
      <w:spacing w:line="360" w:lineRule="auto"/>
    </w:pPr>
    <w:rPr>
      <w:rFonts w:ascii="宋体" w:hAnsi="宋体" w:eastAsia="宋体"/>
      <w:sz w:val="21"/>
      <w:szCs w:val="20"/>
    </w:rPr>
  </w:style>
  <w:style w:type="character" w:styleId="944" w:customStyle="1">
    <w:name w:val="正文文本首行缩进 2 字符"/>
    <w:link w:val="943"/>
    <w:uiPriority w:val="0"/>
    <w:qFormat/>
    <w:rPr>
      <w:rFonts w:ascii="宋体" w:hAnsi="宋体" w:eastAsia="仿宋_GB2312"/>
      <w:sz w:val="21"/>
      <w:szCs w:val="22"/>
    </w:rPr>
  </w:style>
  <w:style w:type="table" w:styleId="945" w:customStyle="1">
    <w:name w:val="网格型1"/>
    <w:basedOn w:val="878"/>
    <w:uiPriority w:val="0"/>
    <w:qFormat/>
    <w:pPr>
      <w:jc w:val="both"/>
      <w:widowControl w:val="off"/>
    </w:pPr>
    <w:tblPr/>
  </w:style>
  <w:style w:type="character" w:styleId="946" w:customStyle="1">
    <w:name w:val="要点1"/>
    <w:uiPriority w:val="0"/>
    <w:qFormat/>
    <w:rPr>
      <w:b/>
      <w:bCs/>
    </w:rPr>
  </w:style>
  <w:style w:type="character" w:styleId="947" w:customStyle="1">
    <w:name w:val="尾注引用1"/>
    <w:uiPriority w:val="99"/>
    <w:unhideWhenUsed/>
    <w:qFormat/>
    <w:rPr>
      <w:vertAlign w:val="superscript"/>
    </w:rPr>
  </w:style>
  <w:style w:type="character" w:styleId="948" w:customStyle="1">
    <w:name w:val="页码2"/>
    <w:uiPriority w:val="0"/>
    <w:qFormat/>
  </w:style>
  <w:style w:type="character" w:styleId="949" w:customStyle="1">
    <w:name w:val="已访问的超链接1"/>
    <w:uiPriority w:val="0"/>
    <w:qFormat/>
    <w:rPr>
      <w:color w:val="800080"/>
      <w:u w:val="single"/>
    </w:rPr>
  </w:style>
  <w:style w:type="character" w:styleId="950" w:customStyle="1">
    <w:name w:val="超链接1"/>
    <w:uiPriority w:val="0"/>
    <w:qFormat/>
    <w:rPr>
      <w:color w:val="0000ff"/>
      <w:u w:val="single"/>
    </w:rPr>
  </w:style>
  <w:style w:type="character" w:styleId="951" w:customStyle="1">
    <w:name w:val="批注引用1"/>
    <w:uiPriority w:val="0"/>
    <w:semiHidden/>
    <w:qFormat/>
    <w:rPr>
      <w:sz w:val="21"/>
      <w:szCs w:val="21"/>
    </w:rPr>
  </w:style>
  <w:style w:type="character" w:styleId="952" w:customStyle="1">
    <w:name w:val="脚注引用1"/>
    <w:uiPriority w:val="99"/>
    <w:unhideWhenUsed/>
    <w:qFormat/>
    <w:rPr>
      <w:vertAlign w:val="superscript"/>
    </w:rPr>
  </w:style>
  <w:style w:type="paragraph" w:styleId="953" w:customStyle="1">
    <w:name w:val="标题二、"/>
    <w:basedOn w:val="820"/>
    <w:uiPriority w:val="99"/>
    <w:qFormat/>
    <w:pPr>
      <w:ind w:firstLine="200"/>
      <w:spacing w:line="360" w:lineRule="auto"/>
      <w:outlineLvl w:val="2"/>
    </w:pPr>
    <w:rPr>
      <w:rFonts w:ascii="宋体" w:hAnsi="宋体"/>
      <w:b/>
    </w:rPr>
  </w:style>
  <w:style w:type="paragraph" w:styleId="954" w:customStyle="1">
    <w:name w:val="正文首行缩进 21"/>
    <w:basedOn w:val="955"/>
    <w:next w:val="820"/>
    <w:uiPriority w:val="0"/>
    <w:qFormat/>
    <w:pPr>
      <w:ind w:firstLine="420"/>
      <w:spacing w:line="360" w:lineRule="auto"/>
    </w:pPr>
    <w:rPr>
      <w:rFonts w:ascii="宋体" w:hAnsi="宋体" w:eastAsia="宋体"/>
      <w:sz w:val="21"/>
      <w:szCs w:val="20"/>
    </w:rPr>
  </w:style>
  <w:style w:type="paragraph" w:styleId="955" w:customStyle="1">
    <w:name w:val="正文文本缩进1"/>
    <w:basedOn w:val="820"/>
    <w:next w:val="956"/>
    <w:uiPriority w:val="0"/>
    <w:qFormat/>
    <w:pPr>
      <w:ind w:firstLine="645"/>
    </w:pPr>
    <w:rPr>
      <w:rFonts w:ascii="楷体_GB2312" w:eastAsia="楷体_GB2312"/>
      <w:sz w:val="32"/>
      <w:szCs w:val="32"/>
    </w:rPr>
  </w:style>
  <w:style w:type="paragraph" w:styleId="956" w:customStyle="1">
    <w:name w:val="寄信人地址1"/>
    <w:basedOn w:val="820"/>
    <w:uiPriority w:val="0"/>
    <w:qFormat/>
    <w:rPr>
      <w:rFonts w:ascii="Arial" w:hAnsi="Arial"/>
    </w:rPr>
  </w:style>
  <w:style w:type="paragraph" w:styleId="957" w:customStyle="1">
    <w:name w:val="标题 412"/>
    <w:basedOn w:val="958"/>
    <w:next w:val="82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58" w:customStyle="1">
    <w:name w:val="Normal_20"/>
    <w:next w:val="959"/>
    <w:uiPriority w:val="0"/>
    <w:qFormat/>
    <w:rPr>
      <w:rFonts w:ascii="黑体" w:hAnsi="黑体" w:eastAsia="黑体" w:cs="黑体"/>
      <w:b/>
      <w:sz w:val="32"/>
      <w:szCs w:val="24"/>
      <w:lang w:val="en-US" w:eastAsia="zh-CN" w:bidi="ar-SA"/>
    </w:rPr>
  </w:style>
  <w:style w:type="paragraph" w:styleId="959" w:customStyle="1">
    <w:name w:val="Body Text First Indent_2"/>
    <w:basedOn w:val="958"/>
    <w:uiPriority w:val="0"/>
    <w:qFormat/>
    <w:pPr>
      <w:ind w:firstLine="100"/>
      <w:spacing w:after="120"/>
    </w:pPr>
  </w:style>
  <w:style w:type="paragraph" w:styleId="960" w:customStyle="1">
    <w:name w:val="脚注文本1"/>
    <w:basedOn w:val="820"/>
    <w:uiPriority w:val="0"/>
    <w:qFormat/>
    <w:pPr>
      <w:jc w:val="left"/>
    </w:pPr>
    <w:rPr>
      <w:rFonts w:eastAsia="Times New Roman"/>
      <w:sz w:val="18"/>
      <w:szCs w:val="24"/>
    </w:rPr>
  </w:style>
  <w:style w:type="table" w:styleId="961" w:customStyle="1">
    <w:name w:val="无格式表格 11"/>
    <w:basedOn w:val="878"/>
    <w:uiPriority w:val="59"/>
    <w:qFormat/>
    <w:tblPr/>
  </w:style>
  <w:style w:type="table" w:styleId="962" w:customStyle="1">
    <w:name w:val="无格式表格 21"/>
    <w:basedOn w:val="878"/>
    <w:uiPriority w:val="59"/>
    <w:qFormat/>
    <w:tblPr/>
  </w:style>
  <w:style w:type="table" w:styleId="963" w:customStyle="1">
    <w:name w:val="无格式表格 31"/>
    <w:basedOn w:val="878"/>
    <w:uiPriority w:val="99"/>
    <w:qFormat/>
    <w:tblPr/>
  </w:style>
  <w:style w:type="table" w:styleId="964" w:customStyle="1">
    <w:name w:val="无格式表格 41"/>
    <w:basedOn w:val="878"/>
    <w:uiPriority w:val="99"/>
    <w:qFormat/>
    <w:tblPr/>
  </w:style>
  <w:style w:type="table" w:styleId="965" w:customStyle="1">
    <w:name w:val="无格式表格 51"/>
    <w:basedOn w:val="878"/>
    <w:uiPriority w:val="99"/>
    <w:qFormat/>
    <w:tblPr/>
  </w:style>
  <w:style w:type="table" w:styleId="966" w:customStyle="1">
    <w:name w:val="网格表 1 浅色1"/>
    <w:basedOn w:val="878"/>
    <w:uiPriority w:val="99"/>
    <w:qFormat/>
    <w:tblPr/>
  </w:style>
  <w:style w:type="table" w:styleId="967" w:customStyle="1">
    <w:name w:val="网格表 21"/>
    <w:basedOn w:val="878"/>
    <w:uiPriority w:val="99"/>
    <w:qFormat/>
    <w:tblPr/>
  </w:style>
  <w:style w:type="table" w:styleId="968" w:customStyle="1">
    <w:name w:val="网格表 31"/>
    <w:basedOn w:val="878"/>
    <w:uiPriority w:val="99"/>
    <w:qFormat/>
    <w:tblPr/>
  </w:style>
  <w:style w:type="table" w:styleId="969" w:customStyle="1">
    <w:name w:val="网格表 41"/>
    <w:basedOn w:val="878"/>
    <w:uiPriority w:val="59"/>
    <w:qFormat/>
    <w:tblPr/>
  </w:style>
  <w:style w:type="table" w:styleId="970" w:customStyle="1">
    <w:name w:val="网格表 5 深色1"/>
    <w:basedOn w:val="878"/>
    <w:uiPriority w:val="99"/>
    <w:qFormat/>
    <w:tblPr/>
  </w:style>
  <w:style w:type="table" w:styleId="971" w:customStyle="1">
    <w:name w:val="网格表 6 彩色1"/>
    <w:basedOn w:val="878"/>
    <w:uiPriority w:val="99"/>
    <w:qFormat/>
    <w:tblPr/>
  </w:style>
  <w:style w:type="table" w:styleId="972" w:customStyle="1">
    <w:name w:val="网格表 7 彩色1"/>
    <w:basedOn w:val="878"/>
    <w:uiPriority w:val="99"/>
    <w:qFormat/>
    <w:tblPr/>
  </w:style>
  <w:style w:type="table" w:styleId="973" w:customStyle="1">
    <w:name w:val="清单表 1 浅色1"/>
    <w:basedOn w:val="878"/>
    <w:uiPriority w:val="99"/>
    <w:qFormat/>
    <w:tblPr/>
  </w:style>
  <w:style w:type="table" w:styleId="974" w:customStyle="1">
    <w:name w:val="清单表 21"/>
    <w:basedOn w:val="878"/>
    <w:uiPriority w:val="99"/>
    <w:qFormat/>
    <w:tblPr/>
  </w:style>
  <w:style w:type="table" w:styleId="975" w:customStyle="1">
    <w:name w:val="清单表 31"/>
    <w:basedOn w:val="878"/>
    <w:uiPriority w:val="99"/>
    <w:qFormat/>
    <w:tblPr/>
  </w:style>
  <w:style w:type="table" w:styleId="976" w:customStyle="1">
    <w:name w:val="清单表 41"/>
    <w:basedOn w:val="878"/>
    <w:uiPriority w:val="99"/>
    <w:qFormat/>
    <w:tblPr/>
  </w:style>
  <w:style w:type="table" w:styleId="977" w:customStyle="1">
    <w:name w:val="清单表 5 深色1"/>
    <w:basedOn w:val="878"/>
    <w:uiPriority w:val="99"/>
    <w:qFormat/>
    <w:tblPr/>
  </w:style>
  <w:style w:type="table" w:styleId="978" w:customStyle="1">
    <w:name w:val="清单表 6 彩色1"/>
    <w:basedOn w:val="878"/>
    <w:uiPriority w:val="99"/>
    <w:qFormat/>
    <w:tblPr/>
  </w:style>
  <w:style w:type="table" w:styleId="979" w:customStyle="1">
    <w:name w:val="清单表 7 彩色1"/>
    <w:basedOn w:val="878"/>
    <w:uiPriority w:val="99"/>
    <w:qFormat/>
    <w:tblPr/>
  </w:style>
  <w:style w:type="paragraph" w:styleId="980" w:customStyle="1">
    <w:name w:val="TOC 标题1"/>
    <w:uiPriority w:val="39"/>
    <w:unhideWhenUsed/>
    <w:qFormat/>
    <w:rPr>
      <w:rFonts w:ascii="Times New Roman" w:hAnsi="Times New Roman" w:eastAsia="宋体" w:cs="Times New Roman"/>
      <w:lang w:val="en-US" w:eastAsia="zh-CN" w:bidi="ar-SA"/>
    </w:rPr>
  </w:style>
  <w:style w:type="paragraph" w:styleId="981" w:customStyle="1">
    <w:name w:val="TOC 标题111"/>
    <w:uiPriority w:val="39"/>
    <w:unhideWhenUsed/>
    <w:qFormat/>
    <w:rPr>
      <w:rFonts w:ascii="Times New Roman" w:hAnsi="Times New Roman" w:eastAsia="宋体" w:cs="Times New Roman"/>
      <w:lang w:val="en-US" w:eastAsia="zh-CN" w:bidi="ar-SA"/>
    </w:rPr>
  </w:style>
  <w:style w:type="paragraph" w:styleId="982" w:customStyle="1">
    <w:name w:val="Normal_21"/>
    <w:basedOn w:val="983"/>
    <w:next w:val="983"/>
    <w:uiPriority w:val="0"/>
    <w:qFormat/>
    <w:rPr>
      <w:rFonts w:ascii="Times New Roman" w:hAnsi="Times New Roman"/>
      <w:szCs w:val="24"/>
    </w:rPr>
  </w:style>
  <w:style w:type="paragraph" w:styleId="983" w:customStyle="1">
    <w:name w:val="正文_16"/>
    <w:next w:val="984"/>
    <w:uiPriority w:val="0"/>
    <w:qFormat/>
    <w:pPr>
      <w:jc w:val="both"/>
      <w:widowControl w:val="off"/>
    </w:pPr>
    <w:rPr>
      <w:rFonts w:ascii="Calibri" w:hAnsi="Calibri" w:eastAsia="宋体" w:cs="Times New Roman"/>
      <w:sz w:val="21"/>
      <w:szCs w:val="22"/>
      <w:lang w:val="en-US" w:eastAsia="zh-CN" w:bidi="ar-SA"/>
    </w:rPr>
  </w:style>
  <w:style w:type="paragraph" w:styleId="984" w:customStyle="1">
    <w:name w:val="正文文本 2_0"/>
    <w:basedOn w:val="983"/>
    <w:uiPriority w:val="0"/>
    <w:qFormat/>
    <w:rPr>
      <w:rFonts w:ascii="仿宋_GB2312" w:eastAsia="仿宋_GB2312"/>
      <w:sz w:val="28"/>
    </w:rPr>
  </w:style>
  <w:style w:type="paragraph" w:styleId="985" w:customStyle="1">
    <w:name w:val="正文_17"/>
    <w:next w:val="986"/>
    <w:uiPriority w:val="0"/>
    <w:qFormat/>
    <w:pPr>
      <w:jc w:val="both"/>
      <w:widowControl w:val="off"/>
    </w:pPr>
    <w:rPr>
      <w:rFonts w:ascii="Times New Roman" w:hAnsi="Times New Roman" w:eastAsia="宋体" w:cs="Times New Roman"/>
      <w:sz w:val="21"/>
      <w:szCs w:val="22"/>
      <w:lang w:val="en-US" w:eastAsia="zh-CN" w:bidi="ar-SA"/>
    </w:rPr>
  </w:style>
  <w:style w:type="paragraph" w:styleId="986" w:customStyle="1">
    <w:name w:val="标题 4_1"/>
    <w:basedOn w:val="985"/>
    <w:next w:val="98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87" w:customStyle="1">
    <w:name w:val="Heading 1 Char"/>
    <w:uiPriority w:val="9"/>
    <w:qFormat/>
    <w:rPr>
      <w:rFonts w:ascii="Arial" w:hAnsi="Arial" w:eastAsia="Arial" w:cs="Arial"/>
      <w:sz w:val="40"/>
      <w:szCs w:val="40"/>
    </w:rPr>
  </w:style>
  <w:style w:type="character" w:styleId="988" w:customStyle="1">
    <w:name w:val="Heading 2 Char"/>
    <w:uiPriority w:val="9"/>
    <w:qFormat/>
    <w:rPr>
      <w:rFonts w:ascii="Arial" w:hAnsi="Arial" w:eastAsia="Arial" w:cs="Arial"/>
      <w:sz w:val="34"/>
    </w:rPr>
  </w:style>
  <w:style w:type="character" w:styleId="989" w:customStyle="1">
    <w:name w:val="Heading 3 Char"/>
    <w:uiPriority w:val="9"/>
    <w:qFormat/>
    <w:rPr>
      <w:rFonts w:ascii="Arial" w:hAnsi="Arial" w:eastAsia="Arial" w:cs="Arial"/>
      <w:sz w:val="30"/>
      <w:szCs w:val="30"/>
    </w:rPr>
  </w:style>
  <w:style w:type="character" w:styleId="990" w:customStyle="1">
    <w:name w:val="Heading 4 Char"/>
    <w:uiPriority w:val="9"/>
    <w:qFormat/>
    <w:rPr>
      <w:rFonts w:ascii="Arial" w:hAnsi="Arial" w:eastAsia="Arial" w:cs="Arial"/>
      <w:b/>
      <w:bCs/>
      <w:sz w:val="26"/>
      <w:szCs w:val="26"/>
    </w:rPr>
  </w:style>
  <w:style w:type="character" w:styleId="991" w:customStyle="1">
    <w:name w:val="Heading 5 Char"/>
    <w:uiPriority w:val="9"/>
    <w:qFormat/>
    <w:rPr>
      <w:rFonts w:ascii="Arial" w:hAnsi="Arial" w:eastAsia="Arial" w:cs="Arial"/>
      <w:b/>
      <w:bCs/>
      <w:sz w:val="24"/>
      <w:szCs w:val="24"/>
    </w:rPr>
  </w:style>
  <w:style w:type="character" w:styleId="992" w:customStyle="1">
    <w:name w:val="Heading 6 Char"/>
    <w:uiPriority w:val="9"/>
    <w:qFormat/>
    <w:rPr>
      <w:rFonts w:ascii="Arial" w:hAnsi="Arial" w:eastAsia="Arial" w:cs="Arial"/>
      <w:b/>
      <w:bCs/>
      <w:sz w:val="22"/>
      <w:szCs w:val="22"/>
    </w:rPr>
  </w:style>
  <w:style w:type="character" w:styleId="993" w:customStyle="1">
    <w:name w:val="Heading 7 Char"/>
    <w:uiPriority w:val="9"/>
    <w:qFormat/>
    <w:rPr>
      <w:rFonts w:ascii="Arial" w:hAnsi="Arial" w:eastAsia="Arial" w:cs="Arial"/>
      <w:b/>
      <w:bCs/>
      <w:i/>
      <w:iCs/>
      <w:sz w:val="22"/>
      <w:szCs w:val="22"/>
    </w:rPr>
  </w:style>
  <w:style w:type="character" w:styleId="994" w:customStyle="1">
    <w:name w:val="Heading 8 Char"/>
    <w:uiPriority w:val="9"/>
    <w:qFormat/>
    <w:rPr>
      <w:rFonts w:ascii="Arial" w:hAnsi="Arial" w:eastAsia="Arial" w:cs="Arial"/>
      <w:i/>
      <w:iCs/>
      <w:sz w:val="22"/>
      <w:szCs w:val="22"/>
    </w:rPr>
  </w:style>
  <w:style w:type="character" w:styleId="995" w:customStyle="1">
    <w:name w:val="Heading 9 Char"/>
    <w:uiPriority w:val="9"/>
    <w:qFormat/>
    <w:rPr>
      <w:rFonts w:ascii="Arial" w:hAnsi="Arial" w:eastAsia="Arial" w:cs="Arial"/>
      <w:i/>
      <w:iCs/>
      <w:sz w:val="21"/>
      <w:szCs w:val="21"/>
    </w:rPr>
  </w:style>
  <w:style w:type="character" w:styleId="996" w:customStyle="1">
    <w:name w:val="Title Char"/>
    <w:uiPriority w:val="10"/>
    <w:qFormat/>
    <w:rPr>
      <w:sz w:val="48"/>
      <w:szCs w:val="48"/>
    </w:rPr>
  </w:style>
  <w:style w:type="character" w:styleId="997" w:customStyle="1">
    <w:name w:val="Subtitle Char"/>
    <w:uiPriority w:val="11"/>
    <w:qFormat/>
    <w:rPr>
      <w:sz w:val="24"/>
      <w:szCs w:val="24"/>
    </w:rPr>
  </w:style>
  <w:style w:type="character" w:styleId="998" w:customStyle="1">
    <w:name w:val="Quote Char"/>
    <w:uiPriority w:val="29"/>
    <w:qFormat/>
    <w:rPr>
      <w:i/>
    </w:rPr>
  </w:style>
  <w:style w:type="character" w:styleId="999" w:customStyle="1">
    <w:name w:val="Intense Quote Char"/>
    <w:uiPriority w:val="30"/>
    <w:qFormat/>
    <w:rPr>
      <w:i/>
    </w:rPr>
  </w:style>
  <w:style w:type="character" w:styleId="1000" w:customStyle="1">
    <w:name w:val="Caption Char"/>
    <w:uiPriority w:val="99"/>
    <w:qFormat/>
  </w:style>
  <w:style w:type="character" w:styleId="1001" w:customStyle="1">
    <w:name w:val="Footnote Text Char"/>
    <w:uiPriority w:val="99"/>
    <w:qFormat/>
    <w:rPr>
      <w:sz w:val="18"/>
    </w:rPr>
  </w:style>
  <w:style w:type="character" w:styleId="1002" w:customStyle="1">
    <w:name w:val="Endnote Text Char"/>
    <w:uiPriority w:val="99"/>
    <w:qFormat/>
    <w:rPr>
      <w:sz w:val="20"/>
    </w:rPr>
  </w:style>
  <w:style w:type="paragraph" w:styleId="1003" w:customStyle="1">
    <w:name w:val="列表段落1"/>
    <w:basedOn w:val="820"/>
    <w:uiPriority w:val="0"/>
    <w:qFormat/>
    <w:pPr>
      <w:contextualSpacing/>
      <w:ind w:left="720"/>
    </w:pPr>
  </w:style>
  <w:style w:type="paragraph" w:styleId="1004" w:customStyle="1">
    <w:name w:val="无间隔1"/>
    <w:uiPriority w:val="99"/>
    <w:qFormat/>
    <w:rPr>
      <w:rFonts w:ascii="Times New Roman" w:hAnsi="Times New Roman" w:eastAsia="宋体" w:cs="Times New Roman"/>
      <w:lang w:val="en-US" w:eastAsia="zh-CN" w:bidi="ar-SA"/>
    </w:rPr>
  </w:style>
  <w:style w:type="paragraph" w:styleId="1005" w:customStyle="1">
    <w:name w:val="引用1"/>
    <w:basedOn w:val="820"/>
    <w:next w:val="820"/>
    <w:link w:val="1006"/>
    <w:uiPriority w:val="29"/>
    <w:qFormat/>
    <w:pPr>
      <w:ind w:left="720" w:right="720"/>
    </w:pPr>
    <w:rPr>
      <w:i/>
    </w:rPr>
  </w:style>
  <w:style w:type="character" w:styleId="1006" w:customStyle="1">
    <w:name w:val="引用 字符"/>
    <w:link w:val="1005"/>
    <w:uiPriority w:val="29"/>
    <w:qFormat/>
    <w:rPr>
      <w:i/>
    </w:rPr>
  </w:style>
  <w:style w:type="paragraph" w:styleId="1007" w:customStyle="1">
    <w:name w:val="明显引用1"/>
    <w:basedOn w:val="820"/>
    <w:next w:val="820"/>
    <w:link w:val="10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8" w:customStyle="1">
    <w:name w:val="明显引用 字符"/>
    <w:link w:val="1007"/>
    <w:uiPriority w:val="30"/>
    <w:qFormat/>
    <w:rPr>
      <w:i/>
    </w:rPr>
  </w:style>
  <w:style w:type="character" w:styleId="1009" w:customStyle="1">
    <w:name w:val="Header Char"/>
    <w:uiPriority w:val="99"/>
    <w:qFormat/>
  </w:style>
  <w:style w:type="character" w:styleId="1010" w:customStyle="1">
    <w:name w:val="Footer Char"/>
    <w:uiPriority w:val="99"/>
    <w:qFormat/>
  </w:style>
  <w:style w:type="table" w:styleId="1011" w:customStyle="1">
    <w:name w:val="Table Grid Light"/>
    <w:basedOn w:val="878"/>
    <w:uiPriority w:val="59"/>
    <w:qFormat/>
    <w:tblPr/>
  </w:style>
  <w:style w:type="table" w:styleId="1012" w:customStyle="1">
    <w:name w:val="Grid Table 1 Light - Accent 1"/>
    <w:basedOn w:val="878"/>
    <w:uiPriority w:val="99"/>
    <w:qFormat/>
    <w:tblPr/>
  </w:style>
  <w:style w:type="table" w:styleId="1013" w:customStyle="1">
    <w:name w:val="Grid Table 1 Light - Accent 2"/>
    <w:basedOn w:val="878"/>
    <w:uiPriority w:val="99"/>
    <w:qFormat/>
    <w:tblPr/>
  </w:style>
  <w:style w:type="table" w:styleId="1014" w:customStyle="1">
    <w:name w:val="Grid Table 1 Light - Accent 3"/>
    <w:basedOn w:val="878"/>
    <w:uiPriority w:val="99"/>
    <w:qFormat/>
    <w:tblPr/>
  </w:style>
  <w:style w:type="table" w:styleId="1015" w:customStyle="1">
    <w:name w:val="Grid Table 1 Light - Accent 4"/>
    <w:basedOn w:val="878"/>
    <w:uiPriority w:val="99"/>
    <w:qFormat/>
    <w:tblPr/>
  </w:style>
  <w:style w:type="table" w:styleId="1016" w:customStyle="1">
    <w:name w:val="Grid Table 1 Light - Accent 5"/>
    <w:basedOn w:val="878"/>
    <w:uiPriority w:val="99"/>
    <w:qFormat/>
    <w:tblPr/>
  </w:style>
  <w:style w:type="table" w:styleId="1017" w:customStyle="1">
    <w:name w:val="Grid Table 1 Light - Accent 6"/>
    <w:basedOn w:val="878"/>
    <w:uiPriority w:val="99"/>
    <w:qFormat/>
    <w:tblPr/>
  </w:style>
  <w:style w:type="table" w:styleId="1018" w:customStyle="1">
    <w:name w:val="Grid Table 2 - Accent 1"/>
    <w:basedOn w:val="878"/>
    <w:uiPriority w:val="99"/>
    <w:qFormat/>
    <w:tblPr/>
  </w:style>
  <w:style w:type="table" w:styleId="1019" w:customStyle="1">
    <w:name w:val="Grid Table 2 - Accent 2"/>
    <w:basedOn w:val="878"/>
    <w:uiPriority w:val="99"/>
    <w:qFormat/>
    <w:tblPr/>
  </w:style>
  <w:style w:type="table" w:styleId="1020" w:customStyle="1">
    <w:name w:val="Grid Table 2 - Accent 3"/>
    <w:basedOn w:val="878"/>
    <w:uiPriority w:val="99"/>
    <w:qFormat/>
    <w:tblPr/>
  </w:style>
  <w:style w:type="table" w:styleId="1021" w:customStyle="1">
    <w:name w:val="Grid Table 2 - Accent 4"/>
    <w:basedOn w:val="878"/>
    <w:uiPriority w:val="99"/>
    <w:qFormat/>
    <w:tblPr/>
  </w:style>
  <w:style w:type="table" w:styleId="1022" w:customStyle="1">
    <w:name w:val="Grid Table 2 - Accent 5"/>
    <w:basedOn w:val="878"/>
    <w:uiPriority w:val="99"/>
    <w:qFormat/>
    <w:tblPr/>
  </w:style>
  <w:style w:type="table" w:styleId="1023" w:customStyle="1">
    <w:name w:val="Grid Table 2 - Accent 6"/>
    <w:basedOn w:val="878"/>
    <w:uiPriority w:val="99"/>
    <w:qFormat/>
    <w:tblPr/>
  </w:style>
  <w:style w:type="table" w:styleId="1024" w:customStyle="1">
    <w:name w:val="Grid Table 3 - Accent 1"/>
    <w:basedOn w:val="878"/>
    <w:uiPriority w:val="99"/>
    <w:qFormat/>
    <w:tblPr/>
  </w:style>
  <w:style w:type="table" w:styleId="1025" w:customStyle="1">
    <w:name w:val="Grid Table 3 - Accent 2"/>
    <w:basedOn w:val="878"/>
    <w:uiPriority w:val="99"/>
    <w:qFormat/>
    <w:tblPr/>
  </w:style>
  <w:style w:type="table" w:styleId="1026" w:customStyle="1">
    <w:name w:val="Grid Table 3 - Accent 3"/>
    <w:basedOn w:val="878"/>
    <w:uiPriority w:val="99"/>
    <w:qFormat/>
    <w:tblPr/>
  </w:style>
  <w:style w:type="table" w:styleId="1027" w:customStyle="1">
    <w:name w:val="Grid Table 3 - Accent 4"/>
    <w:basedOn w:val="878"/>
    <w:uiPriority w:val="99"/>
    <w:qFormat/>
    <w:tblPr/>
  </w:style>
  <w:style w:type="table" w:styleId="1028" w:customStyle="1">
    <w:name w:val="Grid Table 3 - Accent 5"/>
    <w:basedOn w:val="878"/>
    <w:uiPriority w:val="99"/>
    <w:qFormat/>
    <w:tblPr/>
  </w:style>
  <w:style w:type="table" w:styleId="1029" w:customStyle="1">
    <w:name w:val="Grid Table 3 - Accent 6"/>
    <w:basedOn w:val="878"/>
    <w:uiPriority w:val="99"/>
    <w:qFormat/>
    <w:tblPr/>
  </w:style>
  <w:style w:type="table" w:styleId="1030" w:customStyle="1">
    <w:name w:val="Grid Table 4 - Accent 1"/>
    <w:basedOn w:val="878"/>
    <w:uiPriority w:val="59"/>
    <w:qFormat/>
    <w:tblPr/>
  </w:style>
  <w:style w:type="table" w:styleId="1031" w:customStyle="1">
    <w:name w:val="Grid Table 4 - Accent 2"/>
    <w:basedOn w:val="878"/>
    <w:uiPriority w:val="59"/>
    <w:qFormat/>
    <w:tblPr/>
  </w:style>
  <w:style w:type="table" w:styleId="1032" w:customStyle="1">
    <w:name w:val="Grid Table 4 - Accent 3"/>
    <w:basedOn w:val="878"/>
    <w:uiPriority w:val="59"/>
    <w:qFormat/>
    <w:tblPr/>
  </w:style>
  <w:style w:type="table" w:styleId="1033" w:customStyle="1">
    <w:name w:val="Grid Table 4 - Accent 4"/>
    <w:basedOn w:val="878"/>
    <w:uiPriority w:val="59"/>
    <w:qFormat/>
    <w:tblPr/>
  </w:style>
  <w:style w:type="table" w:styleId="1034" w:customStyle="1">
    <w:name w:val="Grid Table 4 - Accent 5"/>
    <w:basedOn w:val="878"/>
    <w:uiPriority w:val="59"/>
    <w:qFormat/>
    <w:tblPr/>
  </w:style>
  <w:style w:type="table" w:styleId="1035" w:customStyle="1">
    <w:name w:val="Grid Table 4 - Accent 6"/>
    <w:basedOn w:val="878"/>
    <w:uiPriority w:val="59"/>
    <w:qFormat/>
    <w:tblPr/>
  </w:style>
  <w:style w:type="table" w:styleId="1036" w:customStyle="1">
    <w:name w:val="Grid Table 5 Dark- Accent 1"/>
    <w:basedOn w:val="878"/>
    <w:uiPriority w:val="99"/>
    <w:qFormat/>
    <w:tblPr/>
  </w:style>
  <w:style w:type="table" w:styleId="1037" w:customStyle="1">
    <w:name w:val="Grid Table 5 Dark - Accent 2"/>
    <w:basedOn w:val="878"/>
    <w:uiPriority w:val="99"/>
    <w:qFormat/>
    <w:tblPr/>
  </w:style>
  <w:style w:type="table" w:styleId="1038" w:customStyle="1">
    <w:name w:val="Grid Table 5 Dark - Accent 3"/>
    <w:basedOn w:val="878"/>
    <w:uiPriority w:val="99"/>
    <w:qFormat/>
    <w:tblPr/>
  </w:style>
  <w:style w:type="table" w:styleId="1039" w:customStyle="1">
    <w:name w:val="Grid Table 5 Dark- Accent 4"/>
    <w:basedOn w:val="878"/>
    <w:uiPriority w:val="99"/>
    <w:qFormat/>
    <w:tblPr/>
  </w:style>
  <w:style w:type="table" w:styleId="1040" w:customStyle="1">
    <w:name w:val="Grid Table 5 Dark - Accent 5"/>
    <w:basedOn w:val="878"/>
    <w:uiPriority w:val="99"/>
    <w:qFormat/>
    <w:tblPr/>
  </w:style>
  <w:style w:type="table" w:styleId="1041" w:customStyle="1">
    <w:name w:val="Grid Table 5 Dark - Accent 6"/>
    <w:basedOn w:val="878"/>
    <w:uiPriority w:val="99"/>
    <w:qFormat/>
    <w:tblPr/>
  </w:style>
  <w:style w:type="table" w:styleId="1042" w:customStyle="1">
    <w:name w:val="Grid Table 6 Colorful - Accent 1"/>
    <w:basedOn w:val="878"/>
    <w:uiPriority w:val="99"/>
    <w:qFormat/>
    <w:tblPr/>
  </w:style>
  <w:style w:type="table" w:styleId="1043" w:customStyle="1">
    <w:name w:val="Grid Table 6 Colorful - Accent 2"/>
    <w:basedOn w:val="878"/>
    <w:uiPriority w:val="99"/>
    <w:qFormat/>
    <w:tblPr/>
  </w:style>
  <w:style w:type="table" w:styleId="1044" w:customStyle="1">
    <w:name w:val="Grid Table 6 Colorful - Accent 3"/>
    <w:basedOn w:val="878"/>
    <w:uiPriority w:val="99"/>
    <w:qFormat/>
    <w:tblPr/>
  </w:style>
  <w:style w:type="table" w:styleId="1045" w:customStyle="1">
    <w:name w:val="Grid Table 6 Colorful - Accent 4"/>
    <w:basedOn w:val="878"/>
    <w:uiPriority w:val="99"/>
    <w:qFormat/>
    <w:tblPr/>
  </w:style>
  <w:style w:type="table" w:styleId="1046" w:customStyle="1">
    <w:name w:val="Grid Table 6 Colorful - Accent 5"/>
    <w:basedOn w:val="878"/>
    <w:uiPriority w:val="99"/>
    <w:qFormat/>
    <w:tblPr/>
  </w:style>
  <w:style w:type="table" w:styleId="1047" w:customStyle="1">
    <w:name w:val="Grid Table 6 Colorful - Accent 6"/>
    <w:basedOn w:val="878"/>
    <w:uiPriority w:val="99"/>
    <w:qFormat/>
    <w:tblPr/>
  </w:style>
  <w:style w:type="table" w:styleId="1048" w:customStyle="1">
    <w:name w:val="Grid Table 7 Colorful - Accent 1"/>
    <w:basedOn w:val="878"/>
    <w:uiPriority w:val="99"/>
    <w:qFormat/>
    <w:tblPr/>
  </w:style>
  <w:style w:type="table" w:styleId="1049" w:customStyle="1">
    <w:name w:val="Grid Table 7 Colorful - Accent 2"/>
    <w:basedOn w:val="878"/>
    <w:uiPriority w:val="99"/>
    <w:qFormat/>
    <w:tblPr/>
  </w:style>
  <w:style w:type="table" w:styleId="1050" w:customStyle="1">
    <w:name w:val="Grid Table 7 Colorful - Accent 3"/>
    <w:basedOn w:val="878"/>
    <w:uiPriority w:val="99"/>
    <w:qFormat/>
    <w:tblPr/>
  </w:style>
  <w:style w:type="table" w:styleId="1051" w:customStyle="1">
    <w:name w:val="Grid Table 7 Colorful - Accent 4"/>
    <w:basedOn w:val="878"/>
    <w:uiPriority w:val="99"/>
    <w:qFormat/>
    <w:tblPr/>
  </w:style>
  <w:style w:type="table" w:styleId="1052" w:customStyle="1">
    <w:name w:val="Grid Table 7 Colorful - Accent 5"/>
    <w:basedOn w:val="878"/>
    <w:uiPriority w:val="99"/>
    <w:qFormat/>
    <w:tblPr/>
  </w:style>
  <w:style w:type="table" w:styleId="1053" w:customStyle="1">
    <w:name w:val="Grid Table 7 Colorful - Accent 6"/>
    <w:basedOn w:val="878"/>
    <w:uiPriority w:val="99"/>
    <w:qFormat/>
    <w:tblPr/>
  </w:style>
  <w:style w:type="table" w:styleId="1054" w:customStyle="1">
    <w:name w:val="List Table 1 Light - Accent 1"/>
    <w:basedOn w:val="878"/>
    <w:uiPriority w:val="99"/>
    <w:qFormat/>
    <w:tblPr/>
  </w:style>
  <w:style w:type="table" w:styleId="1055" w:customStyle="1">
    <w:name w:val="List Table 1 Light - Accent 2"/>
    <w:basedOn w:val="878"/>
    <w:uiPriority w:val="99"/>
    <w:qFormat/>
    <w:tblPr/>
  </w:style>
  <w:style w:type="table" w:styleId="1056" w:customStyle="1">
    <w:name w:val="List Table 1 Light - Accent 3"/>
    <w:basedOn w:val="878"/>
    <w:uiPriority w:val="99"/>
    <w:qFormat/>
    <w:tblPr/>
  </w:style>
  <w:style w:type="table" w:styleId="1057" w:customStyle="1">
    <w:name w:val="List Table 1 Light - Accent 4"/>
    <w:basedOn w:val="878"/>
    <w:uiPriority w:val="99"/>
    <w:qFormat/>
    <w:tblPr/>
  </w:style>
  <w:style w:type="table" w:styleId="1058" w:customStyle="1">
    <w:name w:val="List Table 1 Light - Accent 5"/>
    <w:basedOn w:val="878"/>
    <w:uiPriority w:val="99"/>
    <w:qFormat/>
    <w:tblPr/>
  </w:style>
  <w:style w:type="table" w:styleId="1059" w:customStyle="1">
    <w:name w:val="List Table 1 Light - Accent 6"/>
    <w:basedOn w:val="878"/>
    <w:uiPriority w:val="99"/>
    <w:qFormat/>
    <w:tblPr/>
  </w:style>
  <w:style w:type="table" w:styleId="1060" w:customStyle="1">
    <w:name w:val="List Table 2 - Accent 1"/>
    <w:basedOn w:val="878"/>
    <w:uiPriority w:val="99"/>
    <w:qFormat/>
    <w:tblPr/>
  </w:style>
  <w:style w:type="table" w:styleId="1061" w:customStyle="1">
    <w:name w:val="List Table 2 - Accent 2"/>
    <w:basedOn w:val="878"/>
    <w:uiPriority w:val="99"/>
    <w:qFormat/>
    <w:tblPr/>
  </w:style>
  <w:style w:type="table" w:styleId="1062" w:customStyle="1">
    <w:name w:val="List Table 2 - Accent 3"/>
    <w:basedOn w:val="878"/>
    <w:uiPriority w:val="99"/>
    <w:qFormat/>
    <w:tblPr/>
  </w:style>
  <w:style w:type="table" w:styleId="1063" w:customStyle="1">
    <w:name w:val="List Table 2 - Accent 4"/>
    <w:basedOn w:val="878"/>
    <w:uiPriority w:val="99"/>
    <w:qFormat/>
    <w:tblPr/>
  </w:style>
  <w:style w:type="table" w:styleId="1064" w:customStyle="1">
    <w:name w:val="List Table 2 - Accent 5"/>
    <w:basedOn w:val="878"/>
    <w:uiPriority w:val="99"/>
    <w:qFormat/>
    <w:tblPr/>
  </w:style>
  <w:style w:type="table" w:styleId="1065" w:customStyle="1">
    <w:name w:val="List Table 2 - Accent 6"/>
    <w:basedOn w:val="878"/>
    <w:uiPriority w:val="99"/>
    <w:qFormat/>
    <w:tblPr/>
  </w:style>
  <w:style w:type="table" w:styleId="1066" w:customStyle="1">
    <w:name w:val="List Table 3 - Accent 1"/>
    <w:basedOn w:val="878"/>
    <w:uiPriority w:val="99"/>
    <w:qFormat/>
    <w:tblPr/>
  </w:style>
  <w:style w:type="table" w:styleId="1067" w:customStyle="1">
    <w:name w:val="List Table 3 - Accent 2"/>
    <w:basedOn w:val="878"/>
    <w:uiPriority w:val="99"/>
    <w:qFormat/>
    <w:tblPr/>
  </w:style>
  <w:style w:type="table" w:styleId="1068" w:customStyle="1">
    <w:name w:val="List Table 3 - Accent 3"/>
    <w:basedOn w:val="878"/>
    <w:uiPriority w:val="99"/>
    <w:qFormat/>
    <w:tblPr/>
  </w:style>
  <w:style w:type="table" w:styleId="1069" w:customStyle="1">
    <w:name w:val="List Table 3 - Accent 4"/>
    <w:basedOn w:val="878"/>
    <w:uiPriority w:val="99"/>
    <w:qFormat/>
    <w:tblPr/>
  </w:style>
  <w:style w:type="table" w:styleId="1070" w:customStyle="1">
    <w:name w:val="List Table 3 - Accent 5"/>
    <w:basedOn w:val="878"/>
    <w:uiPriority w:val="99"/>
    <w:qFormat/>
    <w:tblPr/>
  </w:style>
  <w:style w:type="table" w:styleId="1071" w:customStyle="1">
    <w:name w:val="List Table 3 - Accent 6"/>
    <w:basedOn w:val="878"/>
    <w:uiPriority w:val="99"/>
    <w:qFormat/>
    <w:tblPr/>
  </w:style>
  <w:style w:type="table" w:styleId="1072" w:customStyle="1">
    <w:name w:val="List Table 4 - Accent 1"/>
    <w:basedOn w:val="878"/>
    <w:uiPriority w:val="99"/>
    <w:qFormat/>
    <w:tblPr/>
  </w:style>
  <w:style w:type="table" w:styleId="1073" w:customStyle="1">
    <w:name w:val="List Table 4 - Accent 2"/>
    <w:basedOn w:val="878"/>
    <w:uiPriority w:val="99"/>
    <w:qFormat/>
    <w:tblPr/>
  </w:style>
  <w:style w:type="table" w:styleId="1074" w:customStyle="1">
    <w:name w:val="List Table 4 - Accent 3"/>
    <w:basedOn w:val="878"/>
    <w:uiPriority w:val="99"/>
    <w:qFormat/>
    <w:tblPr/>
  </w:style>
  <w:style w:type="table" w:styleId="1075" w:customStyle="1">
    <w:name w:val="List Table 4 - Accent 4"/>
    <w:basedOn w:val="878"/>
    <w:uiPriority w:val="99"/>
    <w:qFormat/>
    <w:tblPr/>
  </w:style>
  <w:style w:type="table" w:styleId="1076" w:customStyle="1">
    <w:name w:val="List Table 4 - Accent 5"/>
    <w:basedOn w:val="878"/>
    <w:uiPriority w:val="99"/>
    <w:qFormat/>
    <w:tblPr/>
  </w:style>
  <w:style w:type="table" w:styleId="1077" w:customStyle="1">
    <w:name w:val="List Table 4 - Accent 6"/>
    <w:basedOn w:val="878"/>
    <w:uiPriority w:val="99"/>
    <w:qFormat/>
    <w:tblPr/>
  </w:style>
  <w:style w:type="table" w:styleId="1078" w:customStyle="1">
    <w:name w:val="List Table 5 Dark - Accent 1"/>
    <w:basedOn w:val="878"/>
    <w:uiPriority w:val="99"/>
    <w:qFormat/>
    <w:tblPr/>
  </w:style>
  <w:style w:type="table" w:styleId="1079" w:customStyle="1">
    <w:name w:val="List Table 5 Dark - Accent 2"/>
    <w:basedOn w:val="878"/>
    <w:uiPriority w:val="99"/>
    <w:qFormat/>
    <w:tblPr/>
  </w:style>
  <w:style w:type="table" w:styleId="1080" w:customStyle="1">
    <w:name w:val="List Table 5 Dark - Accent 3"/>
    <w:basedOn w:val="878"/>
    <w:uiPriority w:val="99"/>
    <w:qFormat/>
    <w:tblPr/>
  </w:style>
  <w:style w:type="table" w:styleId="1081" w:customStyle="1">
    <w:name w:val="List Table 5 Dark - Accent 4"/>
    <w:basedOn w:val="878"/>
    <w:uiPriority w:val="99"/>
    <w:qFormat/>
    <w:tblPr/>
  </w:style>
  <w:style w:type="table" w:styleId="1082" w:customStyle="1">
    <w:name w:val="List Table 5 Dark - Accent 5"/>
    <w:basedOn w:val="878"/>
    <w:uiPriority w:val="99"/>
    <w:qFormat/>
    <w:tblPr/>
  </w:style>
  <w:style w:type="table" w:styleId="1083" w:customStyle="1">
    <w:name w:val="List Table 5 Dark - Accent 6"/>
    <w:basedOn w:val="878"/>
    <w:uiPriority w:val="99"/>
    <w:qFormat/>
    <w:tblPr/>
  </w:style>
  <w:style w:type="table" w:styleId="1084" w:customStyle="1">
    <w:name w:val="List Table 6 Colorful - Accent 1"/>
    <w:basedOn w:val="878"/>
    <w:uiPriority w:val="99"/>
    <w:qFormat/>
    <w:tblPr/>
  </w:style>
  <w:style w:type="table" w:styleId="1085" w:customStyle="1">
    <w:name w:val="List Table 6 Colorful - Accent 2"/>
    <w:basedOn w:val="878"/>
    <w:uiPriority w:val="99"/>
    <w:qFormat/>
    <w:tblPr/>
  </w:style>
  <w:style w:type="table" w:styleId="1086" w:customStyle="1">
    <w:name w:val="List Table 6 Colorful - Accent 3"/>
    <w:basedOn w:val="878"/>
    <w:uiPriority w:val="99"/>
    <w:qFormat/>
    <w:tblPr/>
  </w:style>
  <w:style w:type="table" w:styleId="1087" w:customStyle="1">
    <w:name w:val="List Table 6 Colorful - Accent 4"/>
    <w:basedOn w:val="878"/>
    <w:uiPriority w:val="99"/>
    <w:qFormat/>
    <w:tblPr/>
  </w:style>
  <w:style w:type="table" w:styleId="1088" w:customStyle="1">
    <w:name w:val="List Table 6 Colorful - Accent 5"/>
    <w:basedOn w:val="878"/>
    <w:uiPriority w:val="99"/>
    <w:qFormat/>
    <w:tblPr/>
  </w:style>
  <w:style w:type="table" w:styleId="1089" w:customStyle="1">
    <w:name w:val="List Table 6 Colorful - Accent 6"/>
    <w:basedOn w:val="878"/>
    <w:uiPriority w:val="99"/>
    <w:qFormat/>
    <w:tblPr/>
  </w:style>
  <w:style w:type="table" w:styleId="1090" w:customStyle="1">
    <w:name w:val="List Table 7 Colorful - Accent 1"/>
    <w:basedOn w:val="878"/>
    <w:uiPriority w:val="99"/>
    <w:qFormat/>
    <w:tblPr/>
  </w:style>
  <w:style w:type="table" w:styleId="1091" w:customStyle="1">
    <w:name w:val="List Table 7 Colorful - Accent 2"/>
    <w:basedOn w:val="878"/>
    <w:uiPriority w:val="99"/>
    <w:qFormat/>
    <w:tblPr/>
  </w:style>
  <w:style w:type="table" w:styleId="1092" w:customStyle="1">
    <w:name w:val="List Table 7 Colorful - Accent 3"/>
    <w:basedOn w:val="878"/>
    <w:uiPriority w:val="99"/>
    <w:qFormat/>
    <w:tblPr/>
  </w:style>
  <w:style w:type="table" w:styleId="1093" w:customStyle="1">
    <w:name w:val="List Table 7 Colorful - Accent 4"/>
    <w:basedOn w:val="878"/>
    <w:uiPriority w:val="99"/>
    <w:qFormat/>
    <w:tblPr/>
  </w:style>
  <w:style w:type="table" w:styleId="1094" w:customStyle="1">
    <w:name w:val="List Table 7 Colorful - Accent 5"/>
    <w:basedOn w:val="878"/>
    <w:uiPriority w:val="99"/>
    <w:qFormat/>
    <w:tblPr/>
  </w:style>
  <w:style w:type="table" w:styleId="1095" w:customStyle="1">
    <w:name w:val="List Table 7 Colorful - Accent 6"/>
    <w:basedOn w:val="878"/>
    <w:uiPriority w:val="99"/>
    <w:qFormat/>
    <w:tblPr/>
  </w:style>
  <w:style w:type="table" w:styleId="1096" w:customStyle="1">
    <w:name w:val="Lined - Accent"/>
    <w:basedOn w:val="878"/>
    <w:uiPriority w:val="99"/>
    <w:qFormat/>
    <w:rPr>
      <w:color w:val="404040"/>
    </w:rPr>
    <w:tblPr/>
  </w:style>
  <w:style w:type="table" w:styleId="1097" w:customStyle="1">
    <w:name w:val="Lined - Accent 1"/>
    <w:basedOn w:val="878"/>
    <w:uiPriority w:val="99"/>
    <w:qFormat/>
    <w:rPr>
      <w:color w:val="404040"/>
    </w:rPr>
    <w:tblPr/>
  </w:style>
  <w:style w:type="table" w:styleId="1098" w:customStyle="1">
    <w:name w:val="Lined - Accent 2"/>
    <w:basedOn w:val="878"/>
    <w:uiPriority w:val="99"/>
    <w:qFormat/>
    <w:rPr>
      <w:color w:val="404040"/>
    </w:rPr>
    <w:tblPr/>
  </w:style>
  <w:style w:type="table" w:styleId="1099" w:customStyle="1">
    <w:name w:val="Lined - Accent 3"/>
    <w:basedOn w:val="878"/>
    <w:uiPriority w:val="99"/>
    <w:qFormat/>
    <w:rPr>
      <w:color w:val="404040"/>
    </w:rPr>
    <w:tblPr/>
  </w:style>
  <w:style w:type="table" w:styleId="1100" w:customStyle="1">
    <w:name w:val="Lined - Accent 4"/>
    <w:basedOn w:val="878"/>
    <w:uiPriority w:val="99"/>
    <w:qFormat/>
    <w:rPr>
      <w:color w:val="404040"/>
    </w:rPr>
    <w:tblPr/>
  </w:style>
  <w:style w:type="table" w:styleId="1101" w:customStyle="1">
    <w:name w:val="Lined - Accent 5"/>
    <w:basedOn w:val="878"/>
    <w:uiPriority w:val="99"/>
    <w:qFormat/>
    <w:rPr>
      <w:color w:val="404040"/>
    </w:rPr>
    <w:tblPr/>
  </w:style>
  <w:style w:type="table" w:styleId="1102" w:customStyle="1">
    <w:name w:val="Lined - Accent 6"/>
    <w:basedOn w:val="878"/>
    <w:uiPriority w:val="99"/>
    <w:qFormat/>
    <w:rPr>
      <w:color w:val="404040"/>
    </w:rPr>
    <w:tblPr/>
  </w:style>
  <w:style w:type="table" w:styleId="1103" w:customStyle="1">
    <w:name w:val="Bordered &amp; Lined - Accent"/>
    <w:basedOn w:val="878"/>
    <w:uiPriority w:val="99"/>
    <w:qFormat/>
    <w:rPr>
      <w:color w:val="404040"/>
    </w:rPr>
    <w:tblPr/>
  </w:style>
  <w:style w:type="table" w:styleId="1104" w:customStyle="1">
    <w:name w:val="Bordered &amp; Lined - Accent 1"/>
    <w:basedOn w:val="878"/>
    <w:uiPriority w:val="99"/>
    <w:qFormat/>
    <w:rPr>
      <w:color w:val="404040"/>
    </w:rPr>
    <w:tblPr/>
  </w:style>
  <w:style w:type="table" w:styleId="1105" w:customStyle="1">
    <w:name w:val="Bordered &amp; Lined - Accent 2"/>
    <w:basedOn w:val="878"/>
    <w:uiPriority w:val="99"/>
    <w:qFormat/>
    <w:rPr>
      <w:color w:val="404040"/>
    </w:rPr>
    <w:tblPr/>
  </w:style>
  <w:style w:type="table" w:styleId="1106" w:customStyle="1">
    <w:name w:val="Bordered &amp; Lined - Accent 3"/>
    <w:basedOn w:val="878"/>
    <w:uiPriority w:val="99"/>
    <w:qFormat/>
    <w:rPr>
      <w:color w:val="404040"/>
    </w:rPr>
    <w:tblPr/>
  </w:style>
  <w:style w:type="table" w:styleId="1107" w:customStyle="1">
    <w:name w:val="Bordered &amp; Lined - Accent 4"/>
    <w:basedOn w:val="878"/>
    <w:uiPriority w:val="99"/>
    <w:qFormat/>
    <w:rPr>
      <w:color w:val="404040"/>
    </w:rPr>
    <w:tblPr/>
  </w:style>
  <w:style w:type="table" w:styleId="1108" w:customStyle="1">
    <w:name w:val="Bordered &amp; Lined - Accent 5"/>
    <w:basedOn w:val="878"/>
    <w:uiPriority w:val="99"/>
    <w:qFormat/>
    <w:rPr>
      <w:color w:val="404040"/>
    </w:rPr>
    <w:tblPr/>
  </w:style>
  <w:style w:type="table" w:styleId="1109" w:customStyle="1">
    <w:name w:val="Bordered &amp; Lined - Accent 6"/>
    <w:basedOn w:val="878"/>
    <w:uiPriority w:val="99"/>
    <w:qFormat/>
    <w:rPr>
      <w:color w:val="404040"/>
    </w:rPr>
    <w:tblPr/>
  </w:style>
  <w:style w:type="table" w:styleId="1110" w:customStyle="1">
    <w:name w:val="Bordered"/>
    <w:basedOn w:val="878"/>
    <w:uiPriority w:val="99"/>
    <w:qFormat/>
    <w:tblPr/>
  </w:style>
  <w:style w:type="table" w:styleId="1111" w:customStyle="1">
    <w:name w:val="Bordered - Accent 1"/>
    <w:basedOn w:val="878"/>
    <w:uiPriority w:val="99"/>
    <w:qFormat/>
    <w:tblPr/>
  </w:style>
  <w:style w:type="table" w:styleId="1112" w:customStyle="1">
    <w:name w:val="Bordered - Accent 2"/>
    <w:basedOn w:val="878"/>
    <w:uiPriority w:val="99"/>
    <w:qFormat/>
    <w:tblPr/>
  </w:style>
  <w:style w:type="table" w:styleId="1113" w:customStyle="1">
    <w:name w:val="Bordered - Accent 3"/>
    <w:basedOn w:val="878"/>
    <w:uiPriority w:val="99"/>
    <w:qFormat/>
    <w:tblPr/>
  </w:style>
  <w:style w:type="table" w:styleId="1114" w:customStyle="1">
    <w:name w:val="Bordered - Accent 4"/>
    <w:basedOn w:val="878"/>
    <w:uiPriority w:val="99"/>
    <w:qFormat/>
    <w:tblPr/>
  </w:style>
  <w:style w:type="table" w:styleId="1115" w:customStyle="1">
    <w:name w:val="Bordered - Accent 5"/>
    <w:basedOn w:val="878"/>
    <w:uiPriority w:val="99"/>
    <w:qFormat/>
    <w:tblPr/>
  </w:style>
  <w:style w:type="table" w:styleId="1116" w:customStyle="1">
    <w:name w:val="Bordered - Accent 6"/>
    <w:basedOn w:val="878"/>
    <w:uiPriority w:val="99"/>
    <w:qFormat/>
    <w:tblPr/>
  </w:style>
  <w:style w:type="paragraph" w:styleId="1117" w:customStyle="1">
    <w:name w:val="TOC 标题11"/>
    <w:uiPriority w:val="39"/>
    <w:unhideWhenUsed/>
    <w:qFormat/>
    <w:rPr>
      <w:rFonts w:ascii="Times New Roman" w:hAnsi="Times New Roman" w:eastAsia="宋体" w:cs="Times New Roman"/>
      <w:lang w:val="en-US" w:eastAsia="zh-CN" w:bidi="ar-SA"/>
    </w:rPr>
  </w:style>
  <w:style w:type="paragraph" w:styleId="1118" w:customStyle="1">
    <w:name w:val="Normal_0"/>
    <w:uiPriority w:val="0"/>
    <w:qFormat/>
    <w:rPr>
      <w:rFonts w:ascii="黑体" w:hAnsi="黑体" w:eastAsia="黑体" w:cs="Times New Roman"/>
      <w:b/>
      <w:sz w:val="32"/>
      <w:szCs w:val="24"/>
      <w:lang w:val="en-US" w:eastAsia="zh-CN" w:bidi="ar-SA"/>
    </w:rPr>
  </w:style>
  <w:style w:type="paragraph" w:styleId="1119" w:customStyle="1">
    <w:name w:val="Normal_0_3"/>
    <w:uiPriority w:val="0"/>
    <w:qFormat/>
    <w:rPr>
      <w:rFonts w:ascii="黑体" w:hAnsi="黑体" w:eastAsia="黑体" w:cs="黑体"/>
      <w:b/>
      <w:sz w:val="32"/>
      <w:szCs w:val="24"/>
      <w:lang w:val="en-US" w:eastAsia="zh-CN" w:bidi="ar-SA"/>
    </w:rPr>
  </w:style>
  <w:style w:type="paragraph" w:styleId="1120" w:customStyle="1">
    <w:name w:val="正文首行缩进 2_0"/>
    <w:basedOn w:val="1121"/>
    <w:uiPriority w:val="0"/>
    <w:qFormat/>
    <w:pPr>
      <w:ind w:left="200" w:firstLine="200"/>
      <w:spacing w:after="120"/>
    </w:pPr>
    <w:rPr>
      <w:rFonts w:ascii="Times New Roman" w:hAnsi="Times New Roman"/>
      <w:sz w:val="24"/>
      <w:szCs w:val="24"/>
    </w:rPr>
  </w:style>
  <w:style w:type="paragraph" w:styleId="1121" w:customStyle="1">
    <w:name w:val="正文文本缩进_0"/>
    <w:basedOn w:val="1122"/>
    <w:uiPriority w:val="0"/>
    <w:qFormat/>
    <w:pPr>
      <w:ind w:firstLine="225"/>
    </w:pPr>
    <w:rPr>
      <w:rFonts w:ascii="仿宋_GB2312" w:eastAsia="仿宋_GB2312"/>
      <w:sz w:val="32"/>
    </w:rPr>
  </w:style>
  <w:style w:type="paragraph" w:styleId="1122" w:customStyle="1">
    <w:name w:val="正文_2"/>
    <w:next w:val="1121"/>
    <w:uiPriority w:val="0"/>
    <w:qFormat/>
    <w:pPr>
      <w:jc w:val="both"/>
      <w:widowControl w:val="off"/>
    </w:pPr>
    <w:rPr>
      <w:rFonts w:ascii="Calibri" w:hAnsi="Calibri" w:eastAsia="宋体" w:cs="Times New Roman"/>
      <w:sz w:val="21"/>
      <w:szCs w:val="22"/>
      <w:lang w:val="en-US" w:eastAsia="zh-CN" w:bidi="ar-SA"/>
    </w:rPr>
  </w:style>
  <w:style w:type="paragraph" w:styleId="1123" w:customStyle="1">
    <w:name w:val="Normal_0_2"/>
    <w:next w:val="1124"/>
    <w:uiPriority w:val="0"/>
    <w:qFormat/>
    <w:rPr>
      <w:rFonts w:ascii="黑体" w:hAnsi="黑体" w:eastAsia="黑体" w:cs="黑体"/>
      <w:b/>
      <w:sz w:val="32"/>
      <w:szCs w:val="24"/>
      <w:lang w:val="en-US" w:eastAsia="zh-CN" w:bidi="ar-SA"/>
    </w:rPr>
  </w:style>
  <w:style w:type="paragraph" w:styleId="1124" w:customStyle="1">
    <w:name w:val="Body Text First Indent_1"/>
    <w:basedOn w:val="870"/>
    <w:uiPriority w:val="99"/>
    <w:unhideWhenUsed/>
    <w:qFormat/>
    <w:pPr>
      <w:ind w:firstLine="420"/>
      <w:spacing w:after="120"/>
    </w:pPr>
    <w:rPr>
      <w:rFonts w:eastAsia="Times New Roman"/>
    </w:rPr>
  </w:style>
  <w:style w:type="paragraph" w:styleId="1125" w:customStyle="1">
    <w:name w:val="Normal_1_2"/>
    <w:uiPriority w:val="0"/>
    <w:qFormat/>
    <w:rPr>
      <w:rFonts w:ascii="Times New Roman" w:hAnsi="Times New Roman" w:eastAsia="Times New Roman" w:cs="Times New Roman"/>
      <w:sz w:val="24"/>
      <w:szCs w:val="24"/>
      <w:lang w:val="en-US" w:eastAsia="zh-CN" w:bidi="ar-SA"/>
    </w:rPr>
  </w:style>
  <w:style w:type="paragraph" w:styleId="1126" w:customStyle="1">
    <w:name w:val="Normal_0_1"/>
    <w:next w:val="1127"/>
    <w:uiPriority w:val="0"/>
    <w:qFormat/>
    <w:rPr>
      <w:rFonts w:ascii="黑体" w:hAnsi="黑体" w:eastAsia="黑体" w:cs="黑体"/>
      <w:b/>
      <w:sz w:val="32"/>
      <w:szCs w:val="24"/>
      <w:lang w:val="en-US" w:eastAsia="zh-CN" w:bidi="ar-SA"/>
    </w:rPr>
  </w:style>
  <w:style w:type="paragraph" w:styleId="1127" w:customStyle="1">
    <w:name w:val="Body Text First Indent_0"/>
    <w:basedOn w:val="1128"/>
    <w:uiPriority w:val="99"/>
    <w:unhideWhenUsed/>
    <w:qFormat/>
    <w:pPr>
      <w:ind w:firstLine="420"/>
      <w:spacing w:after="120"/>
    </w:pPr>
  </w:style>
  <w:style w:type="paragraph" w:styleId="1128" w:customStyle="1">
    <w:name w:val="正文3"/>
    <w:next w:val="1129"/>
    <w:uiPriority w:val="0"/>
    <w:qFormat/>
    <w:rPr>
      <w:rFonts w:ascii="Times New Roman" w:hAnsi="Times New Roman" w:eastAsia="Times New Roman" w:cs="Times New Roman"/>
      <w:sz w:val="24"/>
      <w:szCs w:val="24"/>
      <w:lang w:val="en-US" w:eastAsia="zh-CN" w:bidi="ar-SA"/>
    </w:rPr>
  </w:style>
  <w:style w:type="paragraph" w:styleId="1129" w:customStyle="1">
    <w:name w:val="正文首行缩进3"/>
    <w:basedOn w:val="867"/>
    <w:uiPriority w:val="99"/>
    <w:unhideWhenUsed/>
    <w:qFormat/>
    <w:pPr>
      <w:ind w:firstLine="420"/>
      <w:spacing w:after="120"/>
    </w:pPr>
    <w:rPr>
      <w:sz w:val="20"/>
    </w:rPr>
  </w:style>
  <w:style w:type="paragraph" w:styleId="1130" w:customStyle="1">
    <w:name w:val="Normal_1_1"/>
    <w:uiPriority w:val="0"/>
    <w:qFormat/>
    <w:rPr>
      <w:rFonts w:ascii="黑体" w:hAnsi="黑体" w:eastAsia="黑体" w:cs="黑体"/>
      <w:b/>
      <w:sz w:val="32"/>
      <w:szCs w:val="24"/>
      <w:lang w:val="en-US" w:eastAsia="zh-CN" w:bidi="ar-SA"/>
    </w:rPr>
  </w:style>
  <w:style w:type="paragraph" w:styleId="1131"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132"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133" w:customStyle="1">
    <w:name w:val="Normal_2_0"/>
    <w:uiPriority w:val="0"/>
    <w:qFormat/>
    <w:rPr>
      <w:rFonts w:ascii="黑体" w:hAnsi="黑体" w:eastAsia="黑体" w:cs="黑体"/>
      <w:b/>
      <w:sz w:val="32"/>
      <w:szCs w:val="24"/>
      <w:lang w:val="en-US" w:eastAsia="zh-CN" w:bidi="ar-SA"/>
    </w:rPr>
  </w:style>
  <w:style w:type="paragraph" w:styleId="1134"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135" w:customStyle="1">
    <w:name w:val="Normal_4_0"/>
    <w:uiPriority w:val="0"/>
    <w:qFormat/>
    <w:rPr>
      <w:rFonts w:ascii="黑体" w:hAnsi="黑体" w:eastAsia="黑体" w:cs="黑体"/>
      <w:b/>
      <w:sz w:val="32"/>
      <w:szCs w:val="24"/>
      <w:lang w:val="en-US" w:eastAsia="zh-CN" w:bidi="ar-SA"/>
    </w:rPr>
  </w:style>
  <w:style w:type="paragraph" w:styleId="1136"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137" w:customStyle="1">
    <w:name w:val="Normal_6_0"/>
    <w:uiPriority w:val="0"/>
    <w:qFormat/>
    <w:rPr>
      <w:rFonts w:ascii="黑体" w:hAnsi="黑体" w:eastAsia="黑体" w:cs="黑体"/>
      <w:b/>
      <w:sz w:val="32"/>
      <w:szCs w:val="24"/>
      <w:lang w:val="en-US" w:eastAsia="zh-CN" w:bidi="ar-SA"/>
    </w:rPr>
  </w:style>
  <w:style w:type="paragraph" w:styleId="1138"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139"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40"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41" w:customStyle="1">
    <w:name w:val="Normal_7_0"/>
    <w:uiPriority w:val="0"/>
    <w:qFormat/>
    <w:rPr>
      <w:rFonts w:ascii="黑体" w:hAnsi="黑体" w:eastAsia="黑体" w:cs="黑体"/>
      <w:b/>
      <w:sz w:val="32"/>
      <w:szCs w:val="24"/>
      <w:lang w:val="en-US" w:eastAsia="zh-CN" w:bidi="ar-SA"/>
    </w:rPr>
  </w:style>
  <w:style w:type="paragraph" w:styleId="1142" w:customStyle="1">
    <w:name w:val="Normal_8_0"/>
    <w:uiPriority w:val="0"/>
    <w:qFormat/>
    <w:rPr>
      <w:rFonts w:ascii="Times New Roman" w:hAnsi="Times New Roman" w:eastAsia="Times New Roman" w:cs="Times New Roman"/>
      <w:sz w:val="24"/>
      <w:szCs w:val="24"/>
      <w:lang w:val="en-US" w:eastAsia="zh-CN" w:bidi="ar-SA"/>
    </w:rPr>
  </w:style>
  <w:style w:type="paragraph" w:styleId="1143" w:customStyle="1">
    <w:name w:val="Normal_9_0"/>
    <w:uiPriority w:val="0"/>
    <w:qFormat/>
    <w:rPr>
      <w:rFonts w:ascii="Times New Roman" w:hAnsi="Times New Roman" w:eastAsia="Times New Roman" w:cs="Times New Roman"/>
      <w:sz w:val="24"/>
      <w:szCs w:val="24"/>
      <w:lang w:val="en-US" w:eastAsia="zh-CN" w:bidi="ar-SA"/>
    </w:rPr>
  </w:style>
  <w:style w:type="paragraph" w:styleId="1144" w:customStyle="1">
    <w:name w:val="Normal_10_0"/>
    <w:uiPriority w:val="0"/>
    <w:qFormat/>
    <w:rPr>
      <w:rFonts w:ascii="黑体" w:hAnsi="黑体" w:eastAsia="黑体" w:cs="黑体"/>
      <w:b/>
      <w:sz w:val="32"/>
      <w:szCs w:val="24"/>
      <w:lang w:val="en-US" w:eastAsia="zh-CN" w:bidi="ar-SA"/>
    </w:rPr>
  </w:style>
  <w:style w:type="paragraph" w:styleId="1145" w:customStyle="1">
    <w:name w:val="正文_3"/>
    <w:next w:val="1146"/>
    <w:uiPriority w:val="0"/>
    <w:qFormat/>
    <w:pPr>
      <w:jc w:val="both"/>
      <w:widowControl w:val="off"/>
    </w:pPr>
    <w:rPr>
      <w:rFonts w:ascii="Calibri" w:hAnsi="Calibri" w:eastAsia="宋体" w:cs="Times New Roman"/>
      <w:sz w:val="21"/>
      <w:szCs w:val="22"/>
      <w:lang w:val="en-US" w:eastAsia="zh-CN" w:bidi="ar-SA"/>
    </w:rPr>
  </w:style>
  <w:style w:type="paragraph" w:styleId="1146" w:customStyle="1">
    <w:name w:val="正文首行缩进 2_1"/>
    <w:basedOn w:val="1147"/>
    <w:next w:val="1149"/>
    <w:uiPriority w:val="0"/>
    <w:qFormat/>
    <w:pPr>
      <w:ind w:left="200" w:firstLine="200"/>
      <w:spacing w:after="120"/>
    </w:pPr>
    <w:rPr>
      <w:rFonts w:ascii="Times New Roman"/>
      <w:szCs w:val="24"/>
    </w:rPr>
  </w:style>
  <w:style w:type="paragraph" w:styleId="1147" w:customStyle="1">
    <w:name w:val="正文文本缩进_1"/>
    <w:basedOn w:val="1148"/>
    <w:next w:val="1146"/>
    <w:uiPriority w:val="0"/>
    <w:qFormat/>
    <w:pPr>
      <w:ind w:firstLine="225"/>
    </w:pPr>
    <w:rPr>
      <w:rFonts w:ascii="仿宋_GB2312" w:eastAsia="仿宋_GB2312"/>
      <w:sz w:val="32"/>
    </w:rPr>
  </w:style>
  <w:style w:type="paragraph" w:styleId="1148" w:customStyle="1">
    <w:name w:val="正文_18"/>
    <w:next w:val="1147"/>
    <w:uiPriority w:val="0"/>
    <w:qFormat/>
    <w:pPr>
      <w:jc w:val="both"/>
      <w:widowControl w:val="off"/>
    </w:pPr>
    <w:rPr>
      <w:rFonts w:ascii="Calibri" w:hAnsi="Calibri" w:eastAsia="宋体" w:cs="Times New Roman"/>
      <w:sz w:val="21"/>
      <w:szCs w:val="22"/>
      <w:lang w:val="en-US" w:eastAsia="zh-CN" w:bidi="ar-SA"/>
    </w:rPr>
  </w:style>
  <w:style w:type="paragraph" w:styleId="1149" w:customStyle="1">
    <w:name w:val="xl53_0"/>
    <w:next w:val="1145"/>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150"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151" w:customStyle="1">
    <w:name w:val="Normal_11_0"/>
    <w:uiPriority w:val="0"/>
    <w:qFormat/>
    <w:rPr>
      <w:rFonts w:ascii="黑体" w:hAnsi="黑体" w:eastAsia="黑体" w:cs="黑体"/>
      <w:b/>
      <w:sz w:val="32"/>
      <w:szCs w:val="24"/>
      <w:lang w:val="en-US" w:eastAsia="zh-CN" w:bidi="ar-SA"/>
    </w:rPr>
  </w:style>
  <w:style w:type="paragraph" w:styleId="1152"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15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154"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15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56" w:customStyle="1">
    <w:name w:val="列出段落_2"/>
    <w:basedOn w:val="1154"/>
    <w:uiPriority w:val="34"/>
    <w:qFormat/>
    <w:pPr>
      <w:ind w:firstLine="420"/>
    </w:pPr>
  </w:style>
  <w:style w:type="paragraph" w:styleId="1157" w:customStyle="1">
    <w:name w:val="Normal_13_0"/>
    <w:uiPriority w:val="0"/>
    <w:qFormat/>
    <w:rPr>
      <w:rFonts w:ascii="黑体" w:hAnsi="黑体" w:eastAsia="黑体" w:cs="黑体"/>
      <w:b/>
      <w:sz w:val="32"/>
      <w:szCs w:val="24"/>
      <w:lang w:val="en-US" w:eastAsia="zh-CN" w:bidi="ar-SA"/>
    </w:rPr>
  </w:style>
  <w:style w:type="paragraph" w:styleId="1158"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159" w:customStyle="1">
    <w:name w:val="纯文本_0_0"/>
    <w:basedOn w:val="1158"/>
    <w:uiPriority w:val="0"/>
    <w:unhideWhenUsed/>
    <w:qFormat/>
    <w:rPr>
      <w:rFonts w:ascii="宋体" w:hAnsi="Courier New"/>
      <w:szCs w:val="21"/>
    </w:rPr>
  </w:style>
  <w:style w:type="paragraph" w:styleId="1160"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161" w:customStyle="1">
    <w:name w:val="Normal_14_0"/>
    <w:uiPriority w:val="0"/>
    <w:qFormat/>
    <w:rPr>
      <w:rFonts w:ascii="黑体" w:hAnsi="黑体" w:eastAsia="黑体" w:cs="黑体"/>
      <w:b/>
      <w:sz w:val="32"/>
      <w:szCs w:val="24"/>
      <w:lang w:val="en-US" w:eastAsia="zh-CN" w:bidi="ar-SA"/>
    </w:rPr>
  </w:style>
  <w:style w:type="paragraph" w:styleId="1162"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163" w:customStyle="1">
    <w:name w:val="Normal_15_0"/>
    <w:uiPriority w:val="0"/>
    <w:qFormat/>
    <w:rPr>
      <w:rFonts w:ascii="黑体" w:hAnsi="黑体" w:eastAsia="黑体" w:cs="黑体"/>
      <w:b/>
      <w:sz w:val="32"/>
      <w:szCs w:val="24"/>
      <w:lang w:val="en-US" w:eastAsia="zh-CN" w:bidi="ar-SA"/>
    </w:rPr>
  </w:style>
  <w:style w:type="paragraph" w:styleId="1164"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165"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66" w:customStyle="1">
    <w:name w:val="Normal_16_0"/>
    <w:uiPriority w:val="0"/>
    <w:qFormat/>
    <w:rPr>
      <w:rFonts w:ascii="黑体" w:hAnsi="黑体" w:eastAsia="黑体" w:cs="黑体"/>
      <w:b/>
      <w:sz w:val="32"/>
      <w:szCs w:val="24"/>
      <w:lang w:val="en-US" w:eastAsia="zh-CN" w:bidi="ar-SA"/>
    </w:rPr>
  </w:style>
  <w:style w:type="paragraph" w:styleId="1167"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68" w:customStyle="1">
    <w:name w:val="Normal_17_0"/>
    <w:uiPriority w:val="0"/>
    <w:qFormat/>
    <w:rPr>
      <w:rFonts w:ascii="黑体" w:hAnsi="黑体" w:eastAsia="黑体" w:cs="黑体"/>
      <w:b/>
      <w:sz w:val="32"/>
      <w:szCs w:val="24"/>
      <w:lang w:val="en-US" w:eastAsia="zh-CN" w:bidi="ar-SA"/>
    </w:rPr>
  </w:style>
  <w:style w:type="paragraph" w:styleId="1169"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170" w:customStyle="1">
    <w:name w:val="Normal_18_0"/>
    <w:uiPriority w:val="0"/>
    <w:qFormat/>
    <w:rPr>
      <w:rFonts w:ascii="黑体" w:hAnsi="黑体" w:eastAsia="黑体" w:cs="黑体"/>
      <w:b/>
      <w:sz w:val="32"/>
      <w:szCs w:val="24"/>
      <w:lang w:val="en-US" w:eastAsia="zh-CN" w:bidi="ar-SA"/>
    </w:rPr>
  </w:style>
  <w:style w:type="paragraph" w:styleId="1171"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72"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73" w:customStyle="1">
    <w:name w:val="Normal_14_0_0"/>
    <w:uiPriority w:val="0"/>
    <w:qFormat/>
    <w:rPr>
      <w:rFonts w:ascii="黑体" w:hAnsi="黑体" w:eastAsia="黑体" w:cs="Times New Roman"/>
      <w:b/>
      <w:sz w:val="32"/>
      <w:szCs w:val="24"/>
      <w:lang w:val="en-US" w:eastAsia="zh-CN" w:bidi="ar-SA"/>
    </w:rPr>
  </w:style>
  <w:style w:type="paragraph" w:styleId="1174"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175"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76"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177"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7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7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80" w:customStyle="1">
    <w:name w:val="Normal Indent_0"/>
    <w:basedOn w:val="958"/>
    <w:uiPriority w:val="0"/>
    <w:qFormat/>
    <w:pPr>
      <w:ind w:firstLine="420"/>
    </w:pPr>
    <w:rPr>
      <w:rFonts w:ascii="宋体" w:eastAsia="Times New Roman"/>
      <w:color w:val="000000"/>
      <w:sz w:val="24"/>
      <w:szCs w:val="20"/>
    </w:rPr>
  </w:style>
  <w:style w:type="paragraph" w:styleId="1181" w:customStyle="1">
    <w:name w:val="Heading 3_0"/>
    <w:basedOn w:val="958"/>
    <w:next w:val="958"/>
    <w:uiPriority w:val="0"/>
    <w:qFormat/>
    <w:pPr>
      <w:keepLines/>
      <w:keepNext/>
      <w:spacing w:before="260" w:after="260" w:line="413" w:lineRule="auto"/>
      <w:outlineLvl w:val="2"/>
    </w:pPr>
    <w:rPr>
      <w:rFonts w:ascii="Times New Roman" w:hAnsi="Times New Roman" w:eastAsia="Times New Roman"/>
      <w:szCs w:val="20"/>
    </w:rPr>
  </w:style>
  <w:style w:type="paragraph" w:styleId="1182"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83" w:customStyle="1">
    <w:name w:val="正文2"/>
    <w:basedOn w:val="820"/>
    <w:uiPriority w:val="0"/>
    <w:qFormat/>
    <w:pPr>
      <w:ind w:firstLine="510"/>
      <w:spacing w:before="156" w:line="360" w:lineRule="auto"/>
    </w:pPr>
    <w:rPr>
      <w:sz w:val="24"/>
      <w:szCs w:val="20"/>
    </w:rPr>
  </w:style>
  <w:style w:type="paragraph" w:styleId="118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85"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186" w:customStyle="1">
    <w:name w:val="Normal_19_1_0"/>
    <w:next w:val="1187"/>
    <w:uiPriority w:val="0"/>
    <w:qFormat/>
    <w:pPr>
      <w:jc w:val="both"/>
      <w:widowControl w:val="off"/>
    </w:pPr>
    <w:rPr>
      <w:rFonts w:ascii="Calibri" w:hAnsi="Calibri" w:eastAsia="宋体" w:cs="Times New Roman"/>
      <w:szCs w:val="24"/>
      <w:lang w:val="en-US" w:eastAsia="zh-CN" w:bidi="ar-SA"/>
    </w:rPr>
  </w:style>
  <w:style w:type="paragraph" w:styleId="1187" w:customStyle="1">
    <w:name w:val="正文_16_0"/>
    <w:basedOn w:val="1148"/>
    <w:next w:val="1146"/>
    <w:uiPriority w:val="0"/>
    <w:qFormat/>
    <w:rPr>
      <w:rFonts w:ascii="Times New Roman" w:hAnsi="Times New Roman"/>
    </w:rPr>
  </w:style>
  <w:style w:type="paragraph" w:styleId="1188" w:customStyle="1">
    <w:name w:val="Normal_19_0"/>
    <w:basedOn w:val="865"/>
    <w:next w:val="1189"/>
    <w:uiPriority w:val="0"/>
    <w:qFormat/>
    <w:rPr>
      <w:szCs w:val="24"/>
    </w:rPr>
  </w:style>
  <w:style w:type="paragraph" w:styleId="1189" w:customStyle="1">
    <w:name w:val="Body Text First Indent_1_0"/>
    <w:basedOn w:val="1188"/>
    <w:uiPriority w:val="0"/>
    <w:qFormat/>
    <w:pPr>
      <w:ind w:firstLine="100"/>
      <w:spacing w:after="120"/>
    </w:pPr>
  </w:style>
  <w:style w:type="paragraph" w:styleId="1190" w:customStyle="1">
    <w:name w:val="Body Text_0"/>
    <w:basedOn w:val="1188"/>
    <w:uiPriority w:val="0"/>
    <w:qFormat/>
    <w:pPr>
      <w:spacing w:line="60" w:lineRule="auto"/>
    </w:pPr>
    <w:rPr>
      <w:rFonts w:ascii="仿宋_GB2312" w:eastAsia="仿宋_GB2312"/>
      <w:sz w:val="32"/>
    </w:rPr>
  </w:style>
  <w:style w:type="paragraph" w:styleId="1191" w:customStyle="1">
    <w:name w:val="Normal_19_1"/>
    <w:next w:val="958"/>
    <w:uiPriority w:val="0"/>
    <w:qFormat/>
    <w:pPr>
      <w:jc w:val="both"/>
      <w:widowControl w:val="off"/>
    </w:pPr>
    <w:rPr>
      <w:rFonts w:ascii="Calibri" w:hAnsi="Calibri" w:eastAsia="宋体" w:cs="Times New Roman"/>
      <w:szCs w:val="24"/>
      <w:lang w:val="en-US" w:eastAsia="zh-CN" w:bidi="ar-SA"/>
    </w:rPr>
  </w:style>
  <w:style w:type="paragraph" w:styleId="1192" w:customStyle="1">
    <w:name w:val="正文_6_0_0"/>
    <w:uiPriority w:val="0"/>
    <w:qFormat/>
    <w:pPr>
      <w:jc w:val="both"/>
      <w:widowControl w:val="off"/>
    </w:pPr>
    <w:rPr>
      <w:rFonts w:ascii="Calibri" w:hAnsi="Calibri" w:eastAsia="宋体" w:cs="Times New Roman"/>
      <w:lang w:val="en-US" w:eastAsia="zh-CN" w:bidi="ar-SA"/>
    </w:rPr>
  </w:style>
  <w:style w:type="paragraph" w:styleId="1193" w:customStyle="1">
    <w:name w:val="正文_7_1"/>
    <w:uiPriority w:val="0"/>
    <w:qFormat/>
    <w:pPr>
      <w:jc w:val="both"/>
      <w:widowControl w:val="off"/>
    </w:pPr>
    <w:rPr>
      <w:rFonts w:ascii="Calibri" w:hAnsi="Calibri" w:eastAsia="宋体" w:cs="Times New Roman"/>
      <w:lang w:val="en-US" w:eastAsia="zh-CN" w:bidi="ar-SA"/>
    </w:rPr>
  </w:style>
  <w:style w:type="paragraph" w:styleId="1194" w:customStyle="1">
    <w:name w:val="正文1_1"/>
    <w:basedOn w:val="1142"/>
    <w:uiPriority w:val="0"/>
    <w:qFormat/>
    <w:pPr>
      <w:jc w:val="both"/>
      <w:widowControl w:val="off"/>
    </w:pPr>
    <w:rPr>
      <w:sz w:val="20"/>
      <w:szCs w:val="20"/>
    </w:rPr>
  </w:style>
  <w:style w:type="paragraph" w:styleId="1195" w:customStyle="1">
    <w:name w:val="Normal_8_0_0"/>
    <w:uiPriority w:val="0"/>
    <w:qFormat/>
    <w:rPr>
      <w:rFonts w:ascii="Times New Roman" w:hAnsi="Times New Roman" w:eastAsia="Times New Roman" w:cs="Times New Roman"/>
      <w:sz w:val="24"/>
      <w:szCs w:val="24"/>
      <w:lang w:val="en-US" w:eastAsia="zh-CN" w:bidi="ar-SA"/>
    </w:rPr>
  </w:style>
  <w:style w:type="paragraph" w:styleId="1196" w:customStyle="1">
    <w:name w:val="Normal_8_0_0_0"/>
    <w:uiPriority w:val="0"/>
    <w:qFormat/>
    <w:pPr>
      <w:jc w:val="both"/>
      <w:widowControl w:val="off"/>
    </w:pPr>
    <w:rPr>
      <w:rFonts w:ascii="Calibri" w:hAnsi="Calibri" w:eastAsia="宋体" w:cs="Times New Roman"/>
      <w:lang w:val="en-US" w:eastAsia="zh-CN" w:bidi="ar-SA"/>
    </w:rPr>
  </w:style>
  <w:style w:type="paragraph" w:styleId="1197" w:customStyle="1">
    <w:name w:val="Normal_16_1"/>
    <w:uiPriority w:val="0"/>
    <w:qFormat/>
    <w:rPr>
      <w:rFonts w:ascii="黑体" w:hAnsi="黑体" w:eastAsia="黑体" w:cs="Times New Roman"/>
      <w:b/>
      <w:sz w:val="32"/>
      <w:szCs w:val="24"/>
      <w:lang w:val="en-US" w:eastAsia="zh-CN" w:bidi="ar-SA"/>
    </w:rPr>
  </w:style>
  <w:style w:type="paragraph" w:styleId="1198" w:customStyle="1">
    <w:name w:val="Normal_19_0_1"/>
    <w:uiPriority w:val="0"/>
    <w:qFormat/>
    <w:rPr>
      <w:rFonts w:ascii="Tahoma" w:hAnsi="Tahoma" w:eastAsia="微软雅黑" w:cs="Times New Roman"/>
      <w:lang w:val="en-US" w:eastAsia="zh-CN" w:bidi="ar-SA"/>
    </w:rPr>
  </w:style>
  <w:style w:type="paragraph" w:styleId="1199" w:customStyle="1">
    <w:name w:val="Normal_16_0_0"/>
    <w:uiPriority w:val="0"/>
    <w:qFormat/>
    <w:pPr>
      <w:jc w:val="both"/>
      <w:widowControl w:val="off"/>
    </w:pPr>
    <w:rPr>
      <w:rFonts w:ascii="Calibri" w:hAnsi="Calibri" w:eastAsia="宋体" w:cs="Times New Roman"/>
      <w:lang w:val="en-US" w:eastAsia="zh-CN" w:bidi="ar-SA"/>
    </w:rPr>
  </w:style>
  <w:style w:type="paragraph" w:styleId="1200"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201" w:customStyle="1">
    <w:name w:val="Normal_17_0_0"/>
    <w:uiPriority w:val="0"/>
    <w:qFormat/>
    <w:rPr>
      <w:rFonts w:ascii="黑体" w:hAnsi="黑体" w:eastAsia="黑体" w:cs="Times New Roman"/>
      <w:b/>
      <w:sz w:val="32"/>
      <w:szCs w:val="24"/>
      <w:lang w:val="en-US" w:eastAsia="zh-CN" w:bidi="ar-SA"/>
    </w:rPr>
  </w:style>
  <w:style w:type="paragraph" w:styleId="1202" w:customStyle="1">
    <w:name w:val="Normal_19_0_1_0"/>
    <w:uiPriority w:val="0"/>
    <w:qFormat/>
    <w:rPr>
      <w:rFonts w:ascii="Tahoma" w:hAnsi="Tahoma" w:eastAsia="微软雅黑" w:cs="Times New Roman"/>
      <w:lang w:val="en-US" w:eastAsia="zh-CN" w:bidi="ar-SA"/>
    </w:rPr>
  </w:style>
  <w:style w:type="paragraph" w:styleId="1203" w:customStyle="1">
    <w:name w:val="Normal_19_3"/>
    <w:next w:val="1204"/>
    <w:uiPriority w:val="0"/>
    <w:qFormat/>
    <w:pPr>
      <w:jc w:val="both"/>
      <w:widowControl w:val="off"/>
    </w:pPr>
    <w:rPr>
      <w:rFonts w:ascii="Calibri" w:hAnsi="Calibri" w:eastAsia="Times New Roman" w:cs="Times New Roman"/>
      <w:szCs w:val="24"/>
      <w:lang w:val="en-US" w:eastAsia="zh-CN" w:bidi="ar-SA"/>
    </w:rPr>
  </w:style>
  <w:style w:type="paragraph" w:styleId="1204"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205"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206" w:customStyle="1">
    <w:name w:val="custom-tag-placeholder-class"/>
    <w:uiPriority w:val="0"/>
    <w:qFormat/>
  </w:style>
  <w:style w:type="paragraph" w:styleId="1207" w:customStyle="1">
    <w:name w:val="Normal_19_0_0"/>
    <w:basedOn w:val="958"/>
    <w:next w:val="1208"/>
    <w:uiPriority w:val="0"/>
    <w:qFormat/>
    <w:rPr>
      <w:rFonts w:ascii="Calibri" w:hAnsi="Calibri" w:eastAsia="Times New Roman"/>
      <w:sz w:val="24"/>
    </w:rPr>
  </w:style>
  <w:style w:type="paragraph" w:styleId="1208" w:customStyle="1">
    <w:name w:val="Body Text First Indent_1_0_0"/>
    <w:basedOn w:val="1207"/>
    <w:uiPriority w:val="0"/>
    <w:qFormat/>
    <w:pPr>
      <w:ind w:firstLine="100"/>
      <w:spacing w:after="120"/>
    </w:pPr>
  </w:style>
  <w:style w:type="paragraph" w:styleId="1209" w:customStyle="1">
    <w:name w:val="正文首行缩进1"/>
    <w:basedOn w:val="1210"/>
    <w:uiPriority w:val="0"/>
    <w:qFormat/>
    <w:pPr>
      <w:ind w:firstLine="100"/>
      <w:spacing w:after="120" w:line="240" w:lineRule="auto"/>
    </w:pPr>
    <w:rPr>
      <w:rFonts w:ascii="Times New Roman" w:hAnsi="Times New Roman" w:eastAsia="宋体"/>
      <w:sz w:val="21"/>
    </w:rPr>
  </w:style>
  <w:style w:type="paragraph" w:styleId="1210" w:customStyle="1">
    <w:name w:val="正文文本1"/>
    <w:basedOn w:val="820"/>
    <w:uiPriority w:val="0"/>
    <w:qFormat/>
    <w:pPr>
      <w:spacing w:line="60" w:lineRule="auto"/>
    </w:pPr>
    <w:rPr>
      <w:rFonts w:ascii="仿宋_GB2312" w:eastAsia="仿宋_GB2312"/>
      <w:sz w:val="32"/>
    </w:rPr>
  </w:style>
  <w:style w:type="paragraph" w:styleId="1211"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12" w:customStyle="1">
    <w:name w:val="List Paragraph_0"/>
    <w:basedOn w:val="1122"/>
    <w:uiPriority w:val="0"/>
    <w:qFormat/>
    <w:pPr>
      <w:ind w:firstLine="420"/>
    </w:pPr>
  </w:style>
  <w:style w:type="paragraph" w:styleId="1213" w:customStyle="1">
    <w:name w:val="纯文本_1"/>
    <w:basedOn w:val="1211"/>
    <w:uiPriority w:val="0"/>
    <w:qFormat/>
    <w:rPr>
      <w:rFonts w:ascii="宋体" w:hAnsi="Times New Roman"/>
      <w:sz w:val="20"/>
      <w:szCs w:val="21"/>
    </w:rPr>
  </w:style>
  <w:style w:type="paragraph" w:styleId="1214" w:customStyle="1">
    <w:name w:val="正文_16_0_0"/>
    <w:next w:val="985"/>
    <w:uiPriority w:val="0"/>
    <w:qFormat/>
    <w:pPr>
      <w:jc w:val="both"/>
      <w:widowControl w:val="off"/>
    </w:pPr>
    <w:rPr>
      <w:rFonts w:ascii="Calibri" w:hAnsi="Calibri" w:eastAsia="宋体" w:cs="Times New Roman"/>
      <w:sz w:val="21"/>
      <w:szCs w:val="22"/>
      <w:lang w:val="en-US" w:eastAsia="zh-CN" w:bidi="ar-SA"/>
    </w:rPr>
  </w:style>
  <w:style w:type="paragraph" w:styleId="1215" w:customStyle="1">
    <w:name w:val="正文_11_0"/>
    <w:basedOn w:val="985"/>
    <w:uiPriority w:val="0"/>
    <w:qFormat/>
    <w:rPr>
      <w:rFonts w:ascii="Calibri" w:hAnsi="Calibri"/>
      <w:szCs w:val="20"/>
    </w:rPr>
  </w:style>
  <w:style w:type="paragraph" w:styleId="1216" w:customStyle="1">
    <w:name w:val="Normal_19_0_0_0"/>
    <w:basedOn w:val="865"/>
    <w:uiPriority w:val="0"/>
    <w:qFormat/>
    <w:rPr>
      <w:rFonts w:cs="黑体"/>
      <w:szCs w:val="24"/>
    </w:rPr>
  </w:style>
  <w:style w:type="paragraph" w:styleId="1217" w:customStyle="1">
    <w:name w:val="无间隔11"/>
    <w:basedOn w:val="1128"/>
    <w:uiPriority w:val="0"/>
    <w:qFormat/>
    <w:rPr>
      <w:rFonts w:ascii="Calibri" w:hAnsi="Calibri" w:cs="Calibri"/>
    </w:rPr>
  </w:style>
  <w:style w:type="paragraph" w:styleId="1218" w:customStyle="1">
    <w:name w:val="标题 312"/>
    <w:basedOn w:val="1128"/>
    <w:next w:val="1128"/>
    <w:uiPriority w:val="0"/>
    <w:qFormat/>
    <w:pPr>
      <w:keepLines/>
      <w:keepNext/>
      <w:spacing w:before="260" w:after="260" w:line="413" w:lineRule="auto"/>
      <w:outlineLvl w:val="2"/>
    </w:pPr>
    <w:rPr>
      <w:b/>
      <w:sz w:val="32"/>
      <w:szCs w:val="20"/>
    </w:rPr>
  </w:style>
  <w:style w:type="character" w:styleId="1219" w:customStyle="1">
    <w:name w:val="标题 2 Char_0"/>
    <w:link w:val="1220"/>
    <w:uiPriority w:val="0"/>
    <w:qFormat/>
    <w:rPr>
      <w:rFonts w:ascii="Arial" w:hAnsi="Arial" w:eastAsia="黑体"/>
      <w:b/>
      <w:sz w:val="32"/>
      <w:szCs w:val="22"/>
    </w:rPr>
  </w:style>
  <w:style w:type="paragraph" w:styleId="1220" w:customStyle="1">
    <w:name w:val="标题 212"/>
    <w:basedOn w:val="866"/>
    <w:next w:val="866"/>
    <w:link w:val="1219"/>
    <w:uiPriority w:val="0"/>
    <w:unhideWhenUsed/>
    <w:qFormat/>
    <w:pPr>
      <w:keepLines/>
      <w:keepNext/>
      <w:spacing w:before="260" w:after="260" w:line="413" w:lineRule="auto"/>
      <w:outlineLvl w:val="1"/>
    </w:pPr>
    <w:rPr>
      <w:rFonts w:ascii="Arial" w:hAnsi="Arial"/>
      <w:szCs w:val="22"/>
    </w:rPr>
  </w:style>
  <w:style w:type="paragraph" w:styleId="1221" w:customStyle="1">
    <w:name w:val="Normal_19_1_0_0"/>
    <w:next w:val="1222"/>
    <w:uiPriority w:val="0"/>
    <w:qFormat/>
    <w:pPr>
      <w:jc w:val="both"/>
      <w:widowControl w:val="off"/>
    </w:pPr>
    <w:rPr>
      <w:rFonts w:ascii="Calibri" w:hAnsi="Calibri" w:eastAsia="宋体" w:cs="Times New Roman"/>
      <w:sz w:val="21"/>
      <w:szCs w:val="24"/>
      <w:lang w:val="en-US" w:eastAsia="zh-CN" w:bidi="ar-SA"/>
    </w:rPr>
  </w:style>
  <w:style w:type="paragraph" w:styleId="1222"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223" w:customStyle="1">
    <w:name w:val="正文1_0_0"/>
    <w:basedOn w:val="866"/>
    <w:uiPriority w:val="0"/>
    <w:qFormat/>
    <w:pPr>
      <w:ind w:left="357" w:firstLine="420"/>
      <w:spacing w:line="360" w:lineRule="auto"/>
    </w:pPr>
    <w:rPr>
      <w:rFonts w:eastAsia="Times New Roman" w:cs="Arial"/>
    </w:rPr>
  </w:style>
  <w:style w:type="paragraph" w:styleId="1224" w:customStyle="1">
    <w:name w:val="普通正文"/>
    <w:basedOn w:val="820"/>
    <w:uiPriority w:val="0"/>
    <w:qFormat/>
    <w:pPr>
      <w:ind w:firstLine="480"/>
      <w:jc w:val="left"/>
      <w:spacing w:before="120" w:after="120" w:line="360" w:lineRule="auto"/>
    </w:pPr>
    <w:rPr>
      <w:rFonts w:ascii="Arial" w:hAnsi="Arial"/>
      <w:sz w:val="24"/>
      <w:szCs w:val="24"/>
    </w:rPr>
  </w:style>
  <w:style w:type="paragraph" w:styleId="1225" w:customStyle="1">
    <w:name w:val="正文空2字"/>
    <w:basedOn w:val="1226"/>
    <w:uiPriority w:val="99"/>
    <w:qFormat/>
    <w:pPr>
      <w:ind w:firstLine="640"/>
      <w:spacing w:line="560" w:lineRule="exact"/>
      <w:widowControl w:val="off"/>
    </w:pPr>
    <w:rPr>
      <w:rFonts w:ascii="仿宋_GB2312" w:hAnsi="仿宋_GB2312" w:cs="仿宋_GB2312"/>
      <w:lang w:val="zh-TW"/>
    </w:rPr>
  </w:style>
  <w:style w:type="paragraph" w:styleId="1226" w:customStyle="1">
    <w:name w:val="左对齐正文"/>
    <w:uiPriority w:val="99"/>
    <w:qFormat/>
    <w:rPr>
      <w:rFonts w:ascii="Calibri" w:hAnsi="Calibri" w:eastAsia="仿宋_GB2312" w:cs="Calibri"/>
      <w:sz w:val="32"/>
      <w:szCs w:val="32"/>
      <w:lang w:val="en-US" w:eastAsia="zh-CN" w:bidi="ar-SA"/>
    </w:rPr>
  </w:style>
  <w:style w:type="paragraph" w:styleId="1227" w:customStyle="1">
    <w:name w:val="普通(网站)1"/>
    <w:basedOn w:val="820"/>
    <w:uiPriority w:val="0"/>
    <w:qFormat/>
    <w:rPr>
      <w:sz w:val="24"/>
    </w:rPr>
  </w:style>
  <w:style w:type="character" w:styleId="1228" w:customStyle="1">
    <w:name w:val="16"/>
    <w:uiPriority w:val="0"/>
    <w:qFormat/>
    <w:rPr>
      <w:rFonts w:ascii="Times New Roman" w:hAnsi="Times New Roman"/>
      <w:sz w:val="21"/>
      <w:szCs w:val="21"/>
      <w:lang w:val="en-US" w:eastAsia="zh-CN" w:bidi="ar-SA"/>
    </w:rPr>
  </w:style>
  <w:style w:type="paragraph" w:styleId="1229" w:customStyle="1">
    <w:name w:val="正文文本_0"/>
    <w:basedOn w:val="1122"/>
    <w:next w:val="1230"/>
    <w:uiPriority w:val="0"/>
    <w:qFormat/>
    <w:pPr>
      <w:spacing w:line="60" w:lineRule="auto"/>
    </w:pPr>
    <w:rPr>
      <w:rFonts w:ascii="仿宋_GB2312" w:eastAsia="仿宋_GB2312"/>
      <w:sz w:val="32"/>
    </w:rPr>
  </w:style>
  <w:style w:type="paragraph" w:styleId="1230" w:customStyle="1">
    <w:name w:val="正文缩进_1"/>
    <w:basedOn w:val="1122"/>
    <w:next w:val="1122"/>
    <w:uiPriority w:val="0"/>
    <w:qFormat/>
    <w:pPr>
      <w:ind w:firstLine="420"/>
    </w:pPr>
    <w:rPr>
      <w:rFonts w:ascii="宋体"/>
      <w:color w:val="000000"/>
      <w:sz w:val="24"/>
      <w:szCs w:val="20"/>
    </w:rPr>
  </w:style>
  <w:style w:type="paragraph" w:styleId="1231" w:customStyle="1">
    <w:name w:val="Table Paragraph"/>
    <w:basedOn w:val="958"/>
    <w:uiPriority w:val="1"/>
    <w:qFormat/>
    <w:rPr>
      <w:rFonts w:ascii="宋体" w:hAnsi="宋体" w:cs="宋体"/>
      <w:sz w:val="22"/>
      <w:lang w:val="zh-CN" w:bidi="zh-CN"/>
    </w:rPr>
  </w:style>
  <w:style w:type="paragraph" w:styleId="1232" w:customStyle="1">
    <w:name w:val="Normal_19_2"/>
    <w:basedOn w:val="1233"/>
    <w:uiPriority w:val="0"/>
    <w:qFormat/>
    <w:rPr>
      <w:rFonts w:ascii="Times New Roman" w:hAnsi="Times New Roman"/>
      <w:szCs w:val="21"/>
    </w:rPr>
  </w:style>
  <w:style w:type="paragraph" w:styleId="1233" w:customStyle="1">
    <w:name w:val="正文_3_0"/>
    <w:next w:val="1121"/>
    <w:uiPriority w:val="0"/>
    <w:qFormat/>
    <w:pPr>
      <w:jc w:val="both"/>
      <w:widowControl w:val="off"/>
    </w:pPr>
    <w:rPr>
      <w:rFonts w:ascii="Calibri" w:hAnsi="Calibri" w:eastAsia="宋体" w:cs="Times New Roman"/>
      <w:sz w:val="21"/>
      <w:szCs w:val="22"/>
      <w:lang w:val="en-US" w:eastAsia="zh-CN" w:bidi="ar-SA"/>
    </w:rPr>
  </w:style>
  <w:style w:type="paragraph" w:styleId="1234" w:customStyle="1">
    <w:name w:val="正文文本2"/>
    <w:basedOn w:val="982"/>
    <w:uiPriority w:val="0"/>
    <w:qFormat/>
    <w:pPr>
      <w:spacing w:line="60" w:lineRule="auto"/>
    </w:pPr>
    <w:rPr>
      <w:rFonts w:ascii="仿宋_GB2312" w:eastAsia="仿宋_GB2312"/>
      <w:sz w:val="32"/>
      <w:szCs w:val="22"/>
    </w:rPr>
  </w:style>
  <w:style w:type="paragraph" w:styleId="1235" w:customStyle="1">
    <w:name w:val="正文1_0"/>
    <w:basedOn w:val="1211"/>
    <w:uiPriority w:val="0"/>
    <w:qFormat/>
    <w:pPr>
      <w:ind w:left="357" w:firstLine="420"/>
      <w:jc w:val="left"/>
      <w:spacing w:line="360" w:lineRule="auto"/>
      <w:widowControl/>
    </w:pPr>
    <w:rPr>
      <w:rFonts w:cs="Arial"/>
      <w:szCs w:val="20"/>
    </w:rPr>
  </w:style>
  <w:style w:type="paragraph" w:styleId="1236" w:customStyle="1">
    <w:name w:val="Normal_19_2_0"/>
    <w:basedOn w:val="1237"/>
    <w:uiPriority w:val="0"/>
    <w:qFormat/>
    <w:rPr>
      <w:rFonts w:ascii="Times New Roman" w:hAnsi="Times New Roman"/>
      <w:szCs w:val="21"/>
    </w:rPr>
  </w:style>
  <w:style w:type="paragraph" w:styleId="1237"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238" w:customStyle="1">
    <w:name w:val="正文缩进1"/>
    <w:basedOn w:val="820"/>
    <w:uiPriority w:val="0"/>
    <w:qFormat/>
    <w:pPr>
      <w:ind w:firstLine="420"/>
      <w:jc w:val="left"/>
    </w:pPr>
    <w:rPr>
      <w:rFonts w:ascii="宋体"/>
      <w:sz w:val="24"/>
    </w:rPr>
  </w:style>
  <w:style w:type="paragraph" w:styleId="1239" w:customStyle="1">
    <w:name w:val="纯文本1"/>
    <w:basedOn w:val="983"/>
    <w:uiPriority w:val="0"/>
    <w:qFormat/>
    <w:rPr>
      <w:rFonts w:ascii="宋体" w:hAnsi="Courier New"/>
    </w:rPr>
  </w:style>
  <w:style w:type="paragraph" w:styleId="1240" w:customStyle="1">
    <w:name w:val="Normal_21_0"/>
    <w:next w:val="1241"/>
    <w:uiPriority w:val="0"/>
    <w:qFormat/>
    <w:pPr>
      <w:jc w:val="both"/>
      <w:widowControl w:val="off"/>
    </w:pPr>
    <w:rPr>
      <w:rFonts w:ascii="Times New Roman" w:hAnsi="Times New Roman" w:eastAsia="宋体" w:cs="Times New Roman"/>
      <w:sz w:val="21"/>
      <w:szCs w:val="24"/>
      <w:lang w:val="en-US" w:eastAsia="zh-CN" w:bidi="ar-SA"/>
    </w:rPr>
  </w:style>
  <w:style w:type="paragraph" w:styleId="1241" w:customStyle="1">
    <w:name w:val="Heading 1_0"/>
    <w:basedOn w:val="1240"/>
    <w:next w:val="1240"/>
    <w:uiPriority w:val="0"/>
    <w:qFormat/>
    <w:pPr>
      <w:jc w:val="center"/>
      <w:keepLines/>
      <w:keepNext/>
      <w:spacing w:before="240" w:after="120" w:line="300" w:lineRule="auto"/>
      <w:outlineLvl w:val="0"/>
    </w:pPr>
    <w:rPr>
      <w:rFonts w:ascii="宋体"/>
      <w:b/>
      <w:sz w:val="32"/>
      <w:szCs w:val="20"/>
    </w:rPr>
  </w:style>
  <w:style w:type="paragraph" w:styleId="1242"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243" w:customStyle="1">
    <w:name w:val="正文文本 字符"/>
    <w:uiPriority w:val="0"/>
    <w:qFormat/>
    <w:rPr>
      <w:rFonts w:ascii="楷体_GB2312" w:hAnsi="Arial" w:eastAsia="楷体_GB2312" w:cs="Times New Roman"/>
      <w:sz w:val="28"/>
      <w:szCs w:val="28"/>
    </w:rPr>
  </w:style>
  <w:style w:type="character" w:styleId="1244" w:customStyle="1">
    <w:name w:val="正文文本缩进 字符"/>
    <w:uiPriority w:val="0"/>
    <w:qFormat/>
    <w:rPr>
      <w:rFonts w:ascii="楷体_GB2312" w:hAnsi="Times New Roman" w:eastAsia="楷体_GB2312" w:cs="Times New Roman"/>
      <w:sz w:val="32"/>
      <w:szCs w:val="32"/>
    </w:rPr>
  </w:style>
  <w:style w:type="character" w:styleId="1245" w:customStyle="1">
    <w:name w:val="正文文本 字符1"/>
    <w:uiPriority w:val="0"/>
    <w:qFormat/>
    <w:rPr>
      <w:rFonts w:ascii="Calibri" w:hAnsi="Calibri"/>
      <w:sz w:val="28"/>
      <w:szCs w:val="24"/>
    </w:rPr>
  </w:style>
  <w:style w:type="character" w:styleId="1246" w:customStyle="1">
    <w:name w:val="正文文本首行缩进 字符"/>
    <w:uiPriority w:val="0"/>
    <w:qFormat/>
    <w:rPr>
      <w:rFonts w:ascii="仿宋_GB2312" w:hAnsi="Calibri" w:eastAsia="仿宋_GB2312"/>
      <w:sz w:val="30"/>
      <w:szCs w:val="30"/>
    </w:rPr>
  </w:style>
  <w:style w:type="paragraph" w:styleId="1247" w:customStyle="1">
    <w:name w:val="索引 41"/>
    <w:basedOn w:val="820"/>
    <w:next w:val="820"/>
    <w:uiPriority w:val="0"/>
    <w:semiHidden/>
    <w:qFormat/>
    <w:pPr>
      <w:ind w:left="1260"/>
    </w:pPr>
    <w:rPr>
      <w:rFonts w:eastAsia="Calibri" w:cs="宋体"/>
      <w:sz w:val="20"/>
      <w:szCs w:val="21"/>
      <w:lang w:val="zh-CN"/>
    </w:rPr>
  </w:style>
  <w:style w:type="character" w:styleId="1248" w:customStyle="1">
    <w:name w:val="font5 Char"/>
    <w:uiPriority w:val="0"/>
    <w:qFormat/>
    <w:rPr>
      <w:rFonts w:ascii="宋体" w:hAnsi="宋体" w:eastAsia="宋体"/>
      <w:sz w:val="28"/>
      <w:szCs w:val="28"/>
      <w:lang w:val="en-US" w:eastAsia="zh-CN" w:bidi="ar-SA"/>
    </w:rPr>
  </w:style>
  <w:style w:type="character" w:styleId="1249" w:customStyle="1">
    <w:name w:val="二级目录 Char"/>
    <w:link w:val="1250"/>
    <w:uiPriority w:val="0"/>
    <w:qFormat/>
    <w:rPr>
      <w:b/>
      <w:sz w:val="30"/>
      <w:szCs w:val="28"/>
    </w:rPr>
  </w:style>
  <w:style w:type="paragraph" w:styleId="1250" w:customStyle="1">
    <w:name w:val="二级目录"/>
    <w:next w:val="820"/>
    <w:link w:val="1249"/>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51" w:customStyle="1">
    <w:name w:val="列出段落 Char"/>
    <w:link w:val="1252"/>
    <w:uiPriority w:val="0"/>
    <w:qFormat/>
    <w:rPr>
      <w:rFonts w:ascii="Calibri" w:hAnsi="Calibri"/>
      <w:sz w:val="24"/>
      <w:szCs w:val="24"/>
      <w:lang w:eastAsia="en-US" w:bidi="en-US"/>
    </w:rPr>
  </w:style>
  <w:style w:type="paragraph" w:styleId="1252" w:customStyle="1">
    <w:name w:val="列出段落1"/>
    <w:basedOn w:val="820"/>
    <w:link w:val="1251"/>
    <w:uiPriority w:val="0"/>
    <w:qFormat/>
    <w:pPr>
      <w:contextualSpacing/>
      <w:ind w:left="720"/>
      <w:jc w:val="left"/>
      <w:widowControl/>
    </w:pPr>
    <w:rPr>
      <w:sz w:val="24"/>
      <w:szCs w:val="24"/>
      <w:lang w:eastAsia="en-US" w:bidi="en-US"/>
    </w:rPr>
  </w:style>
  <w:style w:type="paragraph" w:styleId="1253" w:customStyle="1">
    <w:name w:val="Body Text(ch)"/>
    <w:basedOn w:val="820"/>
    <w:uiPriority w:val="0"/>
    <w:qFormat/>
    <w:pPr>
      <w:spacing w:after="120"/>
    </w:pPr>
    <w:rPr>
      <w:rFonts w:ascii="宋体" w:hAnsi="Arial"/>
      <w:bCs/>
      <w:iCs/>
      <w:szCs w:val="24"/>
    </w:rPr>
  </w:style>
  <w:style w:type="paragraph" w:styleId="1254" w:customStyle="1">
    <w:name w:val="xl27"/>
    <w:basedOn w:val="8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5" w:customStyle="1">
    <w:name w:val="xl26"/>
    <w:basedOn w:val="8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56" w:customStyle="1">
    <w:name w:val="Char"/>
    <w:basedOn w:val="820"/>
    <w:uiPriority w:val="0"/>
    <w:qFormat/>
    <w:pPr>
      <w:ind w:firstLine="200"/>
      <w:tabs>
        <w:tab w:val="left" w:pos="360" w:leader="none"/>
      </w:tabs>
    </w:pPr>
    <w:rPr>
      <w:rFonts w:ascii="Times New Roman" w:hAnsi="Times New Roman"/>
      <w:sz w:val="28"/>
      <w:szCs w:val="30"/>
    </w:rPr>
  </w:style>
  <w:style w:type="paragraph" w:styleId="1257" w:customStyle="1">
    <w:name w:val="Char1"/>
    <w:basedOn w:val="893"/>
    <w:uiPriority w:val="0"/>
    <w:qFormat/>
    <w:rPr>
      <w:rFonts w:ascii="Tahoma" w:hAnsi="Tahoma"/>
      <w:sz w:val="24"/>
      <w:szCs w:val="24"/>
    </w:rPr>
  </w:style>
  <w:style w:type="paragraph" w:styleId="1258" w:customStyle="1">
    <w:name w:val="table_lines"/>
    <w:basedOn w:val="820"/>
    <w:uiPriority w:val="0"/>
    <w:qFormat/>
    <w:pPr>
      <w:jc w:val="left"/>
      <w:widowControl/>
    </w:pPr>
    <w:rPr>
      <w:rFonts w:ascii="Times New Roman" w:hAnsi="Times New Roman"/>
      <w:sz w:val="20"/>
      <w:szCs w:val="20"/>
      <w:lang w:val="de-DE" w:eastAsia="de-DE"/>
    </w:rPr>
  </w:style>
  <w:style w:type="paragraph" w:styleId="1259"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60" w:customStyle="1">
    <w:name w:val="font7"/>
    <w:basedOn w:val="820"/>
    <w:uiPriority w:val="0"/>
    <w:qFormat/>
    <w:pPr>
      <w:jc w:val="left"/>
      <w:spacing w:before="100" w:beforeAutospacing="1" w:after="100" w:afterAutospacing="1"/>
      <w:widowControl/>
    </w:pPr>
    <w:rPr>
      <w:rFonts w:hint="eastAsia" w:ascii="宋体" w:hAnsi="宋体"/>
      <w:sz w:val="18"/>
      <w:szCs w:val="18"/>
    </w:rPr>
  </w:style>
  <w:style w:type="paragraph" w:styleId="1261" w:customStyle="1">
    <w:name w:val="Char Char Char Char"/>
    <w:basedOn w:val="893"/>
    <w:uiPriority w:val="0"/>
    <w:qFormat/>
    <w:pPr>
      <w:spacing w:line="360" w:lineRule="auto"/>
    </w:pPr>
    <w:rPr>
      <w:rFonts w:ascii="Tahoma" w:hAnsi="Tahoma"/>
      <w:sz w:val="24"/>
      <w:szCs w:val="24"/>
    </w:rPr>
  </w:style>
  <w:style w:type="paragraph" w:styleId="1262" w:customStyle="1">
    <w:name w:val="4"/>
    <w:basedOn w:val="820"/>
    <w:next w:val="928"/>
    <w:uiPriority w:val="0"/>
    <w:qFormat/>
    <w:pPr>
      <w:ind w:firstLine="420"/>
      <w:spacing w:line="360" w:lineRule="auto"/>
    </w:pPr>
    <w:rPr>
      <w:rFonts w:ascii="Times New Roman" w:hAnsi="Times New Roman"/>
      <w:color w:val="ff0000"/>
      <w:sz w:val="24"/>
      <w:szCs w:val="24"/>
    </w:rPr>
  </w:style>
  <w:style w:type="paragraph" w:styleId="1263" w:customStyle="1">
    <w:name w:val="普通 (Web)"/>
    <w:basedOn w:val="820"/>
    <w:uiPriority w:val="0"/>
    <w:qFormat/>
    <w:pPr>
      <w:jc w:val="left"/>
      <w:spacing w:before="100" w:beforeAutospacing="1" w:after="100" w:afterAutospacing="1"/>
      <w:widowControl/>
    </w:pPr>
    <w:rPr>
      <w:rFonts w:ascii="宋体" w:hAnsi="宋体"/>
      <w:sz w:val="24"/>
      <w:szCs w:val="24"/>
    </w:rPr>
  </w:style>
  <w:style w:type="paragraph" w:styleId="1264" w:customStyle="1">
    <w:name w:val="Char Char Char Char Char Char Char Char Char Char"/>
    <w:basedOn w:val="820"/>
    <w:uiPriority w:val="0"/>
    <w:qFormat/>
    <w:pPr>
      <w:spacing w:line="360" w:lineRule="auto"/>
    </w:pPr>
    <w:rPr>
      <w:rFonts w:ascii="Times New Roman" w:hAnsi="Times New Roman"/>
      <w:sz w:val="24"/>
      <w:szCs w:val="20"/>
    </w:rPr>
  </w:style>
  <w:style w:type="paragraph" w:styleId="1265" w:customStyle="1">
    <w:name w:val="样式1"/>
    <w:basedOn w:val="820"/>
    <w:uiPriority w:val="0"/>
    <w:qFormat/>
    <w:pPr>
      <w:numPr>
        <w:ilvl w:val="0"/>
        <w:numId w:val="2"/>
      </w:numPr>
      <w:tabs>
        <w:tab w:val="left" w:pos="709" w:leader="none"/>
      </w:tabs>
    </w:pPr>
    <w:rPr>
      <w:rFonts w:ascii="宋体" w:hAnsi="宋体"/>
      <w:szCs w:val="21"/>
    </w:rPr>
  </w:style>
  <w:style w:type="paragraph" w:styleId="1266" w:customStyle="1">
    <w:name w:val="font6"/>
    <w:basedOn w:val="820"/>
    <w:uiPriority w:val="0"/>
    <w:qFormat/>
    <w:pPr>
      <w:jc w:val="left"/>
      <w:spacing w:before="100" w:beforeAutospacing="1" w:after="100" w:afterAutospacing="1"/>
      <w:widowControl/>
    </w:pPr>
    <w:rPr>
      <w:rFonts w:hint="eastAsia" w:ascii="宋体" w:hAnsi="宋体"/>
      <w:sz w:val="28"/>
      <w:szCs w:val="28"/>
      <w:u w:val="single"/>
    </w:rPr>
  </w:style>
  <w:style w:type="paragraph" w:styleId="1267" w:customStyle="1">
    <w:name w:val="xl25"/>
    <w:basedOn w:val="8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68" w:customStyle="1">
    <w:name w:val="图标"/>
    <w:basedOn w:val="820"/>
    <w:next w:val="82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69" w:customStyle="1">
    <w:name w:val="标题3"/>
    <w:basedOn w:val="820"/>
    <w:next w:val="820"/>
    <w:uiPriority w:val="0"/>
    <w:qFormat/>
    <w:pPr>
      <w:ind w:firstLine="624"/>
      <w:spacing w:line="590" w:lineRule="atLeast"/>
    </w:pPr>
    <w:rPr>
      <w:rFonts w:ascii="方正黑体_GBK" w:hAnsi="Times New Roman" w:eastAsia="方正黑体_GBK"/>
      <w:sz w:val="32"/>
      <w:szCs w:val="32"/>
    </w:rPr>
  </w:style>
  <w:style w:type="paragraph" w:styleId="1270" w:customStyle="1">
    <w:name w:val="xl24"/>
    <w:basedOn w:val="8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1" w:customStyle="1">
    <w:name w:val="xl29"/>
    <w:basedOn w:val="8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2" w:customStyle="1">
    <w:name w:val="Char Char Char Char Char Char Char Char"/>
    <w:basedOn w:val="820"/>
    <w:uiPriority w:val="0"/>
    <w:qFormat/>
    <w:pPr>
      <w:jc w:val="left"/>
      <w:spacing w:after="160" w:line="240" w:lineRule="exact"/>
      <w:widowControl/>
    </w:pPr>
    <w:rPr>
      <w:rFonts w:ascii="Verdana" w:hAnsi="Verdana"/>
      <w:sz w:val="20"/>
      <w:szCs w:val="20"/>
      <w:lang w:eastAsia="en-US"/>
    </w:rPr>
  </w:style>
  <w:style w:type="paragraph" w:styleId="1273" w:customStyle="1">
    <w:name w:val="xl28"/>
    <w:basedOn w:val="8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74" w:customStyle="1">
    <w:name w:val="Char Char Char Char Char Char Char Char1"/>
    <w:basedOn w:val="820"/>
    <w:uiPriority w:val="0"/>
    <w:qFormat/>
    <w:pPr>
      <w:jc w:val="left"/>
      <w:spacing w:after="160" w:line="240" w:lineRule="exact"/>
      <w:widowControl/>
    </w:pPr>
    <w:rPr>
      <w:rFonts w:ascii="Verdana" w:hAnsi="Verdana"/>
      <w:sz w:val="20"/>
      <w:szCs w:val="20"/>
      <w:lang w:eastAsia="en-US"/>
    </w:rPr>
  </w:style>
  <w:style w:type="paragraph" w:styleId="1275" w:customStyle="1">
    <w:name w:val="xl30"/>
    <w:basedOn w:val="820"/>
    <w:uiPriority w:val="0"/>
    <w:qFormat/>
    <w:pPr>
      <w:jc w:val="center"/>
      <w:spacing w:before="100" w:beforeAutospacing="1" w:after="100" w:afterAutospacing="1"/>
      <w:widowControl/>
    </w:pPr>
    <w:rPr>
      <w:rFonts w:ascii="宋体" w:hAnsi="宋体"/>
      <w:b/>
      <w:bCs/>
      <w:sz w:val="36"/>
      <w:szCs w:val="36"/>
    </w:rPr>
  </w:style>
  <w:style w:type="paragraph" w:styleId="1276" w:customStyle="1">
    <w:name w:val="Char Char Char Char1"/>
    <w:basedOn w:val="893"/>
    <w:uiPriority w:val="0"/>
    <w:qFormat/>
    <w:pPr>
      <w:spacing w:line="360" w:lineRule="auto"/>
    </w:pPr>
    <w:rPr>
      <w:rFonts w:ascii="Tahoma" w:hAnsi="Tahoma"/>
      <w:sz w:val="24"/>
      <w:szCs w:val="24"/>
    </w:rPr>
  </w:style>
  <w:style w:type="paragraph" w:styleId="1277" w:customStyle="1">
    <w:name w:val="table_1stline"/>
    <w:basedOn w:val="820"/>
    <w:uiPriority w:val="0"/>
    <w:qFormat/>
    <w:pPr>
      <w:jc w:val="left"/>
      <w:spacing w:before="120"/>
      <w:widowControl/>
    </w:pPr>
    <w:rPr>
      <w:rFonts w:ascii="Times New Roman" w:hAnsi="Times New Roman"/>
      <w:bCs/>
      <w:sz w:val="20"/>
      <w:szCs w:val="20"/>
      <w:lang w:val="de-DE" w:eastAsia="de-DE"/>
    </w:rPr>
  </w:style>
  <w:style w:type="paragraph" w:styleId="1278" w:customStyle="1">
    <w:name w:val="font5"/>
    <w:basedOn w:val="820"/>
    <w:uiPriority w:val="0"/>
    <w:qFormat/>
    <w:pPr>
      <w:jc w:val="left"/>
      <w:spacing w:before="100" w:beforeAutospacing="1" w:after="100" w:afterAutospacing="1"/>
      <w:widowControl/>
    </w:pPr>
    <w:rPr>
      <w:rFonts w:hint="eastAsia" w:ascii="宋体" w:hAnsi="宋体"/>
      <w:sz w:val="28"/>
      <w:szCs w:val="28"/>
    </w:rPr>
  </w:style>
  <w:style w:type="paragraph" w:styleId="1279" w:customStyle="1">
    <w:name w:val="标题1"/>
    <w:basedOn w:val="820"/>
    <w:next w:val="82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80" w:customStyle="1">
    <w:name w:val="修订1"/>
    <w:uiPriority w:val="99"/>
    <w:semiHidden/>
    <w:qFormat/>
    <w:rPr>
      <w:rFonts w:ascii="Times New Roman" w:hAnsi="Times New Roman" w:eastAsia="宋体" w:cs="Times New Roman"/>
      <w:sz w:val="21"/>
      <w:szCs w:val="21"/>
      <w:lang w:val="en-US" w:eastAsia="zh-CN" w:bidi="ar-SA"/>
    </w:rPr>
  </w:style>
  <w:style w:type="table" w:styleId="1281" w:customStyle="1">
    <w:name w:val="Table Normal"/>
    <w:uiPriority w:val="0"/>
    <w:qFormat/>
    <w:tblPr>
      <w:tblCellMar>
        <w:left w:w="0" w:type="dxa"/>
        <w:top w:w="0" w:type="dxa"/>
        <w:right w:w="0" w:type="dxa"/>
        <w:bottom w:w="0" w:type="dxa"/>
      </w:tblCellMar>
    </w:tblPr>
  </w:style>
  <w:style w:type="paragraph" w:styleId="1282" w:customStyle="1">
    <w:name w:val="正文文本12"/>
    <w:basedOn w:val="820"/>
    <w:uiPriority w:val="1"/>
    <w:qFormat/>
    <w:pPr>
      <w:ind w:left="120"/>
    </w:pPr>
    <w:rPr>
      <w:rFonts w:ascii="宋体" w:hAnsi="宋体" w:cs="宋体"/>
      <w:szCs w:val="21"/>
      <w:lang w:val="zh-CN" w:bidi="zh-CN"/>
    </w:rPr>
  </w:style>
  <w:style w:type="paragraph" w:styleId="1283" w:customStyle="1">
    <w:name w:val="首行缩进"/>
    <w:basedOn w:val="820"/>
    <w:uiPriority w:val="0"/>
    <w:qFormat/>
    <w:pPr>
      <w:ind w:firstLine="480"/>
    </w:pPr>
    <w:rPr>
      <w:rFonts w:ascii="Times New Roman" w:hAnsi="Times New Roman"/>
      <w:szCs w:val="21"/>
      <w:lang w:val="zh-CN"/>
    </w:rPr>
  </w:style>
  <w:style w:type="paragraph" w:styleId="1284" w:customStyle="1">
    <w:name w:val="部分1"/>
    <w:basedOn w:val="82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85" w:customStyle="1">
    <w:name w:val="15"/>
    <w:uiPriority w:val="0"/>
    <w:qFormat/>
    <w:rPr>
      <w:rFonts w:ascii="Times New Roman" w:hAnsi="Times New Roman" w:cs="Times New Roman"/>
    </w:rPr>
  </w:style>
  <w:style w:type="paragraph" w:styleId="1286" w:customStyle="1">
    <w:name w:val="正文文本缩进 2_0"/>
    <w:basedOn w:val="1122"/>
    <w:uiPriority w:val="0"/>
    <w:qFormat/>
    <w:pPr>
      <w:ind w:firstLine="720"/>
      <w:jc w:val="left"/>
      <w:spacing w:line="540" w:lineRule="exact"/>
    </w:pPr>
    <w:rPr>
      <w:rFonts w:ascii="仿宋_GB2312" w:hAnsi="仿宋_GB2312" w:cs="宋体"/>
      <w:sz w:val="32"/>
      <w:szCs w:val="32"/>
    </w:rPr>
  </w:style>
  <w:style w:type="character" w:styleId="1287" w:customStyle="1">
    <w:name w:val="10"/>
    <w:uiPriority w:val="0"/>
    <w:qFormat/>
    <w:rPr>
      <w:rFonts w:ascii="Times New Roman" w:hAnsi="Times New Roman" w:cs="Times New Roman"/>
    </w:rPr>
  </w:style>
  <w:style w:type="paragraph" w:styleId="1288" w:customStyle="1">
    <w:name w:val="正文_16_1"/>
    <w:basedOn w:val="820"/>
    <w:uiPriority w:val="0"/>
    <w:qFormat/>
    <w:rPr>
      <w:rFonts w:ascii="Times New Roman" w:hAnsi="Times New Roman"/>
      <w:szCs w:val="21"/>
    </w:rPr>
  </w:style>
  <w:style w:type="paragraph" w:styleId="1289" w:customStyle="1">
    <w:name w:val="页脚12"/>
    <w:basedOn w:val="820"/>
    <w:uiPriority w:val="0"/>
    <w:qFormat/>
    <w:pPr>
      <w:jc w:val="left"/>
      <w:tabs>
        <w:tab w:val="center" w:pos="4153" w:leader="none"/>
        <w:tab w:val="right" w:pos="8306" w:leader="none"/>
      </w:tabs>
    </w:pPr>
    <w:rPr>
      <w:sz w:val="18"/>
      <w:szCs w:val="18"/>
    </w:rPr>
  </w:style>
  <w:style w:type="paragraph" w:styleId="1290" w:customStyle="1">
    <w:name w:val="*正文"/>
    <w:basedOn w:val="863"/>
    <w:uiPriority w:val="0"/>
    <w:qFormat/>
    <w:pPr>
      <w:ind w:firstLine="200"/>
    </w:pPr>
    <w:rPr>
      <w:rFonts w:hAnsi="宋体"/>
      <w:szCs w:val="24"/>
    </w:rPr>
  </w:style>
  <w:style w:type="paragraph" w:styleId="1291" w:customStyle="1">
    <w:name w:val="*正文_0"/>
    <w:basedOn w:val="1292"/>
    <w:uiPriority w:val="0"/>
    <w:qFormat/>
    <w:pPr>
      <w:ind w:firstLine="200"/>
      <w:spacing w:line="360" w:lineRule="auto"/>
    </w:pPr>
    <w:rPr>
      <w:rFonts w:ascii="宋体" w:hAnsi="宋体" w:eastAsia="Arial" w:cs="Arial"/>
      <w:color w:val="000000"/>
      <w:sz w:val="24"/>
    </w:rPr>
  </w:style>
  <w:style w:type="paragraph" w:styleId="1292" w:customStyle="1">
    <w:name w:val="正文缩进_2"/>
    <w:basedOn w:val="1145"/>
    <w:uiPriority w:val="0"/>
    <w:unhideWhenUsed/>
    <w:qFormat/>
    <w:pPr>
      <w:ind w:firstLine="420"/>
      <w:jc w:val="left"/>
      <w:widowControl/>
    </w:pPr>
    <w:rPr>
      <w:rFonts w:ascii="Times New Roman" w:hAnsi="Times New Roman"/>
      <w:sz w:val="20"/>
      <w:szCs w:val="24"/>
    </w:rPr>
  </w:style>
  <w:style w:type="paragraph" w:styleId="1293" w:customStyle="1">
    <w:name w:val="*正文_0_0"/>
    <w:basedOn w:val="1145"/>
    <w:uiPriority w:val="0"/>
    <w:qFormat/>
    <w:pPr>
      <w:ind w:firstLine="200"/>
      <w:jc w:val="left"/>
      <w:spacing w:line="360" w:lineRule="auto"/>
      <w:widowControl/>
    </w:pPr>
    <w:rPr>
      <w:rFonts w:ascii="宋体" w:hAnsi="宋体" w:eastAsia="Arial" w:cs="Arial"/>
      <w:color w:val="000000"/>
      <w:sz w:val="24"/>
      <w:szCs w:val="24"/>
    </w:rPr>
  </w:style>
  <w:style w:type="paragraph" w:styleId="1294" w:customStyle="1">
    <w:name w:val="无间隔1_0_0"/>
    <w:basedOn w:val="1145"/>
    <w:uiPriority w:val="0"/>
    <w:qFormat/>
    <w:rPr>
      <w:rFonts w:ascii="Times New Roman" w:hAnsi="Times New Roman"/>
      <w:szCs w:val="21"/>
    </w:rPr>
  </w:style>
  <w:style w:type="paragraph" w:styleId="1295"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296" w:customStyle="1">
    <w:name w:val="标题 4_0"/>
    <w:basedOn w:val="1297"/>
    <w:next w:val="1297"/>
    <w:uiPriority w:val="9"/>
    <w:unhideWhenUsed/>
    <w:qFormat/>
    <w:pPr>
      <w:keepLines/>
      <w:keepNext/>
      <w:spacing w:before="280" w:after="290" w:line="372" w:lineRule="auto"/>
      <w:outlineLvl w:val="3"/>
    </w:pPr>
    <w:rPr>
      <w:rFonts w:ascii="Arial" w:hAnsi="Arial" w:eastAsia="黑体"/>
      <w:b/>
      <w:sz w:val="28"/>
    </w:rPr>
  </w:style>
  <w:style w:type="paragraph" w:styleId="1297" w:customStyle="1">
    <w:name w:val="正文4"/>
    <w:uiPriority w:val="0"/>
    <w:qFormat/>
    <w:pPr>
      <w:jc w:val="both"/>
      <w:widowControl w:val="off"/>
    </w:pPr>
    <w:rPr>
      <w:rFonts w:ascii="Calibri" w:hAnsi="Calibri" w:eastAsia="宋体" w:cs="Times New Roman"/>
      <w:lang w:val="en-US" w:eastAsia="zh-CN" w:bidi="ar-SA"/>
    </w:rPr>
  </w:style>
  <w:style w:type="paragraph" w:styleId="1298"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299" w:customStyle="1">
    <w:name w:val="p17_0_0"/>
    <w:basedOn w:val="1188"/>
    <w:uiPriority w:val="0"/>
    <w:qFormat/>
    <w:pPr>
      <w:jc w:val="left"/>
      <w:spacing w:before="100" w:beforeAutospacing="1" w:after="100" w:afterAutospacing="1"/>
      <w:widowControl/>
    </w:pPr>
    <w:rPr>
      <w:rFonts w:ascii="宋体" w:hAnsi="宋体" w:eastAsia="Times New Roman" w:cs="宋体"/>
      <w:sz w:val="24"/>
    </w:rPr>
  </w:style>
  <w:style w:type="paragraph" w:styleId="1300" w:customStyle="1">
    <w:name w:val="p17_0"/>
    <w:basedOn w:val="866"/>
    <w:uiPriority w:val="0"/>
    <w:qFormat/>
    <w:pPr>
      <w:spacing w:before="100" w:beforeAutospacing="1" w:after="100" w:afterAutospacing="1"/>
    </w:pPr>
    <w:rPr>
      <w:rFonts w:ascii="宋体" w:hAnsi="宋体" w:eastAsia="Times New Roman" w:cs="宋体"/>
      <w:sz w:val="24"/>
    </w:rPr>
  </w:style>
  <w:style w:type="paragraph" w:styleId="1301" w:customStyle="1">
    <w:name w:val="普通(网站)11"/>
    <w:basedOn w:val="820"/>
    <w:uiPriority w:val="99"/>
    <w:qFormat/>
    <w:rPr>
      <w:sz w:val="24"/>
    </w:rPr>
  </w:style>
  <w:style w:type="paragraph" w:styleId="130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03" w:customStyle="1">
    <w:name w:val="正文111"/>
    <w:next w:val="1304"/>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正文文本缩进11"/>
    <w:basedOn w:val="1305"/>
    <w:next w:val="1310"/>
    <w:uiPriority w:val="99"/>
    <w:qFormat/>
    <w:pPr>
      <w:ind w:left="420"/>
      <w:spacing w:after="120"/>
    </w:pPr>
  </w:style>
  <w:style w:type="paragraph" w:styleId="1305" w:customStyle="1">
    <w:name w:val="正文112"/>
    <w:next w:val="1306"/>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正文首行缩进11"/>
    <w:basedOn w:val="1307"/>
    <w:next w:val="1309"/>
    <w:uiPriority w:val="0"/>
    <w:qFormat/>
    <w:pPr>
      <w:ind w:firstLine="420"/>
    </w:pPr>
    <w:rPr>
      <w:rFonts w:ascii="仿宋_GB2312" w:eastAsia="仿宋_GB2312"/>
      <w:sz w:val="30"/>
      <w:szCs w:val="30"/>
    </w:rPr>
  </w:style>
  <w:style w:type="paragraph" w:styleId="1307" w:customStyle="1">
    <w:name w:val="正文文本11"/>
    <w:basedOn w:val="1308"/>
    <w:next w:val="1305"/>
    <w:uiPriority w:val="0"/>
    <w:qFormat/>
    <w:pPr>
      <w:spacing w:after="120"/>
    </w:pPr>
  </w:style>
  <w:style w:type="paragraph" w:styleId="1308" w:customStyle="1">
    <w:name w:val="正文12"/>
    <w:next w:val="1307"/>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309" w:customStyle="1">
    <w:name w:val="正文首行缩进 211"/>
    <w:basedOn w:val="1304"/>
    <w:uiPriority w:val="99"/>
    <w:qFormat/>
    <w:pPr>
      <w:ind w:left="0" w:firstLine="420"/>
      <w:spacing w:after="0" w:line="360" w:lineRule="auto"/>
    </w:pPr>
    <w:rPr>
      <w:rFonts w:ascii="宋体" w:hAnsi="宋体"/>
    </w:rPr>
  </w:style>
  <w:style w:type="paragraph" w:styleId="1310" w:customStyle="1">
    <w:name w:val="寄信人地址11"/>
    <w:basedOn w:val="820"/>
    <w:uiPriority w:val="0"/>
    <w:qFormat/>
    <w:rPr>
      <w:rFonts w:ascii="Arial" w:hAnsi="Arial"/>
    </w:rPr>
  </w:style>
  <w:style w:type="paragraph" w:styleId="1311" w:customStyle="1">
    <w:name w:val="正文_25"/>
    <w:uiPriority w:val="0"/>
    <w:qFormat/>
    <w:pPr>
      <w:jc w:val="both"/>
      <w:widowControl w:val="off"/>
    </w:pPr>
    <w:rPr>
      <w:rFonts w:ascii="Calibri" w:hAnsi="Calibri" w:eastAsia="宋体" w:cs="Times New Roman"/>
      <w:sz w:val="21"/>
      <w:szCs w:val="22"/>
      <w:lang w:val="en-US" w:eastAsia="zh-CN" w:bidi="ar-SA"/>
    </w:rPr>
  </w:style>
  <w:style w:type="paragraph" w:styleId="1312" w:customStyle="1">
    <w:name w:val="Header1"/>
    <w:basedOn w:val="866"/>
    <w:uiPriority w:val="99"/>
    <w:unhideWhenUsed/>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313" w:customStyle="1">
    <w:name w:val="默认段落字体1"/>
    <w:uiPriority w:val="1"/>
    <w:unhideWhenUsed/>
    <w:qFormat/>
    <w:rPr>
      <w:rFonts w:ascii="Calibri" w:hAnsi="Calibri" w:eastAsia="宋体" w:cs="Times New Roman"/>
      <w:sz w:val="21"/>
      <w:szCs w:val="22"/>
      <w:lang w:val="en-US" w:eastAsia="zh-CN" w:bidi="ar-SA"/>
    </w:rPr>
  </w:style>
  <w:style w:type="paragraph" w:styleId="1314" w:customStyle="1">
    <w:name w:val="页眉12"/>
    <w:basedOn w:val="82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315" w:customStyle="1">
    <w:name w:val="页眉 字符1"/>
    <w:basedOn w:val="821"/>
    <w:link w:val="830"/>
    <w:uiPriority w:val="99"/>
    <w:qFormat/>
    <w:rPr>
      <w:rFonts w:ascii="Calibri" w:hAnsi="Calibri"/>
      <w:sz w:val="18"/>
      <w:szCs w:val="18"/>
    </w:rPr>
  </w:style>
  <w:style w:type="character" w:styleId="1316" w:customStyle="1">
    <w:name w:val="页脚 字符1"/>
    <w:basedOn w:val="821"/>
    <w:link w:val="829"/>
    <w:uiPriority w:val="99"/>
    <w:qFormat/>
    <w:rPr>
      <w:rFonts w:ascii="Calibri" w:hAnsi="Calibri"/>
      <w:sz w:val="18"/>
      <w:szCs w:val="18"/>
    </w:rPr>
  </w:style>
  <w:style w:type="character" w:styleId="1317" w:customStyle="1">
    <w:name w:val="强调1"/>
    <w:uiPriority w:val="0"/>
    <w:qFormat/>
    <w:rPr>
      <w:i/>
    </w:rPr>
  </w:style>
  <w:style w:type="character" w:styleId="1318" w:customStyle="1">
    <w:name w:val="批注框文本 字符1"/>
    <w:basedOn w:val="821"/>
    <w:link w:val="828"/>
    <w:uiPriority w:val="99"/>
    <w:semiHidden/>
    <w:qFormat/>
    <w:rPr>
      <w:rFonts w:ascii="Calibri" w:hAnsi="Calibri"/>
      <w:sz w:val="18"/>
      <w:szCs w:val="18"/>
    </w:r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朱楠</cp:lastModifiedBy>
  <cp:revision>236</cp:revision>
  <dcterms:created xsi:type="dcterms:W3CDTF">2023-07-23T13:07:00Z</dcterms:created>
  <dcterms:modified xsi:type="dcterms:W3CDTF">2026-08-25T08:32:58Z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eyJoZGlkIjoiOGQ3NTBiOTljZjFhZjYzZDE1MDA0MWFiOWNhMjZmNWYiLCJ1c2VySWQiOiIxNjczMDE2MDgwIn0=</vt:lpwstr>
  </property>
  <property fmtid="{D5CDD505-2E9C-101B-9397-08002B2CF9AE}" pid="3" name="KSOProductBuildVer">
    <vt:lpwstr>2052-12.1.0.28043</vt:lpwstr>
  </property>
  <property fmtid="{D5CDD505-2E9C-101B-9397-08002B2CF9AE}" pid="4" name="ICV">
    <vt:lpwstr>69C16EE92B384F28B99BE86325D90FDE_13</vt:lpwstr>
  </property>
</Properties>
</file>