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江苏省特种设备安全监督检验研究院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江苏省特检院起重机类检验检测设备</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JSZC-320000-SNZX-G2026-0112</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江苏省特种设备安全监督检验研究院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八</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江苏省特检院起重机类检验检测设备</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月26</w:t>
            </w:r>
            <w:r>
              <w:rPr>
                <w:rFonts w:hint="eastAsia"/>
                <w:color w:val="000000" w:themeColor="text1"/>
                <w:highlight w:val="none"/>
                <w:u w:val="single"/>
                <w14:textFill>
                  <w14:solidFill>
                    <w14:schemeClr w14:val="tx1"/>
                  </w14:solidFill>
                </w14:textFill>
              </w:rPr>
              <w:t xml:space="preserve">日09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JSZC-320000-SNZX-G2026-0112</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江苏省特检院起重机类检验检测设备</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187.18</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采购包1：58.6万元；采购包2：70.6万元；采购包3：57.98万元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采购包1：58.6万元；采购包2：70.6万元；采购包3：57.98万元。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采购需求：本项目共分为</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个采购包，技术要求详见招标文件第四章采购需求。</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6"/>
        <w:gridCol w:w="882"/>
        <w:gridCol w:w="3292"/>
        <w:gridCol w:w="936"/>
        <w:gridCol w:w="1332"/>
        <w:gridCol w:w="986"/>
        <w:gridCol w:w="987"/>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数量（台/套）</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项目预算金额/最高限价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便携式螺栓应力检测仪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抗风防滑检测仪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39.68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高精度全站仪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防爆全站仪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电子经纬仪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金属磁记忆检测仪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可视化起重机综合测试仪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起重机无线遥控装置综合检测仪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13.6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起重机振动加加速度测试仪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起重机振动频率测试仪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起重机制动下滑量检测仪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合同履行期限：合同签订后</w:t>
      </w:r>
      <w:r>
        <w:rPr>
          <w:rFonts w:hint="eastAsia"/>
          <w:color w:val="000000" w:themeColor="text1"/>
          <w:highlight w:val="none"/>
          <w:lang w:val="en-US" w:eastAsia="zh-CN"/>
          <w14:textFill>
            <w14:solidFill>
              <w14:schemeClr w14:val="tx1"/>
            </w14:solidFill>
          </w14:textFill>
        </w:rPr>
        <w:t xml:space="preserve">90</w:t>
      </w:r>
      <w:r>
        <w:rPr>
          <w:rFonts w:hint="eastAsia"/>
          <w:color w:val="000000" w:themeColor="text1"/>
          <w:highlight w:val="none"/>
          <w14:textFill>
            <w14:solidFill>
              <w14:schemeClr w14:val="tx1"/>
            </w14:solidFill>
          </w14:textFill>
        </w:rPr>
        <w:t xml:space="preserve">日历天内供齐所有货物及服务，完成安装、调试及初步验收。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无（本项目非专门面向中小企业采购）。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月26</w:t>
      </w:r>
      <w:r>
        <w:rPr>
          <w:rFonts w:hint="eastAsia"/>
          <w:color w:val="000000" w:themeColor="text1"/>
          <w:highlight w:val="none"/>
          <w:u w:val="single"/>
          <w14:textFill>
            <w14:solidFill>
              <w14:schemeClr w14:val="tx1"/>
            </w14:solidFill>
          </w14:textFill>
        </w:rPr>
        <w:t xml:space="preserve">日09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5.集中考察或答疑：采购人不组织。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8.本项目共分为3个采购包，投标人可参加任意包或全部包的投标，投标人多包投标的需按采购包分别制作投标文件。采购包评审顺序以采购包序号顺序进行，投标人可以同时中标多个采购包。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地址：南京市鼓楼区草场门大街150号龙江大厦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联系方式：李风华025-89621099</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w:t>
      </w:r>
      <w:r>
        <w:rPr>
          <w:rFonts w:hint="eastAsia"/>
          <w:color w:val="000000" w:themeColor="text1"/>
          <w:highlight w:val="none"/>
          <w:lang w:val="en-US" w:eastAsia="zh-CN"/>
          <w14:textFill>
            <w14:solidFill>
              <w14:schemeClr w14:val="tx1"/>
            </w14:solidFill>
          </w14:textFill>
        </w:rPr>
        <w:t xml:space="preserve">因项目预算中已包含招标代理服务费用，故本次项目服务费由中标供应商直接向招标代理机构支付。</w:t>
      </w:r>
      <w:r>
        <w:rPr>
          <w:rFonts w:hint="eastAsia"/>
          <w:color w:val="000000" w:themeColor="text1"/>
          <w:highlight w:val="none"/>
          <w14:textFill>
            <w14:solidFill>
              <w14:schemeClr w14:val="tx1"/>
            </w14:solidFill>
          </w14:textFill>
        </w:rPr>
        <w:t xml:space="preserve">本次招标，中标人参照《招标代理服务</w:t>
      </w:r>
      <w:r>
        <w:rPr>
          <w:rFonts w:hint="eastAsia"/>
          <w:color w:val="000000" w:themeColor="text1"/>
          <w:highlight w:val="none"/>
          <w:lang w:val="en-US" w:eastAsia="zh-CN"/>
          <w14:textFill>
            <w14:solidFill>
              <w14:schemeClr w14:val="tx1"/>
            </w14:solidFill>
          </w14:textFill>
        </w:rPr>
        <w:t xml:space="preserve">收</w:t>
      </w:r>
      <w:r>
        <w:rPr>
          <w:rFonts w:hint="eastAsia"/>
          <w:color w:val="000000" w:themeColor="text1"/>
          <w:highlight w:val="none"/>
          <w14:textFill>
            <w14:solidFill>
              <w14:schemeClr w14:val="tx1"/>
            </w14:solidFill>
          </w14:textFill>
        </w:rPr>
        <w:t xml:space="preserve">费管理暂行办法》（国家发展计划委员会计价格〔2002〕1980号）代理收费基准费率80%计算，在领取中标通知书前向招标代理机构支付招标服务费。该项费用请供应商综合考虑在投标报价中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p>
      <w:pP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采购包1：</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方案仅满足基本要求的得1分；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r>
      <w:tr>
        <w:trPr>
          <w:cantSplit/>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3524"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计划及措施完整全面、描述详细、科学可行、针对性强的得7分；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安装进度计划及保证措施仅能满足项目基本要求的得1分；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4"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采购包2：</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0.25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采购包3：</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6545"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6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（1）本项目对小型和微型企业产品给予10%的扣除价格，用扣除后的价格参与评审。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w:t>
      </w:r>
      <w:r>
        <w:rPr>
          <w:rFonts w:hint="eastAsia"/>
          <w:color w:val="000000" w:themeColor="text1"/>
          <w:highlight w:val="none"/>
          <w14:textFill>
            <w14:solidFill>
              <w14:schemeClr w14:val="tx1"/>
            </w14:solidFill>
          </w14:textFill>
        </w:rPr>
        <w:t xml:space="preserve">残疾人福利性单位</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货物采购项目中产品制造商须为监狱企业</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联合体各方均为小型、微型企业（残疾人福利单位、监狱企业）的，联合体享受10%价格扣除，用扣除后的价格参与评审。</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pStyle w:val="888"/>
        <w:numPr>
          <w:ilvl w:val="0"/>
          <w:numId w:val="0"/>
        </w:numPr>
        <w:ind w:left="0" w:firstLine="482"/>
        <w:tabs>
          <w:tab w:val="left" w:pos="960" w:leader="none"/>
        </w:tabs>
        <w:rPr>
          <w:rFonts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bCs/>
          <w:color w:val="000000" w:themeColor="text1"/>
          <w:highlight w:val="none"/>
          <w14:textFill>
            <w14:solidFill>
              <w14:schemeClr w14:val="tx1"/>
            </w14:solidFill>
          </w14:textFill>
        </w:rPr>
        <w:t xml:space="preserve">采购清单</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6"/>
        <w:gridCol w:w="882"/>
        <w:gridCol w:w="3292"/>
        <w:gridCol w:w="936"/>
        <w:gridCol w:w="1332"/>
        <w:gridCol w:w="986"/>
        <w:gridCol w:w="987"/>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数量（台/套）</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项目预算金额/最高限价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便携式螺栓应力检测仪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抗风防滑检测仪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39.68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高精度全站仪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防爆全站仪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电子经纬仪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金属磁记忆检测仪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可视化起重机综合测试仪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起重机无线遥控装置综合检测仪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13.6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起重机振动加加速度测试仪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起重机振动频率测试仪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起重机制动下滑量检测仪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注：</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投标人在《投标分项报价表》中填列的</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数量不接受负偏离，否则按无效投标处理。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pStyle w:val="888"/>
        <w:numPr>
          <w:ilvl w:val="0"/>
          <w:numId w:val="0"/>
        </w:numPr>
        <w:ind w:left="0" w:firstLine="482"/>
        <w:tabs>
          <w:tab w:val="left" w:pos="960"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技术指标明细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采购包1：</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4"/>
        <w:gridCol w:w="1684"/>
        <w:gridCol w:w="6843"/>
      </w:tblGrid>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9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1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便携式螺栓应力检测仪</w:t>
            </w:r>
            <w:r/>
          </w:p>
        </w:tc>
        <w:tc>
          <w:tcPr>
            <w:shd w:val="clear" w:color="auto" w:fill="auto"/>
            <w:tcW w:w="368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接收频率带宽：至少满足0.5MHz-20MHz</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激励脉冲电压：至少满足200V-400V</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脉冲形式：负方波</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发射脉冲宽度：至少满足30ns-500ns可调</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阻抗匹配：</w:t>
            </w:r>
            <w:bookmarkStart w:id="0" w:name="_Hlk116994374"/>
            <w:r/>
            <w:bookmarkStart w:id="1" w:name="_Hlk116994704"/>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至少</w:t>
            </w:r>
            <w:bookmarkEnd w:id="0"/>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满足</w:t>
            </w:r>
            <w:bookmarkEnd w:id="1"/>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50Ω、500Ω可调</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增益范围及步进：</w:t>
            </w:r>
            <w:bookmarkStart w:id="2" w:name="_Hlk116994768"/>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至少满足</w:t>
            </w:r>
            <w:bookmarkEnd w:id="2"/>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110dB/0.1dB</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采样频率：</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5GHz</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检测范围：24.3mm-1485mm</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数字处理功能：平滑和平均（1-8可选）</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检波方式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全检波、正检波、负检波、射频</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应力检测精度：≤±5%</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接口：至少具备USB、LAN、VGA</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报警：声光报警</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设备应是一体化便携式设计，必须具备</w:t>
            </w:r>
            <w:bookmarkStart w:id="3" w:name="_Hlk116992851"/>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螺栓应力检测功能</w:t>
            </w:r>
            <w:bookmarkEnd w:id="3"/>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，要求采用高集成化的硬件系统，集成发射、显示和控制于一台便携式主机，不得采用工业笔记本计算机外接仪器模块的方式。</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（在投标文件中提供</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功能界面图片</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证明</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螺栓应力检测功能</w:t>
            </w:r>
            <w:bookmarkStart w:id="4" w:name="_Hlk116993291"/>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应是基于声弹性理论</w:t>
            </w:r>
            <w:bookmarkEnd w:id="4"/>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，采用双波型（纵波、横波）螺栓应力超声检测技术，无需预知螺栓长度，探头直接放置在螺栓端头处，设备能自动测量直径≥14mm、长度≤1000mm螺栓的应力值。</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设备可支持拓展螺栓相控阵导波检测功能，螺栓相控阵导波检测功能应是基于导波理论，采用64位探头全激发，能够实现多规格</w:t>
            </w:r>
            <w:bookmarkStart w:id="5" w:name="_Hlk93913084"/>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在役螺栓</w:t>
            </w:r>
            <w:bookmarkEnd w:id="5"/>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实时检测，能在机显示螺栓3D结构，实时显示检测结果，满足一次性检测长度不大于2000mm的在役螺栓（在投标文件中提供相关材料截图证明）。</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为满足现场高空作业要求，方便检测人员现场检测，减少劳动强度，要求整机尺寸：≤300×200×100（mm）；整机重量：≤4Kg（含电池）；屏幕尺寸：≥8.4寸；屏幕分辨率：≥800*600。</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设备应支持在线监测功能扩展，可自由设定监测时间和次数，监测数据通过5G通讯上传至指定平台，平台可操作编辑数据，形成数据库。</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为满足检测连续性要求，设备的供电方式应采用安全环保的锂电池供电，要求配置两电两充，持续供电时间≥10个小时。</w:t>
            </w:r>
            <w:r/>
          </w:p>
        </w:tc>
      </w:tr>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1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抗风防滑检测仪</w:t>
            </w:r>
            <w:r/>
          </w:p>
        </w:tc>
        <w:tc>
          <w:tcPr>
            <w:shd w:val="clear" w:color="auto" w:fill="auto"/>
            <w:tcW w:w="368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▲1.系统最大推力：≥100t</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2.顶推油缸数量：2个</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3.额定功率：≤15kW</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▲4.最大工作行程</w:t>
            </w:r>
            <w:bookmarkStart w:id="6" w:name="OLE_LINK1"/>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bookmarkEnd w:id="6"/>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20cm</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▲5.驱动方式：伺服驱动</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6.控制方式：电磁换向</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7.压力测试精度：；≤0.2%</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▲8.位移精度：≤1mm</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9.流量：≥8L/min</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10.风速检测：最大≥10级风</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11.主机控制箱防护等级：≥IP54</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采购包2：</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6"/>
        <w:gridCol w:w="1669"/>
        <w:gridCol w:w="6856"/>
      </w:tblGrid>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5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自动全站仪</w:t>
            </w:r>
            <w:r/>
          </w:p>
        </w:tc>
        <w:tc>
          <w:tcPr>
            <w:shd w:val="clear" w:color="auto" w:fill="auto"/>
            <w:tcW w:w="6856" w:type="dxa"/>
            <w:vAlign w:val="center"/>
            <w:textDirection w:val="lrTb"/>
            <w:noWrap w:val="false"/>
          </w:tcPr>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.测角方式：绝对编码</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.探测方式：四探头</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.角度测量精度：≤1"</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.最小显示：≤0.1"</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.免棱镜测距精度：3mm＋2×10-6·D</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反射片测距精度：2mm＋2×10-6·D</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棱镜测距精度：1mm＋1×10-6·D</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免棱镜测程：</w:t>
            </w:r>
            <w:bookmarkStart w:id="7" w:name="OLE_LINK3"/>
            <w:r>
              <w:rPr>
                <w:rFonts w:hint="eastAsia" w:ascii="宋体" w:hAnsi="宋体" w:cs="宋体"/>
                <w:color w:val="000000" w:themeColor="text1"/>
                <w:highlight w:val="none"/>
                <w14:textFill>
                  <w14:solidFill>
                    <w14:schemeClr w14:val="tx1"/>
                  </w14:solidFill>
                </w14:textFill>
              </w:rPr>
              <w:t xml:space="preserve">≥</w:t>
            </w:r>
            <w:bookmarkEnd w:id="7"/>
            <w:r>
              <w:rPr>
                <w:rFonts w:hint="eastAsia" w:ascii="宋体" w:hAnsi="宋体" w:cs="宋体"/>
                <w:color w:val="000000" w:themeColor="text1"/>
                <w:highlight w:val="none"/>
                <w14:textFill>
                  <w14:solidFill>
                    <w14:schemeClr w14:val="tx1"/>
                  </w14:solidFill>
                </w14:textFill>
              </w:rPr>
              <w:t xml:space="preserve">1000m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反射片测程：≥1200m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棱镜测程：≥6000m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.精测时间：＜0.7s</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.补偿类型：双轴</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补偿范围：≥±3′</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9.管状水准器:30″/2mm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圆型水准器:8′/2mm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、ATR工作范围：5～1000m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ATR定位精度：±1.5mm(≤200m); ±1.5 " (&gt;200m)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11</w:t>
            </w:r>
            <w:r>
              <w:rPr>
                <w:rFonts w:hint="eastAsia" w:ascii="宋体" w:hAnsi="宋体" w:cs="宋体"/>
                <w:color w:val="000000" w:themeColor="text1"/>
                <w:highlight w:val="none"/>
                <w14:textFill>
                  <w14:solidFill>
                    <w14:schemeClr w14:val="tx1"/>
                  </w14:solidFill>
                </w14:textFill>
              </w:rPr>
              <w:t xml:space="preserve">.无限微动螺旋:≥1个水平和1个垂直</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.伺服定位精度(标准偏差)：≤3"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最大旋转速度：≥35°/s</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慢速微旋转控制最小值：≤1"</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13</w:t>
            </w:r>
            <w:r>
              <w:rPr>
                <w:rFonts w:hint="eastAsia" w:ascii="宋体" w:hAnsi="宋体" w:cs="宋体"/>
                <w:color w:val="000000" w:themeColor="text1"/>
                <w:highlight w:val="none"/>
                <w14:textFill>
                  <w14:solidFill>
                    <w14:schemeClr w14:val="tx1"/>
                  </w14:solidFill>
                </w14:textFill>
              </w:rPr>
              <w:t xml:space="preserve">.显示器类型:两侧半透半反3.5寸320×240触摸屏</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按键:背光照明+自动感光</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14</w:t>
            </w:r>
            <w:r>
              <w:rPr>
                <w:rFonts w:hint="eastAsia" w:ascii="宋体" w:hAnsi="宋体" w:cs="宋体"/>
                <w:color w:val="000000" w:themeColor="text1"/>
                <w:highlight w:val="none"/>
                <w14:textFill>
                  <w14:solidFill>
                    <w14:schemeClr w14:val="tx1"/>
                  </w14:solidFill>
                </w14:textFill>
              </w:rPr>
              <w:t xml:space="preserve">.电池参数：7.4V 5.8Ah 锂电池</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工作时间：5～8h</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.数据接口/通讯：支持U盘，RS232C,USB,蓝牙</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外存：支持64G</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6.软件系统：WINCE7.0</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提供控制指令和机载软件SDK</w:t>
            </w:r>
            <w:r/>
          </w:p>
          <w:p>
            <w:pPr>
              <w:ind w:firstLine="0"/>
              <w:jc w:val="both"/>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常规机载程序：两点间距离计算（实长、X距、Y距、Z距）、三点间角度计算、多点平面度计算、多点直线度计算、多点求圆心、构件夹角计算、空间夹角计算、设计点测量点连接分析、任意设站、旋转、偏移、测量、偏心、放样、对边测量、对边测量等，所有程序永久免费使用及升级</w:t>
            </w:r>
            <w:r/>
          </w:p>
        </w:tc>
      </w:tr>
      <w:tr>
        <w:trPr>
          <w:trHeight w:val="567"/>
        </w:trPr>
        <w:tc>
          <w:tcPr>
            <w:shd w:val="clear" w:color="auto" w:fill="auto"/>
            <w:tcW w:w="75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高精度全站仪</w:t>
            </w:r>
            <w:r/>
          </w:p>
        </w:tc>
        <w:tc>
          <w:tcPr>
            <w:shd w:val="clear" w:color="auto" w:fill="auto"/>
            <w:tcW w:w="6856"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▲1.制动方式：摩擦制动</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▲2.轴系补偿：四重轴系补偿系统</w:t>
            </w:r>
            <w:r/>
          </w:p>
          <w:p>
            <w:pPr>
              <w:ind w:firstLine="0"/>
              <w:jc w:val="both"/>
              <w:spacing w:line="24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3.棱镜测距精度：（1+1×10</w:t>
            </w:r>
            <w:r>
              <w:rPr>
                <w:rFonts w:hint="eastAsia" w:ascii="宋体" w:hAnsi="宋体" w:cs="宋体"/>
                <w:color w:val="000000" w:themeColor="text1"/>
                <w:highlight w:val="none"/>
                <w:vertAlign w:val="superscript"/>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⁶D）mm，棱镜</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0.9m至3500m</w:t>
            </w:r>
            <w:r>
              <w:rPr>
                <w:rFonts w:hint="eastAsia" w:ascii="宋体" w:hAnsi="宋体" w:cs="宋体"/>
                <w:color w:val="000000" w:themeColor="text1"/>
                <w:highlight w:val="none"/>
                <w:lang w:eastAsia="zh-CN"/>
                <w14:textFill>
                  <w14:solidFill>
                    <w14:schemeClr w14:val="tx1"/>
                  </w14:solidFill>
                </w14:textFill>
              </w:rPr>
              <w:t xml:space="preserve">；</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▲4.测角精度：≤1″</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▲5.自动量高：具有自动量高模块，测距精度≤1.0mm，测距范围：0.7m至2.7m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6.电池容量：≥6400mAh</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▲7.软件系统：采用Captivate软件，搭配≥5英寸高清彩色触摸屏，提供丰富的图形化引导和流程化的菜单设计，支持BIM模型和三维点云导入，可实现三维可视化放样，方便用户操作和数据处理。</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▲8.ATR目标照准测程：圆棱镜（GPR1，GPH1P）1000m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360°棱镜（GRZ4，GRZ122）800m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9.操作系统：Windows EC7</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机载软件：Captivate软件</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.接口：RS232, USB, Bluetooth®, WLAN</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.重量：≤5.3kg（不含电池）</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.导向光 (EGL)：5m 至 150m / 典型 5cm，100m处</w:t>
            </w:r>
            <w:r/>
          </w:p>
          <w:p>
            <w:pPr>
              <w:ind w:firstLine="0"/>
              <w:jc w:val="both"/>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.防尘防水/防潮：≥IP55，无冷凝</w:t>
            </w:r>
            <w:r/>
          </w:p>
        </w:tc>
      </w:tr>
      <w:tr>
        <w:trPr>
          <w:trHeight w:val="1730"/>
        </w:trPr>
        <w:tc>
          <w:tcPr>
            <w:shd w:val="clear" w:color="auto" w:fill="auto"/>
            <w:tcW w:w="75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全站仪</w:t>
            </w:r>
            <w:r/>
          </w:p>
        </w:tc>
        <w:tc>
          <w:tcPr>
            <w:shd w:val="clear" w:color="auto" w:fill="auto"/>
            <w:tcW w:w="6856" w:type="dxa"/>
            <w:vAlign w:val="center"/>
            <w:textDirection w:val="lrTb"/>
            <w:noWrap w:val="false"/>
          </w:tcPr>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.最短视距：≤1.0m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.棱镜测距精度：±(2mm＋2×10-6·D)</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免棱镜测距精度：±(3mm＋2×10-6·D)</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反射片测距精度：±(3mm＋2×10-6·D)</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.棱镜测程：≥5000m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免棱镜测程：≥1000m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反射片测程：≥1200m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.精测/快测/跟踪测距时间：≤1.0s/≤0.6s/≤0.2s</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.距离最小显示：≤0.0001m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.测角方式：绝对编码</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.测角精度：≤2″</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.最小读数：≤1″</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.补偿方式：双轴补偿</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补偿范围：≥±3′</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.管状水准器/圆形水准器：30"/2mm、8'/2mm</w:t>
            </w:r>
            <w:r/>
          </w:p>
          <w:p>
            <w:pPr>
              <w:ind w:left="480" w:hanging="48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1.激光对中器精度/光斑：+1.0mm/0.8m~1.5m、2.0mm/0.8m~1.5m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2.电源工作电压：可充锂离子电池</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电源工作时间：连续测角测距≥12小时</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13</w:t>
            </w:r>
            <w:r>
              <w:rPr>
                <w:rFonts w:hint="eastAsia" w:ascii="宋体" w:hAnsi="宋体" w:cs="宋体"/>
                <w:color w:val="000000" w:themeColor="text1"/>
                <w:highlight w:val="none"/>
                <w14:textFill>
                  <w14:solidFill>
                    <w14:schemeClr w14:val="tx1"/>
                  </w14:solidFill>
                </w14:textFill>
              </w:rPr>
              <w:t xml:space="preserve">.导向光：红绿导向光</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14</w:t>
            </w:r>
            <w:r>
              <w:rPr>
                <w:rFonts w:hint="eastAsia" w:ascii="宋体" w:hAnsi="宋体" w:cs="宋体"/>
                <w:color w:val="000000" w:themeColor="text1"/>
                <w:highlight w:val="none"/>
                <w14:textFill>
                  <w14:solidFill>
                    <w14:schemeClr w14:val="tx1"/>
                  </w14:solidFill>
                </w14:textFill>
              </w:rPr>
              <w:t xml:space="preserve">.制微动：扳手式</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.显示屏：两侧8行中文</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16</w:t>
            </w:r>
            <w:r>
              <w:rPr>
                <w:rFonts w:hint="eastAsia" w:ascii="宋体" w:hAnsi="宋体" w:cs="宋体"/>
                <w:color w:val="000000" w:themeColor="text1"/>
                <w:highlight w:val="none"/>
                <w14:textFill>
                  <w14:solidFill>
                    <w14:schemeClr w14:val="tx1"/>
                  </w14:solidFill>
                </w14:textFill>
              </w:rPr>
              <w:t xml:space="preserve">.按键：≥30个</w:t>
            </w:r>
            <w:r/>
          </w:p>
          <w:p>
            <w:pPr>
              <w:ind w:firstLine="0"/>
              <w:jc w:val="both"/>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17</w:t>
            </w:r>
            <w:r>
              <w:rPr>
                <w:rFonts w:hint="eastAsia" w:ascii="宋体" w:hAnsi="宋体" w:cs="宋体"/>
                <w:color w:val="000000" w:themeColor="text1"/>
                <w:highlight w:val="none"/>
                <w14:textFill>
                  <w14:solidFill>
                    <w14:schemeClr w14:val="tx1"/>
                  </w14:solidFill>
                </w14:textFill>
              </w:rPr>
              <w:t xml:space="preserve">.测量快捷键：机身侧面一键测量快捷键</w:t>
            </w:r>
            <w:r/>
          </w:p>
        </w:tc>
      </w:tr>
      <w:tr>
        <w:trPr>
          <w:trHeight w:val="90"/>
        </w:trPr>
        <w:tc>
          <w:tcPr>
            <w:shd w:val="clear" w:color="auto" w:fill="auto"/>
            <w:tcW w:w="75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防爆全站仪</w:t>
            </w:r>
            <w:r/>
          </w:p>
        </w:tc>
        <w:tc>
          <w:tcPr>
            <w:shd w:val="clear" w:color="auto" w:fill="auto"/>
            <w:tcW w:w="6856" w:type="dxa"/>
            <w:vAlign w:val="center"/>
            <w:textDirection w:val="lrTb"/>
            <w:noWrap w:val="false"/>
          </w:tcPr>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防护等级</w:t>
            </w:r>
            <w:r>
              <w:rPr>
                <w:rFonts w:hint="eastAsia" w:ascii="宋体" w:hAnsi="宋体" w:cs="宋体"/>
                <w:color w:val="000000" w:themeColor="text1"/>
                <w:highlight w:val="none"/>
                <w14:textFill>
                  <w14:solidFill>
                    <w14:schemeClr w14:val="tx1"/>
                  </w14:solidFill>
                </w14:textFill>
              </w:rPr>
              <w:t xml:space="preserve">≥IP66</w:t>
            </w:r>
            <w:r/>
          </w:p>
          <w:p>
            <w:pPr>
              <w:ind w:firstLine="0"/>
              <w:jc w:val="both"/>
              <w:spacing w:line="240" w:lineRule="auto"/>
              <w:rPr>
                <w:rFonts w:ascii="宋体" w:hAnsi="宋体" w:cs="宋体"/>
                <w:color w:val="000000" w:themeColor="text1"/>
                <w:highlight w:val="none"/>
                <w14:textFill>
                  <w14:solidFill>
                    <w14:schemeClr w14:val="tx1"/>
                  </w14:solidFill>
                </w14:textFill>
              </w:rPr>
            </w:pPr>
            <w:r/>
            <w:bookmarkStart w:id="8" w:name="OLE_LINK2"/>
            <w:r>
              <w:rPr>
                <w:rFonts w:hint="eastAsia" w:ascii="宋体" w:hAnsi="宋体" w:cs="宋体"/>
                <w:color w:val="000000" w:themeColor="text1"/>
                <w:highlight w:val="none"/>
                <w14:textFill>
                  <w14:solidFill>
                    <w14:schemeClr w14:val="tx1"/>
                  </w14:solidFill>
                </w14:textFill>
              </w:rPr>
              <w:t xml:space="preserve">▲</w:t>
            </w:r>
            <w:bookmarkEnd w:id="8"/>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.安全系数：</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1.5</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.防爆标志：Exib 1</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.本安参数：工作电压7.4V； 工作电流0.3A</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.测距：6000m／单棱镜； 1000m／免棱镜</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.精度：棱镜土(2mm+2ppm）；免棱镜土（3mm+2ppm)</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.测量时间：≥0.5秒</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.测角方式：绝对编码</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.测角精度：≤2秒</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.最小读数：1″/5″</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11</w:t>
            </w:r>
            <w:r>
              <w:rPr>
                <w:rFonts w:hint="eastAsia" w:ascii="宋体" w:hAnsi="宋体" w:cs="宋体"/>
                <w:color w:val="000000" w:themeColor="text1"/>
                <w:highlight w:val="none"/>
                <w14:textFill>
                  <w14:solidFill>
                    <w14:schemeClr w14:val="tx1"/>
                  </w14:solidFill>
                </w14:textFill>
              </w:rPr>
              <w:t xml:space="preserve">.补偿器补偿范围：±3′</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.激光对中器：四级调节</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cs="宋体"/>
                <w:color w:val="000000" w:themeColor="text1"/>
                <w:highlight w:val="none"/>
                <w14:textFill>
                  <w14:solidFill>
                    <w14:schemeClr w14:val="tx1"/>
                  </w14:solidFill>
                </w14:textFill>
              </w:rPr>
              <w:t xml:space="preserve">.通讯：RS-232C/USB；</w:t>
            </w:r>
            <w:r>
              <w:rPr>
                <w:rFonts w:hint="eastAsia" w:ascii="宋体" w:hAnsi="宋体" w:cs="宋体"/>
                <w:color w:val="000000" w:themeColor="text1"/>
                <w:highlight w:val="none"/>
                <w:lang w:val="en-US" w:eastAsia="zh-CN"/>
                <w14:textFill>
                  <w14:solidFill>
                    <w14:schemeClr w14:val="tx1"/>
                  </w14:solidFill>
                </w14:textFill>
              </w:rPr>
              <w:t xml:space="preserve">存储数量</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120000</w:t>
            </w:r>
            <w:r>
              <w:rPr>
                <w:rFonts w:hint="eastAsia"/>
                <w:color w:val="000000" w:themeColor="text1"/>
                <w:highlight w:val="none"/>
                <w:lang w:val="en-US" w:eastAsia="zh-CN"/>
                <w14:textFill>
                  <w14:solidFill>
                    <w14:schemeClr w14:val="tx1"/>
                  </w14:solidFill>
                </w14:textFill>
              </w:rPr>
              <w:t xml:space="preserve">个</w:t>
            </w:r>
            <w:r/>
          </w:p>
        </w:tc>
      </w:tr>
      <w:tr>
        <w:trPr>
          <w:trHeight w:val="90"/>
        </w:trPr>
        <w:tc>
          <w:tcPr>
            <w:shd w:val="clear" w:color="auto" w:fill="auto"/>
            <w:tcW w:w="75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电子经纬仪</w:t>
            </w:r>
            <w:r/>
          </w:p>
        </w:tc>
        <w:tc>
          <w:tcPr>
            <w:shd w:val="clear" w:color="auto" w:fill="auto"/>
            <w:tcW w:w="6856" w:type="dxa"/>
            <w:vAlign w:val="center"/>
            <w:textDirection w:val="lrTb"/>
            <w:noWrap w:val="false"/>
          </w:tcPr>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1.测量方法：绝对编码</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▲2.最小读数：1″</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▲3.精度：≤2″</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.最短视距：≤1.0m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.显示屏：双面</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.照明：有</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.补偿器：倾斜传感器 自动垂直补偿</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补偿范围：±3′</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.长水准器：30″/2mm</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圆水准器：8′/2mm</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.电池：6V可充镍-氢电池</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电池工作时间：≥15h</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ascii="宋体" w:hAnsi="宋体" w:cs="宋体"/>
                <w:color w:val="000000" w:themeColor="text1"/>
                <w:highlight w:val="none"/>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.对点器：激光对点器</w:t>
            </w:r>
            <w:r/>
          </w:p>
          <w:p>
            <w:pPr>
              <w:ind w:firstLine="0"/>
              <w:jc w:val="both"/>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.数据接口：RS-232C</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w:t>
      </w: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1669"/>
        <w:gridCol w:w="6843"/>
      </w:tblGrid>
      <w:tr>
        <w:trPr>
          <w:trHeight w:val="567"/>
        </w:trPr>
        <w:tc>
          <w:tcPr>
            <w:shd w:val="clear" w:color="auto" w:fill="auto"/>
            <w:tcW w:w="41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金属磁记忆检测仪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1、主机采用工控触摸屏一体机，触摸屏10.1寸，内存≥8GB，固态硬盘≥256G容量，具备存储扩充能力。仪器具有外接接口；</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2、主机同时具有金属磁记忆应力检测、管道漏磁扫描检测功能功能；主机通道数：≥16通道；</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、磁场值量程：</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±2000 A/m（安培/米），分辨率：≤0.01A/m，相对误差：</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 </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、采集方式：无位移等时间采样或编码步长采样</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、最小测量步长（间距）：≤0.4mm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、主机与探头的数据传输≥2米数据线连接传输方式，主机具备网络通信功能，能兼容便携式漏磁检测探头。</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、软件系统基于Windows 或鸿蒙系统开发，可适配普通办公电脑；</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、设备软件具有原始曲线图、梯度曲线图、纵向梯度曲线图、时基图、三维、极坐标等多种图形模式进行评估；</w:t>
            </w:r>
            <w:r>
              <w:rPr>
                <w:rFonts w:hint="eastAsia" w:ascii="宋体" w:hAnsi="宋体" w:cs="宋体"/>
                <w:b/>
                <w:bCs/>
                <w:color w:val="000000" w:themeColor="text1"/>
                <w:highlight w:val="none"/>
                <w14:textFill>
                  <w14:solidFill>
                    <w14:schemeClr w14:val="tx1"/>
                  </w14:solidFill>
                </w14:textFill>
              </w:rPr>
              <w:t xml:space="preserve">（投标时提供实物软件功能截图佐证）</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、设备软件具有数据分析功能，可直接显示波峰波谷值坐标、表面磁场梯度值、磁指数值等。</w:t>
            </w:r>
            <w:r>
              <w:rPr>
                <w:rFonts w:hint="eastAsia" w:ascii="宋体" w:hAnsi="宋体" w:cs="宋体"/>
                <w:b/>
                <w:bCs/>
                <w:color w:val="000000" w:themeColor="text1"/>
                <w:highlight w:val="none"/>
                <w14:textFill>
                  <w14:solidFill>
                    <w14:schemeClr w14:val="tx1"/>
                  </w14:solidFill>
                </w14:textFill>
              </w:rPr>
              <w:t xml:space="preserve">（投标时提供实物软件功能截图佐证）</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可视化起重机综合测试仪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▲1.主机显示尺寸：≥110mm×62mm；</w:t>
            </w:r>
            <w:r>
              <w:rPr>
                <w:rFonts w:hint="eastAsia" w:ascii="宋体" w:hAnsi="宋体" w:cs="宋体"/>
                <w:b/>
                <w:bCs/>
                <w:color w:val="000000" w:themeColor="text1"/>
                <w:highlight w:val="none"/>
                <w14:textFill>
                  <w14:solidFill>
                    <w14:schemeClr w14:val="tx1"/>
                  </w14:solidFill>
                </w14:textFill>
              </w:rPr>
              <w:t xml:space="preserve">（投标时提供实物尺寸图佐证，否则视为负偏离）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2.下滑量测量标准偏差：≤3mm，拱度测量精度：≤±0.5mm，挠度回弹量测量精度：≤±0.5mm；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3.距离测量精度：≤±0.5mm，测量范围：0-400m；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4.动刚度测量范围：0.5-200Hz，精度：≤0.25Hz，分辨率：≤0.1Hz。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5.各项功能检测可以直接在主机或手机上操作并同步，仪器调平为电子气泡调平，主机和手持终端界面同时含有模拟气泡实时状态图、俯仰角和翻滚角实时值，根据视像头窗口可提供直观的调平指引反馈；</w:t>
            </w:r>
            <w:r>
              <w:rPr>
                <w:rFonts w:hint="eastAsia" w:ascii="宋体" w:hAnsi="宋体" w:cs="宋体"/>
                <w:b/>
                <w:bCs/>
                <w:color w:val="000000" w:themeColor="text1"/>
                <w:highlight w:val="none"/>
                <w14:textFill>
                  <w14:solidFill>
                    <w14:schemeClr w14:val="tx1"/>
                  </w14:solidFill>
                </w14:textFill>
              </w:rPr>
              <w:t xml:space="preserve">（提供实物功能图片佐证，否则视为负偏离）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▲6.测试界面显示实时速度和平均速度值；且激光垂距速度和激光斜距速度可实现功能切换。内置高清图解。</w:t>
            </w:r>
            <w:r>
              <w:rPr>
                <w:rFonts w:hint="eastAsia" w:ascii="宋体" w:hAnsi="宋体" w:cs="宋体"/>
                <w:b/>
                <w:bCs/>
                <w:color w:val="000000" w:themeColor="text1"/>
                <w:highlight w:val="none"/>
                <w14:textFill>
                  <w14:solidFill>
                    <w14:schemeClr w14:val="tx1"/>
                  </w14:solidFill>
                </w14:textFill>
              </w:rPr>
              <w:t xml:space="preserve">（提供实物功能图片佐证，否则视为负偏离）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▲7.主机功能界面含有测试信息、功能测试栏</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拱度测试、挠度测试、速度测试、下滑量测试、动刚度测试</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、数据处理；并可在主机上实现开关机、打开视频、描点、数据分析等操作。</w:t>
            </w:r>
            <w:r>
              <w:rPr>
                <w:rFonts w:hint="eastAsia" w:ascii="宋体" w:hAnsi="宋体" w:cs="宋体"/>
                <w:b/>
                <w:bCs/>
                <w:color w:val="000000" w:themeColor="text1"/>
                <w:highlight w:val="none"/>
                <w14:textFill>
                  <w14:solidFill>
                    <w14:schemeClr w14:val="tx1"/>
                  </w14:solidFill>
                </w14:textFill>
              </w:rPr>
              <w:t xml:space="preserve">（提供实物界面图片佐证此功能，否则视为负偏离）</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▲8.主机自带内嵌一体式红光、绿光指示功能，方便户外强光环境下使用，且主机和手持终端皆可显示视频图像画面，保证图像清晰避免过度曝光。</w:t>
            </w:r>
            <w:r>
              <w:rPr>
                <w:rFonts w:hint="eastAsia" w:ascii="宋体" w:hAnsi="宋体" w:cs="宋体"/>
                <w:b/>
                <w:bCs/>
                <w:color w:val="000000" w:themeColor="text1"/>
                <w:highlight w:val="none"/>
                <w14:textFill>
                  <w14:solidFill>
                    <w14:schemeClr w14:val="tx1"/>
                  </w14:solidFill>
                </w14:textFill>
              </w:rPr>
              <w:t xml:space="preserve">（提供实物界面图片佐证，否则视为负偏离）</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起重机无线遥控装置综合检测仪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▲1.具有检测起重机无线遥控装置被动急停功能，通过定频干扰时域图谱分析，对停止指令响应时间的毫秒级监测，分辨率≤0.1ms</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2.具有检测起重机无线遥控装置主动急停功能，对停止指令响应时间的毫秒级监测，分辨率≤0.1ms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3.具有宽频段智能频谱扫查识别功能，可自动识别起重机遥控装置载波频率（分辨率≤0.1MHz），并采用低功率高效定频干扰，电磁信号对人体无害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4.具有电池安全警示检测功能，对遥控装置电池仓进行电压模拟测试（U/t），验证标准极限电压下的电池安全警示的有效性，输出电压0-10V，分辨率≤0.1V</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5.设备采用先进的信号干扰技术，能够精确识别起重机无线遥控装置信号并发出特定频率干扰</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6.主机检测以数值及图形化工具显示，有利于检测人员直观分析</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7.设备具有宽频域检测特点，频段范围100MHz至1.0GHz，可覆盖起重机标准内的所有测量频段要求</w:t>
            </w:r>
            <w:r/>
          </w:p>
        </w:tc>
      </w:tr>
      <w:tr>
        <w:trPr>
          <w:trHeight w:val="90"/>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起重机振动加速度测试仪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1.仪器自动生成加速度曲线、低通滤波曲线、频率计权曲线、快速傅里叶曲线、三轴曲线、噪声曲线等相关曲线图，曲线界面可任意点击显示坐标数据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2.主机内置WIFI无线连接模块</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3.专用软件：振动加速度测量分析软件，可以扩展安装在智能手机等安卓系统终端</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4.工作电压：内置3.7V锂电池，具有低电量提醒、充电指示功能</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5.传感器：具有高精度三轴加速度传感器（X/Y/Z）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▲6.测量范围：±2g（可扩展）</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7.分辨率：加速度≤0.005g，速度≤0.001m/s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8.加速度测量准确度：≤2%</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9.频率响应范围：0-2.4KHZ</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10.一次性完成加速度、加加速度、V95, A95、振动峰峰值等参数的采集和分析，分析过程符合ISO 18738-2003</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起重机振动频率测试仪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1.测量主机通过无线接收器与手持终端之间进行蓝牙通讯，有效传输距离</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100米。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2.测量过程中自动绘制振动曲线，测量过程更直观准确。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3.测量结果可通过蓝牙打印机，现场打印测试报告。</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4.软件界面可显示电量百分比，以便于检验人员直观评估设备续航状态。</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5.主机采用内置磁吸设计，可牢固吸附于起重机主梁表面，确保设备与主梁保持同步振动。</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▲6.频率测量范围：0-25Hz</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7.频率测量标准偏差：≤0.1Hz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8.内置充电电池电压：≥12V 3000mAh</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.主机及接收器尺寸：≤80mm*80mm*78mm，</w:t>
            </w:r>
            <w:r/>
          </w:p>
        </w:tc>
      </w:tr>
      <w:tr>
        <w:trPr>
          <w:trHeight w:val="567"/>
        </w:trPr>
        <w:tc>
          <w:tcPr>
            <w:shd w:val="clear" w:color="auto" w:fill="auto"/>
            <w:tcW w:w="769" w:type="dxa"/>
            <w:vAlign w:val="center"/>
            <w:textDirection w:val="lrTb"/>
            <w:noWrap w:val="false"/>
          </w:tcPr>
          <w:p>
            <w:pPr>
              <w:ind w:firstLine="0"/>
              <w:jc w:val="center"/>
              <w:spacing w:line="240" w:lineRule="auto"/>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起重机制动下滑量检测仪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1.采用高精度拉线传感器，快速实现起重机下滑量、制动减速度的测量</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2.制动下滑量分辨率：1mm；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▲3.下滑量测量高度范围：0～7m；</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4.起重机制动减速度：0-5m/s²；</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5.无线传输距离：0～50m；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6.具有带载荷制动下滑量、制动减速度快速测量特性，自动抓取速度拐点作为制动起点，无需外部信号输入；</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7.采用≥</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寸专用触控平板，实时显示制动曲线图和自动锁定检测结果数值</w:t>
            </w:r>
            <w:r/>
          </w:p>
        </w:tc>
      </w:tr>
    </w:tbl>
    <w:p>
      <w:pPr>
        <w:contextualSpacing/>
        <w:ind w:firstLine="480"/>
        <w:keepLines w:val="0"/>
        <w:keepNext w:val="0"/>
        <w:pageBreakBefore w:val="0"/>
        <w:spacing w:line="360" w:lineRule="auto"/>
        <w:widowControl w:val="off"/>
        <w:rPr>
          <w:b/>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w:t>
      </w:r>
      <w:r>
        <w:rPr>
          <w:rFonts w:hint="eastAsia"/>
          <w:b/>
          <w:color w:val="000000" w:themeColor="text1"/>
          <w:highlight w:val="none"/>
          <w14:textFill>
            <w14:solidFill>
              <w14:schemeClr w14:val="tx1"/>
            </w14:solidFill>
          </w14:textFill>
        </w:rPr>
        <w:t xml:space="preserve">商务要求：</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color w:val="000000" w:themeColor="text1"/>
          <w:highlight w:val="none"/>
          <w14:textFill>
            <w14:solidFill>
              <w14:schemeClr w14:val="tx1"/>
            </w14:solidFill>
          </w14:textFill>
        </w:rPr>
        <w:t xml:space="preserve">服务要求：</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val="0"/>
          <w:bCs/>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b w:val="0"/>
          <w:bCs/>
          <w:color w:val="000000" w:themeColor="text1"/>
          <w:highlight w:val="none"/>
          <w14:textFill>
            <w14:solidFill>
              <w14:schemeClr w14:val="tx1"/>
            </w14:solidFill>
          </w14:textFill>
        </w:rPr>
        <w:t xml:space="preserve">及交货地点：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color w:val="000000" w:themeColor="text1"/>
          <w:highlight w:val="none"/>
          <w:lang w:val="en-US"/>
          <w14:textFill>
            <w14:solidFill>
              <w14:schemeClr w14:val="tx1"/>
            </w14:solidFill>
          </w14:textFill>
        </w:rPr>
        <w:t xml:space="preserve">合同履行期限）</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合同签订后</w:t>
      </w:r>
      <w:r>
        <w:rPr>
          <w:rFonts w:hint="eastAsia"/>
          <w:color w:val="000000" w:themeColor="text1"/>
          <w:highlight w:val="none"/>
          <w:lang w:val="en-US" w:eastAsia="zh-CN"/>
          <w14:textFill>
            <w14:solidFill>
              <w14:schemeClr w14:val="tx1"/>
            </w14:solidFill>
          </w14:textFill>
        </w:rPr>
        <w:t xml:space="preserve">90</w:t>
      </w:r>
      <w:r>
        <w:rPr>
          <w:rFonts w:hint="eastAsia"/>
          <w:color w:val="000000" w:themeColor="text1"/>
          <w:highlight w:val="none"/>
          <w14:textFill>
            <w14:solidFill>
              <w14:schemeClr w14:val="tx1"/>
            </w14:solidFill>
          </w14:textFill>
        </w:rPr>
        <w:t xml:space="preserve">日历天内供齐所有货物及服务，完成安装、调试及初步验收。</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交货地点：</w:t>
      </w:r>
      <w:r>
        <w:rPr>
          <w:rFonts w:hint="eastAsia" w:ascii="宋体" w:hAnsi="宋体" w:cs="宋体"/>
          <w:color w:val="000000" w:themeColor="text1"/>
          <w:highlight w:val="none"/>
          <w:lang w:val="en-US"/>
          <w14:textFill>
            <w14:solidFill>
              <w14:schemeClr w14:val="tx1"/>
            </w14:solidFill>
          </w14:textFill>
        </w:rPr>
        <w:t xml:space="preserve">采购人指定地点</w:t>
      </w:r>
      <w:r>
        <w:rPr>
          <w:rFonts w:hint="eastAsia" w:ascii="宋体" w:hAnsi="宋体" w:cs="宋体"/>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安装、调试和验收</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到达最终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现场并且现场条件合格后，在接到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通知后，</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需安排有经验的工程技术人员到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现场指导安装、调试</w:t>
      </w: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，按验收指标逐项测试，直至达到验收要求。如因产品质量导致产品无法正常使用，由</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无偿更换。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验收标准：按行业通行标准和</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投标文件的承诺（不低于国家相关标准）。</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b/>
          <w:color w:val="000000" w:themeColor="text1"/>
          <w:highlight w:val="none"/>
          <w14:textFill>
            <w14:solidFill>
              <w14:schemeClr w14:val="tx1"/>
            </w14:solidFill>
          </w14:textFill>
        </w:rPr>
        <w:t xml:space="preserve">付款方式</w:t>
      </w:r>
      <w:r>
        <w:rPr>
          <w:rFonts w:hint="eastAsia" w:ascii="宋体" w:hAnsi="宋体" w:cs="宋体"/>
          <w:b/>
          <w:color w:val="000000" w:themeColor="text1"/>
          <w:highlight w:val="none"/>
          <w:lang w:val="en-US" w:eastAsia="zh-CN"/>
          <w14:textFill>
            <w14:solidFill>
              <w14:schemeClr w14:val="tx1"/>
            </w14:solidFill>
          </w14:textFill>
        </w:rPr>
        <w:t xml:space="preserve">及履约保函</w:t>
      </w:r>
      <w:r>
        <w:rPr>
          <w:rFonts w:hint="eastAsia" w:ascii="宋体" w:hAnsi="宋体" w:cs="宋体"/>
          <w:b/>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.1合同签订生效后，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在按照合同规定的期限内将设备、材料全部运抵交货地点，并安装调试结束，初步验收合格后，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收到</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提供的合同总价10%的履约保函后向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.2履约保函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（1）履约保函金额：合同总价10%；</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（2）履约保函的形式：</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应当以支票、汇票、本票或者金融机构、担保机构出具的保函等非现金形式提交；</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（3）履约保函的退还：在设备通过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（4）逾期退还履约保函的处理：</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未按照规定退还履约保函的（因乙方自身原因导致无法及时退还的除外），由财政部门依照《中华人民共和国政府采购法》等有关规定处理；</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同级预算级次国库。</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现场培训：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在设备的组装、调试、验收完毕后即进行现场培训直至</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基本掌握使用操作、维护保养技术。</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专门培训：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就设备的组装、检验、调试、使用和维护等培训采购人不少于2名技术人员，直到采购人受训人员全部掌握运行操作、维护保养技术，并能达到正确检修、维护、排除一般故障为止。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培训方式：理论知识技术培训、实际操作培训。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培训人员、地点和时间：受训人员及培训次数由采购人确定，培训地点和时间由双方商定。</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4</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质保及维保：</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免费质保期：</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所供设备、材料及安装的质量保证期至少为综合验收合格后</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年。</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包括书面通知、电话、传真、电子邮件等</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使用不当原因出现设备故障时，乙方在接到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通知后，应在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上述序号（2）</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（4）质保期满后，如设备出现故障，</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现场，帮助排除故障、修复或更换零部件，需购买零部件时，酌情收取成本费。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设备维护保养：</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投标人应在设备质保期内</w:t>
      </w:r>
      <w:r>
        <w:rPr>
          <w:rFonts w:hint="eastAsia" w:ascii="宋体" w:hAnsi="宋体" w:cs="宋体"/>
          <w:color w:val="000000" w:themeColor="text1"/>
          <w:highlight w:val="none"/>
          <w:lang w:val="en-US"/>
          <w14:textFill>
            <w14:solidFill>
              <w14:schemeClr w14:val="tx1"/>
            </w14:solidFill>
          </w14:textFill>
        </w:rPr>
        <w:t xml:space="preserve">每年</w:t>
      </w:r>
      <w:r>
        <w:rPr>
          <w:rFonts w:hint="eastAsia" w:ascii="宋体" w:hAnsi="宋体" w:cs="宋体"/>
          <w:color w:val="000000" w:themeColor="text1"/>
          <w:highlight w:val="none"/>
          <w14:textFill>
            <w14:solidFill>
              <w14:schemeClr w14:val="tx1"/>
            </w14:solidFill>
          </w14:textFill>
        </w:rPr>
        <w:t xml:space="preserve">免费提供全面的设备保养，在质保期外应根据</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需要</w:t>
      </w:r>
      <w:r>
        <w:rPr>
          <w:rFonts w:hint="eastAsia" w:ascii="宋体" w:hAnsi="宋体" w:cs="宋体"/>
          <w:color w:val="000000" w:themeColor="text1"/>
          <w:highlight w:val="none"/>
          <w:lang w:val="en-US"/>
          <w14:textFill>
            <w14:solidFill>
              <w14:schemeClr w14:val="tx1"/>
            </w14:solidFill>
          </w14:textFill>
        </w:rPr>
        <w:t xml:space="preserve">免费</w:t>
      </w:r>
      <w:r>
        <w:rPr>
          <w:rFonts w:hint="eastAsia" w:ascii="宋体" w:hAnsi="宋体" w:cs="宋体"/>
          <w:color w:val="000000" w:themeColor="text1"/>
          <w:highlight w:val="none"/>
          <w14:textFill>
            <w14:solidFill>
              <w14:schemeClr w14:val="tx1"/>
            </w14:solidFill>
          </w14:textFill>
        </w:rPr>
        <w:t xml:space="preserve">提供设备全面保养服务。在不涉及硬件更换条件下，投标人需无偿提供系统的升级服务。</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报价要求及违约责任：</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本项目报价，应包括</w:t>
      </w:r>
      <w:r>
        <w:rPr>
          <w:rFonts w:hint="eastAsia" w:ascii="宋体" w:hAnsi="宋体" w:eastAsia="宋体" w:cs="宋体"/>
          <w:bCs/>
          <w:color w:val="000000" w:themeColor="text1"/>
          <w:szCs w:val="21"/>
          <w:highlight w:val="none"/>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w:t>
      </w:r>
      <w:r>
        <w:rPr>
          <w:rFonts w:hint="eastAsia" w:ascii="宋体" w:hAnsi="宋体"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认为需要的其他费用等，本合同执行期间合同总价款不变。</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2.在安装、调试、验收过程中，如发现有漏项、缺件，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使用的时间。</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的任何错漏、优惠、竞争性报价不得作为减轻责任、减少服务、增加收费、降低质量的理由。</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hint="eastAsia"/>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报价除包含招标文件中列明的项目外还应包括保障服务正常运行应当具有的物资和服务，对服务正常运行应当具有的物资和服务理解不一致的以采购人理解为准。</w:t>
      </w: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keepLines w:val="0"/>
        <w:keepNext w:val="0"/>
        <w:pageBreakBefore w:val="0"/>
        <w:spacing w:before="360" w:after="360"/>
        <w:tabs>
          <w:tab w:val="left" w:pos="1440" w:leader="none"/>
          <w:tab w:val="left" w:pos="5670" w:leader="none"/>
        </w:tabs>
        <w:rPr>
          <w:rFonts w:hint="eastAsia" w:ascii="宋体" w:hAnsi="宋体" w:eastAsia="宋体" w:cs="宋体"/>
          <w:color w:val="000000" w:themeColor="text1"/>
          <w:sz w:val="28"/>
          <w:szCs w:val="28"/>
          <w:highlight w:val="none"/>
          <w14:textFill>
            <w14:solidFill>
              <w14:schemeClr w14:val="tx1"/>
            </w14:solidFill>
          </w14:textFill>
        </w:rPr>
      </w:pPr>
      <w:r/>
      <w:bookmarkStart w:id="9" w:name="_Toc4445"/>
      <w:r/>
      <w:r/>
    </w:p>
    <w:p>
      <w:pPr>
        <w:ind w:firstLine="0"/>
        <w:keepLines w:val="0"/>
        <w:keepNext w:val="0"/>
        <w:pageBreakBefore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政府采购合同</w:t>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（拟签订的合同文本）</w:t>
      </w:r>
      <w:r/>
    </w:p>
    <w:p>
      <w:pPr>
        <w:ind w:firstLine="0"/>
        <w:keepLines w:val="0"/>
        <w:keepNext w:val="0"/>
        <w:pageBreakBefore w:val="0"/>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合同编号：</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采购人（甲方）：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供应商（乙方）：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签订日期：</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80" w:right="-358" w:firstLine="24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108" w:firstLine="482"/>
        <w:jc w:val="left"/>
        <w:spacing w:line="480" w:lineRule="exact"/>
        <w:tabs>
          <w:tab w:val="left" w:pos="4785" w:leader="none"/>
        </w:tabs>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14:textFill>
            <w14:solidFill>
              <w14:schemeClr w14:val="tx1"/>
            </w14:solidFill>
          </w14:textFill>
        </w:rPr>
        <w:t xml:space="preserve">注：</w:t>
      </w:r>
      <w:bookmarkEnd w:id="9"/>
      <w:r>
        <w:rPr>
          <w:rFonts w:hint="eastAsia" w:ascii="宋体" w:hAnsi="宋体" w:eastAsia="宋体" w:cs="宋体"/>
          <w:b/>
          <w:bCs/>
          <w:i/>
          <w:iCs/>
          <w:color w:val="000000" w:themeColor="text1"/>
          <w:sz w:val="24"/>
          <w:szCs w:val="24"/>
          <w:highlight w:val="none"/>
          <w14:textFill>
            <w14:solidFill>
              <w14:schemeClr w14:val="tx1"/>
            </w14:solidFill>
          </w14:textFill>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lang w:eastAsia="zh-CN"/>
          <w14:textFill>
            <w14:solidFill>
              <w14:schemeClr w14:val="tx1"/>
            </w14:solidFill>
          </w14:textFill>
        </w:rPr>
        <w:br w:type="page" w:clear="all"/>
      </w:r>
      <w:r/>
    </w:p>
    <w:p>
      <w:pPr>
        <w:ind w:left="108" w:firstLine="482"/>
        <w:jc w:val="left"/>
        <w:spacing w:line="480" w:lineRule="exact"/>
        <w:tabs>
          <w:tab w:val="left" w:pos="478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甲方：江苏省特种设备安全监督检验研究院</w:t>
      </w:r>
      <w:r/>
    </w:p>
    <w:p>
      <w:pPr>
        <w:ind w:firstLine="335"/>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乙方：</w:t>
      </w:r>
      <w:r/>
    </w:p>
    <w:p>
      <w:pPr>
        <w:ind w:firstLine="335"/>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采购代理机构：</w:t>
      </w:r>
      <w:r>
        <w:rPr>
          <w:rFonts w:hint="eastAsia" w:ascii="宋体" w:hAnsi="宋体" w:cs="宋体"/>
          <w:b/>
          <w:bCs/>
          <w:color w:val="000000" w:themeColor="text1"/>
          <w:szCs w:val="21"/>
          <w:highlight w:val="none"/>
          <w:lang w:val="en-US" w:eastAsia="zh-CN"/>
          <w14:textFill>
            <w14:solidFill>
              <w14:schemeClr w14:val="tx1"/>
            </w14:solidFill>
          </w14:textFill>
        </w:rPr>
        <w:t xml:space="preserve">南京苏宁工程咨询有限公司</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一、说明：</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受甲方委托，采购代理机构于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日组织了</w:t>
      </w:r>
      <w:r>
        <w:rPr>
          <w:rFonts w:hint="eastAsia" w:ascii="宋体" w:hAnsi="宋体" w:eastAsia="宋体" w:cs="宋体"/>
          <w:color w:val="000000" w:themeColor="text1"/>
          <w:szCs w:val="21"/>
          <w:highlight w:val="none"/>
          <w:u w:val="single"/>
          <w14:textFill>
            <w14:solidFill>
              <w14:schemeClr w14:val="tx1"/>
            </w14:solidFill>
          </w14:textFill>
        </w:rPr>
        <w:t xml:space="preserve">江苏省特种设备安全监督检验研究院</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所需江苏省特检院起重机类检验检测设备</w:t>
      </w:r>
      <w:r>
        <w:rPr>
          <w:rFonts w:hint="eastAsia" w:ascii="宋体" w:hAnsi="宋体" w:eastAsia="宋体" w:cs="宋体"/>
          <w:color w:val="000000" w:themeColor="text1"/>
          <w:szCs w:val="21"/>
          <w:highlight w:val="none"/>
          <w14:textFill>
            <w14:solidFill>
              <w14:schemeClr w14:val="tx1"/>
            </w14:solidFill>
          </w14:textFill>
        </w:rPr>
        <w:t xml:space="preserve">采购项目（项目编号：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号：     </w:t>
      </w:r>
      <w:r>
        <w:rPr>
          <w:rFonts w:hint="eastAsia" w:ascii="宋体" w:hAnsi="宋体" w:eastAsia="宋体" w:cs="宋体"/>
          <w:color w:val="000000" w:themeColor="text1"/>
          <w:szCs w:val="21"/>
          <w:highlight w:val="none"/>
          <w14:textFill>
            <w14:solidFill>
              <w14:schemeClr w14:val="tx1"/>
            </w14:solidFill>
          </w14:textFill>
        </w:rPr>
        <w:t xml:space="preserve">）的评审活动，经评委认真严格地评审，确定由乙方成交。</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二、合同条款：</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合同由甲乙双方签订，并依据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号招标文件规定，按下列合同条款甲方同意购入，乙方同意出售下列设备及服务。</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1.设备名称、型号规格、数量及服务内容。</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设备</w:t>
            </w:r>
            <w:r>
              <w:rPr>
                <w:rFonts w:hint="eastAsia"/>
                <w:color w:val="000000" w:themeColor="text1"/>
                <w:highlight w:val="none"/>
                <w14:textFill>
                  <w14:solidFill>
                    <w14:schemeClr w14:val="tx1"/>
                  </w14:solidFill>
                </w14:textFill>
              </w:rPr>
              <w:t xml:space="preserve">名称</w:t>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w:t>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单价（元）</w:t>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合计（元）</w:t>
            </w:r>
            <w:r/>
          </w:p>
        </w:tc>
        <w:tc>
          <w:tcPr>
            <w:gridSpan w:val="3"/>
            <w:tcW w:w="215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bl>
    <w:p>
      <w:pPr>
        <w:ind w:firstLine="4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（含13%增值税）</w:t>
      </w:r>
      <w:r/>
    </w:p>
    <w:p>
      <w:pPr>
        <w:ind w:left="108" w:firstLine="16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元。</w:t>
      </w:r>
      <w:r/>
    </w:p>
    <w:p>
      <w:pPr>
        <w:ind w:left="0" w:firstLine="480"/>
        <w:keepLines w:val="0"/>
        <w:keepNext w:val="0"/>
        <w:pageBreakBefore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合同签订后    日历天内供齐所有货物及服务，完成安装、调试及初步验收。</w:t>
      </w:r>
      <w:r/>
    </w:p>
    <w:p>
      <w:pPr>
        <w:ind w:left="0" w:firstLine="480"/>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甲方指定地点。</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（上述标准或规范不一致时，则以要求较高者为准。）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left="0" w:firstLine="480"/>
        <w:jc w:val="left"/>
        <w:keepLines w:val="0"/>
        <w:keepNext w:val="0"/>
        <w:pageBreakBefore w:val="0"/>
        <w:spacing w:line="440" w:lineRule="exact"/>
        <w:tabs>
          <w:tab w:val="left" w:pos="4785"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 付款方式及履约保函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（1）履约保函金额：合同总价10%；</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（2）履约保函的形式：乙方应当以支票、汇票、本票或者金融机构、担保机构出具的保函等非现金形式提交；</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（3）履约保函的退还：在设备通过甲方验收合格且满12个月无质量问题后的15个工作日内，甲方将无息退还乙方的履约保函；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0"/>
        </w:num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9.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交付和验收</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9.1乙方应当在合同签订后，根据招标文件及投标文件的要求完成服务事项。</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9.2验收标准：按行业通行标准和乙方投标文件的承诺（不低于国家相关标准）。</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 质保期及售后服务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安装验收合格后1年。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 在质保期内，因甲方使用不当原因出现设备故障时，乙方在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甲方通知后，应在10.2条款中所述的时限内响应并派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甲方通知后，仍应在上述时限内响应、派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赶到甲方现场，帮助排除故障、修复或更换零部件，需购买零部件时，酌情收取成本费。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技术资料</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按第四章技术规格、参数及其他要求中的要求提供相关资料（见附件）。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12.货物风险承担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12.1乙方应当按照甲方指定的地点交货，需要运输的货物，乙方应当妥善保障货物在运输过程中的安全。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12.2乙方将货物运输至甲方指定的地点后，应当及时通知甲方进行接收，由甲方进行检验。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12.3在货物验收合格之前毁损、灭失的风险由乙方承担，因甲方原因造成货物毁损、灭失的除外。</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 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13.1乙方未按合同规定的质量要求交货，甲方有权拒收，由此造成的直接损失和间接损失由乙方承担。</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乙方逾期交付的，每逾期1天，乙方应向甲方支付合同总价款的5‰的逾期违约金。</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left="0" w:firstLine="480"/>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的违约金按照合同总价款的5%计算）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left="0" w:firstLine="480"/>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乙方所交付的货物或服务不符合合同规定的，甲方有权拒收。甲方拒收的，乙方应向甲方支付违约金</w:t>
      </w:r>
      <w:bookmarkStart w:id="10" w:name="OLE_LINK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万元的违约金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按照合同总价款的5%计算）</w:t>
      </w:r>
      <w:bookmarkEnd w:id="1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。甲方未拒收的，采购代理机构发现后将向有关部门反映，并责成乙方按照采购结果提供服务。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13.8乙方履行义务不符合合同约定时，甲方将扣减合同总价款10%的尾款，同时甲方有权按照本合同的约定追究乙方的违约责任。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13.9乙方应当向甲方提供合法且符合甲方要求的发票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14.甲方的违约责任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14.1甲方未按合同规定的时间和要求向乙方提供技术资料等，乙方交付时间顺延。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三、合同的变更和终止</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1、除《政府采购法》第50条第二款规定的情形外，本合同一经签订，甲乙双方不得擅自变更、中止或终止合同。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1" w:name="_Toc190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四、合同权利义务的转让</w:t>
      </w:r>
      <w:bookmarkEnd w:id="11"/>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五、货物、服务的购买或租赁权利瑕疵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乙方应保证提供的货物、设备或服务不存在所有权、抵押权、使用权、知识产权等权利瑕疵。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2" w:name="_Toc303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六、争议解决条款</w:t>
      </w:r>
      <w:bookmarkEnd w:id="12"/>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3" w:name="_Toc2089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w:t>
      </w:r>
      <w:bookmarkEnd w:id="1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廉洁条款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不得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以任何理由为甲方工作人员报销应由个人支付的费用。一旦发生上述事由，甲方有权无条件解除本合同。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八、保密条款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九、不可抗力</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、送达条款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十一、其他</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11.1、合同的生效：本合同一式陆份，自甲乙双方签字并加盖骑缝章之日起生效。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11.2、未尽事宜、双方协商解决，并按《中华人民共和国民法典》及相关法律、法规的规定调整。</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（以下无正文）</w:t>
      </w:r>
      <w:r/>
    </w:p>
    <w:tbl>
      <w:tblPr>
        <w:tblStyle w:val="885"/>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单位名称：江苏省特种设备安全监督检验研究院</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单位地址：江苏省南京市鼓楼区草场门大街107号龙江大厦</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c>
          <w:tcPr>
            <w:tcW w:w="4684"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传真：</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帐号：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税号：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bookmarkStart w:id="14" w:name="_GoBack"/>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bookmarkEnd w:id="14"/>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2"/>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江苏省特种设备安全监督检验研究院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（四）关于符合本国产品标准的声明函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4"/>
    <w:link w:val="881"/>
    <w:uiPriority w:val="9"/>
    <w:rPr>
      <w:rFonts w:ascii="Arial" w:hAnsi="Arial" w:eastAsia="Arial" w:cs="Arial"/>
      <w:sz w:val="40"/>
      <w:szCs w:val="40"/>
    </w:rPr>
  </w:style>
  <w:style w:type="character" w:styleId="709">
    <w:name w:val="Heading 2 Char"/>
    <w:basedOn w:val="884"/>
    <w:link w:val="882"/>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character" w:styleId="712">
    <w:name w:val="Heading 4 Char"/>
    <w:basedOn w:val="884"/>
    <w:link w:val="883"/>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4"/>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4"/>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4"/>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4"/>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4"/>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4"/>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4"/>
    <w:link w:val="892"/>
    <w:uiPriority w:val="99"/>
  </w:style>
  <w:style w:type="character" w:styleId="734">
    <w:name w:val="Footer Char"/>
    <w:basedOn w:val="884"/>
    <w:link w:val="891"/>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Normal Indent"/>
    <w:basedOn w:val="880"/>
    <w:uiPriority w:val="99"/>
    <w:qFormat/>
    <w:pPr>
      <w:ind w:firstLine="420"/>
    </w:pPr>
    <w:rPr>
      <w:szCs w:val="20"/>
    </w:rPr>
  </w:style>
  <w:style w:type="paragraph" w:styleId="887">
    <w:name w:val="annotation text"/>
    <w:basedOn w:val="880"/>
    <w:uiPriority w:val="0"/>
    <w:qFormat/>
    <w:pPr>
      <w:jc w:val="left"/>
    </w:pPr>
  </w:style>
  <w:style w:type="paragraph" w:styleId="888">
    <w:name w:val="Body Text"/>
    <w:basedOn w:val="880"/>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80"/>
    <w:next w:val="880"/>
    <w:uiPriority w:val="99"/>
    <w:qFormat/>
    <w:pPr>
      <w:ind w:left="420"/>
      <w:spacing w:after="120"/>
    </w:pPr>
    <w:rPr>
      <w:rFonts w:ascii="Times New Roman" w:hAnsi="Times New Roman" w:eastAsia="宋体"/>
    </w:rPr>
  </w:style>
  <w:style w:type="paragraph" w:styleId="890">
    <w:name w:val="index 4"/>
    <w:basedOn w:val="880"/>
    <w:next w:val="880"/>
    <w:uiPriority w:val="0"/>
    <w:qFormat/>
    <w:pPr>
      <w:ind w:left="600"/>
    </w:pPr>
    <w:rPr>
      <w:rFonts w:ascii="宋体"/>
      <w:b/>
      <w:position w:val="-10"/>
      <w:sz w:val="24"/>
    </w:rPr>
  </w:style>
  <w:style w:type="paragraph" w:styleId="891">
    <w:name w:val="Footer"/>
    <w:basedOn w:val="880"/>
    <w:uiPriority w:val="0"/>
    <w:qFormat/>
    <w:pPr>
      <w:jc w:val="left"/>
      <w:tabs>
        <w:tab w:val="center" w:pos="4153" w:leader="none"/>
        <w:tab w:val="right" w:pos="8306" w:leader="none"/>
      </w:tabs>
    </w:pPr>
    <w:rPr>
      <w:sz w:val="18"/>
    </w:rPr>
  </w:style>
  <w:style w:type="paragraph" w:styleId="892">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Normal (Web)"/>
    <w:basedOn w:val="880"/>
    <w:uiPriority w:val="0"/>
    <w:qFormat/>
    <w:pPr>
      <w:ind w:left="0" w:right="0"/>
      <w:jc w:val="left"/>
      <w:spacing w:before="0" w:beforeAutospacing="1" w:after="0" w:afterAutospacing="1"/>
    </w:pPr>
    <w:rPr>
      <w:sz w:val="24"/>
      <w:lang w:val="en-US" w:eastAsia="zh-CN" w:bidi="ar"/>
    </w:rPr>
  </w:style>
  <w:style w:type="table" w:styleId="89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Emphasis"/>
    <w:uiPriority w:val="20"/>
    <w:qFormat/>
    <w:rPr>
      <w:b/>
      <w:i/>
      <w:spacing w:val="10"/>
      <w:shd w:val="clear" w:color="auto" w:fill="auto"/>
    </w:rPr>
  </w:style>
  <w:style w:type="character" w:styleId="896">
    <w:name w:val="annotation reference"/>
    <w:basedOn w:val="884"/>
    <w:uiPriority w:val="0"/>
    <w:qFormat/>
    <w:rPr>
      <w:sz w:val="21"/>
      <w:szCs w:val="21"/>
    </w:rPr>
  </w:style>
  <w:style w:type="paragraph" w:styleId="897" w:customStyle="1">
    <w:name w:val="章节标题"/>
    <w:next w:val="880"/>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898"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4</cp:revision>
  <dcterms:created xsi:type="dcterms:W3CDTF">2025-06-29T07:27:00Z</dcterms:created>
  <dcterms:modified xsi:type="dcterms:W3CDTF">2026-08-05T08:10:59Z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49D9CAAB83D74BD3A90D186B6E1DC0EF_13</vt:lpwstr>
  </property>
  <property fmtid="{D5CDD505-2E9C-101B-9397-08002B2CF9AE}" pid="4" name="KSOTemplateDocerSaveRecord">
    <vt:lpwstr>eyJoZGlkIjoiZGI4OGE1MzAzZDVmOTFjNmE2ZjdjMjE4MWFmMWJkZTAiLCJ1c2VySWQiOiIxMTc5MTU0ODc0In0=</vt:lpwstr>
  </property>
</Properties>
</file>