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95" w:firstLine="640"/>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r>
      <w:r/>
    </w:p>
    <w:p>
      <w:pPr>
        <w:pStyle w:val="773"/>
        <w:numPr>
          <w:ilvl w:val="0"/>
          <w:numId w:val="0"/>
        </w:numPr>
        <w:jc w:val="center"/>
        <w:pageBreakBefore w:val="0"/>
        <w:spacing w:before="0" w:after="0"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江苏航运职业技术学院2026年-2029年校本教材</w:t>
      </w:r>
      <w:r/>
    </w:p>
    <w:p>
      <w:pPr>
        <w:pStyle w:val="773"/>
        <w:numPr>
          <w:ilvl w:val="0"/>
          <w:numId w:val="0"/>
        </w:numPr>
        <w:jc w:val="center"/>
        <w:pageBreakBefore w:val="0"/>
        <w:spacing w:before="0" w:after="0"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eastAsia="zh-CN"/>
        </w:rPr>
        <w:t xml:space="preserve">出版服务采购项目（</w:t>
      </w:r>
      <w:r>
        <w:rPr>
          <w:rFonts w:hint="eastAsia" w:ascii="仿宋" w:hAnsi="仿宋" w:eastAsia="仿宋" w:cs="仿宋"/>
          <w:b/>
          <w:bCs/>
          <w:color w:val="auto"/>
          <w:sz w:val="36"/>
          <w:szCs w:val="36"/>
          <w:highlight w:val="none"/>
          <w:lang w:val="en-US" w:eastAsia="zh-CN"/>
        </w:rPr>
        <w:t xml:space="preserve">第三次</w:t>
      </w:r>
      <w:r>
        <w:rPr>
          <w:rFonts w:hint="eastAsia" w:ascii="仿宋" w:hAnsi="仿宋" w:eastAsia="仿宋" w:cs="仿宋"/>
          <w:b/>
          <w:bCs/>
          <w:color w:val="auto"/>
          <w:sz w:val="36"/>
          <w:szCs w:val="36"/>
          <w:highlight w:val="none"/>
          <w:lang w:eastAsia="zh-CN"/>
        </w:rPr>
        <w:t xml:space="preserve">）</w:t>
      </w:r>
      <w:r/>
    </w:p>
    <w:p>
      <w:pPr>
        <w:pStyle w:val="821"/>
        <w:rPr>
          <w:rFonts w:hint="eastAsia"/>
          <w:color w:val="auto"/>
          <w:highlight w:val="none"/>
        </w:rPr>
      </w:pPr>
      <w:r>
        <w:rPr>
          <w:rFonts w:hint="eastAsia"/>
          <w:color w:val="auto"/>
          <w:highlight w:val="none"/>
        </w:rPr>
      </w:r>
      <w:r/>
    </w:p>
    <w:p>
      <w:pPr>
        <w:ind w:left="695" w:firstLine="1446"/>
        <w:jc w:val="both"/>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政府采购磋商文件</w:t>
      </w:r>
      <w:r/>
    </w:p>
    <w:p>
      <w:pPr>
        <w:ind w:left="695" w:firstLine="723"/>
        <w:jc w:val="center"/>
        <w:keepNext/>
        <w:spacing w:line="5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1446"/>
        <w:jc w:val="both"/>
        <w:keepNext/>
        <w:spacing w:line="5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采购文件编号</w:t>
      </w:r>
      <w:r>
        <w:rPr>
          <w:rFonts w:hint="eastAsia" w:ascii="仿宋" w:hAnsi="仿宋" w:eastAsia="仿宋" w:cs="仿宋"/>
          <w:b/>
          <w:color w:val="auto"/>
          <w:sz w:val="36"/>
          <w:szCs w:val="36"/>
          <w:highlight w:val="none"/>
          <w:lang w:eastAsia="zh-CN"/>
        </w:rPr>
        <w:t xml:space="preserve">：</w:t>
      </w:r>
      <w:r>
        <w:rPr>
          <w:rFonts w:hint="eastAsia" w:ascii="仿宋" w:hAnsi="仿宋" w:eastAsia="仿宋" w:cs="仿宋"/>
          <w:b/>
          <w:color w:val="auto"/>
          <w:sz w:val="36"/>
          <w:szCs w:val="36"/>
          <w:highlight w:val="none"/>
        </w:rPr>
        <w:t xml:space="preserve">JSZC-320690-SZXY-C2026-0028</w:t>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42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2219325</wp:posOffset>
                </wp:positionH>
                <wp:positionV relativeFrom="paragraph">
                  <wp:posOffset>1077595</wp:posOffset>
                </wp:positionV>
                <wp:extent cx="2333625" cy="179006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false;mso-position-horizontal-relative:text;margin-left:174.8pt;mso-position-horizontal:absolute;mso-position-vertical-relative:text;margin-top:84.8pt;mso-position-vertical:absolute;width:183.8pt;height:140.9pt;mso-wrap-distance-left:9.0pt;mso-wrap-distance-top:0.0pt;mso-wrap-distance-right:9.0pt;mso-wrap-distance-bottom:0.0pt;" stroked="f">
                <v:path textboxrect="0,0,0,0"/>
                <w10:wrap type="topAndBottom"/>
                <v:imagedata r:id="rId14" o:title=""/>
              </v:shape>
            </w:pict>
          </mc:Fallback>
        </mc:AlternateContent>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both"/>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592"/>
        <w:spacing w:line="480" w:lineRule="auto"/>
        <w:rPr>
          <w:rFonts w:hint="eastAsia" w:ascii="仿宋" w:hAnsi="仿宋" w:eastAsia="仿宋" w:cs="仿宋"/>
          <w:b w:val="0"/>
          <w:bCs/>
          <w:color w:val="auto"/>
          <w:spacing w:val="-12"/>
          <w:sz w:val="32"/>
          <w:szCs w:val="32"/>
          <w:highlight w:val="none"/>
          <w:lang w:eastAsia="zh-CN"/>
        </w:rPr>
      </w:pPr>
      <w:r>
        <w:rPr>
          <w:rFonts w:hint="eastAsia" w:ascii="仿宋" w:hAnsi="仿宋" w:eastAsia="仿宋" w:cs="仿宋"/>
          <w:b w:val="0"/>
          <w:bCs/>
          <w:color w:val="auto"/>
          <w:spacing w:val="-12"/>
          <w:sz w:val="32"/>
          <w:szCs w:val="32"/>
          <w:highlight w:val="none"/>
        </w:rPr>
        <w:t xml:space="preserve">采购人</w:t>
      </w:r>
      <w:r>
        <w:rPr>
          <w:rFonts w:hint="eastAsia" w:ascii="仿宋" w:hAnsi="仿宋" w:eastAsia="仿宋" w:cs="仿宋"/>
          <w:b w:val="0"/>
          <w:bCs/>
          <w:color w:val="auto"/>
          <w:spacing w:val="-12"/>
          <w:sz w:val="32"/>
          <w:szCs w:val="32"/>
          <w:highlight w:val="none"/>
          <w:lang w:eastAsia="zh-CN"/>
        </w:rPr>
        <w:t xml:space="preserve">：</w:t>
      </w:r>
      <w:r>
        <w:rPr>
          <w:rFonts w:hint="eastAsia" w:ascii="仿宋" w:hAnsi="仿宋" w:eastAsia="仿宋" w:cs="仿宋"/>
          <w:b w:val="0"/>
          <w:bCs/>
          <w:color w:val="auto"/>
          <w:spacing w:val="-12"/>
          <w:sz w:val="32"/>
          <w:szCs w:val="32"/>
          <w:highlight w:val="none"/>
        </w:rPr>
        <w:t xml:space="preserve">江苏航运职业技术学院</w:t>
      </w:r>
      <w:r/>
    </w:p>
    <w:p>
      <w:pPr>
        <w:ind w:firstLine="1184"/>
        <w:spacing w:line="480" w:lineRule="auto"/>
        <w:rPr>
          <w:rFonts w:hint="eastAsia" w:ascii="仿宋" w:hAnsi="仿宋" w:eastAsia="仿宋" w:cs="仿宋"/>
          <w:b w:val="0"/>
          <w:bCs/>
          <w:color w:val="auto"/>
          <w:spacing w:val="-12"/>
          <w:sz w:val="32"/>
          <w:szCs w:val="32"/>
          <w:highlight w:val="none"/>
          <w:lang w:val="en-US" w:eastAsia="zh-CN"/>
        </w:rPr>
      </w:pPr>
      <w:r>
        <w:rPr>
          <w:rFonts w:hint="eastAsia" w:ascii="仿宋" w:hAnsi="仿宋" w:eastAsia="仿宋" w:cs="仿宋"/>
          <w:b w:val="0"/>
          <w:bCs/>
          <w:color w:val="auto"/>
          <w:spacing w:val="-12"/>
          <w:sz w:val="32"/>
          <w:szCs w:val="32"/>
          <w:highlight w:val="none"/>
          <w:lang w:val="en-US" w:eastAsia="zh-CN"/>
        </w:rPr>
        <w:t xml:space="preserve">采购代理机构：苏州新一造价师价格事务所有限公司</w:t>
      </w:r>
      <w:r/>
    </w:p>
    <w:p>
      <w:pPr>
        <w:ind w:left="695" w:firstLine="592"/>
        <w:spacing w:line="480" w:lineRule="auto"/>
        <w:rPr>
          <w:rFonts w:hint="eastAsia" w:ascii="仿宋" w:hAnsi="仿宋" w:eastAsia="仿宋" w:cs="仿宋"/>
          <w:b/>
          <w:color w:val="auto"/>
          <w:sz w:val="44"/>
          <w:szCs w:val="44"/>
          <w:highlight w:val="none"/>
          <w:lang w:eastAsia="zh-CN"/>
        </w:rPr>
      </w:pPr>
      <w:r>
        <w:rPr>
          <w:rFonts w:hint="eastAsia" w:ascii="仿宋" w:hAnsi="仿宋" w:eastAsia="仿宋" w:cs="仿宋"/>
          <w:b w:val="0"/>
          <w:bCs/>
          <w:color w:val="auto"/>
          <w:spacing w:val="-12"/>
          <w:sz w:val="32"/>
          <w:szCs w:val="32"/>
          <w:highlight w:val="none"/>
        </w:rPr>
        <w:t xml:space="preserve">日   </w:t>
      </w:r>
      <w:r>
        <w:rPr>
          <w:rFonts w:hint="eastAsia" w:ascii="仿宋" w:hAnsi="仿宋" w:eastAsia="仿宋" w:cs="仿宋"/>
          <w:b w:val="0"/>
          <w:bCs/>
          <w:color w:val="auto"/>
          <w:spacing w:val="-12"/>
          <w:sz w:val="32"/>
          <w:szCs w:val="32"/>
          <w:highlight w:val="none"/>
          <w:lang w:val="en-US" w:eastAsia="zh-CN"/>
        </w:rPr>
        <w:t xml:space="preserve"> </w:t>
      </w:r>
      <w:r>
        <w:rPr>
          <w:rFonts w:hint="eastAsia" w:ascii="仿宋" w:hAnsi="仿宋" w:eastAsia="仿宋" w:cs="仿宋"/>
          <w:b w:val="0"/>
          <w:bCs/>
          <w:color w:val="auto"/>
          <w:spacing w:val="-12"/>
          <w:sz w:val="32"/>
          <w:szCs w:val="32"/>
          <w:highlight w:val="none"/>
        </w:rPr>
        <w:t xml:space="preserve">   </w:t>
      </w:r>
      <w:r>
        <w:rPr>
          <w:rFonts w:hint="eastAsia" w:ascii="仿宋" w:hAnsi="仿宋" w:eastAsia="仿宋" w:cs="仿宋"/>
          <w:b w:val="0"/>
          <w:bCs/>
          <w:color w:val="auto"/>
          <w:spacing w:val="-12"/>
          <w:sz w:val="32"/>
          <w:szCs w:val="32"/>
          <w:highlight w:val="none"/>
          <w:lang w:val="en-US" w:eastAsia="zh-CN"/>
        </w:rPr>
        <w:t xml:space="preserve"> </w:t>
      </w:r>
      <w:r>
        <w:rPr>
          <w:rFonts w:hint="eastAsia" w:ascii="仿宋" w:hAnsi="仿宋" w:eastAsia="仿宋" w:cs="仿宋"/>
          <w:b w:val="0"/>
          <w:bCs/>
          <w:color w:val="auto"/>
          <w:spacing w:val="-12"/>
          <w:sz w:val="32"/>
          <w:szCs w:val="32"/>
          <w:highlight w:val="none"/>
        </w:rPr>
        <w:t xml:space="preserve">期</w:t>
      </w:r>
      <w:r>
        <w:rPr>
          <w:rFonts w:hint="eastAsia" w:ascii="仿宋" w:hAnsi="仿宋" w:eastAsia="仿宋" w:cs="仿宋"/>
          <w:b w:val="0"/>
          <w:bCs/>
          <w:color w:val="auto"/>
          <w:spacing w:val="-12"/>
          <w:sz w:val="32"/>
          <w:szCs w:val="32"/>
          <w:highlight w:val="none"/>
          <w:lang w:eastAsia="zh-CN"/>
        </w:rPr>
        <w:t xml:space="preserve">：</w:t>
      </w:r>
      <w:r>
        <w:rPr>
          <w:rFonts w:hint="eastAsia" w:ascii="仿宋" w:hAnsi="仿宋" w:eastAsia="仿宋" w:cs="仿宋"/>
          <w:b w:val="0"/>
          <w:bCs/>
          <w:color w:val="auto"/>
          <w:sz w:val="32"/>
          <w:szCs w:val="32"/>
          <w:highlight w:val="none"/>
        </w:rPr>
        <w:t xml:space="preserve">二〇二</w:t>
      </w:r>
      <w:r>
        <w:rPr>
          <w:rFonts w:hint="eastAsia" w:ascii="仿宋" w:hAnsi="仿宋" w:eastAsia="仿宋" w:cs="仿宋"/>
          <w:b w:val="0"/>
          <w:bCs/>
          <w:color w:val="auto"/>
          <w:sz w:val="32"/>
          <w:szCs w:val="32"/>
          <w:highlight w:val="none"/>
          <w:lang w:val="en-US" w:eastAsia="zh-CN"/>
        </w:rPr>
        <w:t xml:space="preserve">六</w:t>
      </w:r>
      <w:r>
        <w:rPr>
          <w:rFonts w:hint="eastAsia" w:ascii="仿宋" w:hAnsi="仿宋" w:eastAsia="仿宋" w:cs="仿宋"/>
          <w:b w:val="0"/>
          <w:bCs/>
          <w:color w:val="auto"/>
          <w:sz w:val="32"/>
          <w:szCs w:val="32"/>
          <w:highlight w:val="none"/>
        </w:rPr>
        <w:t xml:space="preserve">年</w:t>
      </w:r>
      <w:r>
        <w:rPr>
          <w:rFonts w:hint="eastAsia" w:ascii="仿宋" w:hAnsi="仿宋" w:eastAsia="仿宋" w:cs="仿宋"/>
          <w:b w:val="0"/>
          <w:bCs/>
          <w:color w:val="auto"/>
          <w:sz w:val="32"/>
          <w:szCs w:val="32"/>
          <w:highlight w:val="none"/>
          <w:lang w:val="en-US" w:eastAsia="zh-CN"/>
        </w:rPr>
        <w:t xml:space="preserve">七</w:t>
      </w:r>
      <w:r>
        <w:rPr>
          <w:rFonts w:hint="eastAsia" w:ascii="仿宋" w:hAnsi="仿宋" w:eastAsia="仿宋" w:cs="仿宋"/>
          <w:b w:val="0"/>
          <w:bCs/>
          <w:color w:val="auto"/>
          <w:sz w:val="32"/>
          <w:szCs w:val="32"/>
          <w:highlight w:val="none"/>
        </w:rPr>
        <w:t xml:space="preserve">月</w:t>
      </w:r>
      <w:r/>
    </w:p>
    <w:p>
      <w:pPr>
        <w:jc w:val="both"/>
        <w:spacing w:line="360" w:lineRule="auto"/>
        <w:widowControl/>
        <w:rPr>
          <w:rFonts w:hint="eastAsia" w:ascii="仿宋" w:hAnsi="仿宋" w:eastAsia="仿宋" w:cs="仿宋"/>
          <w:b/>
          <w:color w:val="auto"/>
          <w:sz w:val="44"/>
          <w:szCs w:val="44"/>
          <w:highlight w:val="none"/>
        </w:rPr>
      </w:pPr>
      <w:r>
        <mc:AlternateContent>
          <mc:Choice Requires="wpg">
            <w:drawing>
              <wp:inline xmlns:wp="http://schemas.openxmlformats.org/drawingml/2006/wordprocessingDrawing" distT="0" distB="0" distL="0" distR="0">
                <wp:extent cx="6187440" cy="7883525"/>
                <wp:effectExtent l="0" t="0" r="8890" b="762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6187440" cy="7883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7.2pt;height:620.8pt;mso-wrap-distance-left:0.0pt;mso-wrap-distance-top:0.0pt;mso-wrap-distance-right:0.0pt;mso-wrap-distance-bottom:0.0pt;" stroked="f">
                <v:path textboxrect="0,0,0,0"/>
                <v:imagedata r:id="rId15" o:title=""/>
              </v:shape>
            </w:pict>
          </mc:Fallback>
        </mc:AlternateContent>
      </w:r>
      <w:r/>
    </w:p>
    <w:p>
      <w:pPr>
        <w:jc w:val="both"/>
        <w:spacing w:line="360" w:lineRule="auto"/>
        <w:widowControl/>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360" w:lineRule="auto"/>
        <w:widowControl/>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目 </w:t>
      </w:r>
      <w:r>
        <w:rPr>
          <w:rFonts w:hint="eastAsia" w:ascii="仿宋" w:hAnsi="仿宋" w:eastAsia="仿宋" w:cs="仿宋"/>
          <w:b/>
          <w:color w:val="auto"/>
          <w:sz w:val="44"/>
          <w:szCs w:val="44"/>
          <w:highlight w:val="none"/>
          <w:lang w:val="en-US" w:eastAsia="zh-CN"/>
        </w:rPr>
        <w:t xml:space="preserve"> </w:t>
      </w:r>
      <w:r>
        <w:rPr>
          <w:rFonts w:hint="eastAsia" w:ascii="仿宋" w:hAnsi="仿宋" w:eastAsia="仿宋" w:cs="仿宋"/>
          <w:b/>
          <w:color w:val="auto"/>
          <w:sz w:val="44"/>
          <w:szCs w:val="44"/>
          <w:highlight w:val="none"/>
        </w:rPr>
        <w:t xml:space="preserve"> 录</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第一章  竞争性磋商公告</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第二章  磋商须知</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第三章  项目需求</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第四章  评审方法和评审标准</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第五章  响应文件组成</w:t>
      </w:r>
      <w:r/>
    </w:p>
    <w:p>
      <w:pPr>
        <w:ind w:left="695" w:firstLine="420"/>
        <w:spacing w:line="360" w:lineRule="auto"/>
        <w:rPr>
          <w:rFonts w:hint="eastAsia" w:ascii="仿宋" w:hAnsi="仿宋" w:eastAsia="仿宋" w:cs="仿宋"/>
          <w:b/>
          <w:color w:val="auto"/>
          <w:sz w:val="22"/>
          <w:szCs w:val="22"/>
          <w:highlight w:val="none"/>
        </w:rPr>
      </w:pPr>
      <w:r>
        <w:rPr>
          <w:rFonts w:hint="eastAsia" w:ascii="仿宋" w:hAnsi="仿宋" w:eastAsia="仿宋" w:cs="仿宋"/>
          <w:color w:val="auto"/>
          <w:szCs w:val="44"/>
          <w:highlight w:val="none"/>
        </w:rPr>
        <w:br w:type="page" w:clear="all"/>
      </w:r>
      <w:r>
        <w:rPr>
          <w:rFonts w:hint="eastAsia" w:ascii="仿宋" w:hAnsi="仿宋" w:eastAsia="仿宋" w:cs="仿宋"/>
          <w:b/>
          <w:color w:val="auto"/>
          <w:sz w:val="22"/>
          <w:szCs w:val="22"/>
          <w:highlight w:val="none"/>
        </w:rPr>
        <w:t xml:space="preserve">尊敬的供应商：</w:t>
      </w:r>
      <w:r/>
    </w:p>
    <w:p>
      <w:pPr>
        <w:pStyle w:val="772"/>
        <w:ind w:left="695" w:firstLine="442"/>
        <w:jc w:val="left"/>
        <w:keepLines w:val="0"/>
        <w:keepNext w:val="0"/>
        <w:spacing w:before="0" w:after="0" w:line="360" w:lineRule="auto"/>
        <w:rPr>
          <w:rFonts w:hint="eastAsia" w:ascii="仿宋" w:hAnsi="仿宋" w:eastAsia="仿宋" w:cs="仿宋"/>
          <w:color w:val="auto"/>
          <w:szCs w:val="44"/>
          <w:highlight w:val="none"/>
        </w:rPr>
      </w:pPr>
      <w:r>
        <w:rPr>
          <w:rFonts w:hint="eastAsia" w:ascii="仿宋" w:hAnsi="仿宋" w:eastAsia="仿宋" w:cs="仿宋"/>
          <w:color w:val="auto"/>
          <w:sz w:val="22"/>
          <w:szCs w:val="22"/>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772"/>
        <w:ind w:left="695" w:firstLine="2570"/>
        <w:keepLines w:val="0"/>
        <w:keepNext w:val="0"/>
        <w:spacing w:before="0" w:after="0" w:line="800" w:lineRule="exact"/>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第一章 </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 xml:space="preserve">竞争性磋商公告</w:t>
      </w:r>
      <w:r>
        <w:rPr>
          <w:rFonts w:hint="eastAsia" w:ascii="仿宋" w:hAnsi="仿宋" w:eastAsia="仿宋" w:cs="仿宋"/>
          <w:color w:val="auto"/>
          <w:sz w:val="32"/>
          <w:szCs w:val="32"/>
          <w:highlight w:val="none"/>
          <w:lang w:eastAsia="zh-CN"/>
        </w:rPr>
        <w:t xml:space="preserve">（</w:t>
      </w:r>
      <w:r>
        <w:rPr>
          <w:rFonts w:hint="eastAsia" w:ascii="仿宋" w:hAnsi="仿宋" w:eastAsia="仿宋" w:cs="仿宋"/>
          <w:color w:val="auto"/>
          <w:sz w:val="32"/>
          <w:szCs w:val="32"/>
          <w:highlight w:val="none"/>
          <w:lang w:val="en-US" w:eastAsia="zh-CN"/>
        </w:rPr>
        <w:t xml:space="preserve">第三次</w:t>
      </w:r>
      <w:r>
        <w:rPr>
          <w:rFonts w:hint="eastAsia" w:ascii="仿宋" w:hAnsi="仿宋" w:eastAsia="仿宋" w:cs="仿宋"/>
          <w:color w:val="auto"/>
          <w:sz w:val="32"/>
          <w:szCs w:val="32"/>
          <w:highlight w:val="none"/>
          <w:lang w:eastAsia="zh-CN"/>
        </w:rPr>
        <w:t xml:space="preserve">）</w:t>
      </w:r>
      <w:r/>
    </w:p>
    <w:p>
      <w:pPr>
        <w:ind w:left="695" w:firstLine="480"/>
        <w:spacing w:line="460" w:lineRule="exact"/>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项目概况</w:t>
      </w:r>
      <w:r/>
    </w:p>
    <w:p>
      <w:pPr>
        <w:ind w:left="695" w:firstLine="480"/>
        <w:spacing w:line="460" w:lineRule="exact"/>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u w:val="single"/>
          <w:lang w:eastAsia="zh-CN"/>
        </w:rPr>
        <w:t xml:space="preserve">江苏航运职业技术学院2026年-2029年校本教材出版服务采购项目（</w:t>
      </w:r>
      <w:r>
        <w:rPr>
          <w:rFonts w:hint="eastAsia" w:ascii="仿宋" w:hAnsi="仿宋" w:eastAsia="仿宋" w:cs="仿宋"/>
          <w:color w:val="auto"/>
          <w:sz w:val="24"/>
          <w:szCs w:val="24"/>
          <w:highlight w:val="none"/>
          <w:u w:val="single"/>
          <w:lang w:val="en-US" w:eastAsia="zh-CN"/>
        </w:rPr>
        <w:t xml:space="preserve">第三次</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江苏政府采购网-苏采云系统内免费下载磋商文件</w:t>
      </w:r>
      <w:r>
        <w:rPr>
          <w:rFonts w:hint="eastAsia" w:ascii="仿宋" w:hAnsi="仿宋" w:eastAsia="仿宋" w:cs="仿宋"/>
          <w:color w:val="auto"/>
          <w:sz w:val="24"/>
          <w:szCs w:val="24"/>
          <w:highlight w:val="none"/>
        </w:rPr>
        <w:t xml:space="preserve">，并于</w:t>
      </w:r>
      <w:r>
        <w:rPr>
          <w:rFonts w:hint="eastAsia" w:ascii="仿宋" w:hAnsi="仿宋" w:eastAsia="仿宋" w:cs="仿宋"/>
          <w:color w:val="auto"/>
          <w:sz w:val="24"/>
          <w:szCs w:val="24"/>
          <w:highlight w:val="none"/>
          <w:u w:val="single"/>
          <w:lang w:eastAsia="zh-CN"/>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lang w:eastAsia="zh-CN"/>
        </w:rPr>
        <w:t xml:space="preserve">年</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日</w:t>
      </w:r>
      <w:r>
        <w:rPr>
          <w:rFonts w:hint="eastAsia" w:ascii="仿宋" w:hAnsi="仿宋" w:eastAsia="仿宋" w:cs="仿宋"/>
          <w:color w:val="auto"/>
          <w:sz w:val="24"/>
          <w:szCs w:val="24"/>
          <w:highlight w:val="none"/>
          <w:u w:val="single"/>
          <w:lang w:val="en-US" w:eastAsia="zh-CN"/>
        </w:rPr>
        <w:t xml:space="preserve">9</w:t>
      </w:r>
      <w:r>
        <w:rPr>
          <w:rFonts w:hint="eastAsia" w:ascii="仿宋" w:hAnsi="仿宋" w:eastAsia="仿宋" w:cs="仿宋"/>
          <w:color w:val="auto"/>
          <w:sz w:val="24"/>
          <w:szCs w:val="24"/>
          <w:highlight w:val="none"/>
          <w:u w:val="single"/>
        </w:rPr>
        <w:t xml:space="preserve">时</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pStyle w:val="773"/>
        <w:ind w:left="695" w:firstLine="482"/>
        <w:pageBreakBefore w:val="0"/>
        <w:spacing w:before="0" w:after="0" w:line="360" w:lineRule="auto"/>
        <w:rPr>
          <w:rFonts w:hint="eastAsia" w:ascii="仿宋" w:hAnsi="仿宋" w:eastAsia="仿宋" w:cs="仿宋"/>
          <w:color w:val="auto"/>
          <w:sz w:val="24"/>
          <w:szCs w:val="24"/>
          <w:highlight w:val="none"/>
        </w:rPr>
      </w:pPr>
      <w:r/>
      <w:bookmarkStart w:id="0" w:name="_Toc35393629"/>
      <w:r/>
      <w:bookmarkStart w:id="1" w:name="_Toc28359089"/>
      <w:r/>
      <w:bookmarkStart w:id="2" w:name="_Toc28359012"/>
      <w:r/>
      <w:bookmarkStart w:id="3" w:name="_Toc35393798"/>
      <w:r>
        <w:rPr>
          <w:rFonts w:hint="eastAsia" w:ascii="仿宋" w:hAnsi="仿宋" w:eastAsia="仿宋" w:cs="仿宋"/>
          <w:color w:val="auto"/>
          <w:sz w:val="24"/>
          <w:szCs w:val="24"/>
          <w:highlight w:val="none"/>
        </w:rPr>
        <w:t xml:space="preserve">一、项目基本情况</w:t>
      </w:r>
      <w:bookmarkEnd w:id="0"/>
      <w:r/>
      <w:bookmarkEnd w:id="1"/>
      <w:r/>
      <w:bookmarkEnd w:id="2"/>
      <w:r/>
      <w:bookmarkEnd w:id="3"/>
      <w:r/>
      <w:r/>
    </w:p>
    <w:p>
      <w:pPr>
        <w:numPr>
          <w:ilvl w:val="0"/>
          <w:numId w:val="0"/>
        </w:numPr>
        <w:ind w:left="695" w:firstLine="480"/>
        <w:pageBreakBefore w:val="0"/>
        <w:spacing w:line="360" w:lineRule="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项目编号：</w:t>
      </w:r>
      <w:r>
        <w:rPr>
          <w:rFonts w:hint="eastAsia" w:ascii="仿宋" w:hAnsi="仿宋" w:eastAsia="仿宋" w:cs="仿宋"/>
          <w:b w:val="0"/>
          <w:bCs w:val="0"/>
          <w:color w:val="auto"/>
          <w:sz w:val="24"/>
          <w:szCs w:val="24"/>
          <w:highlight w:val="none"/>
          <w:lang w:val="en-US" w:eastAsia="zh-CN" w:bidi="ar-SA"/>
        </w:rPr>
        <w:t xml:space="preserve">JSZC-320690-SZXY-C2026-0028</w:t>
      </w:r>
      <w:r/>
    </w:p>
    <w:p>
      <w:pPr>
        <w:pStyle w:val="773"/>
        <w:numPr>
          <w:ilvl w:val="0"/>
          <w:numId w:val="0"/>
        </w:numPr>
        <w:ind w:left="697" w:firstLine="480"/>
        <w:keepLines/>
        <w:keepNext/>
        <w:pageBreakBefore w:val="0"/>
        <w:spacing w:before="0" w:after="0"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rPr>
        <w:t xml:space="preserve">项目名称：</w:t>
      </w:r>
      <w:bookmarkStart w:id="4" w:name="_Toc35393799"/>
      <w:r/>
      <w:bookmarkStart w:id="5" w:name="_Toc35393630"/>
      <w:r/>
      <w:bookmarkStart w:id="6" w:name="_Toc28359090"/>
      <w:r/>
      <w:bookmarkStart w:id="7" w:name="_Toc28359013"/>
      <w:r>
        <w:rPr>
          <w:rFonts w:hint="eastAsia" w:ascii="仿宋" w:hAnsi="仿宋" w:eastAsia="仿宋" w:cs="仿宋"/>
          <w:b w:val="0"/>
          <w:bCs w:val="0"/>
          <w:color w:val="auto"/>
          <w:sz w:val="24"/>
          <w:szCs w:val="24"/>
          <w:highlight w:val="none"/>
          <w:lang w:eastAsia="zh-CN"/>
        </w:rPr>
        <w:t xml:space="preserve">江苏航运职业技术学院2026年-2029年校本教材出版服务采购项目（</w:t>
      </w:r>
      <w:r>
        <w:rPr>
          <w:rFonts w:hint="eastAsia" w:ascii="仿宋" w:hAnsi="仿宋" w:eastAsia="仿宋" w:cs="仿宋"/>
          <w:b w:val="0"/>
          <w:bCs w:val="0"/>
          <w:color w:val="auto"/>
          <w:sz w:val="24"/>
          <w:szCs w:val="24"/>
          <w:highlight w:val="none"/>
          <w:lang w:val="en-US" w:eastAsia="zh-CN"/>
        </w:rPr>
        <w:t xml:space="preserve">第三次</w:t>
      </w:r>
      <w:r>
        <w:rPr>
          <w:rFonts w:hint="eastAsia" w:ascii="仿宋" w:hAnsi="仿宋" w:eastAsia="仿宋" w:cs="仿宋"/>
          <w:b w:val="0"/>
          <w:bCs w:val="0"/>
          <w:color w:val="auto"/>
          <w:sz w:val="24"/>
          <w:szCs w:val="24"/>
          <w:highlight w:val="none"/>
          <w:lang w:eastAsia="zh-CN"/>
        </w:rPr>
        <w:t xml:space="preserve">）</w:t>
      </w:r>
      <w:bookmarkStart w:id="290" w:name="_GoBack"/>
      <w:r/>
      <w:bookmarkEnd w:id="290"/>
      <w:r/>
      <w:r/>
    </w:p>
    <w:p>
      <w:pPr>
        <w:pStyle w:val="773"/>
        <w:numPr>
          <w:ilvl w:val="0"/>
          <w:numId w:val="0"/>
        </w:numPr>
        <w:ind w:left="697" w:firstLine="480"/>
        <w:keepLines/>
        <w:keepNext/>
        <w:pageBreakBefore w:val="0"/>
        <w:spacing w:before="0" w:after="0"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bidi="ar-SA"/>
        </w:rPr>
        <w:t xml:space="preserve">3.</w:t>
      </w:r>
      <w:r>
        <w:rPr>
          <w:rFonts w:hint="eastAsia" w:ascii="仿宋" w:hAnsi="仿宋" w:eastAsia="仿宋" w:cs="仿宋"/>
          <w:b w:val="0"/>
          <w:bCs w:val="0"/>
          <w:color w:val="auto"/>
          <w:sz w:val="24"/>
          <w:szCs w:val="24"/>
          <w:highlight w:val="none"/>
        </w:rPr>
        <w:t xml:space="preserve">采购方式：竞争性磋商</w:t>
      </w:r>
      <w:r/>
    </w:p>
    <w:p>
      <w:pPr>
        <w:pStyle w:val="773"/>
        <w:numPr>
          <w:ilvl w:val="0"/>
          <w:numId w:val="0"/>
        </w:numPr>
        <w:ind w:left="695" w:firstLine="480"/>
        <w:pageBreakBefore w:val="0"/>
        <w:spacing w:before="0" w:after="0"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rPr>
        <w:t xml:space="preserve">项目类型：服务</w:t>
      </w:r>
      <w:r/>
    </w:p>
    <w:p>
      <w:pPr>
        <w:pStyle w:val="773"/>
        <w:numPr>
          <w:ilvl w:val="0"/>
          <w:numId w:val="0"/>
        </w:numPr>
        <w:ind w:left="695" w:firstLine="480"/>
        <w:pageBreakBefore w:val="0"/>
        <w:spacing w:before="0" w:after="0"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rPr>
          <w:rFonts w:hint="eastAsia" w:ascii="仿宋" w:hAnsi="仿宋" w:eastAsia="仿宋" w:cs="仿宋"/>
          <w:b w:val="0"/>
          <w:bCs w:val="0"/>
          <w:color w:val="auto"/>
          <w:sz w:val="24"/>
          <w:szCs w:val="24"/>
          <w:highlight w:val="none"/>
        </w:rPr>
        <w:t xml:space="preserve">所属行业：</w:t>
      </w:r>
      <w:r>
        <w:rPr>
          <w:rFonts w:hint="eastAsia" w:ascii="仿宋" w:hAnsi="仿宋" w:eastAsia="仿宋" w:cs="仿宋"/>
          <w:b w:val="0"/>
          <w:bCs w:val="0"/>
          <w:color w:val="auto"/>
          <w:sz w:val="24"/>
          <w:szCs w:val="24"/>
          <w:highlight w:val="none"/>
          <w:lang w:val="en-US" w:eastAsia="zh-CN" w:bidi="ar-SA"/>
        </w:rPr>
        <w:t xml:space="preserve">其他未列明行业</w:t>
      </w:r>
      <w:r/>
    </w:p>
    <w:p>
      <w:pPr>
        <w:ind w:left="695" w:firstLine="48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.包件划分：1个包件</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.预算金额：</w:t>
      </w:r>
      <w:r>
        <w:rPr>
          <w:rFonts w:hint="eastAsia" w:ascii="仿宋" w:hAnsi="仿宋" w:eastAsia="仿宋" w:cs="仿宋"/>
          <w:b w:val="0"/>
          <w:bCs w:val="0"/>
          <w:color w:val="auto"/>
          <w:sz w:val="24"/>
          <w:szCs w:val="24"/>
          <w:highlight w:val="none"/>
          <w:lang w:val="en-US" w:eastAsia="zh-CN"/>
        </w:rPr>
        <w:t xml:space="preserve">240万元，预计3年合计。</w:t>
      </w:r>
      <w:r/>
    </w:p>
    <w:p>
      <w:pPr>
        <w:pStyle w:val="773"/>
        <w:ind w:left="695" w:firstLine="480"/>
        <w:pageBreakBefore w:val="0"/>
        <w:spacing w:before="0" w:after="0"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rPr>
        <w:t xml:space="preserve">.最高限价：</w:t>
      </w:r>
      <w:r>
        <w:rPr>
          <w:rFonts w:hint="eastAsia" w:ascii="仿宋" w:hAnsi="仿宋" w:eastAsia="仿宋" w:cs="仿宋"/>
          <w:b w:val="0"/>
          <w:bCs w:val="0"/>
          <w:color w:val="auto"/>
          <w:sz w:val="24"/>
          <w:szCs w:val="24"/>
          <w:highlight w:val="none"/>
          <w:lang w:val="en-US" w:eastAsia="zh-CN"/>
        </w:rPr>
        <w:t xml:space="preserve">4.5万元/部，响应报价超过最高限价的为无效响应。</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.采购需求：教材出版服务项目，具体详见</w:t>
      </w:r>
      <w:r>
        <w:rPr>
          <w:rFonts w:hint="eastAsia" w:ascii="仿宋" w:hAnsi="仿宋" w:eastAsia="仿宋" w:cs="仿宋"/>
          <w:b w:val="0"/>
          <w:bCs w:val="0"/>
          <w:color w:val="auto"/>
          <w:sz w:val="24"/>
          <w:szCs w:val="24"/>
          <w:highlight w:val="none"/>
          <w:lang w:eastAsia="zh-CN"/>
        </w:rPr>
        <w:t xml:space="preserve">竞争性磋商文件</w:t>
      </w:r>
      <w:r>
        <w:rPr>
          <w:rFonts w:hint="eastAsia" w:ascii="仿宋" w:hAnsi="仿宋" w:eastAsia="仿宋" w:cs="仿宋"/>
          <w:b w:val="0"/>
          <w:bCs w:val="0"/>
          <w:color w:val="auto"/>
          <w:sz w:val="24"/>
          <w:szCs w:val="24"/>
          <w:highlight w:val="none"/>
        </w:rPr>
        <w:t xml:space="preserve">第三章项目需求。</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10.合同履行期限：</w:t>
      </w:r>
      <w:r>
        <w:rPr>
          <w:rFonts w:hint="eastAsia" w:ascii="仿宋" w:hAnsi="仿宋" w:eastAsia="仿宋" w:cs="仿宋"/>
          <w:b w:val="0"/>
          <w:bCs w:val="0"/>
          <w:color w:val="auto"/>
          <w:sz w:val="24"/>
          <w:szCs w:val="24"/>
          <w:highlight w:val="none"/>
          <w:lang w:val="en-US" w:eastAsia="zh-CN" w:bidi="ar-SA"/>
        </w:rPr>
        <w:t xml:space="preserve">合同签订之日起三年，具体详见第三部分项目需求。</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rPr>
        <w:t xml:space="preserve">.本项目是否接受联合体：</w:t>
      </w:r>
      <w:r>
        <w:rPr>
          <w:rFonts w:hint="eastAsia" w:ascii="仿宋" w:hAnsi="仿宋" w:eastAsia="仿宋" w:cs="仿宋"/>
          <w:b w:val="0"/>
          <w:bCs w:val="0"/>
          <w:color w:val="auto"/>
          <w:sz w:val="24"/>
          <w:szCs w:val="24"/>
          <w:highlight w:val="none"/>
          <w:lang w:val="en-US" w:eastAsia="zh-CN"/>
        </w:rPr>
        <w:t xml:space="preserve">不接</w:t>
      </w:r>
      <w:r>
        <w:rPr>
          <w:rFonts w:hint="eastAsia" w:ascii="仿宋" w:hAnsi="仿宋" w:eastAsia="仿宋" w:cs="仿宋"/>
          <w:b w:val="0"/>
          <w:bCs w:val="0"/>
          <w:color w:val="auto"/>
          <w:sz w:val="24"/>
          <w:szCs w:val="24"/>
          <w:highlight w:val="none"/>
        </w:rPr>
        <w:t xml:space="preserve">受。</w:t>
      </w:r>
      <w:r/>
    </w:p>
    <w:p>
      <w:pPr>
        <w:ind w:left="695" w:firstLine="48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.本项目不接受分包</w:t>
      </w:r>
      <w:r>
        <w:rPr>
          <w:rFonts w:hint="eastAsia" w:ascii="仿宋" w:hAnsi="仿宋" w:eastAsia="仿宋" w:cs="仿宋"/>
          <w:color w:val="auto"/>
          <w:sz w:val="24"/>
          <w:szCs w:val="24"/>
          <w:highlight w:val="none"/>
          <w:lang w:val="en-US" w:eastAsia="zh-CN"/>
        </w:rPr>
        <w:t xml:space="preserve">或转包</w:t>
      </w:r>
      <w:r>
        <w:rPr>
          <w:rFonts w:hint="eastAsia" w:ascii="仿宋" w:hAnsi="仿宋" w:eastAsia="仿宋" w:cs="仿宋"/>
          <w:color w:val="auto"/>
          <w:sz w:val="24"/>
          <w:szCs w:val="24"/>
          <w:highlight w:val="none"/>
        </w:rPr>
        <w:t xml:space="preserve">。</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w:t>
      </w:r>
      <w:bookmarkEnd w:id="4"/>
      <w:r/>
      <w:bookmarkEnd w:id="5"/>
      <w:r/>
      <w:bookmarkEnd w:id="6"/>
      <w:r/>
      <w:bookmarkEnd w:id="7"/>
      <w:r>
        <w:rPr>
          <w:rFonts w:hint="eastAsia" w:ascii="仿宋" w:hAnsi="仿宋" w:eastAsia="仿宋" w:cs="仿宋"/>
          <w:color w:val="auto"/>
          <w:sz w:val="24"/>
          <w:szCs w:val="24"/>
          <w:highlight w:val="none"/>
        </w:rPr>
        <w:t xml:space="preserve">申请人的资格要求</w:t>
      </w:r>
      <w:r/>
    </w:p>
    <w:p>
      <w:pPr>
        <w:ind w:left="695" w:firstLine="480"/>
        <w:spacing w:line="480" w:lineRule="exact"/>
        <w:rPr>
          <w:rFonts w:hint="eastAsia" w:ascii="仿宋" w:hAnsi="仿宋" w:eastAsia="仿宋" w:cs="仿宋"/>
          <w:color w:val="auto"/>
          <w:sz w:val="24"/>
          <w:szCs w:val="24"/>
          <w:highlight w:val="none"/>
        </w:rPr>
      </w:pPr>
      <w:r/>
      <w:bookmarkStart w:id="8" w:name="_Toc35393801"/>
      <w:r/>
      <w:bookmarkStart w:id="9" w:name="_Toc35393632"/>
      <w:r/>
      <w:bookmarkStart w:id="10" w:name="_Toc28359015"/>
      <w:r/>
      <w:bookmarkStart w:id="11" w:name="_Toc28359092"/>
      <w:r>
        <w:rPr>
          <w:rFonts w:hint="eastAsia" w:ascii="仿宋" w:hAnsi="仿宋" w:eastAsia="仿宋" w:cs="仿宋"/>
          <w:color w:val="auto"/>
          <w:sz w:val="24"/>
          <w:szCs w:val="24"/>
          <w:highlight w:val="none"/>
        </w:rPr>
        <w:t xml:space="preserve">1.满足《中华人民共和国政府采购法》第二十二条规定。</w:t>
      </w:r>
      <w:r/>
    </w:p>
    <w:p>
      <w:pPr>
        <w:ind w:left="695" w:firstLine="482"/>
        <w:spacing w:line="4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2.</w:t>
      </w:r>
      <w:bookmarkStart w:id="12" w:name="OLE_LINK22"/>
      <w:r>
        <w:rPr>
          <w:rFonts w:hint="eastAsia" w:ascii="仿宋" w:hAnsi="仿宋" w:eastAsia="仿宋" w:cs="仿宋"/>
          <w:b/>
          <w:bCs/>
          <w:color w:val="auto"/>
          <w:sz w:val="24"/>
          <w:szCs w:val="24"/>
          <w:highlight w:val="none"/>
        </w:rPr>
        <w:t xml:space="preserve">落实政府采购政策需满足的资格要求：</w:t>
      </w:r>
      <w:r>
        <w:rPr>
          <w:rFonts w:hint="eastAsia" w:ascii="仿宋" w:hAnsi="仿宋" w:eastAsia="仿宋" w:cs="仿宋"/>
          <w:b/>
          <w:bCs/>
          <w:color w:val="auto"/>
          <w:sz w:val="24"/>
          <w:szCs w:val="24"/>
          <w:highlight w:val="none"/>
          <w:lang w:val="en-US" w:eastAsia="zh-CN"/>
        </w:rPr>
        <w:t xml:space="preserve">本项目为专门面向中小微企业采购项目（须按照财库〔2020〕46号文要求提供中小企业声明函，格式见附件）</w:t>
      </w:r>
      <w:r/>
    </w:p>
    <w:p>
      <w:pPr>
        <w:ind w:left="695" w:firstLine="480"/>
        <w:spacing w:line="480" w:lineRule="exact"/>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本项目采购标的对应的中小企业划分标准所属行业为</w:t>
      </w:r>
      <w:r>
        <w:rPr>
          <w:rFonts w:hint="eastAsia" w:ascii="仿宋" w:hAnsi="仿宋" w:eastAsia="仿宋" w:cs="仿宋"/>
          <w:b/>
          <w:bCs/>
          <w:color w:val="auto"/>
          <w:sz w:val="24"/>
          <w:szCs w:val="24"/>
          <w:highlight w:val="none"/>
          <w:u w:val="single"/>
          <w:lang w:val="en-US" w:eastAsia="zh-CN"/>
        </w:rPr>
        <w:t xml:space="preserve">其他未列明行业</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b/>
          <w:bCs/>
          <w:color w:val="auto"/>
          <w:sz w:val="24"/>
          <w:szCs w:val="24"/>
          <w:highlight w:val="none"/>
          <w:u w:val="single"/>
          <w:lang w:val="en-US" w:eastAsia="zh-CN"/>
        </w:rPr>
        <w:t xml:space="preserve">从业人员300人以下的为中小微型企业。其中，从业人员100人及以上的为中型企业；从业人员10人及以上的为小型企业；从业人员10人以下的为微型企业。</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注明：（1）中小企业应当按照财库（2020）46号文《政府采购促进中小企业发展管理办法》和“工信部联企业〔2011〕300号通知中的《中小企业划型标准规定》为准。如实填写并提交《中小企业声明函》。</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（2）残疾人福利性单位按照《关于促进残疾人就业政府采购政策的通知》（财库〔2017〕141号）有关规定执行。</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（3）监狱企业按照《关于政府采购支持监狱企业发展有关问题的通知》（财库【2014】68号）有关规定执行。</w:t>
      </w:r>
      <w:r/>
    </w:p>
    <w:p>
      <w:pPr>
        <w:ind w:left="695" w:firstLine="482"/>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备注：本项目专门面向中小企业，不享受价格扣除优惠政策。</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以上未尽之处详见第四章资格审查。</w:t>
      </w:r>
      <w:bookmarkEnd w:id="12"/>
      <w:r/>
      <w:r/>
    </w:p>
    <w:p>
      <w:pPr>
        <w:ind w:left="695"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3.法定代表人参加</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的，必须提供法人身份证明原件及本人身份证原件扫描件；非法定代表人参加的，必须提供法定代表人签名或盖章的授权委托书原件及被委托授权人身份证原件扫描件和法定代表人的身份证原件扫描件；</w:t>
      </w:r>
      <w:r/>
    </w:p>
    <w:p>
      <w:pPr>
        <w:ind w:left="695" w:firstLine="480"/>
        <w:spacing w:line="4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4.</w:t>
      </w:r>
      <w:r>
        <w:rPr>
          <w:rFonts w:hint="eastAsia" w:ascii="仿宋" w:hAnsi="仿宋" w:eastAsia="仿宋" w:cs="仿宋"/>
          <w:bCs/>
          <w:color w:val="auto"/>
          <w:sz w:val="24"/>
          <w:szCs w:val="24"/>
          <w:highlight w:val="none"/>
          <w:lang w:val="en-US" w:eastAsia="zh-CN"/>
        </w:rPr>
        <w:t xml:space="preserve">供应商未被“信用中国”网站列入失信被执行人或重大税收违法案件当事人名单或政府采购严重失信行为记录名单，或查询“信用中国”网站后发现响应供应商不存在其他不符合资格条件规定的信用记录的。</w:t>
      </w:r>
      <w:r/>
    </w:p>
    <w:p>
      <w:pPr>
        <w:ind w:left="695" w:firstLine="480"/>
        <w:spacing w:line="4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5.本项目的特定资格要求：供应商持有有效的</w:t>
      </w:r>
      <w:r>
        <w:rPr>
          <w:rFonts w:hint="eastAsia" w:ascii="仿宋" w:hAnsi="仿宋" w:eastAsia="仿宋" w:cs="仿宋"/>
          <w:b/>
          <w:bCs w:val="0"/>
          <w:color w:val="auto"/>
          <w:sz w:val="24"/>
          <w:szCs w:val="24"/>
          <w:highlight w:val="none"/>
          <w:lang w:val="en-US" w:eastAsia="zh-CN"/>
        </w:rPr>
        <w:t xml:space="preserve">《中华人民共和国出版物经营许可证》</w:t>
      </w:r>
      <w:r>
        <w:rPr>
          <w:rFonts w:hint="eastAsia" w:ascii="仿宋" w:hAnsi="仿宋" w:eastAsia="仿宋" w:cs="仿宋"/>
          <w:bCs/>
          <w:color w:val="auto"/>
          <w:sz w:val="24"/>
          <w:szCs w:val="24"/>
          <w:highlight w:val="none"/>
          <w:lang w:val="en-US" w:eastAsia="zh-CN"/>
        </w:rPr>
        <w:t xml:space="preserve">。</w:t>
      </w:r>
      <w:r/>
    </w:p>
    <w:p>
      <w:pPr>
        <w:ind w:left="695" w:firstLine="440"/>
        <w:spacing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2"/>
          <w:szCs w:val="22"/>
          <w:highlight w:val="none"/>
          <w:lang w:val="en-US" w:eastAsia="zh-CN" w:bidi="ar"/>
        </w:rPr>
        <w:t xml:space="preserve">6.</w:t>
      </w:r>
      <w:r>
        <w:rPr>
          <w:rFonts w:hint="eastAsia" w:ascii="仿宋" w:hAnsi="仿宋" w:eastAsia="仿宋" w:cs="仿宋"/>
          <w:color w:val="auto"/>
          <w:sz w:val="24"/>
          <w:szCs w:val="24"/>
          <w:highlight w:val="none"/>
          <w:shd w:val="clear" w:color="auto" w:fill="ffffff"/>
        </w:rPr>
        <w:t xml:space="preserve">符合法律、法规规定的其他条件。</w:t>
      </w:r>
      <w:r/>
    </w:p>
    <w:p>
      <w:pPr>
        <w:ind w:left="695" w:firstLine="480"/>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别提醒】单位负责人为同一人或者存在直接控股、管理关系的不同供应商，不得参加同一合同项下的采购活动，法定代表人为同一人的以上法人，母公司、全资子公司及其控股公司，都不得参加同一合同项目的采购活动。</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三、获取采购文件</w:t>
      </w:r>
      <w:r/>
    </w:p>
    <w:p>
      <w:pPr>
        <w:ind w:left="695" w:firstLine="480"/>
        <w:jc w:val="left"/>
        <w:spacing w:line="460" w:lineRule="exact"/>
        <w:widowControl/>
        <w:rPr>
          <w:rStyle w:val="998"/>
          <w:rFonts w:hint="eastAsia" w:ascii="仿宋" w:hAnsi="仿宋" w:eastAsia="仿宋" w:cs="仿宋"/>
          <w:bCs/>
          <w:color w:val="auto"/>
          <w:sz w:val="24"/>
          <w:szCs w:val="24"/>
          <w:highlight w:val="none"/>
          <w:lang w:val="en-US" w:eastAsia="zh-CN"/>
        </w:rPr>
      </w:pPr>
      <w:r>
        <w:rPr>
          <w:rStyle w:val="998"/>
          <w:rFonts w:hint="eastAsia" w:ascii="仿宋" w:hAnsi="仿宋" w:eastAsia="仿宋" w:cs="仿宋"/>
          <w:bCs/>
          <w:color w:val="auto"/>
          <w:sz w:val="24"/>
          <w:szCs w:val="24"/>
          <w:highlight w:val="none"/>
        </w:rPr>
        <w:t xml:space="preserve">1.时间：</w:t>
      </w:r>
      <w:r>
        <w:rPr>
          <w:rStyle w:val="998"/>
          <w:rFonts w:hint="eastAsia" w:ascii="仿宋" w:hAnsi="仿宋" w:eastAsia="仿宋" w:cs="仿宋"/>
          <w:bCs/>
          <w:color w:val="auto"/>
          <w:sz w:val="24"/>
          <w:szCs w:val="24"/>
          <w:highlight w:val="none"/>
          <w:lang w:val="en-US" w:eastAsia="zh-CN"/>
        </w:rPr>
        <w:t xml:space="preserve">自磋商公告及磋商文件发布之日起5个工作日；</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2.地点：网上注册登记成功后系统内免费下载</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3.获取方式：本项目采用网上注册登记方式。</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3.1潜在供应商访问电子招标响应交易平台的网络地址和方法：</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695" w:firstLine="480"/>
        <w:jc w:val="left"/>
        <w:spacing w:line="460" w:lineRule="exact"/>
        <w:widowControl/>
        <w:rPr>
          <w:rStyle w:val="998"/>
          <w:rFonts w:hint="eastAsia" w:ascii="仿宋" w:hAnsi="仿宋" w:eastAsia="仿宋" w:cs="仿宋"/>
          <w:bCs/>
          <w:color w:val="auto"/>
          <w:sz w:val="24"/>
          <w:szCs w:val="24"/>
          <w:highlight w:val="none"/>
          <w:lang w:eastAsia="en-US"/>
        </w:rPr>
      </w:pPr>
      <w:r>
        <w:rPr>
          <w:rStyle w:val="998"/>
          <w:rFonts w:hint="eastAsia" w:ascii="仿宋" w:hAnsi="仿宋" w:eastAsia="仿宋" w:cs="仿宋"/>
          <w:bCs/>
          <w:color w:val="auto"/>
          <w:sz w:val="24"/>
          <w:szCs w:val="24"/>
          <w:highlight w:val="none"/>
          <w:lang w:eastAsia="en-US"/>
        </w:rPr>
        <w:t xml:space="preserve">3.2潜在供应商访问“苏采云”系统的网络地址和方法：“苏采云”系统的网址：http://jszfcg.jsczt.cn/。</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3.3“CA数字证书”的获取：</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响应供应商需办理“CA 数字证书”，CA办理指南及“苏采云”操作手册可至江苏省政府采购网―办事指南-资料下载中心下载。</w:t>
      </w:r>
      <w:r/>
    </w:p>
    <w:p>
      <w:pPr>
        <w:ind w:left="695" w:firstLine="480"/>
        <w:jc w:val="left"/>
        <w:spacing w:line="460" w:lineRule="exact"/>
        <w:widowControl/>
        <w:rPr>
          <w:rStyle w:val="998"/>
          <w:rFonts w:hint="eastAsia" w:ascii="仿宋" w:hAnsi="仿宋" w:eastAsia="仿宋" w:cs="仿宋"/>
          <w:bCs/>
          <w:color w:val="auto"/>
          <w:sz w:val="24"/>
          <w:szCs w:val="24"/>
          <w:highlight w:val="none"/>
          <w:lang w:eastAsia="en-US"/>
        </w:rPr>
      </w:pPr>
      <w:r>
        <w:rPr>
          <w:rStyle w:val="998"/>
          <w:rFonts w:hint="eastAsia" w:ascii="仿宋" w:hAnsi="仿宋" w:eastAsia="仿宋" w:cs="仿宋"/>
          <w:bCs/>
          <w:color w:val="auto"/>
          <w:sz w:val="24"/>
          <w:szCs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3.4采购文件（后缀名为“.kedt”）、供应商操作手册及政府采购客户端工具可通过“苏采云”系统--已报名项目--报名详情页面内相应链接进行下载。</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3.5采购人或采购代理机构将数据电文形式的采购文件加载至“苏采云”系统，供潜在供应商下载或者查阅。</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3.7开评标</w:t>
      </w:r>
      <w:r>
        <w:rPr>
          <w:rStyle w:val="998"/>
          <w:rFonts w:hint="eastAsia" w:ascii="仿宋" w:hAnsi="仿宋" w:eastAsia="仿宋" w:cs="仿宋"/>
          <w:bCs/>
          <w:color w:val="auto"/>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left="695" w:firstLine="482"/>
        <w:jc w:val="left"/>
        <w:spacing w:line="460" w:lineRule="exact"/>
        <w:widowControl/>
        <w:rPr>
          <w:rStyle w:val="998"/>
          <w:rFonts w:hint="eastAsia" w:ascii="仿宋" w:hAnsi="仿宋" w:eastAsia="仿宋" w:cs="仿宋"/>
          <w:b/>
          <w:color w:val="auto"/>
          <w:sz w:val="24"/>
          <w:szCs w:val="24"/>
          <w:highlight w:val="none"/>
        </w:rPr>
      </w:pPr>
      <w:r>
        <w:rPr>
          <w:rStyle w:val="998"/>
          <w:rFonts w:hint="eastAsia" w:ascii="仿宋" w:hAnsi="仿宋" w:eastAsia="仿宋" w:cs="仿宋"/>
          <w:b/>
          <w:color w:val="auto"/>
          <w:sz w:val="24"/>
          <w:szCs w:val="24"/>
          <w:highlight w:val="none"/>
        </w:rPr>
        <w:t xml:space="preserve">注：如潜在供应商未按上述要求操作，将自行承担所产生的风险。</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四、响应文件提交</w:t>
      </w:r>
      <w:bookmarkEnd w:id="8"/>
      <w:r/>
      <w:bookmarkEnd w:id="9"/>
      <w:r/>
      <w:bookmarkEnd w:id="10"/>
      <w:r/>
      <w:bookmarkEnd w:id="11"/>
      <w:r/>
      <w:r/>
    </w:p>
    <w:p>
      <w:pPr>
        <w:ind w:left="695" w:firstLine="480"/>
        <w:spacing w:line="460" w:lineRule="exact"/>
        <w:rPr>
          <w:rFonts w:hint="eastAsia" w:ascii="仿宋" w:hAnsi="仿宋" w:eastAsia="仿宋" w:cs="仿宋"/>
          <w:color w:val="auto"/>
          <w:sz w:val="24"/>
          <w:szCs w:val="24"/>
          <w:highlight w:val="none"/>
        </w:rPr>
      </w:pPr>
      <w:r/>
      <w:bookmarkStart w:id="13" w:name="_Toc35393802"/>
      <w:r/>
      <w:bookmarkStart w:id="14" w:name="_Toc35393633"/>
      <w:r/>
      <w:bookmarkStart w:id="15" w:name="_Toc28359093"/>
      <w:r/>
      <w:bookmarkStart w:id="16" w:name="_Toc28359016"/>
      <w:r>
        <w:rPr>
          <w:rFonts w:hint="eastAsia" w:ascii="仿宋" w:hAnsi="仿宋" w:eastAsia="仿宋" w:cs="仿宋"/>
          <w:color w:val="auto"/>
          <w:sz w:val="24"/>
          <w:szCs w:val="24"/>
          <w:highlight w:val="none"/>
        </w:rPr>
        <w:t xml:space="preserve">1.响应文件提交截止时间：</w:t>
      </w:r>
      <w:r>
        <w:rPr>
          <w:rFonts w:hint="eastAsia" w:ascii="仿宋" w:hAnsi="仿宋" w:eastAsia="仿宋" w:cs="仿宋"/>
          <w:b/>
          <w:bCs/>
          <w:color w:val="auto"/>
          <w:sz w:val="24"/>
          <w:szCs w:val="24"/>
          <w:highlight w:val="none"/>
          <w:lang w:eastAsia="zh-CN"/>
        </w:rPr>
        <w:t xml:space="preserve">202</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eastAsia="zh-CN"/>
        </w:rPr>
        <w:t xml:space="preserve">年</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4 </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时</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0分（北京时间）</w:t>
      </w:r>
      <w:r>
        <w:rPr>
          <w:rFonts w:hint="eastAsia" w:ascii="仿宋" w:hAnsi="仿宋" w:eastAsia="仿宋" w:cs="仿宋"/>
          <w:color w:val="auto"/>
          <w:sz w:val="24"/>
          <w:szCs w:val="24"/>
          <w:highlight w:val="none"/>
        </w:rPr>
        <w:t xml:space="preserve">。逾时，“苏采云”系统将拒绝接受上传响应文件电子文档。</w:t>
      </w:r>
      <w:r/>
    </w:p>
    <w:p>
      <w:pPr>
        <w:ind w:left="695" w:firstLine="480"/>
        <w:spacing w:line="460" w:lineRule="exact"/>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en-US"/>
        </w:rPr>
        <w:t xml:space="preserve">地点：“苏采云”系统（网址：http://jszfcg.jsczt.cn/）</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五、开启</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1.时间：</w:t>
      </w:r>
      <w:r>
        <w:rPr>
          <w:rFonts w:hint="eastAsia" w:ascii="仿宋" w:hAnsi="仿宋" w:eastAsia="仿宋" w:cs="仿宋"/>
          <w:b/>
          <w:bCs/>
          <w:color w:val="auto"/>
          <w:sz w:val="24"/>
          <w:szCs w:val="24"/>
          <w:highlight w:val="none"/>
          <w:lang w:eastAsia="zh-CN"/>
        </w:rPr>
        <w:t xml:space="preserve">202</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eastAsia="zh-CN"/>
        </w:rPr>
        <w:t xml:space="preserve">年</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时</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0分（北京时间）</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w:t>
      </w:r>
      <w:r>
        <w:rPr>
          <w:rFonts w:hint="eastAsia" w:ascii="仿宋" w:hAnsi="仿宋" w:eastAsia="仿宋" w:cs="仿宋"/>
          <w:color w:val="auto"/>
          <w:sz w:val="24"/>
          <w:szCs w:val="24"/>
          <w:highlight w:val="none"/>
          <w:lang w:eastAsia="en-US"/>
        </w:rPr>
        <w:t xml:space="preserve">“苏采云”系统（网址：http://jszfcg.jsczt.cn/）“开标大厅”</w:t>
      </w:r>
      <w:r/>
    </w:p>
    <w:p>
      <w:pPr>
        <w:ind w:left="695" w:firstLine="480"/>
        <w:spacing w:line="4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仿宋" w:hAnsi="仿宋" w:eastAsia="仿宋" w:cs="仿宋"/>
          <w:color w:val="auto"/>
          <w:sz w:val="24"/>
          <w:szCs w:val="24"/>
          <w:highlight w:val="none"/>
          <w:lang w:eastAsia="zh-CN"/>
        </w:rPr>
        <w:t xml:space="preserve">响应供应商</w:t>
      </w:r>
      <w:r>
        <w:rPr>
          <w:rFonts w:hint="eastAsia" w:ascii="仿宋" w:hAnsi="仿宋" w:eastAsia="仿宋" w:cs="仿宋"/>
          <w:color w:val="auto"/>
          <w:sz w:val="24"/>
          <w:szCs w:val="24"/>
          <w:highlight w:val="none"/>
        </w:rPr>
        <w:t xml:space="preserve">在开标室按规定时间自行实施远程解密，</w:t>
      </w:r>
      <w:r>
        <w:rPr>
          <w:rFonts w:hint="eastAsia" w:ascii="仿宋" w:hAnsi="仿宋" w:eastAsia="仿宋" w:cs="仿宋"/>
          <w:b/>
          <w:color w:val="auto"/>
          <w:sz w:val="24"/>
          <w:szCs w:val="24"/>
          <w:highlight w:val="none"/>
          <w:lang w:eastAsia="zh-CN"/>
        </w:rPr>
        <w:t xml:space="preserve">响应供应商</w:t>
      </w:r>
      <w:r>
        <w:rPr>
          <w:rFonts w:hint="eastAsia" w:ascii="仿宋" w:hAnsi="仿宋" w:eastAsia="仿宋" w:cs="仿宋"/>
          <w:b/>
          <w:color w:val="auto"/>
          <w:sz w:val="24"/>
          <w:szCs w:val="24"/>
          <w:highlight w:val="none"/>
        </w:rPr>
        <w:t xml:space="preserve">解密限定在开标后30分钟之内完成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因</w:t>
      </w:r>
      <w:r>
        <w:rPr>
          <w:rFonts w:hint="eastAsia" w:ascii="仿宋" w:hAnsi="仿宋" w:eastAsia="仿宋" w:cs="仿宋"/>
          <w:color w:val="auto"/>
          <w:sz w:val="24"/>
          <w:szCs w:val="24"/>
          <w:highlight w:val="none"/>
          <w:u w:val="single"/>
          <w:lang w:eastAsia="zh-CN"/>
        </w:rPr>
        <w:t xml:space="preserve">响应供应商</w:t>
      </w:r>
      <w:r>
        <w:rPr>
          <w:rFonts w:hint="eastAsia" w:ascii="仿宋" w:hAnsi="仿宋" w:eastAsia="仿宋" w:cs="仿宋"/>
          <w:color w:val="auto"/>
          <w:sz w:val="24"/>
          <w:szCs w:val="24"/>
          <w:highlight w:val="none"/>
          <w:u w:val="single"/>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仿宋" w:hAnsi="仿宋" w:eastAsia="仿宋" w:cs="仿宋"/>
          <w:color w:val="auto"/>
          <w:sz w:val="24"/>
          <w:szCs w:val="24"/>
          <w:highlight w:val="none"/>
          <w:u w:val="single"/>
          <w:lang w:eastAsia="zh-CN"/>
        </w:rPr>
        <w:t xml:space="preserve">响应供应商</w:t>
      </w:r>
      <w:r>
        <w:rPr>
          <w:rFonts w:hint="eastAsia" w:ascii="仿宋" w:hAnsi="仿宋" w:eastAsia="仿宋" w:cs="仿宋"/>
          <w:color w:val="auto"/>
          <w:sz w:val="24"/>
          <w:szCs w:val="24"/>
          <w:highlight w:val="none"/>
          <w:u w:val="single"/>
        </w:rPr>
        <w:t xml:space="preserve">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695" w:firstLine="482"/>
        <w:spacing w:line="4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w:t>
      </w:r>
      <w:r>
        <w:rPr>
          <w:rFonts w:hint="eastAsia" w:ascii="仿宋" w:hAnsi="仿宋" w:eastAsia="仿宋" w:cs="仿宋"/>
          <w:color w:val="auto"/>
          <w:sz w:val="24"/>
          <w:szCs w:val="24"/>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3"/>
      <w:r/>
      <w:bookmarkEnd w:id="14"/>
      <w:r/>
      <w:bookmarkEnd w:id="15"/>
      <w:r/>
      <w:bookmarkEnd w:id="16"/>
      <w:r/>
      <w:r/>
    </w:p>
    <w:p>
      <w:pPr>
        <w:ind w:left="695" w:firstLine="482"/>
        <w:spacing w:line="460" w:lineRule="exact"/>
        <w:rPr>
          <w:rFonts w:hint="eastAsia" w:ascii="仿宋" w:hAnsi="仿宋" w:eastAsia="仿宋" w:cs="仿宋"/>
          <w:bCs/>
          <w:color w:val="auto"/>
          <w:sz w:val="24"/>
          <w:szCs w:val="24"/>
          <w:highlight w:val="none"/>
        </w:rPr>
        <w:outlineLvl w:val="1"/>
      </w:pPr>
      <w:r>
        <w:rPr>
          <w:rFonts w:hint="eastAsia" w:ascii="仿宋" w:hAnsi="仿宋" w:eastAsia="仿宋" w:cs="仿宋"/>
          <w:b/>
          <w:bCs/>
          <w:color w:val="auto"/>
          <w:sz w:val="24"/>
          <w:szCs w:val="24"/>
          <w:highlight w:val="none"/>
        </w:rPr>
        <w:t xml:space="preserve">六、公告期限：</w:t>
      </w:r>
      <w:r>
        <w:rPr>
          <w:rFonts w:hint="eastAsia" w:ascii="仿宋" w:hAnsi="仿宋" w:eastAsia="仿宋" w:cs="仿宋"/>
          <w:color w:val="auto"/>
          <w:sz w:val="24"/>
          <w:szCs w:val="24"/>
          <w:highlight w:val="none"/>
        </w:rPr>
        <w:t xml:space="preserve">自</w:t>
      </w:r>
      <w:r>
        <w:rPr>
          <w:rFonts w:hint="eastAsia" w:ascii="仿宋" w:hAnsi="仿宋" w:eastAsia="仿宋" w:cs="仿宋"/>
          <w:bCs/>
          <w:color w:val="auto"/>
          <w:sz w:val="24"/>
          <w:szCs w:val="24"/>
          <w:highlight w:val="none"/>
        </w:rPr>
        <w:t xml:space="preserve">本公告发布之日起3个工作日。</w:t>
      </w:r>
      <w:bookmarkStart w:id="17" w:name="_Toc35393804"/>
      <w:r/>
      <w:bookmarkEnd w:id="17"/>
      <w:r/>
      <w:bookmarkStart w:id="18" w:name="_Toc35393635"/>
      <w:r/>
      <w:bookmarkEnd w:id="18"/>
      <w:r/>
      <w:r/>
    </w:p>
    <w:p>
      <w:pPr>
        <w:ind w:left="695" w:firstLine="482"/>
        <w:spacing w:line="46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t xml:space="preserve">七、其他补充事宜</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1.磋商保证金：免收。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2.项目磋商活动模式：不见面远程磋商模式，供应商在各自地点通过不见面交易系统参加开标会。</w:t>
      </w:r>
      <w:r/>
    </w:p>
    <w:p>
      <w:pPr>
        <w:ind w:left="695" w:firstLine="480"/>
        <w:spacing w:line="4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3.项目演示、样品、答辩等（如有请描述）：</w:t>
      </w:r>
      <w:r>
        <w:rPr>
          <w:rFonts w:hint="eastAsia" w:ascii="仿宋" w:hAnsi="仿宋" w:eastAsia="仿宋" w:cs="仿宋"/>
          <w:color w:val="auto"/>
          <w:sz w:val="24"/>
          <w:szCs w:val="24"/>
          <w:highlight w:val="none"/>
          <w:lang w:bidi="ar"/>
        </w:rPr>
        <w:t xml:space="preserve">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pStyle w:val="824"/>
        <w:ind w:left="718"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本项目5个工作日后仍可下载</w:t>
      </w:r>
      <w:r>
        <w:rPr>
          <w:rFonts w:hint="eastAsia" w:ascii="仿宋" w:hAnsi="仿宋" w:eastAsia="仿宋" w:cs="仿宋"/>
          <w:b w:val="0"/>
          <w:bCs w:val="0"/>
          <w:color w:val="auto"/>
          <w:sz w:val="24"/>
          <w:szCs w:val="24"/>
          <w:highlight w:val="none"/>
          <w:lang w:eastAsia="zh-CN"/>
        </w:rPr>
        <w:t xml:space="preserve">磋商文件</w:t>
      </w:r>
      <w:r>
        <w:rPr>
          <w:rFonts w:hint="eastAsia" w:ascii="仿宋" w:hAnsi="仿宋" w:eastAsia="仿宋" w:cs="仿宋"/>
          <w:b w:val="0"/>
          <w:bCs w:val="0"/>
          <w:color w:val="auto"/>
          <w:sz w:val="24"/>
          <w:szCs w:val="24"/>
          <w:highlight w:val="none"/>
        </w:rPr>
        <w:t xml:space="preserve">，但不作为</w:t>
      </w:r>
      <w:r>
        <w:rPr>
          <w:rFonts w:hint="eastAsia" w:ascii="仿宋" w:hAnsi="仿宋" w:eastAsia="仿宋" w:cs="仿宋"/>
          <w:b w:val="0"/>
          <w:bCs w:val="0"/>
          <w:color w:val="auto"/>
          <w:sz w:val="24"/>
          <w:szCs w:val="24"/>
          <w:highlight w:val="none"/>
          <w:lang w:eastAsia="zh-CN"/>
        </w:rPr>
        <w:t xml:space="preserve">响应供应商</w:t>
      </w:r>
      <w:r>
        <w:rPr>
          <w:rFonts w:hint="eastAsia" w:ascii="仿宋" w:hAnsi="仿宋" w:eastAsia="仿宋" w:cs="仿宋"/>
          <w:b w:val="0"/>
          <w:bCs w:val="0"/>
          <w:color w:val="auto"/>
          <w:sz w:val="24"/>
          <w:szCs w:val="24"/>
          <w:highlight w:val="none"/>
        </w:rPr>
        <w:t xml:space="preserve">权益受到损害的证明材料和依据。</w:t>
      </w:r>
      <w:r/>
    </w:p>
    <w:p>
      <w:pPr>
        <w:pStyle w:val="824"/>
        <w:ind w:left="718"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各响应供应商</w:t>
      </w:r>
      <w:r>
        <w:rPr>
          <w:rFonts w:hint="eastAsia" w:ascii="仿宋" w:hAnsi="仿宋" w:eastAsia="仿宋" w:cs="仿宋"/>
          <w:b w:val="0"/>
          <w:bCs w:val="0"/>
          <w:color w:val="auto"/>
          <w:sz w:val="24"/>
          <w:szCs w:val="24"/>
          <w:highlight w:val="none"/>
        </w:rPr>
        <w:t xml:space="preserve">认为</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文件使自己的权益受到损害的，可以自获取</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文件之日或者</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公告期限届满之日(公告期限届满后获取</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文件的，以公告期限届满之日为准)起7个工作日内，对</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文件需求的以书面形式向</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提出质疑，对其他内容的以书面形式向</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和代理机构提出质疑。质疑函范本详见本</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文件后附格式。</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八、凡对本次采购提出询问，请按以下方式联系</w:t>
      </w:r>
      <w:r/>
    </w:p>
    <w:p>
      <w:pPr>
        <w:pStyle w:val="824"/>
        <w:ind w:firstLine="960"/>
        <w:rPr>
          <w:rFonts w:hint="eastAsia" w:ascii="仿宋" w:hAnsi="仿宋" w:eastAsia="仿宋" w:cs="仿宋"/>
          <w:color w:val="auto"/>
          <w:sz w:val="24"/>
          <w:szCs w:val="24"/>
          <w:highlight w:val="none"/>
        </w:rPr>
      </w:pPr>
      <w:r/>
      <w:bookmarkStart w:id="19" w:name="_Toc363573854"/>
      <w:r>
        <w:rPr>
          <w:rFonts w:hint="eastAsia" w:ascii="仿宋" w:hAnsi="仿宋" w:eastAsia="仿宋" w:cs="仿宋"/>
          <w:color w:val="auto"/>
          <w:sz w:val="24"/>
          <w:szCs w:val="24"/>
          <w:highlight w:val="none"/>
        </w:rPr>
        <w:t xml:space="preserve">1.采购人信息</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称：江苏航运职业技术学院</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址：江苏省南通市经济技术开发区通盛大道185号</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CN"/>
        </w:rPr>
        <w:t xml:space="preserve">陈</w:t>
      </w:r>
      <w:r>
        <w:rPr>
          <w:rFonts w:hint="eastAsia" w:ascii="仿宋" w:hAnsi="仿宋" w:eastAsia="仿宋" w:cs="仿宋"/>
          <w:color w:val="auto"/>
          <w:sz w:val="24"/>
          <w:szCs w:val="24"/>
          <w:highlight w:val="none"/>
        </w:rPr>
        <w:t xml:space="preserve">老师</w:t>
      </w:r>
      <w:r/>
    </w:p>
    <w:p>
      <w:pPr>
        <w:pStyle w:val="824"/>
        <w:ind w:firstLine="96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13773654831</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称：苏州新一造价师价格事务所有限公司</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址：南通市经济技术开发区长通路9号（飞马国际中心A座1205室）</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0513-69895668</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采购文件制作人：代福勇</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4.软件技术支持：0519-86722801</w:t>
      </w:r>
      <w:bookmarkEnd w:id="19"/>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1.竞争性磋商文件</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2.采购人信用承诺书</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3.公平竞争审查二维码</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4.办理政采贷和履约保函（保险）告知函</w:t>
      </w:r>
      <w:r/>
    </w:p>
    <w:p>
      <w:pPr>
        <w:ind w:left="695"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p>
    <w:p>
      <w:pPr>
        <w:ind w:left="695" w:firstLine="35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第二章</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 xml:space="preserve"> 磋商须知</w:t>
      </w:r>
      <w:r/>
    </w:p>
    <w:p>
      <w:pPr>
        <w:ind w:left="695" w:firstLine="482"/>
        <w:keepLines/>
        <w:keepNext/>
        <w:spacing w:line="460" w:lineRule="exact"/>
        <w:rPr>
          <w:rFonts w:hint="eastAsia" w:ascii="仿宋" w:hAnsi="仿宋" w:eastAsia="仿宋" w:cs="仿宋"/>
          <w:color w:val="auto"/>
          <w:sz w:val="24"/>
          <w:szCs w:val="24"/>
          <w:highlight w:val="none"/>
        </w:rPr>
        <w:outlineLvl w:val="2"/>
      </w:pPr>
      <w:r/>
      <w:bookmarkStart w:id="20" w:name="_Toc120614214"/>
      <w:r/>
      <w:bookmarkStart w:id="21" w:name="_Toc16938519"/>
      <w:r/>
      <w:bookmarkStart w:id="22" w:name="_Toc513029203"/>
      <w:r/>
      <w:bookmarkStart w:id="23" w:name="_Toc20823275"/>
      <w:r/>
      <w:bookmarkStart w:id="24" w:name="_Toc432763305"/>
      <w:r>
        <w:rPr>
          <w:rFonts w:hint="eastAsia" w:ascii="仿宋" w:hAnsi="仿宋" w:eastAsia="仿宋" w:cs="仿宋"/>
          <w:b/>
          <w:bCs/>
          <w:color w:val="auto"/>
          <w:sz w:val="24"/>
          <w:szCs w:val="24"/>
          <w:highlight w:val="none"/>
        </w:rPr>
        <w:t xml:space="preserve">（一）总则</w:t>
      </w:r>
      <w:bookmarkEnd w:id="20"/>
      <w:r/>
      <w:bookmarkEnd w:id="21"/>
      <w:r/>
      <w:bookmarkEnd w:id="22"/>
      <w:r/>
      <w:bookmarkEnd w:id="23"/>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25" w:name="_Hlt16619475"/>
      <w:r/>
      <w:bookmarkEnd w:id="25"/>
      <w:r/>
      <w:bookmarkStart w:id="26" w:name="_Toc458694821"/>
      <w:r/>
      <w:bookmarkStart w:id="27" w:name="_Toc513029204"/>
      <w:r/>
      <w:bookmarkStart w:id="28" w:name="_Toc20823276"/>
      <w:r/>
      <w:bookmarkStart w:id="29" w:name="_Toc16938520"/>
      <w:r>
        <w:rPr>
          <w:rFonts w:hint="eastAsia" w:ascii="仿宋" w:hAnsi="仿宋" w:eastAsia="仿宋" w:cs="仿宋"/>
          <w:color w:val="auto"/>
          <w:sz w:val="24"/>
          <w:szCs w:val="24"/>
          <w:highlight w:val="none"/>
        </w:rPr>
        <w:t xml:space="preserve">1</w:t>
      </w:r>
      <w:bookmarkEnd w:id="26"/>
      <w:r>
        <w:rPr>
          <w:rFonts w:hint="eastAsia" w:ascii="仿宋" w:hAnsi="仿宋" w:eastAsia="仿宋" w:cs="仿宋"/>
          <w:color w:val="auto"/>
          <w:sz w:val="24"/>
          <w:szCs w:val="24"/>
          <w:highlight w:val="none"/>
        </w:rPr>
        <w:t xml:space="preserve">.采购方式</w:t>
      </w:r>
      <w:bookmarkEnd w:id="27"/>
      <w:r/>
      <w:bookmarkEnd w:id="28"/>
      <w:r/>
      <w:bookmarkEnd w:id="29"/>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1.1本次政府采购活动采取竞争性磋商(以下简称磋商)方式，本磋商文件仅适用于磋商公告中所述项目。</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30" w:name="_Toc20823277"/>
      <w:r/>
      <w:bookmarkStart w:id="31" w:name="_Toc16938521"/>
      <w:r/>
      <w:bookmarkStart w:id="32" w:name="_Toc513029205"/>
      <w:r>
        <w:rPr>
          <w:rFonts w:hint="eastAsia" w:ascii="仿宋" w:hAnsi="仿宋" w:eastAsia="仿宋" w:cs="仿宋"/>
          <w:color w:val="auto"/>
          <w:sz w:val="24"/>
          <w:szCs w:val="24"/>
          <w:highlight w:val="none"/>
        </w:rPr>
        <w:t xml:space="preserve">2.合格的</w:t>
      </w:r>
      <w:bookmarkEnd w:id="30"/>
      <w:r/>
      <w:bookmarkEnd w:id="31"/>
      <w:r/>
      <w:bookmarkEnd w:id="32"/>
      <w:r>
        <w:rPr>
          <w:rFonts w:hint="eastAsia" w:ascii="仿宋" w:hAnsi="仿宋" w:eastAsia="仿宋" w:cs="仿宋"/>
          <w:color w:val="auto"/>
          <w:sz w:val="24"/>
          <w:szCs w:val="24"/>
          <w:highlight w:val="none"/>
        </w:rPr>
        <w:t xml:space="preserve">供应商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2.1满足磋商公告中供应商的资格要求的规定。</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2.2满足本磋商文件实质性要求和条件的规定。</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33" w:name="_Toc513029206"/>
      <w:r/>
      <w:bookmarkStart w:id="34" w:name="_Toc20823278"/>
      <w:r/>
      <w:bookmarkStart w:id="35" w:name="_Toc16938522"/>
      <w:r>
        <w:rPr>
          <w:rFonts w:hint="eastAsia" w:ascii="仿宋" w:hAnsi="仿宋" w:eastAsia="仿宋" w:cs="仿宋"/>
          <w:color w:val="auto"/>
          <w:sz w:val="24"/>
          <w:szCs w:val="24"/>
          <w:highlight w:val="none"/>
        </w:rPr>
        <w:t xml:space="preserve">3.适用法律</w:t>
      </w:r>
      <w:bookmarkEnd w:id="33"/>
      <w:r/>
      <w:bookmarkEnd w:id="34"/>
      <w:r/>
      <w:bookmarkEnd w:id="35"/>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3.1本次磋商及由此产生的合同受中华人民共和国有关的法律法规制约和保护。</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36" w:name="_Toc16938523"/>
      <w:r/>
      <w:bookmarkStart w:id="37" w:name="_Toc20823279"/>
      <w:r/>
      <w:bookmarkStart w:id="38" w:name="_Toc513029207"/>
      <w:r/>
      <w:bookmarkStart w:id="39" w:name="_Toc462564067"/>
      <w:r>
        <w:rPr>
          <w:rFonts w:hint="eastAsia" w:ascii="仿宋" w:hAnsi="仿宋" w:eastAsia="仿宋" w:cs="仿宋"/>
          <w:color w:val="auto"/>
          <w:sz w:val="24"/>
          <w:szCs w:val="24"/>
          <w:highlight w:val="none"/>
        </w:rPr>
        <w:t xml:space="preserve">4.磋商费用</w:t>
      </w:r>
      <w:bookmarkEnd w:id="36"/>
      <w:r/>
      <w:bookmarkEnd w:id="37"/>
      <w:r/>
      <w:bookmarkEnd w:id="38"/>
      <w:r/>
      <w:bookmarkEnd w:id="39"/>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4.1供应商应自行承担所有与参加磋商有关的费用，无论磋商过程中的做法和结果如何，采购人及代理机构在任何情况下均无义务和责任承担这些费用。</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 xml:space="preserve">4.2</w:t>
      </w:r>
      <w:r>
        <w:rPr>
          <w:rFonts w:hint="eastAsia" w:ascii="仿宋" w:hAnsi="仿宋" w:eastAsia="仿宋" w:cs="仿宋"/>
          <w:color w:val="auto"/>
          <w:sz w:val="24"/>
          <w:highlight w:val="none"/>
        </w:rPr>
        <w:t xml:space="preserve">招标代理费：依据财政部《政府采购代理机构管理暂行办法》第十五条规定，约定由中标人向招标代理机构支付代理服务费。本项目采购代理服务费按照苏政采协[2024]20号文标准*70%计收，此费用包含在投标报价中，不单独列项，供应商报价时应综合考虑，由中标人在取得成交通知书前，向招标代理机构一次付清。</w:t>
      </w:r>
      <w:r/>
    </w:p>
    <w:p>
      <w:pPr>
        <w:ind w:left="695" w:firstLine="480"/>
        <w:keepNext/>
        <w:spacing w:line="460" w:lineRule="exact"/>
        <w:rPr>
          <w:rFonts w:hint="eastAsia" w:ascii="仿宋" w:hAnsi="仿宋" w:eastAsia="仿宋" w:cs="仿宋"/>
          <w:b/>
          <w:bCs/>
          <w:color w:val="auto"/>
          <w:sz w:val="24"/>
          <w:szCs w:val="24"/>
          <w:highlight w:val="none"/>
        </w:rPr>
        <w:outlineLvl w:val="3"/>
      </w:pPr>
      <w:r>
        <w:rPr>
          <w:rFonts w:hint="eastAsia" w:ascii="仿宋" w:hAnsi="仿宋" w:eastAsia="仿宋" w:cs="仿宋"/>
          <w:color w:val="auto"/>
          <w:sz w:val="24"/>
          <w:szCs w:val="24"/>
          <w:highlight w:val="none"/>
        </w:rPr>
        <w:t xml:space="preserve">5.磋商文件的约束力</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供应商一旦参加本项目采购活动，即被认为接受了本磋商文件的规定和约束。</w:t>
      </w:r>
      <w:r/>
    </w:p>
    <w:p>
      <w:pPr>
        <w:ind w:left="695" w:firstLine="480"/>
        <w:keepNext/>
        <w:spacing w:line="460" w:lineRule="exact"/>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6.磋商文件的解释</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6.1</w:t>
      </w:r>
      <w:r>
        <w:rPr>
          <w:rFonts w:hint="eastAsia" w:ascii="仿宋" w:hAnsi="仿宋" w:eastAsia="仿宋" w:cs="仿宋"/>
          <w:color w:val="auto"/>
          <w:sz w:val="24"/>
          <w:szCs w:val="24"/>
          <w:highlight w:val="none"/>
        </w:rPr>
        <w:t xml:space="preserve">磋商文件需求部分（供应商资格要求、项目需求、商务技术评分标准）</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rPr>
        <w:t xml:space="preserve">由采购人解释</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其余由采购代理机构解释</w:t>
      </w:r>
      <w:r>
        <w:rPr>
          <w:rFonts w:hint="eastAsia" w:ascii="仿宋" w:hAnsi="仿宋" w:eastAsia="仿宋" w:cs="仿宋"/>
          <w:color w:val="auto"/>
          <w:sz w:val="24"/>
          <w:szCs w:val="24"/>
          <w:highlight w:val="none"/>
        </w:rPr>
        <w:t xml:space="preserve">。</w:t>
      </w:r>
      <w:r/>
    </w:p>
    <w:p>
      <w:pPr>
        <w:ind w:left="695" w:firstLine="482"/>
        <w:keepLines/>
        <w:keepNext/>
        <w:spacing w:line="460" w:lineRule="exact"/>
        <w:rPr>
          <w:rFonts w:hint="eastAsia" w:ascii="仿宋" w:hAnsi="仿宋" w:eastAsia="仿宋" w:cs="仿宋"/>
          <w:b/>
          <w:bCs/>
          <w:color w:val="auto"/>
          <w:sz w:val="24"/>
          <w:szCs w:val="24"/>
          <w:highlight w:val="none"/>
        </w:rPr>
        <w:outlineLvl w:val="2"/>
      </w:pPr>
      <w:r/>
      <w:bookmarkStart w:id="40" w:name="_Toc16938525"/>
      <w:r/>
      <w:bookmarkStart w:id="41" w:name="_Toc120614215"/>
      <w:r/>
      <w:bookmarkStart w:id="42" w:name="_Toc20823281"/>
      <w:r/>
      <w:bookmarkStart w:id="43" w:name="_Toc513029209"/>
      <w:r>
        <w:rPr>
          <w:rFonts w:hint="eastAsia" w:ascii="仿宋" w:hAnsi="仿宋" w:eastAsia="仿宋" w:cs="仿宋"/>
          <w:b/>
          <w:bCs/>
          <w:color w:val="auto"/>
          <w:sz w:val="24"/>
          <w:szCs w:val="24"/>
          <w:highlight w:val="none"/>
        </w:rPr>
        <w:t xml:space="preserve">（二）磋商文件</w:t>
      </w:r>
      <w:bookmarkEnd w:id="40"/>
      <w:r/>
      <w:bookmarkEnd w:id="41"/>
      <w:r/>
      <w:bookmarkEnd w:id="42"/>
      <w:r/>
      <w:bookmarkEnd w:id="43"/>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44" w:name="_Toc20823282"/>
      <w:r/>
      <w:bookmarkStart w:id="45" w:name="_Toc16938526"/>
      <w:r/>
      <w:bookmarkStart w:id="46" w:name="_Toc513029210"/>
      <w:r>
        <w:rPr>
          <w:rFonts w:hint="eastAsia" w:ascii="仿宋" w:hAnsi="仿宋" w:eastAsia="仿宋" w:cs="仿宋"/>
          <w:color w:val="auto"/>
          <w:sz w:val="24"/>
          <w:szCs w:val="24"/>
          <w:highlight w:val="none"/>
        </w:rPr>
        <w:t xml:space="preserve">1.磋商文件构成</w:t>
      </w:r>
      <w:bookmarkEnd w:id="44"/>
      <w:r/>
      <w:bookmarkEnd w:id="45"/>
      <w:r/>
      <w:bookmarkEnd w:id="46"/>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1.1</w:t>
      </w:r>
      <w:r>
        <w:rPr>
          <w:rFonts w:hint="eastAsia" w:ascii="仿宋" w:hAnsi="仿宋" w:eastAsia="仿宋" w:cs="仿宋"/>
          <w:color w:val="auto"/>
          <w:sz w:val="24"/>
          <w:szCs w:val="24"/>
          <w:highlight w:val="none"/>
        </w:rPr>
        <w:t xml:space="preserve">磋商文件由以下部分组成：</w:t>
      </w:r>
      <w:r/>
    </w:p>
    <w:p>
      <w:pPr>
        <w:ind w:left="695"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（1）竞争性磋商公告</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（2）磋商须知</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（3）项目需求</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（4）评审方法和评审标准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（5）响应文件组成</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（6）附件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w:t>
      </w:r>
      <w:r>
        <w:rPr>
          <w:rFonts w:hint="eastAsia" w:ascii="仿宋" w:hAnsi="仿宋" w:eastAsia="仿宋" w:cs="仿宋"/>
          <w:bCs/>
          <w:color w:val="auto"/>
          <w:sz w:val="24"/>
          <w:szCs w:val="24"/>
          <w:highlight w:val="none"/>
        </w:rPr>
        <w:t xml:space="preserve">采购人或采购代理机构</w:t>
      </w:r>
      <w:r>
        <w:rPr>
          <w:rFonts w:hint="eastAsia" w:ascii="仿宋" w:hAnsi="仿宋" w:eastAsia="仿宋" w:cs="仿宋"/>
          <w:color w:val="auto"/>
          <w:sz w:val="24"/>
          <w:szCs w:val="24"/>
          <w:highlight w:val="none"/>
        </w:rPr>
        <w:t xml:space="preserve">联系解决。</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1.2</w:t>
      </w:r>
      <w:r>
        <w:rPr>
          <w:rFonts w:hint="eastAsia" w:ascii="仿宋" w:hAnsi="仿宋" w:eastAsia="仿宋" w:cs="仿宋"/>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47" w:name="_Toc16938527"/>
      <w:r/>
      <w:bookmarkStart w:id="48" w:name="_Toc513029211"/>
      <w:r/>
      <w:bookmarkStart w:id="49" w:name="_Toc20823283"/>
      <w:r/>
      <w:bookmarkStart w:id="50" w:name="_Toc462564070"/>
      <w:r>
        <w:rPr>
          <w:rFonts w:hint="eastAsia" w:ascii="仿宋" w:hAnsi="仿宋" w:eastAsia="仿宋" w:cs="仿宋"/>
          <w:color w:val="auto"/>
          <w:sz w:val="24"/>
          <w:szCs w:val="24"/>
          <w:highlight w:val="none"/>
        </w:rPr>
        <w:t xml:space="preserve">2.磋商文件的澄清</w:t>
      </w:r>
      <w:bookmarkEnd w:id="47"/>
      <w:r/>
      <w:bookmarkEnd w:id="48"/>
      <w:r/>
      <w:bookmarkEnd w:id="49"/>
      <w:r/>
      <w:bookmarkEnd w:id="50"/>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2.1</w:t>
      </w:r>
      <w:r>
        <w:rPr>
          <w:rFonts w:hint="eastAsia" w:ascii="仿宋" w:hAnsi="仿宋" w:eastAsia="仿宋" w:cs="仿宋"/>
          <w:color w:val="auto"/>
          <w:sz w:val="24"/>
          <w:szCs w:val="24"/>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bCs/>
          <w:color w:val="auto"/>
          <w:sz w:val="24"/>
          <w:szCs w:val="24"/>
          <w:highlight w:val="none"/>
        </w:rPr>
        <w:t xml:space="preserve">采购人</w:t>
      </w:r>
      <w:r>
        <w:rPr>
          <w:rFonts w:hint="eastAsia" w:ascii="仿宋" w:hAnsi="仿宋" w:eastAsia="仿宋" w:cs="仿宋"/>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51" w:name="_Toc513029212"/>
      <w:r/>
      <w:bookmarkStart w:id="52" w:name="_Toc20823284"/>
      <w:r/>
      <w:bookmarkStart w:id="53" w:name="_Toc462564071"/>
      <w:r/>
      <w:bookmarkStart w:id="54" w:name="_Toc16938528"/>
      <w:r>
        <w:rPr>
          <w:rFonts w:hint="eastAsia" w:ascii="仿宋" w:hAnsi="仿宋" w:eastAsia="仿宋" w:cs="仿宋"/>
          <w:color w:val="auto"/>
          <w:sz w:val="24"/>
          <w:szCs w:val="24"/>
          <w:highlight w:val="none"/>
        </w:rPr>
        <w:t xml:space="preserve">3.磋商文件的修改</w:t>
      </w:r>
      <w:bookmarkEnd w:id="51"/>
      <w:r/>
      <w:bookmarkEnd w:id="52"/>
      <w:r/>
      <w:bookmarkEnd w:id="53"/>
      <w:r/>
      <w:bookmarkEnd w:id="54"/>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3.1在响应文件提交截止时间前，采购人或采购代理机构可以对磋商文件进行修改</w:t>
      </w:r>
      <w:r>
        <w:rPr>
          <w:rFonts w:hint="eastAsia" w:ascii="仿宋" w:hAnsi="仿宋" w:eastAsia="仿宋" w:cs="仿宋"/>
          <w:color w:val="auto"/>
          <w:sz w:val="24"/>
          <w:szCs w:val="24"/>
          <w:highlight w:val="none"/>
        </w:rPr>
        <w:t xml:space="preserve">,澄清或者修改的内容作为磋商文件的组成部分。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3.2采购人或采购代理机构有权按照法定的要求推迟响应文件提交截止日期和磋商日期。</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3.3磋商文件的修改将在江苏政府采购网公布，补充文件将作为磋商文件的组成部分，并对供应商具有约束力</w:t>
      </w:r>
      <w:r>
        <w:rPr>
          <w:rFonts w:hint="eastAsia" w:ascii="仿宋" w:hAnsi="仿宋" w:eastAsia="仿宋" w:cs="仿宋"/>
          <w:color w:val="auto"/>
          <w:sz w:val="24"/>
          <w:szCs w:val="24"/>
          <w:highlight w:val="none"/>
        </w:rPr>
        <w:t xml:space="preserve">。</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695" w:firstLine="482"/>
        <w:keepLines/>
        <w:keepNext/>
        <w:spacing w:line="460" w:lineRule="exact"/>
        <w:rPr>
          <w:rFonts w:hint="eastAsia" w:ascii="仿宋" w:hAnsi="仿宋" w:eastAsia="仿宋" w:cs="仿宋"/>
          <w:b/>
          <w:bCs/>
          <w:color w:val="auto"/>
          <w:sz w:val="24"/>
          <w:szCs w:val="24"/>
          <w:highlight w:val="none"/>
        </w:rPr>
        <w:outlineLvl w:val="2"/>
      </w:pPr>
      <w:r/>
      <w:bookmarkStart w:id="55" w:name="_Toc120614216"/>
      <w:r/>
      <w:bookmarkStart w:id="56" w:name="_Toc20823285"/>
      <w:r/>
      <w:bookmarkStart w:id="57" w:name="_Toc513029213"/>
      <w:r/>
      <w:bookmarkStart w:id="58" w:name="_Toc16938529"/>
      <w:r/>
      <w:bookmarkStart w:id="59" w:name="_Toc462564072"/>
      <w:r>
        <w:rPr>
          <w:rFonts w:hint="eastAsia" w:ascii="仿宋" w:hAnsi="仿宋" w:eastAsia="仿宋" w:cs="仿宋"/>
          <w:b/>
          <w:bCs/>
          <w:color w:val="auto"/>
          <w:sz w:val="24"/>
          <w:szCs w:val="24"/>
          <w:highlight w:val="none"/>
        </w:rPr>
        <w:t xml:space="preserve">（三）响应文件的编制</w:t>
      </w:r>
      <w:bookmarkEnd w:id="55"/>
      <w:r/>
      <w:bookmarkEnd w:id="56"/>
      <w:r/>
      <w:bookmarkEnd w:id="57"/>
      <w:r/>
      <w:bookmarkEnd w:id="58"/>
      <w:r/>
      <w:bookmarkEnd w:id="59"/>
      <w:r/>
      <w:r/>
    </w:p>
    <w:p>
      <w:pPr>
        <w:ind w:left="695" w:firstLine="480"/>
        <w:keepNext/>
        <w:spacing w:line="460" w:lineRule="exact"/>
        <w:rPr>
          <w:rFonts w:hint="eastAsia" w:ascii="仿宋" w:hAnsi="仿宋" w:eastAsia="仿宋" w:cs="仿宋"/>
          <w:bCs/>
          <w:color w:val="auto"/>
          <w:sz w:val="24"/>
          <w:szCs w:val="24"/>
          <w:highlight w:val="none"/>
        </w:rPr>
        <w:outlineLvl w:val="3"/>
      </w:pPr>
      <w:r/>
      <w:bookmarkStart w:id="60" w:name="_Toc16938530"/>
      <w:r/>
      <w:bookmarkStart w:id="61" w:name="_Toc20823286"/>
      <w:r/>
      <w:bookmarkStart w:id="62" w:name="_Toc513029214"/>
      <w:r/>
      <w:bookmarkStart w:id="63" w:name="_Toc462564073"/>
      <w:r>
        <w:rPr>
          <w:rFonts w:hint="eastAsia" w:ascii="仿宋" w:hAnsi="仿宋" w:eastAsia="仿宋" w:cs="仿宋"/>
          <w:color w:val="auto"/>
          <w:sz w:val="24"/>
          <w:szCs w:val="24"/>
          <w:highlight w:val="none"/>
        </w:rPr>
        <w:t xml:space="preserve">1.响应文件的语言及度量衡单位</w:t>
      </w:r>
      <w:bookmarkEnd w:id="60"/>
      <w:r/>
      <w:bookmarkEnd w:id="61"/>
      <w:r/>
      <w:bookmarkEnd w:id="62"/>
      <w:r/>
      <w:bookmarkEnd w:id="63"/>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1.1供应商提交的响应文件以及供应商与采购人或采购代理机构就有关磋商的所有来往通知、函件和文件均应使用简体中文。</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1.2除技术性能另有规定外，响应文件所使用的度量衡单位，均须采用国家法定计量单位</w:t>
      </w:r>
      <w:r>
        <w:rPr>
          <w:rFonts w:hint="eastAsia" w:ascii="仿宋" w:hAnsi="仿宋" w:eastAsia="仿宋" w:cs="仿宋"/>
          <w:color w:val="auto"/>
          <w:sz w:val="24"/>
          <w:szCs w:val="24"/>
          <w:highlight w:val="none"/>
        </w:rPr>
        <w:t xml:space="preserve">。</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64" w:name="_Toc462564074"/>
      <w:r/>
      <w:bookmarkStart w:id="65" w:name="_Toc16938531"/>
      <w:r/>
      <w:bookmarkStart w:id="66" w:name="_Toc20823287"/>
      <w:r/>
      <w:bookmarkStart w:id="67" w:name="_Toc513029215"/>
      <w:r>
        <w:rPr>
          <w:rFonts w:hint="eastAsia" w:ascii="仿宋" w:hAnsi="仿宋" w:eastAsia="仿宋" w:cs="仿宋"/>
          <w:color w:val="auto"/>
          <w:sz w:val="24"/>
          <w:szCs w:val="24"/>
          <w:highlight w:val="none"/>
        </w:rPr>
        <w:t xml:space="preserve">2.响应文件构成</w:t>
      </w:r>
      <w:bookmarkEnd w:id="64"/>
      <w:r/>
      <w:bookmarkEnd w:id="65"/>
      <w:r/>
      <w:bookmarkEnd w:id="66"/>
      <w:r/>
      <w:bookmarkEnd w:id="67"/>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2.1供应商编写的响应文件应包括资格审查文件、商务技术响应文件、报价响应文件。供应商按“第五部分 响应文件组成”要求编写响应文件</w:t>
      </w:r>
      <w:r>
        <w:rPr>
          <w:rFonts w:hint="eastAsia" w:ascii="仿宋" w:hAnsi="仿宋" w:eastAsia="仿宋" w:cs="仿宋"/>
          <w:color w:val="auto"/>
          <w:sz w:val="24"/>
          <w:szCs w:val="24"/>
          <w:highlight w:val="none"/>
        </w:rPr>
        <w:t xml:space="preserve">。</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68" w:name="_Hlt26668975"/>
      <w:r/>
      <w:bookmarkEnd w:id="68"/>
      <w:r/>
      <w:bookmarkStart w:id="69" w:name="_Hlt26670360"/>
      <w:r/>
      <w:bookmarkEnd w:id="69"/>
      <w:r/>
      <w:bookmarkStart w:id="70" w:name="_Hlt26954838"/>
      <w:r/>
      <w:bookmarkEnd w:id="70"/>
      <w:r/>
      <w:bookmarkStart w:id="71" w:name="_Toc49090511"/>
      <w:r/>
      <w:bookmarkStart w:id="72" w:name="_Toc14577360"/>
      <w:r>
        <w:rPr>
          <w:rFonts w:hint="eastAsia" w:ascii="仿宋" w:hAnsi="仿宋" w:eastAsia="仿宋" w:cs="仿宋"/>
          <w:color w:val="auto"/>
          <w:sz w:val="24"/>
          <w:szCs w:val="24"/>
          <w:highlight w:val="none"/>
        </w:rPr>
        <w:t xml:space="preserve">3.</w:t>
      </w:r>
      <w:bookmarkEnd w:id="71"/>
      <w:r/>
      <w:bookmarkEnd w:id="72"/>
      <w:r>
        <w:rPr>
          <w:rFonts w:hint="eastAsia" w:ascii="仿宋" w:hAnsi="仿宋" w:eastAsia="仿宋" w:cs="仿宋"/>
          <w:color w:val="auto"/>
          <w:sz w:val="24"/>
          <w:szCs w:val="24"/>
          <w:highlight w:val="none"/>
        </w:rPr>
        <w:t xml:space="preserve">磋商响应有效期</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3.1磋商响应有效期为采购文件规定的响应文件</w:t>
      </w:r>
      <w:r>
        <w:rPr>
          <w:rFonts w:hint="eastAsia" w:ascii="仿宋" w:hAnsi="仿宋" w:eastAsia="仿宋" w:cs="仿宋"/>
          <w:color w:val="auto"/>
          <w:sz w:val="24"/>
          <w:szCs w:val="24"/>
          <w:highlight w:val="none"/>
        </w:rPr>
        <w:t xml:space="preserve">提交</w:t>
      </w:r>
      <w:r>
        <w:rPr>
          <w:rFonts w:hint="eastAsia" w:ascii="仿宋" w:hAnsi="仿宋" w:eastAsia="仿宋" w:cs="仿宋"/>
          <w:bCs/>
          <w:color w:val="auto"/>
          <w:sz w:val="24"/>
          <w:szCs w:val="24"/>
          <w:highlight w:val="none"/>
        </w:rPr>
        <w:t xml:space="preserve">截止时间后</w:t>
      </w:r>
      <w:r>
        <w:rPr>
          <w:rFonts w:hint="eastAsia" w:ascii="仿宋" w:hAnsi="仿宋" w:eastAsia="仿宋" w:cs="仿宋"/>
          <w:b/>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。磋商响应有效期比规定短的将被视为非实质性响应而予以拒绝。</w:t>
      </w:r>
      <w:r/>
    </w:p>
    <w:p>
      <w:pPr>
        <w:ind w:left="695" w:firstLine="480"/>
        <w:keepNext/>
        <w:spacing w:line="460" w:lineRule="exact"/>
        <w:rPr>
          <w:rFonts w:hint="eastAsia" w:ascii="仿宋" w:hAnsi="仿宋" w:eastAsia="仿宋" w:cs="仿宋"/>
          <w:b/>
          <w:bCs/>
          <w:color w:val="auto"/>
          <w:sz w:val="24"/>
          <w:szCs w:val="24"/>
          <w:highlight w:val="none"/>
        </w:rPr>
        <w:outlineLvl w:val="3"/>
      </w:pPr>
      <w:r>
        <w:rPr>
          <w:rFonts w:hint="eastAsia" w:ascii="仿宋" w:hAnsi="仿宋" w:eastAsia="仿宋" w:cs="仿宋"/>
          <w:color w:val="auto"/>
          <w:sz w:val="24"/>
          <w:szCs w:val="24"/>
          <w:highlight w:val="none"/>
        </w:rPr>
        <w:t xml:space="preserve">4.磋商响应有效期的延长</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695" w:firstLine="480"/>
        <w:spacing w:line="460" w:lineRule="exact"/>
        <w:rPr>
          <w:rFonts w:hint="eastAsia" w:ascii="仿宋" w:hAnsi="仿宋" w:eastAsia="仿宋" w:cs="仿宋"/>
          <w:bCs/>
          <w:color w:val="auto"/>
          <w:sz w:val="24"/>
          <w:szCs w:val="24"/>
          <w:highlight w:val="none"/>
        </w:rPr>
      </w:pPr>
      <w:r/>
      <w:bookmarkStart w:id="73" w:name="_Hlt26954739"/>
      <w:r/>
      <w:bookmarkEnd w:id="73"/>
      <w:r/>
      <w:bookmarkStart w:id="74" w:name="_Hlt26954852"/>
      <w:r/>
      <w:bookmarkEnd w:id="74"/>
      <w:r/>
      <w:bookmarkStart w:id="75" w:name="_Toc513029224"/>
      <w:r/>
      <w:bookmarkStart w:id="76" w:name="_Toc16938540"/>
      <w:r/>
      <w:bookmarkStart w:id="77" w:name="_Toc120614217"/>
      <w:r/>
      <w:bookmarkStart w:id="78" w:name="_Toc20823296"/>
      <w:r>
        <w:rPr>
          <w:rFonts w:hint="eastAsia" w:ascii="仿宋" w:hAnsi="仿宋" w:eastAsia="仿宋" w:cs="仿宋"/>
          <w:bCs/>
          <w:color w:val="auto"/>
          <w:sz w:val="24"/>
          <w:szCs w:val="24"/>
          <w:highlight w:val="none"/>
        </w:rPr>
        <w:t xml:space="preserve">5.电子响应文件其他要求</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5.1电子招标投标交易平台（即“苏采云”系统）相关要求是本采购文件的组成部分。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5.2供应商应对CA证书妥善保管，如被他人盗用投标，因此带来的结果均由供应商自行承担。</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5.3供应商应当对采购文件提出的实质性要求和条件作出实质性响应，并在电子投标系统逐条应答。</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5.4供应商应对要求提供的资格证明文件（如资质证书、资格证书）、技术资料（如白皮书、彩页、手册、检测报告等）扫描上传至投标系统。</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695" w:firstLine="482"/>
        <w:keepLines/>
        <w:keepNext/>
        <w:spacing w:line="460" w:lineRule="exact"/>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（四）响应文件的提交</w:t>
      </w:r>
      <w:bookmarkEnd w:id="75"/>
      <w:r/>
      <w:bookmarkEnd w:id="76"/>
      <w:r/>
      <w:bookmarkEnd w:id="77"/>
      <w:r/>
      <w:bookmarkEnd w:id="78"/>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79" w:name="_Toc462564084"/>
      <w:r/>
      <w:bookmarkStart w:id="80" w:name="_Toc513029225"/>
      <w:r/>
      <w:bookmarkStart w:id="81" w:name="_Toc16938541"/>
      <w:r/>
      <w:bookmarkStart w:id="82" w:name="_Toc20823297"/>
      <w:r/>
      <w:bookmarkStart w:id="83" w:name="_Toc20823301"/>
      <w:r/>
      <w:bookmarkStart w:id="84" w:name="_Toc16938545"/>
      <w:r/>
      <w:bookmarkStart w:id="85" w:name="_Toc120614218"/>
      <w:r/>
      <w:bookmarkStart w:id="86" w:name="_Toc513029229"/>
      <w:r>
        <w:rPr>
          <w:rFonts w:hint="eastAsia" w:ascii="仿宋" w:hAnsi="仿宋" w:eastAsia="仿宋" w:cs="仿宋"/>
          <w:color w:val="auto"/>
          <w:sz w:val="24"/>
          <w:szCs w:val="24"/>
          <w:highlight w:val="none"/>
        </w:rPr>
        <w:t xml:space="preserve">1.响应文件</w:t>
      </w:r>
      <w:bookmarkEnd w:id="79"/>
      <w:r/>
      <w:bookmarkEnd w:id="80"/>
      <w:r/>
      <w:bookmarkEnd w:id="81"/>
      <w:r/>
      <w:bookmarkEnd w:id="82"/>
      <w:r>
        <w:rPr>
          <w:rFonts w:hint="eastAsia" w:ascii="仿宋" w:hAnsi="仿宋" w:eastAsia="仿宋" w:cs="仿宋"/>
          <w:color w:val="auto"/>
          <w:sz w:val="24"/>
          <w:szCs w:val="24"/>
          <w:highlight w:val="none"/>
        </w:rPr>
        <w:t xml:space="preserve">的提交</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1.1线上提交与接收地点：供应商应当通过“苏采云”系统提交数据电文形式的响应文件（即电子投标），“苏采云”系统自动接收。</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2.提交响应文件截止日期</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2.1供应商上传电子响应文件的时间不得迟于竞争性磋商公告中规定的响应文件提交截止时间。</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3.响应文件的密封（加密）要求：</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3.2供应商须通过“苏采云”系统提供的政府采购客户端工具（使用“CA数字证书”）加盖电子签章。</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说明：供应商应在用CA数字证书以及自备的能够登录“苏采云”系统的电脑，在达到开标时间后，使用CA数字证书解密各自响应文件。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3.3供应商未按规定加密的响应文件，“苏采云”系统将拒收并提示。</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4.响应文件的拒收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4.1“苏采云”系统拒绝接收在规定的响应文件提交截止时间后上传的任何响应文件。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5.响应文件的撤回和修改</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5.1响应文件的撤回</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5.1.1电子响应文件的撤回</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供应商可在响应文件提交截止时间前，撤回其电子响应文件，具体操作方法见“苏采云”系统供应商操作手册。</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5.1.2供应商撤回电子响应文件，则认为其不再参与本项目竞争性磋商活动。</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5.2响应文件的修改</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供应商可在响应文件提交截止时间前，对其电子响应文件进行修改。具体操作方法见“苏采云”系统供应商操作手册。</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5.3在响应文件提交截止时间之后，供应商不得对其电子响应文件作任何修改。</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5.4在响应文件提交截止时间至磋商文件中规定的磋商响应有效期满之间的这段时间内，供应商不得撤回其响应文件。</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w:t>
      </w:r>
      <w:bookmarkEnd w:id="83"/>
      <w:r/>
      <w:bookmarkEnd w:id="84"/>
      <w:r/>
      <w:bookmarkEnd w:id="85"/>
      <w:r/>
      <w:bookmarkEnd w:id="86"/>
      <w:r/>
      <w:bookmarkStart w:id="87" w:name="_Toc16938546"/>
      <w:r/>
      <w:bookmarkStart w:id="88" w:name="_Toc20823302"/>
      <w:r/>
      <w:bookmarkStart w:id="89" w:name="_Toc513029230"/>
      <w:r>
        <w:rPr>
          <w:rFonts w:hint="eastAsia" w:ascii="仿宋" w:hAnsi="仿宋" w:eastAsia="仿宋" w:cs="仿宋"/>
          <w:b/>
          <w:bCs/>
          <w:color w:val="auto"/>
          <w:sz w:val="24"/>
          <w:szCs w:val="24"/>
          <w:highlight w:val="none"/>
        </w:rPr>
        <w:t xml:space="preserve">磋商与评审</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1.磋商仪式</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1.1采购人或采购代理机构将在磋商公告中规定的时间和地点组织磋商开始仪式。</w:t>
      </w:r>
      <w:r/>
    </w:p>
    <w:p>
      <w:pPr>
        <w:ind w:left="695" w:firstLine="482"/>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仿宋" w:hAnsi="仿宋" w:eastAsia="仿宋" w:cs="仿宋"/>
          <w:b/>
          <w:color w:val="auto"/>
          <w:sz w:val="24"/>
          <w:szCs w:val="24"/>
          <w:highlight w:val="none"/>
          <w:u w:val="single"/>
        </w:rPr>
        <w:t xml:space="preserve">30分钟</w:t>
      </w:r>
      <w:r>
        <w:rPr>
          <w:rFonts w:hint="eastAsia" w:ascii="仿宋" w:hAnsi="仿宋" w:eastAsia="仿宋" w:cs="仿宋"/>
          <w:b/>
          <w:color w:val="auto"/>
          <w:sz w:val="24"/>
          <w:szCs w:val="24"/>
          <w:highlight w:val="none"/>
        </w:rPr>
        <w:t xml:space="preserve">之内完成。</w:t>
      </w:r>
      <w:r>
        <w:rPr>
          <w:rFonts w:hint="eastAsia" w:ascii="仿宋" w:hAnsi="仿宋" w:eastAsia="仿宋" w:cs="仿宋"/>
          <w:b/>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b/>
          <w:color w:val="auto"/>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1.2磋商活动的文件解密工作由采购代理机构组织。</w:t>
      </w:r>
      <w:r/>
    </w:p>
    <w:p>
      <w:pPr>
        <w:ind w:left="695" w:firstLine="482"/>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仿宋" w:hAnsi="仿宋" w:eastAsia="仿宋" w:cs="仿宋"/>
          <w:b/>
          <w:color w:val="auto"/>
          <w:sz w:val="24"/>
          <w:szCs w:val="24"/>
          <w:highlight w:val="none"/>
          <w:u w:val="single"/>
        </w:rPr>
        <w:t xml:space="preserve">15分钟</w:t>
      </w:r>
      <w:r>
        <w:rPr>
          <w:rFonts w:hint="eastAsia" w:ascii="仿宋" w:hAnsi="仿宋" w:eastAsia="仿宋" w:cs="仿宋"/>
          <w:b/>
          <w:color w:val="auto"/>
          <w:sz w:val="24"/>
          <w:szCs w:val="24"/>
          <w:highlight w:val="none"/>
        </w:rPr>
        <w:t xml:space="preserve">内填写并提交最后报价，未在规定时间内提交最后报价的，视作无效响应处理。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2.磋商小组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2.1磋商开始仪式结束后，采购人或采购代理机构将立即组织磋商小组进行评审。</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2.3超过公开招标限额标准的项目，磋商小组应当由5人及以上单数组成。</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2.5磋商小组独立工作，负责评审所有响应文件并确定成交候选人。</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3.磋商评审过程的保密与公正</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3.1磋商小组、采购人或采购代理机构、相关监督人员等与评审工作有关的人员，对评审情况以及在评审过程中获悉的国家秘密、商业秘密负有保密责任。</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3.2在磋商评审过程中，磋商供应商不得以任何行为影响磋商评审过程，否则其响应文件将被作为无效响应文件。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3.5在评审期间，采购人或采购代理机构将设专门人员与供应商联系。</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3.6采购人、采购代理机构和磋商小组不向未成交的供应商解释未成交原因，也不公布评审过程中的相关细节。</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4、评审过程的澄清</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4.3接到磋商小组澄清、说明和更正要求的供应商如未按规定做出澄清、说明和更正，其风险由供应商自行承担。</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5.对响应文件的审查</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5.1响应文件初审分为资格性审查和符合性审查。</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5.1.1资格性检查：由磋商小组依据法律法规和磋商文件的规定，对响应文件中的资格证明文件进行审查，以确定供应商是否具备参加磋商的资格。</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磋商小组在进行资格性审查的同时，将在“信用中国”网站查询供应商的信用记录，以确定供应商是否具备磋商资格。</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5.1.2符合性审查：依据磋商文件的规定，由磋商小组从响应文件的有效性、完整性和对磋商文件的响应程度进行审查，以确定是否对磋商文件的实质性要求作出响应。</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w:t>
      </w:r>
      <w:r>
        <w:rPr>
          <w:rFonts w:hint="eastAsia" w:ascii="仿宋" w:hAnsi="仿宋" w:eastAsia="仿宋" w:cs="仿宋"/>
          <w:color w:val="auto"/>
          <w:sz w:val="24"/>
          <w:szCs w:val="24"/>
          <w:highlight w:val="none"/>
        </w:rPr>
        <w:t xml:space="preserve">在详细评审之前</w:t>
      </w:r>
      <w:r>
        <w:rPr>
          <w:rFonts w:hint="eastAsia" w:ascii="仿宋" w:hAnsi="仿宋" w:eastAsia="仿宋" w:cs="仿宋"/>
          <w:bCs/>
          <w:color w:val="auto"/>
          <w:sz w:val="24"/>
          <w:szCs w:val="24"/>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5.4磋商小组将对确定为实质性响应的文件进行进一步审核，看其是否有计算上或累加上的算术错误，修正错误的原则如下：</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（1）响应文件中报价总表内容与响应文件中相应内容不一致的，以报价总表为准。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（3）单价金额小数点或者百分比有明显错位的，以报价总表的总价为准，并修改单价。</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5.5磋商小组将按上述修正错误的方法调整响应文件中的报价，通过“苏采云系统”</w:t>
      </w:r>
      <w:r>
        <w:rPr>
          <w:rFonts w:hint="eastAsia" w:ascii="仿宋" w:hAnsi="仿宋" w:eastAsia="仿宋" w:cs="仿宋"/>
          <w:b/>
          <w:color w:val="auto"/>
          <w:sz w:val="24"/>
          <w:szCs w:val="24"/>
          <w:highlight w:val="none"/>
        </w:rPr>
        <w:t xml:space="preserve">开标大厅</w:t>
      </w:r>
      <w:r>
        <w:rPr>
          <w:rFonts w:hint="eastAsia" w:ascii="仿宋" w:hAnsi="仿宋" w:eastAsia="仿宋" w:cs="仿宋"/>
          <w:bCs/>
          <w:color w:val="auto"/>
          <w:sz w:val="24"/>
          <w:szCs w:val="24"/>
          <w:highlight w:val="none"/>
        </w:rPr>
        <w:t xml:space="preserve">告知供应商，调整后的价格应对供应商具有约束力。如果供应商不接受修正后的价格，则其磋商响应文件将被拒绝。</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5.6磋商小组将允许修正响应文件中不构成重大偏离的、微小的、非正规的、不一致的或不规则的地方，但这些修改不能影响任何供应商相应的名次排列。</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5.7供应商在评审全过程中应保持通讯畅通，并安排专人与采购人或采购代理机构及磋商小组联系</w:t>
      </w:r>
      <w:r>
        <w:rPr>
          <w:rFonts w:hint="eastAsia" w:ascii="仿宋" w:hAnsi="仿宋" w:eastAsia="仿宋" w:cs="仿宋"/>
          <w:color w:val="auto"/>
          <w:sz w:val="24"/>
          <w:szCs w:val="24"/>
          <w:highlight w:val="none"/>
        </w:rPr>
        <w:t xml:space="preserve">。</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6.响应文件线上格式要求</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6.1供应商应当通过“苏采云”系统提交数据电文形式的响应文件（即电子投标）。</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6.2通过“苏采云”系统提交政府采购客户端工具导出加密的响应文件（后缀名为zip）。响应文件不得超过150M！</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6.3本项目采用线上投标，即供应商响应文件从政府采购客户端工具制作通过“苏采云”系统提交，未提供线上响应文件的，投标无效。</w:t>
      </w:r>
      <w:bookmarkEnd w:id="87"/>
      <w:r/>
      <w:bookmarkEnd w:id="88"/>
      <w:r/>
      <w:bookmarkEnd w:id="89"/>
      <w:r/>
      <w:bookmarkStart w:id="90" w:name="_Toc120614219"/>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w:t>
      </w:r>
      <w:bookmarkEnd w:id="90"/>
      <w:r>
        <w:rPr>
          <w:rFonts w:hint="eastAsia" w:ascii="仿宋" w:hAnsi="仿宋" w:eastAsia="仿宋" w:cs="仿宋"/>
          <w:b/>
          <w:bCs/>
          <w:color w:val="auto"/>
          <w:sz w:val="24"/>
          <w:szCs w:val="24"/>
          <w:highlight w:val="none"/>
        </w:rPr>
        <w:t xml:space="preserve">成交</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1.确定成交单位</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1.1成交候选供应商的选取原则和数量见磋商文件第四章规定。</w:t>
      </w:r>
      <w:r/>
    </w:p>
    <w:p>
      <w:pPr>
        <w:ind w:left="695" w:firstLine="480"/>
        <w:spacing w:line="4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b/>
          <w:bCs/>
          <w:color w:val="auto"/>
          <w:sz w:val="24"/>
          <w:szCs w:val="24"/>
          <w:highlight w:val="none"/>
        </w:rPr>
        <w:t xml:space="preserve">采购人授权磋商小组在成交候选供应商中直接确定成交供应商。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1.3采购代理机构将在“江苏政府采购网”发布成交结果公告，公告期限为1个工作日。</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1.4若有充分证据证明，成交供应商出现下列情况之一的，一经查实，将被取消成交资格：</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1.4.1提供虚假材料谋取成交的。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1.4.2向采购人或采购代理机构行贿或者评审专家提供其他不正当利益的。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1.4.3恶意竞争，最后报价明显低于其自身合理成本且又无法提供证明的。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1.4.4属于本文件规定的无效条件，但在评审过程中又未被磋商小组发现的。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1.4.5</w:t>
      </w:r>
      <w:r>
        <w:rPr>
          <w:rFonts w:hint="eastAsia" w:ascii="仿宋" w:hAnsi="仿宋" w:eastAsia="仿宋" w:cs="仿宋"/>
          <w:bCs/>
          <w:color w:val="auto"/>
          <w:sz w:val="24"/>
          <w:szCs w:val="24"/>
          <w:highlight w:val="none"/>
        </w:rPr>
        <w:t xml:space="preserve">与评审专家、采购人、其他供应商或者采购中心工作人员恶意串通的。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1.4.6采取不正当手段诋毁、排挤其他供应商的。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1.4.7成交后无正当理由拒不与采购人签订政府采购合同或者未按照磋商文件确定的事项签订政府采购合同的。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1.4.8将政府采购合同</w:t>
      </w:r>
      <w:r>
        <w:rPr>
          <w:rFonts w:hint="eastAsia" w:ascii="仿宋" w:hAnsi="仿宋" w:eastAsia="仿宋" w:cs="仿宋"/>
          <w:b/>
          <w:color w:val="auto"/>
          <w:sz w:val="24"/>
          <w:szCs w:val="24"/>
          <w:highlight w:val="none"/>
          <w:u w:val="single"/>
        </w:rPr>
        <w:t xml:space="preserve">分包或转包的。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1.5.有下列情形之一的，视为供应商串通参与磋商，响应无效：</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1.5.1不同供应商的响应文件由同一单位或者个人编制；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1.5.2不同供应商委托同一单位或者个人办理磋商事宜；</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1.5.3不同供应商的响应文件载明的项目管理成员或者联系人员为同一人；</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1.5.4不同供应商的响应文件异常一致或者响应报价呈规律性差异。</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2.质疑处理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2.1提出质疑的供应商应当是参与所质疑项目采购活动的供应商。潜在供应商依法获取其可质疑的磋商文件的，可以对磋商文件提出质疑。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2.2.1对可以质疑的磋商文件提出质疑的，为收到磋商文件之日或者磋商文件公告期限届满之日；</w:t>
      </w:r>
      <w:r/>
    </w:p>
    <w:p>
      <w:pPr>
        <w:ind w:left="695" w:firstLine="482"/>
        <w:spacing w:line="460" w:lineRule="exac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注明：本项目5个工作日后仍可下载</w:t>
      </w:r>
      <w:r>
        <w:rPr>
          <w:rFonts w:hint="eastAsia" w:ascii="仿宋" w:hAnsi="仿宋" w:eastAsia="仿宋" w:cs="仿宋"/>
          <w:b/>
          <w:bCs/>
          <w:color w:val="auto"/>
          <w:sz w:val="24"/>
          <w:szCs w:val="24"/>
          <w:highlight w:val="none"/>
          <w:lang w:eastAsia="zh-CN"/>
        </w:rPr>
        <w:t xml:space="preserve">磋商文件</w:t>
      </w:r>
      <w:r>
        <w:rPr>
          <w:rFonts w:hint="eastAsia" w:ascii="仿宋" w:hAnsi="仿宋" w:eastAsia="仿宋" w:cs="仿宋"/>
          <w:b/>
          <w:bCs/>
          <w:color w:val="auto"/>
          <w:sz w:val="24"/>
          <w:szCs w:val="24"/>
          <w:highlight w:val="none"/>
        </w:rPr>
        <w:t xml:space="preserve">，但不作为</w:t>
      </w:r>
      <w:r>
        <w:rPr>
          <w:rFonts w:hint="eastAsia" w:ascii="仿宋" w:hAnsi="仿宋" w:eastAsia="仿宋" w:cs="仿宋"/>
          <w:b/>
          <w:bCs/>
          <w:color w:val="auto"/>
          <w:sz w:val="24"/>
          <w:szCs w:val="24"/>
          <w:highlight w:val="none"/>
          <w:lang w:eastAsia="zh-CN"/>
        </w:rPr>
        <w:t xml:space="preserve">响应供应商</w:t>
      </w:r>
      <w:r>
        <w:rPr>
          <w:rFonts w:hint="eastAsia" w:ascii="仿宋" w:hAnsi="仿宋" w:eastAsia="仿宋" w:cs="仿宋"/>
          <w:b/>
          <w:bCs/>
          <w:color w:val="auto"/>
          <w:sz w:val="24"/>
          <w:szCs w:val="24"/>
          <w:highlight w:val="none"/>
        </w:rPr>
        <w:t xml:space="preserve">权益受到损害的证明材料和依据</w:t>
      </w:r>
      <w:r>
        <w:rPr>
          <w:rFonts w:hint="eastAsia" w:ascii="仿宋" w:hAnsi="仿宋" w:eastAsia="仿宋" w:cs="仿宋"/>
          <w:b/>
          <w:bCs/>
          <w:color w:val="auto"/>
          <w:sz w:val="24"/>
          <w:szCs w:val="24"/>
          <w:highlight w:val="none"/>
          <w:lang w:eastAsia="zh-CN"/>
        </w:rPr>
        <w:t xml:space="preserve">。</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2.2.2对采购过程提出质疑的，为各采购程序环节结束之日；</w:t>
      </w:r>
      <w:r/>
    </w:p>
    <w:p>
      <w:pPr>
        <w:ind w:left="695" w:firstLine="482"/>
        <w:spacing w:line="460" w:lineRule="exact"/>
        <w:tabs>
          <w:tab w:val="left" w:pos="6555" w:leader="none"/>
          <w:tab w:val="right" w:pos="8306"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2.2.3对成交结果提出质疑的，为成交结果公告期限届满之日。</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2.4质疑答复依据《政府采购质疑和投诉办法》（财政部令第94号）。</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采购人或采购代理机构质疑接收人及联系方式，见磋商文件第一部分。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2.5以下情形的质疑不予受理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2.5.1内容不符合《政府采购质疑和投诉办法》第十二条规定的质疑。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2.5.2超出政府采购法定期限的质疑。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2.5.3未参加磋商活动的供应商或在磋商活动中自身权益未受到损害的供应商所提出的质疑。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2.5.4供应商组成联合体参加磋商，联合体中任何一方或多方未按要求签字、盖章、加盖公章的质疑。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（七）成交通知书</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695" w:firstLine="482"/>
        <w:spacing w:line="4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特别说明：成交供应商在下载成交通知书后须提供</w:t>
      </w:r>
      <w:r>
        <w:rPr>
          <w:rFonts w:hint="eastAsia" w:ascii="仿宋" w:hAnsi="仿宋" w:eastAsia="仿宋" w:cs="仿宋"/>
          <w:b/>
          <w:bCs/>
          <w:color w:val="auto"/>
          <w:sz w:val="24"/>
          <w:szCs w:val="24"/>
          <w:highlight w:val="none"/>
          <w:lang w:val="en-US" w:eastAsia="zh-CN"/>
        </w:rPr>
        <w:t xml:space="preserve">叁套系统内打印的纸质响应文件、</w:t>
      </w:r>
      <w:r>
        <w:rPr>
          <w:rFonts w:hint="eastAsia" w:ascii="仿宋" w:hAnsi="仿宋" w:eastAsia="仿宋" w:cs="仿宋"/>
          <w:b/>
          <w:bCs/>
          <w:color w:val="auto"/>
          <w:sz w:val="24"/>
          <w:szCs w:val="24"/>
          <w:highlight w:val="none"/>
          <w:u w:val="none"/>
        </w:rPr>
        <w:t xml:space="preserve">叁份U盘或光盘</w:t>
      </w:r>
      <w:r>
        <w:rPr>
          <w:rFonts w:hint="eastAsia" w:ascii="仿宋" w:hAnsi="仿宋" w:eastAsia="仿宋" w:cs="仿宋"/>
          <w:b/>
          <w:bCs/>
          <w:color w:val="auto"/>
          <w:sz w:val="24"/>
          <w:szCs w:val="24"/>
          <w:highlight w:val="none"/>
        </w:rPr>
        <w:t xml:space="preserve">响应文件给采购代理机构做归档。</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（八）授予合同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1.签订合同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1.l成交供应商应当在成交通知书发出之日起三十日内，按照磋商文件确定的事项与采购人签订政府采购合同。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1.2磋商文件、成交供应商的响应文件及磋商过程中有关澄清、承诺文件均应作为合同附件。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2.标的物的追加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3.办理政采贷和履约保函（保险）告知函</w:t>
      </w:r>
      <w:r/>
    </w:p>
    <w:p>
      <w:pPr>
        <w:ind w:left="695"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（九）电子招标投标交易平台</w:t>
      </w:r>
      <w:r/>
    </w:p>
    <w:p>
      <w:pPr>
        <w:ind w:left="695" w:firstLine="480"/>
        <w:spacing w:line="460" w:lineRule="exact"/>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"http://jszfcg.jsczt.cn/）相关要求是本采购文件的组成部分。"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lang w:eastAsia="en-US"/>
        </w:rPr>
        <w:t xml:space="preserve">http://jszfcg.jsczt.cn/）相关要求是本采购文件的组成部分。</w:t>
      </w:r>
      <w:r>
        <w:rPr>
          <w:rFonts w:hint="eastAsia" w:ascii="仿宋" w:hAnsi="仿宋" w:eastAsia="仿宋" w:cs="仿宋"/>
          <w:color w:val="auto"/>
          <w:sz w:val="24"/>
          <w:szCs w:val="24"/>
          <w:highlight w:val="none"/>
          <w:lang w:eastAsia="en-US"/>
        </w:rPr>
        <w:fldChar w:fldCharType="end"/>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（十）未尽事宜</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按《中华人民共和国政府采购法》《政府采购竞争性磋商采购方式管理暂行办法》及其他有关法律法规的规定执行。</w:t>
      </w:r>
      <w:r/>
    </w:p>
    <w:p>
      <w:pPr>
        <w:ind w:left="695" w:firstLine="0"/>
        <w:rPr>
          <w:rFonts w:hint="eastAsia" w:ascii="仿宋" w:hAnsi="仿宋" w:eastAsia="仿宋" w:cs="仿宋"/>
          <w:color w:val="auto"/>
          <w:sz w:val="24"/>
          <w:szCs w:val="24"/>
          <w:highlight w:val="none"/>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color w:val="auto"/>
          <w:sz w:val="24"/>
          <w:szCs w:val="24"/>
          <w:highlight w:val="none"/>
        </w:rPr>
      </w:r>
      <w:r/>
    </w:p>
    <w:p>
      <w:pPr>
        <w:ind w:left="697" w:firstLine="1920"/>
        <w:jc w:val="both"/>
        <w:keepLines w:val="0"/>
        <w:keepNext w:val="0"/>
        <w:pageBreakBefore w:val="0"/>
        <w:spacing w:line="360" w:lineRule="auto"/>
        <w:widowControl/>
        <w:rPr>
          <w:rFonts w:hint="eastAsia" w:ascii="仿宋" w:hAnsi="仿宋" w:eastAsia="仿宋" w:cs="仿宋"/>
          <w:b/>
          <w:bCs/>
          <w:color w:val="auto"/>
          <w:sz w:val="44"/>
          <w:highlight w:val="none"/>
        </w:rPr>
      </w:pPr>
      <w:r>
        <w:rPr>
          <w:rFonts w:hint="eastAsia" w:ascii="仿宋" w:hAnsi="仿宋" w:eastAsia="仿宋" w:cs="仿宋"/>
          <w:color w:val="auto"/>
          <w:sz w:val="32"/>
          <w:szCs w:val="32"/>
          <w:highlight w:val="none"/>
        </w:rPr>
        <w:t xml:space="preserve">第三章  </w:t>
      </w:r>
      <w:bookmarkEnd w:id="24"/>
      <w:r>
        <w:rPr>
          <w:rFonts w:hint="eastAsia" w:ascii="仿宋" w:hAnsi="仿宋" w:eastAsia="仿宋" w:cs="仿宋"/>
          <w:b/>
          <w:bCs/>
          <w:color w:val="auto"/>
          <w:sz w:val="32"/>
          <w:szCs w:val="32"/>
          <w:highlight w:val="none"/>
        </w:rPr>
        <w:t xml:space="preserve">项目需求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一、采购标的需实现的功能或者目标，以及为落实政府采购政策需满足的要求</w:t>
      </w:r>
      <w:r/>
    </w:p>
    <w:p>
      <w:pPr>
        <w:pStyle w:val="821"/>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持续优化我校教材建设机制，提升教材出版工作的计划性与协同效率，助力学校未来三年教材建设项目顺利落地，现通过竞争性磋商方式择优选定1家具备教材出版服务能力的第三方代理机构，更够根据学校拟建设出版教材的选题方向，遴选、推荐、对接合适的正规出版社，为拟建设出版的教材提供书号申请、编辑审校、排版设计、印刷装订、出版备案等教材出版全流程服务，服务期为3年（合同签订之日起）。</w:t>
      </w:r>
      <w:r/>
    </w:p>
    <w:p>
      <w:pPr>
        <w:pStyle w:val="821"/>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二、采购标的需执行的国家相关标准、行业标准、地方标准或者其他标准、规范</w:t>
      </w:r>
      <w:r/>
    </w:p>
    <w:p>
      <w:pPr>
        <w:pStyle w:val="821"/>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各环节均须遵循国家相关法律法规、江苏省地方及相关行业的规范标准、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本项目需满足的质量、安全、技术规格、物理特性等要求</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
          <w:bCs/>
          <w:color w:val="auto"/>
          <w:sz w:val="24"/>
          <w:szCs w:val="24"/>
          <w:highlight w:val="none"/>
          <w:lang w:val="en-US" w:eastAsia="zh-CN"/>
        </w:rPr>
        <w:t xml:space="preserve">技术规格及要求</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（一）总体要求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本次采购旨在通过竞争性磋商方式遴选1家教材出版服务第三方代理机构，为学校提供纸质教材的全流程出版服务。成交供应商须具备教材出版代理服务的专业能力与资源整合实力，提供涵盖教材编写指导、书号申请、编辑审校、排版设计、印刷装订、出版备案等环节的一站式服务，确保教材出版工作按计划高质量完成。学校以水上运输、船舶与海洋工程装备、陆上交通及航空运输等专业为核心特色，成交供应商须具备协调航海类、船舶海工类、陆上交通及航空类等权威专业出版社资源的能力，以满足不同专业教材出版的专业性和权威性要求。</w:t>
      </w:r>
      <w:r/>
    </w:p>
    <w:p>
      <w:pPr>
        <w:ind w:firstLine="482"/>
        <w:keepLines w:val="0"/>
        <w:keepNext w:val="0"/>
        <w:pageBreakBefore w:val="0"/>
        <w:spacing w:line="360" w:lineRule="auto"/>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（二）服务范围与内容</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1.校本教材出版代理服务（常规类）</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为学校立项建设的校本教材（含新编教材及修订教材）提供以下全流程出版服务：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（1）书号申请与管理。为每部教材申请国家新闻出版署核发的正式ISBN书号及CIP数据，一书一号，确保书号来源合法合规。</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（2）编辑审校。安排具有相关专业背景的编辑对书稿进行“三审三校”，确保文字差错率低于万分之一，内容体例、图表、参考文献等符合国家出版规范。</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（3）排版设计。根据教材内容及学校要求，提供专业的版式设计和封面设计，设计方案须经学校书面确认。</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（4）印刷装订。按学校确认的印数组织印刷，使用环保材料，确保印刷清晰、装订牢固。</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2.省规、国规、全国教材奖等优秀获奖教材修订再版专项服务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针对学校现有的省规、国规、全国教材奖等优质获奖教材，需要根据行业发展、技术更新及课程改革要求进行修订再版。供应商须提供以下精准服务：</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highlight w:val="none"/>
        </w:rPr>
      </w:pPr>
      <w:r>
        <w:rPr>
          <w:rStyle w:val="998"/>
          <w:rFonts w:hint="eastAsia" w:ascii="仿宋" w:hAnsi="仿宋" w:eastAsia="仿宋" w:cs="仿宋"/>
          <w:b/>
          <w:bCs/>
          <w:color w:val="auto"/>
          <w:sz w:val="24"/>
          <w:szCs w:val="24"/>
          <w:highlight w:val="none"/>
          <w:lang w:val="en-US" w:eastAsia="zh-CN"/>
        </w:rPr>
        <w:t xml:space="preserve">（1）★原出版社对接。能够凭借自身行业资源，准确对接教材原出版社（包含但不限于大连海事大学出版社、哈尔滨工程大学出版社、人民交通出版社、高等教育出版社、机械工业出版社、上海交通大学出版社、北京航空航天大学出版社、航空工业出版社、湖南大学出版社、南京大学出版社等），协调原出版社同意修订再版事宜，并签订相关出版合同。</w:t>
      </w:r>
      <w:r>
        <w:rPr>
          <w:rStyle w:val="998"/>
          <w:rFonts w:hint="eastAsia" w:ascii="仿宋" w:hAnsi="仿宋" w:eastAsia="仿宋" w:cs="仿宋"/>
          <w:b/>
          <w:bCs/>
          <w:color w:val="auto"/>
          <w:sz w:val="24"/>
          <w:szCs w:val="24"/>
          <w:highlight w:val="none"/>
          <w:u w:val="single"/>
          <w:lang w:val="en-US" w:eastAsia="zh-CN"/>
        </w:rPr>
        <w:t xml:space="preserve">若项目承接后不满足此条款，采购人取消其中标权利，供应商的相关行为被列入江苏航运职业技术学院采购行为不良记录，缴纳的履约保证金作为违约金给予采购人。（以上承诺格式自拟）。</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u w:val="single"/>
          <w:lang w:val="en-US" w:eastAsia="zh-CN"/>
        </w:rPr>
      </w:pPr>
      <w:r>
        <w:rPr>
          <w:rStyle w:val="998"/>
          <w:rFonts w:hint="eastAsia" w:ascii="仿宋" w:hAnsi="仿宋" w:eastAsia="仿宋" w:cs="仿宋"/>
          <w:b/>
          <w:bCs/>
          <w:color w:val="auto"/>
          <w:sz w:val="24"/>
          <w:szCs w:val="24"/>
          <w:highlight w:val="none"/>
          <w:u w:val="single"/>
          <w:lang w:val="en-US" w:eastAsia="zh-CN"/>
        </w:rPr>
        <w:t xml:space="preserve">此条款为符合性条款，供应商须针对以上要求作承诺响应，未承诺或未完全响应的为实质性未响应，作无效响应处理。</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（2）出版社编辑全流程参与。落实原出版社的责任编辑全程参与教材修订过程，包括：</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参与修订大纲的研讨与审定；</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对修订内容进行专业指导，确保修订内容符合最新行业标准与教学要求；</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对修订稿进行“三审三校”，确保修订质量；</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协助解决版权、图片授权等法律事务。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（3）修订进度管理。协助学校制定合理的修订计划，统筹作者团队、出版社编辑、排版设计等多方资源，确保修订教材按时高质量出版。</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（4）版本更新标识。按照出版规范，协助完成修订版次标注、版本说明及配套资源（如数字资源、课件更新）的同步更新。</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3.“十五五”期间省规、国规、全国教材奖等优秀教材申报指导服务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供应商除提供出版代理核心服务外，须具备以下教材建设增值服务能力，以协助学校提升教材建设质量与影响力：</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w:t>
      </w:r>
      <w:r>
        <w:rPr>
          <w:rStyle w:val="998"/>
          <w:rFonts w:hint="default" w:ascii="仿宋" w:hAnsi="仿宋" w:eastAsia="仿宋" w:cs="仿宋"/>
          <w:color w:val="auto"/>
          <w:sz w:val="24"/>
          <w:szCs w:val="24"/>
          <w:highlight w:val="none"/>
          <w:lang w:val="en-US" w:eastAsia="zh-CN"/>
        </w:rPr>
        <w:t xml:space="preserve">优秀教材申报指导。供应商应具备丰富的职业教育教材建设经验，能协助学校构建“三主编”教材开发机制，成立由学校专业带头人、企业技术专家、行业权威专家组成的教材建设指导委员会；能够为学校“十五五”期间省规、国规、全国教材奖等优秀教材申报提供以下专业指导：</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1）政策解读与选题策划。及时解读国家及省级教育主管部门关于规划教材等教材项目申报的最新政策、评审标准和申报流程，协助学校分析优势专业、梳理教材建设基础，科学策划选题方向。</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2）申报材料编制指导。指导教材编写团队编写申报书、编写说明、教材特色与创新点、应用效果证明等申报材料，确保材料规范、重点突出、竞争力强。</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3）资源整合与成果凝练。协助学校整合教材建设过程中的支撑材料（如出版社证明、使用学校证明、教师评价、学生反馈、教学成果等），凝练教材特色与创新点。</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4）专家咨询与模拟评审。组织教材建设领域的专家开展申报预审和模拟评审，提出改进建议，提升申报成功率。</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5）过程跟踪与动态反馈。在申报周期内，持续跟踪省厅、教育部评审动态，及时反馈信息，协助学校做好答辩准备或材料补正。</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default" w:ascii="仿宋" w:hAnsi="仿宋" w:eastAsia="仿宋" w:cs="仿宋"/>
          <w:i w:val="0"/>
          <w:iCs w:val="0"/>
          <w:color w:val="auto"/>
          <w:sz w:val="24"/>
          <w:szCs w:val="24"/>
          <w:highlight w:val="none"/>
          <w:lang w:val="en-US" w:eastAsia="zh-CN"/>
        </w:rPr>
        <w:t xml:space="preserve">（2）教材推广服务。供应商应具备教材市场推广的专业能力，能够为学校已出版教材提供以下推广服务，助力提升学校教材的全国影响力与发行覆盖面：</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1）</w:t>
      </w:r>
      <w:r>
        <w:rPr>
          <w:rFonts w:hint="default" w:ascii="仿宋" w:hAnsi="仿宋" w:eastAsia="仿宋" w:cs="仿宋"/>
          <w:i w:val="0"/>
          <w:iCs w:val="0"/>
          <w:color w:val="auto"/>
          <w:sz w:val="24"/>
          <w:szCs w:val="24"/>
          <w:highlight w:val="none"/>
          <w:lang w:val="en-US" w:eastAsia="zh-CN"/>
        </w:rPr>
        <w:t xml:space="preserve">教材线上平台推广。利用供应商自有或合作的教材信息服务平台、在线巡展平台等渠道，将学校教材纳入教材推荐目录，面向全国高校进行线上展示与推介，拓宽教材的选用渠道。</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2）</w:t>
      </w:r>
      <w:r>
        <w:rPr>
          <w:rFonts w:hint="default" w:ascii="仿宋" w:hAnsi="仿宋" w:eastAsia="仿宋" w:cs="仿宋"/>
          <w:i w:val="0"/>
          <w:iCs w:val="0"/>
          <w:color w:val="auto"/>
          <w:sz w:val="24"/>
          <w:szCs w:val="24"/>
          <w:highlight w:val="none"/>
          <w:lang w:val="en-US" w:eastAsia="zh-CN"/>
        </w:rPr>
        <w:t xml:space="preserve">教材校园巡展与院校推介。组织或参与高校精品教材巡展活动，将学校教材推送</w:t>
      </w:r>
      <w:r>
        <w:rPr>
          <w:rFonts w:hint="eastAsia" w:ascii="仿宋" w:hAnsi="仿宋" w:eastAsia="仿宋" w:cs="仿宋"/>
          <w:i w:val="0"/>
          <w:iCs w:val="0"/>
          <w:color w:val="auto"/>
          <w:sz w:val="24"/>
          <w:szCs w:val="24"/>
          <w:highlight w:val="none"/>
          <w:lang w:val="en-US" w:eastAsia="zh-CN"/>
        </w:rPr>
        <w:t xml:space="preserve">给高职</w:t>
      </w:r>
      <w:r>
        <w:rPr>
          <w:rFonts w:hint="default" w:ascii="仿宋" w:hAnsi="仿宋" w:eastAsia="仿宋" w:cs="仿宋"/>
          <w:i w:val="0"/>
          <w:iCs w:val="0"/>
          <w:color w:val="auto"/>
          <w:sz w:val="24"/>
          <w:szCs w:val="24"/>
          <w:highlight w:val="none"/>
          <w:lang w:val="en-US" w:eastAsia="zh-CN"/>
        </w:rPr>
        <w:t xml:space="preserve">院校一线教师，通过现场展示、样书发放、面对面交流等方式，促进更多院校了解并选用学校教材。</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3）</w:t>
      </w:r>
      <w:r>
        <w:rPr>
          <w:rFonts w:hint="default" w:ascii="仿宋" w:hAnsi="仿宋" w:eastAsia="仿宋" w:cs="仿宋"/>
          <w:i w:val="0"/>
          <w:iCs w:val="0"/>
          <w:color w:val="auto"/>
          <w:sz w:val="24"/>
          <w:szCs w:val="24"/>
          <w:highlight w:val="none"/>
          <w:lang w:val="en-US" w:eastAsia="zh-CN"/>
        </w:rPr>
        <w:t xml:space="preserve">发行渠道对接与覆盖拓展。依托供应商与全国高校图书代办站、发行机构、区域教材代理商的合作关系，将学校教材纳入稳定发行渠道，推动教材在多省份、多院校的推广使用，逐步扩大教材的院校覆盖范围。</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4）</w:t>
      </w:r>
      <w:r>
        <w:rPr>
          <w:rFonts w:hint="default" w:ascii="仿宋" w:hAnsi="仿宋" w:eastAsia="仿宋" w:cs="仿宋"/>
          <w:i w:val="0"/>
          <w:iCs w:val="0"/>
          <w:color w:val="auto"/>
          <w:sz w:val="24"/>
          <w:szCs w:val="24"/>
          <w:highlight w:val="none"/>
          <w:lang w:val="en-US" w:eastAsia="zh-CN"/>
        </w:rPr>
        <w:t xml:space="preserve">目标院校精准匹配与推荐。根据学校教材的专业方向和适用层次，分析全国同类院校的专业设置情况，精准识别潜在使用院校，有针对性地进行教材推荐与推广，提高推广效率。</w:t>
      </w:r>
      <w:r/>
    </w:p>
    <w:p>
      <w:pPr>
        <w:ind w:firstLine="480"/>
        <w:keepLines w:val="0"/>
        <w:keepNext w:val="0"/>
        <w:pageBreakBefore w:val="0"/>
        <w:spacing w:line="360" w:lineRule="auto"/>
        <w:widowControl w:val="off"/>
        <w:rPr>
          <w:rStyle w:val="998"/>
          <w:rFonts w:hint="default"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5）</w:t>
      </w:r>
      <w:r>
        <w:rPr>
          <w:rFonts w:hint="default" w:ascii="仿宋" w:hAnsi="仿宋" w:eastAsia="仿宋" w:cs="仿宋"/>
          <w:i w:val="0"/>
          <w:iCs w:val="0"/>
          <w:color w:val="auto"/>
          <w:sz w:val="24"/>
          <w:szCs w:val="24"/>
          <w:highlight w:val="none"/>
          <w:lang w:val="en-US" w:eastAsia="zh-CN"/>
        </w:rPr>
        <w:t xml:space="preserve">推广效果跟踪与反馈。建立教材推广使用台账，定期向学校反馈教材在全国各院校的征订使用情况、发行量数据及院校覆盖进展，协助学校掌握教材的市场影响力，为后续修订再版及教材申报提供推广效果佐证。</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rPr>
        <w:t xml:space="preserve">）教材出版技术质量要求</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1.总则</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成交供应商代理出版的教材须为正规出版物，符合国家相关法律法规、教育标准及行业规范，满足学校教育教学实际需要。</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2.内容规范性要求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（1）教材内容须符合国家教育政策、课程标准和行业规范，体现正确的政治方向和价值导向，落实课程思政要求，确保意识形态安全。</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（2）教材内容须通过政治审查及版权合规审查，不得含有敏感内容或存在侵权风险素材，严格遵守《中华人民共和国著作权法》。</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（3）教材知识点须准确无误，逻辑严谨，结构合理，语言表述规范，适合目标读者使用，符合职业教育类型教材的体例特征。</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3.编校与设计质量要求</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（1）成交供应商须严格执行“三审三校”制度，使教材编校差错率不超过万分之一（1/10000）。</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（2）封面设计须贴合教材主题，设计元素与内容相符，并显著标注出版社名称。内文版式须美观大方、层次分明，图片清晰，主体字号不小于五号字。全部设计方案须经学校书面确</w:t>
      </w:r>
      <w:r>
        <w:rPr>
          <w:rStyle w:val="998"/>
          <w:rFonts w:hint="eastAsia" w:ascii="仿宋" w:hAnsi="仿宋" w:eastAsia="仿宋" w:cs="仿宋"/>
          <w:b w:val="0"/>
          <w:bCs w:val="0"/>
          <w:color w:val="auto"/>
          <w:sz w:val="24"/>
          <w:szCs w:val="24"/>
          <w:highlight w:val="none"/>
          <w:lang w:val="en-US" w:eastAsia="zh-CN"/>
        </w:rPr>
        <w:t xml:space="preserve">认后，方可付印。</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4.审批与备案要求</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（1）国内出版教材须通过国家新闻出版署审批，取得《中华人民共和国出版物经营许可证》及国际标准书号（ISBN），每本教材须配有独立的正规书号，并可通过国家新闻出版署官网查询验证。</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（2）成交供应商须负责教材出版所需全部审批手续的办理，包括但不限于选题报批、书号申领、CIP数据核发、出版备案等。</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5.印制与装订质量要求</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（1）教材的印刷质量须符合《图书质量管理规定》《出版管理条例》《印刷业管理条例》及国家标准《纸质印刷产品印制质量检验规范》GB/T 34053中图书期刊部分的相关规定。</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（2）封面用纸采用不低于200/250g铜版纸并覆膜，内页用纸采用不低于70g双胶纸或道林纸，双面印刷。内文采用双色或全彩印刷（根据教材类型确定），须色彩还原准确、墨色均匀。</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（3）装订须牢固、顺序正确，不得出现缺页、掉色、倒装、污损、裁切偏差等质量问题</w:t>
      </w:r>
      <w:r>
        <w:rPr>
          <w:rStyle w:val="998"/>
          <w:rFonts w:hint="eastAsia" w:ascii="仿宋" w:hAnsi="仿宋" w:eastAsia="仿宋" w:cs="仿宋"/>
          <w:color w:val="auto"/>
          <w:sz w:val="24"/>
          <w:szCs w:val="24"/>
          <w:highlight w:val="none"/>
          <w:lang w:val="en-US" w:eastAsia="zh-CN"/>
        </w:rPr>
        <w:fldChar w:fldCharType="begin"/>
      </w:r>
      <w:r>
        <w:rPr>
          <w:rStyle w:val="998"/>
          <w:rFonts w:hint="eastAsia" w:ascii="仿宋" w:hAnsi="仿宋" w:eastAsia="仿宋" w:cs="仿宋"/>
          <w:color w:val="auto"/>
          <w:sz w:val="24"/>
          <w:szCs w:val="24"/>
          <w:highlight w:val="none"/>
          <w:lang w:val="en-US" w:eastAsia="zh-CN"/>
        </w:rPr>
        <w:instrText xml:space="preserve"> HYPERLINK "https://m.yuxi.gov.cn/yxs/ztb/20240325/1522585.html" \t "https://chat.deepseek.com/a/chat/s/_blank" </w:instrText>
      </w:r>
      <w:r>
        <w:rPr>
          <w:rStyle w:val="998"/>
          <w:rFonts w:hint="eastAsia" w:ascii="仿宋" w:hAnsi="仿宋" w:eastAsia="仿宋" w:cs="仿宋"/>
          <w:color w:val="auto"/>
          <w:sz w:val="24"/>
          <w:szCs w:val="24"/>
          <w:highlight w:val="none"/>
          <w:lang w:val="en-US" w:eastAsia="zh-CN"/>
        </w:rPr>
        <w:fldChar w:fldCharType="separate"/>
      </w:r>
      <w:r>
        <w:rPr>
          <w:rStyle w:val="998"/>
          <w:rFonts w:hint="eastAsia" w:ascii="仿宋" w:hAnsi="仿宋" w:eastAsia="仿宋" w:cs="仿宋"/>
          <w:color w:val="auto"/>
          <w:sz w:val="24"/>
          <w:szCs w:val="24"/>
          <w:highlight w:val="none"/>
          <w:lang w:val="en-US" w:eastAsia="zh-CN"/>
        </w:rPr>
        <w:fldChar w:fldCharType="end"/>
      </w:r>
      <w:r>
        <w:rPr>
          <w:rStyle w:val="998"/>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（4）学校有权在批量印刷前随机抽取样书进行质量检查。如抽查不合格，成交供应商须免费重新编校、印刷，并承担由此造成的一切损失。</w:t>
      </w:r>
      <w:r>
        <w:rPr>
          <w:rStyle w:val="998"/>
          <w:rFonts w:hint="eastAsia" w:ascii="仿宋" w:hAnsi="仿宋" w:eastAsia="仿宋" w:cs="仿宋"/>
          <w:color w:val="auto"/>
          <w:sz w:val="24"/>
          <w:szCs w:val="24"/>
          <w:highlight w:val="none"/>
          <w:lang w:val="en-US" w:eastAsia="zh-CN"/>
        </w:rPr>
        <w:fldChar w:fldCharType="begin"/>
      </w:r>
      <w:r>
        <w:rPr>
          <w:rStyle w:val="998"/>
          <w:rFonts w:hint="eastAsia" w:ascii="仿宋" w:hAnsi="仿宋" w:eastAsia="仿宋" w:cs="仿宋"/>
          <w:color w:val="auto"/>
          <w:sz w:val="24"/>
          <w:szCs w:val="24"/>
          <w:highlight w:val="none"/>
          <w:lang w:val="en-US" w:eastAsia="zh-CN"/>
        </w:rPr>
        <w:instrText xml:space="preserve"> HYPERLINK "https://www.gxtznn.com/info/1392/15217.htm" \t "https://chat.deepseek.com/a/chat/s/_blank" </w:instrText>
      </w:r>
      <w:r>
        <w:rPr>
          <w:rStyle w:val="998"/>
          <w:rFonts w:hint="eastAsia" w:ascii="仿宋" w:hAnsi="仿宋" w:eastAsia="仿宋" w:cs="仿宋"/>
          <w:color w:val="auto"/>
          <w:sz w:val="24"/>
          <w:szCs w:val="24"/>
          <w:highlight w:val="none"/>
          <w:lang w:val="en-US" w:eastAsia="zh-CN"/>
        </w:rPr>
        <w:fldChar w:fldCharType="separate"/>
      </w:r>
      <w:r>
        <w:rPr>
          <w:rStyle w:val="998"/>
          <w:rFonts w:hint="eastAsia" w:ascii="仿宋" w:hAnsi="仿宋" w:eastAsia="仿宋" w:cs="仿宋"/>
          <w:color w:val="auto"/>
          <w:sz w:val="24"/>
          <w:szCs w:val="24"/>
          <w:highlight w:val="none"/>
          <w:lang w:val="en-US" w:eastAsia="zh-CN"/>
        </w:rPr>
        <w:fldChar w:fldCharType="end"/>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6.版权与知识产权要求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（1）已出版发行的教材须受《中华人民共和国著作权法》保护，成交供应商须协助学校对侵权行为通过司法途径合理合法维权。</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（2）教材著作权、专有出版权归学校所有，版权页中应明确标注著作权人信息。</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（3）成交供应商须保证所代理出版的教材为正版合格出版物，不得使用假书号、套号，不得出现盗版或侵权问题，因盗版或侵权引发的法律责任由成交供应商承担。</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7.市场认可度与应用要求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（1）出版发行的教材须具备公开市场发行条件，可用于高等职业教育学历教育、职业认证教育等。</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（2）纸质教材须能够通过出版社官方渠道（如新华书店、当当网）或授权经销商销售。</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eastAsia="zh-CN"/>
        </w:rPr>
        <w:t xml:space="preserve">四</w:t>
      </w:r>
      <w:r>
        <w:rPr>
          <w:rFonts w:hint="eastAsia" w:ascii="仿宋" w:hAnsi="仿宋" w:eastAsia="仿宋" w:cs="仿宋"/>
          <w:b/>
          <w:color w:val="auto"/>
          <w:sz w:val="24"/>
          <w:highlight w:val="none"/>
        </w:rPr>
        <w:t xml:space="preserve">）服务保障要求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1.项目执行保障</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（1）成交供应商须组建专门的项目服务团队，指定项目负责人；每本教材在确定出版社后，安排专门的出版编辑，细化出版各环节的人员分工，确保教材出版服务工作顺利推进。</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（2）成交供应商须制定详细的项目执行计划，包括时间节点安排、质量控制措施、风险应对预案等，并及时反馈项目进展情况。</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2.交付要求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（1）成交供应商自收到经学校审定的完整书稿之日起，须在6个月内完成出版（含书号申请、编辑审校、排版设计、印刷装订、送货上门），并将成品交付至学校指定地点（南通经济技术开发区通盛大道185号）。</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（2）如因中标方原因导致逾期交付的，每延迟一天按合同约定承担违约责任；逾期超过15日的，学校有权解除合同并追究违约责任。</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（五）安全与合规要求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（1）成交供应商须与学校签订《保密协议》，对书稿内容及出版过程中知悉的学校信息严格保密，未经学校书面同意不得向任何第三方泄露。</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（2）成交供应商须确保所有出版流程符合《出版管理条例》《图书出版管理规定》等国家法律法规，不得擅自更改教材内容。</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（3）成交供应商不得以任何形式将教材用于其他商业用途。</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四、采购标的的数量、采购项目交付或者实施的时间和地点</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1、服务清单</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服务内容：每年度承接学校校本纸质教材（含活页式、工作手册式、口袋书、技术规范卡片等类型）的全流程出版服务。</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出版数量（预估）：每年约20部左右，每部教材配备1个书号，具体出版数量及印数以采购人实际需求为准且包含在响应报价中，请各响应供应商合理考虑后进行报价，一旦中标，不再另行支付任何费用。</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2、项目地点：采购人指定地点。</w:t>
      </w:r>
      <w:r/>
    </w:p>
    <w:p>
      <w:pPr>
        <w:ind w:firstLine="456"/>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pacing w:val="-6"/>
          <w:sz w:val="24"/>
          <w:szCs w:val="24"/>
          <w:highlight w:val="none"/>
          <w:lang w:val="en-US" w:eastAsia="zh-CN"/>
        </w:rPr>
        <w:t xml:space="preserve">3、合同履行期限：</w:t>
      </w:r>
      <w:r>
        <w:rPr>
          <w:rFonts w:hint="eastAsia" w:ascii="仿宋" w:hAnsi="仿宋" w:eastAsia="仿宋" w:cs="仿宋"/>
          <w:b w:val="0"/>
          <w:bCs w:val="0"/>
          <w:color w:val="auto"/>
          <w:sz w:val="24"/>
          <w:szCs w:val="24"/>
          <w:highlight w:val="none"/>
          <w:lang w:val="en-US" w:eastAsia="zh-CN" w:bidi="ar-SA"/>
        </w:rPr>
        <w:t xml:space="preserve">合同签订之日起三年。</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五、采购标的需满足的服务标准、期限、效率等要求；</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本项目各阶段具体服务点及服务内容及要求，请各响应供应商自行查勘现场并结合磋商文件内容后进行合理报价，若成交后成交供应商以各种理由在磋商文件规定的时间内不予签订合同及实施的，采购人将上报有关监管部门后将其列入信用黑名单，视情节轻重该单位将1-3年之内不能参加南通市政府采购相关活动。</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2、成交供应商在合同期内出现重大失误，采购人有权终止合同，并从服务费中扣除成交供应商造成的损失。重大失误由采购人进行认定，成交供应商无条件服从。</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六、报价要求</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1.成交供应商按“单部教材出版服务费”报出统一单价。该单价为包干价，须包含完成书号申请、编辑审校、排版设计、印刷装订、出版备案等全部环节的一切费用，不因教材厚度、开本不同、首印数量而调整。</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2.报价须包含完成本项目所需的一切费用，其余费用学校不再另行支付。</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七</w:t>
      </w:r>
      <w:r>
        <w:rPr>
          <w:rFonts w:hint="eastAsia" w:ascii="仿宋" w:hAnsi="仿宋" w:eastAsia="仿宋" w:cs="仿宋"/>
          <w:b/>
          <w:color w:val="auto"/>
          <w:sz w:val="24"/>
          <w:highlight w:val="none"/>
        </w:rPr>
        <w:t xml:space="preserve">、交付与验收</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1.教材实行单部验收模式。每部教材出版后，成交供应商须向学校提交样书10册、书号及CIP数据官方查询截图、编校过程记录（三审三校单）等验收材料。</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2.学校在收到每部教材后的15个工作日内组织验收，验收合格后根据学校相关流程进行结算。验收不合格的，成交供应商须在约定时间内整改并重新提交验收，直至合格为止。</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八</w:t>
      </w:r>
      <w:r>
        <w:rPr>
          <w:rFonts w:hint="eastAsia" w:ascii="仿宋" w:hAnsi="仿宋" w:eastAsia="仿宋" w:cs="仿宋"/>
          <w:b/>
          <w:color w:val="auto"/>
          <w:sz w:val="24"/>
          <w:highlight w:val="none"/>
        </w:rPr>
        <w:t xml:space="preserve">、售后服务</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1.成交供应商须提供完善的售后服务保障。质保期为自验收合格之日起12个月。质保期内，如发现教材存在编校、印刷质量问题，成交供应商须在10个工作日内免费重印、调换。</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2.成交供应商须建立售后服务档案，记录服务内容、服务时间、用户反馈等信息，定期向学校提交售后服务报告。</w:t>
      </w:r>
      <w:r/>
    </w:p>
    <w:p>
      <w:pPr>
        <w:ind w:firstLine="480"/>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3.成交供应商应配合学校开展教材评奖申报、规划教材遴选等后续支持服务。</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九、付款方式</w:t>
      </w:r>
      <w:r/>
    </w:p>
    <w:p>
      <w:pPr>
        <w:ind w:firstLine="456"/>
        <w:keepLines w:val="0"/>
        <w:keepNext w:val="0"/>
        <w:pageBreakBefore w:val="0"/>
        <w:spacing w:line="360" w:lineRule="auto"/>
        <w:widowControl w:val="off"/>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（1）合同签订后不支付预付款。每部教材验收合格后，学校凭成交供应商开具的增值税专用发票及验收单，在30个工作日内支付该部教材出版服务费的100%。</w:t>
      </w:r>
      <w:r>
        <w:rPr>
          <w:rFonts w:hint="eastAsia" w:ascii="仿宋" w:hAnsi="仿宋" w:eastAsia="仿宋" w:cs="仿宋"/>
          <w:b/>
          <w:bCs/>
          <w:color w:val="auto"/>
          <w:spacing w:val="-6"/>
          <w:sz w:val="24"/>
          <w:szCs w:val="24"/>
          <w:highlight w:val="none"/>
          <w:lang w:val="en-US" w:eastAsia="zh-CN"/>
        </w:rPr>
        <w:t xml:space="preserve">本项目结算时按实进行结算，如按实际结算超过预算240万元，本项目自行终止。</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（2）由供应商按国家有关财税规定开具增值税专用发票给采购人，采购人在收到供应商提供的发票后付款，若供应商方延迟开票，采购人付款时间顺延。</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十、履约保证金：</w:t>
      </w:r>
      <w:r/>
    </w:p>
    <w:p>
      <w:pPr>
        <w:ind w:firstLine="494"/>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1.本项目履约保证金为</w:t>
      </w:r>
      <w:r>
        <w:rPr>
          <w:rFonts w:hint="eastAsia" w:ascii="仿宋" w:hAnsi="仿宋" w:eastAsia="仿宋" w:cs="仿宋"/>
          <w:b/>
          <w:color w:val="auto"/>
          <w:sz w:val="24"/>
          <w:highlight w:val="none"/>
          <w:u w:val="single"/>
          <w:lang w:val="en-US" w:eastAsia="zh-CN"/>
        </w:rPr>
        <w:t xml:space="preserve">50000.00元</w:t>
      </w:r>
      <w:r>
        <w:rPr>
          <w:rFonts w:hint="eastAsia" w:ascii="仿宋" w:hAnsi="仿宋" w:eastAsia="仿宋" w:cs="仿宋"/>
          <w:bCs/>
          <w:color w:val="auto"/>
          <w:sz w:val="24"/>
          <w:highlight w:val="none"/>
        </w:rPr>
        <w:t xml:space="preserve">，中标单位的履约保证金须在中标通知书发出之日起至合同签订前以支票、汇票、本票或者金融机构、担保机构出具的保函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b/>
          <w:bCs w:val="0"/>
          <w:color w:val="auto"/>
          <w:sz w:val="24"/>
          <w:highlight w:val="none"/>
          <w:u w:val="single"/>
          <w:lang w:val="en-US" w:eastAsia="zh-CN"/>
        </w:rPr>
        <w:t xml:space="preserve">应为无任何附加条件见索即付保函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bCs/>
          <w:color w:val="auto"/>
          <w:sz w:val="24"/>
          <w:highlight w:val="none"/>
        </w:rPr>
        <w:t xml:space="preserve">等形式提交</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4"/>
          <w:highlight w:val="none"/>
        </w:rPr>
        <w:t xml:space="preserve">采购人账户（户名：江苏航运职业技术学院，开户行：中国建设银行南通经济技术开发区支行，账号：32001642336052515609，统一社会信用代码：123200004660042577））</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采购人</w:t>
      </w:r>
      <w:r>
        <w:rPr>
          <w:rFonts w:hint="eastAsia" w:ascii="仿宋" w:hAnsi="仿宋" w:eastAsia="仿宋" w:cs="仿宋"/>
          <w:bCs/>
          <w:color w:val="auto"/>
          <w:sz w:val="24"/>
          <w:highlight w:val="none"/>
        </w:rPr>
        <w:t xml:space="preserve">与中标</w:t>
      </w:r>
      <w:r>
        <w:rPr>
          <w:rFonts w:hint="eastAsia" w:ascii="仿宋" w:hAnsi="仿宋" w:eastAsia="仿宋" w:cs="仿宋"/>
          <w:bCs/>
          <w:color w:val="auto"/>
          <w:sz w:val="24"/>
          <w:highlight w:val="none"/>
          <w:lang w:eastAsia="zh-CN"/>
        </w:rPr>
        <w:t xml:space="preserve">各响应供应商</w:t>
      </w:r>
      <w:r>
        <w:rPr>
          <w:rFonts w:hint="eastAsia" w:ascii="仿宋" w:hAnsi="仿宋" w:eastAsia="仿宋" w:cs="仿宋"/>
          <w:bCs/>
          <w:color w:val="auto"/>
          <w:sz w:val="24"/>
          <w:highlight w:val="none"/>
        </w:rPr>
        <w:t xml:space="preserve">应当在中标通知书发出之日起30日内签订采购合同。超期或未有协商，则视为自动放弃中标资格。</w:t>
      </w:r>
      <w:r/>
    </w:p>
    <w:p>
      <w:pPr>
        <w:ind w:firstLine="496"/>
        <w:spacing w:line="440" w:lineRule="exact"/>
        <w:rPr>
          <w:rFonts w:hint="default"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注：</w:t>
      </w:r>
      <w:r>
        <w:rPr>
          <w:rFonts w:hint="eastAsia" w:ascii="仿宋" w:hAnsi="仿宋" w:eastAsia="仿宋" w:cs="仿宋"/>
          <w:b/>
          <w:bCs w:val="0"/>
          <w:color w:val="auto"/>
          <w:sz w:val="24"/>
          <w:highlight w:val="none"/>
        </w:rPr>
        <w:t xml:space="preserve">金融机构、担保机构出具的保函</w:t>
      </w:r>
      <w:r>
        <w:rPr>
          <w:rFonts w:hint="eastAsia" w:ascii="仿宋" w:hAnsi="仿宋" w:eastAsia="仿宋" w:cs="仿宋"/>
          <w:b/>
          <w:bCs w:val="0"/>
          <w:color w:val="auto"/>
          <w:sz w:val="24"/>
          <w:highlight w:val="none"/>
          <w:lang w:val="en-US" w:eastAsia="zh-CN"/>
        </w:rPr>
        <w:t xml:space="preserve">有效期需含质保期。</w:t>
      </w:r>
      <w:r/>
    </w:p>
    <w:p>
      <w:pPr>
        <w:contextualSpacing/>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2.合同履行完毕，履约保证金在</w:t>
      </w:r>
      <w:r>
        <w:rPr>
          <w:rFonts w:hint="eastAsia" w:ascii="仿宋" w:hAnsi="仿宋" w:eastAsia="仿宋" w:cs="仿宋"/>
          <w:color w:val="auto"/>
          <w:sz w:val="24"/>
          <w:highlight w:val="none"/>
          <w:lang w:val="en-US" w:eastAsia="zh-CN"/>
        </w:rPr>
        <w:t xml:space="preserve">服务</w:t>
      </w:r>
      <w:r>
        <w:rPr>
          <w:rFonts w:hint="eastAsia" w:ascii="仿宋" w:hAnsi="仿宋" w:eastAsia="仿宋" w:cs="仿宋"/>
          <w:color w:val="auto"/>
          <w:sz w:val="24"/>
          <w:highlight w:val="none"/>
        </w:rPr>
        <w:t xml:space="preserve">质保期满后若无质量及其他违约问题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全额退回。</w:t>
      </w:r>
      <w:r/>
    </w:p>
    <w:p>
      <w:pPr>
        <w:contextualSpacing/>
        <w:ind w:firstLine="480"/>
        <w:spacing w:line="440" w:lineRule="exact"/>
        <w:rPr>
          <w:rFonts w:hint="eastAsia"/>
          <w:color w:val="auto"/>
          <w:highlight w:val="none"/>
          <w:lang w:val="en-US" w:eastAsia="zh-CN"/>
        </w:rPr>
      </w:pPr>
      <w:r>
        <w:rPr>
          <w:rFonts w:hint="eastAsia" w:ascii="仿宋" w:hAnsi="仿宋" w:eastAsia="仿宋" w:cs="仿宋"/>
          <w:color w:val="auto"/>
          <w:sz w:val="24"/>
          <w:highlight w:val="none"/>
        </w:rPr>
        <w:t xml:space="preserve">3.由于</w:t>
      </w:r>
      <w:r>
        <w:rPr>
          <w:rFonts w:hint="eastAsia" w:ascii="仿宋" w:hAnsi="仿宋" w:eastAsia="仿宋" w:cs="仿宋"/>
          <w:bCs/>
          <w:color w:val="auto"/>
          <w:sz w:val="24"/>
          <w:highlight w:val="none"/>
          <w:lang w:eastAsia="zh-CN"/>
        </w:rPr>
        <w:t xml:space="preserve">成交供应商</w:t>
      </w:r>
      <w:r>
        <w:rPr>
          <w:rFonts w:hint="eastAsia" w:ascii="仿宋" w:hAnsi="仿宋" w:eastAsia="仿宋" w:cs="仿宋"/>
          <w:color w:val="auto"/>
          <w:sz w:val="24"/>
          <w:highlight w:val="none"/>
        </w:rPr>
        <w:t xml:space="preserve">原因，在签订合同后出现不履行合同的情况，采购人有权不予退还履约保证金，同时采购人亦有权终止合同，</w:t>
      </w:r>
      <w:r>
        <w:rPr>
          <w:rFonts w:hint="eastAsia" w:ascii="仿宋" w:hAnsi="仿宋" w:eastAsia="仿宋" w:cs="仿宋"/>
          <w:bCs/>
          <w:color w:val="auto"/>
          <w:sz w:val="24"/>
          <w:highlight w:val="none"/>
          <w:lang w:eastAsia="zh-CN"/>
        </w:rPr>
        <w:t xml:space="preserve">成交供应商</w:t>
      </w:r>
      <w:r>
        <w:rPr>
          <w:rFonts w:hint="eastAsia" w:ascii="仿宋" w:hAnsi="仿宋" w:eastAsia="仿宋" w:cs="仿宋"/>
          <w:color w:val="auto"/>
          <w:sz w:val="24"/>
          <w:highlight w:val="none"/>
        </w:rPr>
        <w:t xml:space="preserve">还须承担相应的法律赔偿责任。</w:t>
      </w:r>
      <w:r/>
    </w:p>
    <w:p>
      <w:pPr>
        <w:ind w:firstLine="482"/>
        <w:spacing w:line="440" w:lineRule="exact"/>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lang w:val="en-US" w:eastAsia="zh-CN"/>
        </w:rPr>
        <w:t xml:space="preserve">特别说明：本项目需求中所有</w:t>
      </w:r>
      <w:r>
        <w:rPr>
          <w:rFonts w:hint="eastAsia" w:ascii="仿宋" w:hAnsi="仿宋" w:eastAsia="仿宋" w:cs="仿宋"/>
          <w:b/>
          <w:color w:val="auto"/>
          <w:sz w:val="24"/>
          <w:highlight w:val="none"/>
          <w:u w:val="single"/>
        </w:rPr>
        <w:t xml:space="preserve">加</w:t>
      </w:r>
      <w:r>
        <w:rPr>
          <w:rFonts w:hint="eastAsia" w:ascii="仿宋" w:hAnsi="仿宋" w:eastAsia="仿宋" w:cs="仿宋"/>
          <w:b/>
          <w:color w:val="auto"/>
          <w:sz w:val="24"/>
          <w:highlight w:val="none"/>
          <w:u w:val="single"/>
          <w:lang w:val="zh-CN"/>
        </w:rPr>
        <w:t xml:space="preserve">★</w:t>
      </w:r>
      <w:r>
        <w:rPr>
          <w:rFonts w:hint="eastAsia" w:ascii="仿宋" w:hAnsi="仿宋" w:eastAsia="仿宋" w:cs="仿宋"/>
          <w:b/>
          <w:color w:val="auto"/>
          <w:sz w:val="24"/>
          <w:highlight w:val="none"/>
          <w:u w:val="single"/>
        </w:rPr>
        <w:t xml:space="preserve">号项的均为本项目实质性响应条款，若在符合性审查阶段，经评标小组确认响应</w:t>
      </w:r>
      <w:r>
        <w:rPr>
          <w:rFonts w:hint="eastAsia" w:ascii="仿宋" w:hAnsi="仿宋" w:eastAsia="仿宋" w:cs="仿宋"/>
          <w:b/>
          <w:color w:val="auto"/>
          <w:sz w:val="24"/>
          <w:highlight w:val="none"/>
          <w:u w:val="single"/>
          <w:lang w:eastAsia="zh-CN"/>
        </w:rPr>
        <w:t xml:space="preserve">各响应供应商</w:t>
      </w:r>
      <w:r>
        <w:rPr>
          <w:rFonts w:hint="eastAsia" w:ascii="仿宋" w:hAnsi="仿宋" w:eastAsia="仿宋" w:cs="仿宋"/>
          <w:b/>
          <w:color w:val="auto"/>
          <w:sz w:val="24"/>
          <w:highlight w:val="none"/>
          <w:u w:val="single"/>
        </w:rPr>
        <w:t xml:space="preserve">未能在</w:t>
      </w:r>
      <w:r>
        <w:rPr>
          <w:rFonts w:hint="eastAsia" w:ascii="仿宋" w:hAnsi="仿宋" w:eastAsia="仿宋" w:cs="仿宋"/>
          <w:b/>
          <w:color w:val="auto"/>
          <w:sz w:val="24"/>
          <w:highlight w:val="none"/>
          <w:u w:val="single"/>
          <w:lang w:val="en-US" w:eastAsia="zh-CN"/>
        </w:rPr>
        <w:t xml:space="preserve">符合性审查响应</w:t>
      </w:r>
      <w:r>
        <w:rPr>
          <w:rFonts w:hint="eastAsia" w:ascii="仿宋" w:hAnsi="仿宋" w:eastAsia="仿宋" w:cs="仿宋"/>
          <w:b/>
          <w:color w:val="auto"/>
          <w:sz w:val="24"/>
          <w:highlight w:val="none"/>
          <w:u w:val="single"/>
        </w:rPr>
        <w:t xml:space="preserve">文件中提交本</w:t>
      </w:r>
      <w:r>
        <w:rPr>
          <w:rFonts w:hint="eastAsia" w:ascii="仿宋" w:hAnsi="仿宋" w:eastAsia="仿宋" w:cs="仿宋"/>
          <w:b/>
          <w:color w:val="auto"/>
          <w:sz w:val="24"/>
          <w:highlight w:val="none"/>
          <w:u w:val="single"/>
          <w:lang w:val="en-US" w:eastAsia="zh-CN"/>
        </w:rPr>
        <w:t xml:space="preserve">项目需求</w:t>
      </w:r>
      <w:r>
        <w:rPr>
          <w:rFonts w:hint="eastAsia" w:ascii="仿宋" w:hAnsi="仿宋" w:eastAsia="仿宋" w:cs="仿宋"/>
          <w:b/>
          <w:color w:val="auto"/>
          <w:sz w:val="24"/>
          <w:highlight w:val="none"/>
          <w:u w:val="single"/>
        </w:rPr>
        <w:t xml:space="preserve">相关资料的，经评审委员会核实将被判为不满足</w:t>
      </w:r>
      <w:r>
        <w:rPr>
          <w:rFonts w:hint="eastAsia" w:ascii="仿宋" w:hAnsi="仿宋" w:eastAsia="仿宋" w:cs="仿宋"/>
          <w:b/>
          <w:color w:val="auto"/>
          <w:sz w:val="24"/>
          <w:highlight w:val="none"/>
          <w:u w:val="single"/>
          <w:lang w:eastAsia="zh-CN"/>
        </w:rPr>
        <w:t xml:space="preserve">竞争性磋商文件</w:t>
      </w:r>
      <w:r>
        <w:rPr>
          <w:rFonts w:hint="eastAsia" w:ascii="仿宋" w:hAnsi="仿宋" w:eastAsia="仿宋" w:cs="仿宋"/>
          <w:b/>
          <w:color w:val="auto"/>
          <w:sz w:val="24"/>
          <w:highlight w:val="none"/>
          <w:u w:val="single"/>
        </w:rPr>
        <w:t xml:space="preserve">实质性要求，作为无效响应处理。</w:t>
      </w:r>
      <w:r>
        <w:rPr>
          <w:rFonts w:hint="eastAsia" w:ascii="仿宋" w:hAnsi="仿宋" w:eastAsia="仿宋" w:cs="仿宋"/>
          <w:b/>
          <w:color w:val="auto"/>
          <w:sz w:val="24"/>
          <w:highlight w:val="none"/>
          <w:u w:val="single"/>
          <w:lang w:val="en-US" w:eastAsia="zh-CN"/>
        </w:rPr>
        <w:t xml:space="preserve">请各各响应供应商在</w:t>
      </w:r>
      <w:r>
        <w:rPr>
          <w:rFonts w:hint="eastAsia" w:ascii="仿宋" w:hAnsi="仿宋" w:eastAsia="仿宋" w:cs="仿宋"/>
          <w:b/>
          <w:color w:val="auto"/>
          <w:sz w:val="24"/>
          <w:highlight w:val="none"/>
          <w:u w:val="single"/>
          <w:lang w:val="zh-CN"/>
        </w:rPr>
        <w:t xml:space="preserve">《技术部分正负偏离表》上明示，</w:t>
      </w:r>
      <w:r>
        <w:rPr>
          <w:rFonts w:hint="eastAsia" w:ascii="仿宋" w:hAnsi="仿宋" w:eastAsia="仿宋" w:cs="仿宋"/>
          <w:b/>
          <w:color w:val="auto"/>
          <w:sz w:val="24"/>
          <w:highlight w:val="none"/>
          <w:u w:val="single"/>
          <w:lang w:val="en-US" w:eastAsia="zh-CN"/>
        </w:rPr>
        <w:t xml:space="preserve">任何一项负偏离（未响应或不满足）将导致响应无效，要求承诺的须按要求提供相关承诺书</w:t>
      </w:r>
      <w:r>
        <w:rPr>
          <w:rFonts w:hint="eastAsia" w:ascii="仿宋" w:hAnsi="仿宋" w:eastAsia="仿宋" w:cs="仿宋"/>
          <w:b/>
          <w:color w:val="auto"/>
          <w:sz w:val="24"/>
          <w:highlight w:val="none"/>
          <w:u w:val="single"/>
          <w:lang w:val="zh-CN"/>
        </w:rPr>
        <w:t xml:space="preserve">。</w:t>
      </w:r>
      <w:r/>
    </w:p>
    <w:p>
      <w:pPr>
        <w:pStyle w:val="821"/>
        <w:rPr>
          <w:rFonts w:hint="eastAsia"/>
          <w:color w:val="auto"/>
          <w:highlight w:val="none"/>
          <w:lang w:val="en-US" w:eastAsia="zh-CN"/>
        </w:rPr>
      </w:pPr>
      <w:r>
        <w:rPr>
          <w:rFonts w:hint="eastAsia"/>
          <w:color w:val="auto"/>
          <w:highlight w:val="none"/>
          <w:lang w:val="en-US" w:eastAsia="zh-CN"/>
        </w:rPr>
      </w:r>
      <w:r/>
    </w:p>
    <w:p>
      <w:pPr>
        <w:ind w:left="695" w:firstLine="420"/>
        <w:keepLines w:val="0"/>
        <w:keepNext w:val="0"/>
        <w:pageBreakBefore w:val="0"/>
        <w:spacing w:line="360" w:lineRule="auto"/>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r>
      <w:r/>
    </w:p>
    <w:p>
      <w:pPr>
        <w:ind w:left="695" w:firstLine="640"/>
        <w:keepLines w:val="0"/>
        <w:keepNext w:val="0"/>
        <w:pageBreakBefore w:val="0"/>
        <w:spacing w:line="360" w:lineRule="auto"/>
        <w:widowControl w:val="off"/>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ind w:left="695" w:firstLine="2560"/>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第四章  评审方法和评审标准</w:t>
      </w:r>
      <w:r/>
    </w:p>
    <w:p>
      <w:pPr>
        <w:ind w:left="695" w:firstLine="482"/>
        <w:jc w:val="left"/>
        <w:spacing w:line="460" w:lineRule="exact"/>
        <w:rPr>
          <w:rFonts w:hint="eastAsia" w:ascii="仿宋" w:hAnsi="仿宋" w:eastAsia="仿宋" w:cs="仿宋"/>
          <w:b/>
          <w:color w:val="auto"/>
          <w:sz w:val="24"/>
          <w:szCs w:val="24"/>
          <w:highlight w:val="none"/>
        </w:rPr>
      </w:pPr>
      <w:r/>
      <w:bookmarkStart w:id="91" w:name="_Toc363573857"/>
      <w:r/>
      <w:bookmarkEnd w:id="91"/>
      <w:r>
        <w:rPr>
          <w:rFonts w:hint="eastAsia" w:ascii="仿宋" w:hAnsi="仿宋" w:eastAsia="仿宋" w:cs="仿宋"/>
          <w:b/>
          <w:color w:val="auto"/>
          <w:sz w:val="24"/>
          <w:szCs w:val="24"/>
          <w:highlight w:val="none"/>
        </w:rPr>
        <w:t xml:space="preserve">一、磋商方式</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不见面远程磋商模式：开标当天各供应商在各自地点通过苏采云系统及时登录不见面开标大厅，参加磋商活动。</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二、磋商组织及磋商小组职责</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2.磋商小组的职责：</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（2）磋商文件内容违反国家有关强制性规定的，磋商小组应当停止评审并向采购人或者采购代理机构说明情况</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（3）磋商小组成员应当遵守评审工作纪律，不得泄露评审情况和评审中获悉的商业秘密，对个人的评审意见承担法律责任；</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（4）磋商小组成员在评审过程中发现供应商有行贿、提供虚假材料或者串通等违法行为的，应当及时向财政部门报告。</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（5）磋商小组成员在评审过程中受到非法干涉的，应当及时向财政、监察等部门举报。</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（6）配合采购单位答复供应商提出的质疑；配合财政部门的投诉处理和监督检查工作。</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3.评审有关记录由磋商小组成员签名，存档备查。</w:t>
      </w:r>
      <w:r/>
    </w:p>
    <w:p>
      <w:pPr>
        <w:ind w:left="695" w:firstLine="482"/>
        <w:spacing w:line="460" w:lineRule="exact"/>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三、评审步骤</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第一阶段：</w:t>
      </w:r>
      <w:r>
        <w:rPr>
          <w:rFonts w:hint="eastAsia" w:ascii="仿宋" w:hAnsi="仿宋" w:eastAsia="仿宋" w:cs="仿宋"/>
          <w:color w:val="auto"/>
          <w:sz w:val="24"/>
          <w:szCs w:val="24"/>
          <w:highlight w:val="none"/>
        </w:rPr>
        <w:t xml:space="preserve">磋商小组</w:t>
      </w:r>
      <w:r>
        <w:rPr>
          <w:rFonts w:hint="eastAsia" w:ascii="仿宋" w:hAnsi="仿宋" w:eastAsia="仿宋" w:cs="仿宋"/>
          <w:color w:val="auto"/>
          <w:sz w:val="24"/>
          <w:szCs w:val="24"/>
          <w:highlight w:val="none"/>
          <w:lang w:val="zh-CN"/>
        </w:rPr>
        <w:t xml:space="preserve">对每个供应商的资格进行审查。</w:t>
      </w:r>
      <w:r>
        <w:rPr>
          <w:rFonts w:hint="eastAsia" w:ascii="仿宋" w:hAnsi="仿宋" w:eastAsia="仿宋" w:cs="仿宋"/>
          <w:color w:val="auto"/>
          <w:sz w:val="24"/>
          <w:szCs w:val="24"/>
          <w:highlight w:val="none"/>
        </w:rPr>
        <w:t xml:space="preserve">供应商资格不合格的，其响应文件判定为无效响应文件。</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第二阶段：</w:t>
      </w:r>
      <w:r>
        <w:rPr>
          <w:rFonts w:hint="eastAsia" w:ascii="仿宋" w:hAnsi="仿宋" w:eastAsia="仿宋" w:cs="仿宋"/>
          <w:color w:val="auto"/>
          <w:sz w:val="24"/>
          <w:szCs w:val="24"/>
          <w:highlight w:val="none"/>
        </w:rPr>
        <w:t xml:space="preserve">依据磋商文件的规定，由磋商小组</w:t>
      </w:r>
      <w:r>
        <w:rPr>
          <w:rFonts w:hint="eastAsia" w:ascii="仿宋" w:hAnsi="仿宋" w:eastAsia="仿宋" w:cs="仿宋"/>
          <w:color w:val="auto"/>
          <w:sz w:val="24"/>
          <w:szCs w:val="24"/>
          <w:highlight w:val="none"/>
          <w:lang w:val="zh-CN"/>
        </w:rPr>
        <w:t xml:space="preserve">对每个符合资格要求的供应商</w:t>
      </w:r>
      <w:r>
        <w:rPr>
          <w:rFonts w:hint="eastAsia" w:ascii="仿宋" w:hAnsi="仿宋" w:eastAsia="仿宋" w:cs="仿宋"/>
          <w:color w:val="auto"/>
          <w:sz w:val="24"/>
          <w:szCs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第三阶段：以供应商价格标文件内的竞争性磋商报价（即首次报价）为基础，磋商小组与供应商单一分别进行磋商。单一分别</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结束后，</w:t>
      </w:r>
      <w:r>
        <w:rPr>
          <w:rFonts w:hint="eastAsia" w:ascii="仿宋" w:hAnsi="仿宋" w:eastAsia="仿宋" w:cs="仿宋"/>
          <w:color w:val="auto"/>
          <w:sz w:val="24"/>
          <w:szCs w:val="24"/>
          <w:highlight w:val="none"/>
        </w:rPr>
        <w:t xml:space="preserve">系统进入报价环节。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磋商程序见本章第四条</w:t>
      </w:r>
      <w:r>
        <w:rPr>
          <w:rFonts w:hint="eastAsia" w:ascii="仿宋" w:hAnsi="仿宋" w:eastAsia="仿宋" w:cs="仿宋"/>
          <w:color w:val="auto"/>
          <w:sz w:val="24"/>
          <w:szCs w:val="24"/>
          <w:highlight w:val="none"/>
          <w:lang w:val="zh-CN"/>
        </w:rPr>
        <w:t xml:space="preserve">）。</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w:t>
      </w:r>
      <w:r>
        <w:rPr>
          <w:rFonts w:hint="eastAsia" w:ascii="仿宋" w:hAnsi="仿宋" w:eastAsia="仿宋" w:cs="仿宋"/>
          <w:color w:val="auto"/>
          <w:sz w:val="24"/>
          <w:szCs w:val="24"/>
          <w:highlight w:val="none"/>
        </w:rPr>
        <w:t xml:space="preserve">四</w:t>
      </w:r>
      <w:r>
        <w:rPr>
          <w:rFonts w:hint="eastAsia" w:ascii="仿宋" w:hAnsi="仿宋" w:eastAsia="仿宋" w:cs="仿宋"/>
          <w:color w:val="auto"/>
          <w:sz w:val="24"/>
          <w:szCs w:val="24"/>
          <w:highlight w:val="none"/>
          <w:lang w:val="zh-CN"/>
        </w:rPr>
        <w:t xml:space="preserve">阶段：</w:t>
      </w:r>
      <w:r>
        <w:rPr>
          <w:rFonts w:hint="eastAsia" w:ascii="仿宋" w:hAnsi="仿宋" w:eastAsia="仿宋" w:cs="仿宋"/>
          <w:color w:val="auto"/>
          <w:sz w:val="24"/>
          <w:szCs w:val="24"/>
          <w:highlight w:val="none"/>
        </w:rPr>
        <w:t xml:space="preserve">系统最后报价环节结束后，磋商小组对响应报价的供应商进行商务技术部分评审。</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四、磋商程序</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w:t>
      </w:r>
      <w:r>
        <w:rPr>
          <w:rFonts w:hint="eastAsia" w:ascii="仿宋" w:hAnsi="仿宋" w:eastAsia="仿宋" w:cs="仿宋"/>
          <w:b/>
          <w:bCs/>
          <w:color w:val="auto"/>
          <w:sz w:val="24"/>
          <w:szCs w:val="24"/>
          <w:highlight w:val="none"/>
          <w:u w:val="single"/>
        </w:rPr>
        <w:t xml:space="preserve">采购需求中的技术、服务要求以及合同草案条款。</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开标现场向其发布“最后报价要求函”及最后报价格式表，要求其</w:t>
      </w:r>
      <w:r>
        <w:rPr>
          <w:rFonts w:hint="eastAsia" w:ascii="仿宋" w:hAnsi="仿宋" w:eastAsia="仿宋" w:cs="仿宋"/>
          <w:bCs/>
          <w:color w:val="auto"/>
          <w:sz w:val="24"/>
          <w:szCs w:val="24"/>
          <w:highlight w:val="none"/>
        </w:rPr>
        <w:t xml:space="preserve">在</w:t>
      </w:r>
      <w:r>
        <w:rPr>
          <w:rFonts w:hint="eastAsia" w:ascii="仿宋" w:hAnsi="仿宋" w:eastAsia="仿宋" w:cs="仿宋"/>
          <w:b/>
          <w:color w:val="auto"/>
          <w:sz w:val="24"/>
          <w:szCs w:val="24"/>
          <w:highlight w:val="none"/>
        </w:rPr>
        <w:t xml:space="preserve">15分钟内</w:t>
      </w:r>
      <w:r>
        <w:rPr>
          <w:rFonts w:hint="eastAsia" w:ascii="仿宋" w:hAnsi="仿宋" w:eastAsia="仿宋" w:cs="仿宋"/>
          <w:color w:val="auto"/>
          <w:sz w:val="24"/>
          <w:szCs w:val="24"/>
          <w:highlight w:val="none"/>
        </w:rPr>
        <w:t xml:space="preserve">提交最后报价。</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bCs/>
          <w:color w:val="auto"/>
          <w:sz w:val="24"/>
          <w:szCs w:val="24"/>
          <w:highlight w:val="none"/>
          <w:u w:val="single"/>
        </w:rPr>
        <w:t xml:space="preserve">除非在磋商中磋商小组对采购需求中的技术、服务要求以及合同草案条款作了实质性变更，否则采购单位不接受供应商高于自己前一轮的磋商报价</w:t>
      </w:r>
      <w:r>
        <w:rPr>
          <w:rFonts w:hint="eastAsia" w:ascii="仿宋" w:hAnsi="仿宋" w:eastAsia="仿宋" w:cs="仿宋"/>
          <w:color w:val="auto"/>
          <w:sz w:val="24"/>
          <w:szCs w:val="24"/>
          <w:highlight w:val="none"/>
        </w:rPr>
        <w:t xml:space="preserve">。</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5.在磋商中，磋商的任何一方不得透露与磋商有关的其他响应磋商的供应商的技术资料、价格及其他信息。</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五、评审方法</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评审方法：综合评分法。经磋商确定最终采购需求和提交最后报价的供应商后，由磋商小组采用综合评分法对系统提交最后报价的供应商的响应文件和最后报价进行综合评分。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auto"/>
          <w:sz w:val="24"/>
          <w:szCs w:val="24"/>
          <w:highlight w:val="none"/>
        </w:rPr>
        <w:t xml:space="preserve">（计算结果均四舍五入保留两位小数）。</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3.本次项目磋商的商务技术和报价评审总分值为100分。两部分评审因素比重如下：</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商务技术分值占总分值的比重为</w:t>
      </w:r>
      <w:r>
        <w:rPr>
          <w:rFonts w:hint="eastAsia" w:ascii="仿宋" w:hAnsi="仿宋" w:eastAsia="仿宋" w:cs="仿宋"/>
          <w:color w:val="auto"/>
          <w:sz w:val="24"/>
          <w:szCs w:val="24"/>
          <w:highlight w:val="none"/>
          <w:lang w:val="en-US" w:eastAsia="zh-CN"/>
        </w:rPr>
        <w:t xml:space="preserve">85</w:t>
      </w:r>
      <w:r>
        <w:rPr>
          <w:rFonts w:hint="eastAsia" w:ascii="仿宋" w:hAnsi="仿宋" w:eastAsia="仿宋" w:cs="仿宋"/>
          <w:b/>
          <w:color w:val="auto"/>
          <w:sz w:val="24"/>
          <w:szCs w:val="24"/>
          <w:highlight w:val="none"/>
          <w:u w:val="single"/>
        </w:rPr>
        <w:t xml:space="preserve">%（权重）</w:t>
      </w:r>
      <w:r>
        <w:rPr>
          <w:rFonts w:hint="eastAsia" w:ascii="仿宋" w:hAnsi="仿宋" w:eastAsia="仿宋" w:cs="仿宋"/>
          <w:color w:val="auto"/>
          <w:sz w:val="24"/>
          <w:szCs w:val="24"/>
          <w:highlight w:val="none"/>
        </w:rPr>
        <w:t xml:space="preserve">（四舍五入保留两位小数）；</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报价分值占总分值的比重为</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b/>
          <w:color w:val="auto"/>
          <w:sz w:val="24"/>
          <w:szCs w:val="24"/>
          <w:highlight w:val="none"/>
          <w:u w:val="single"/>
        </w:rPr>
        <w:t xml:space="preserve">%（权重）</w:t>
      </w:r>
      <w:r>
        <w:rPr>
          <w:rFonts w:hint="eastAsia" w:ascii="仿宋" w:hAnsi="仿宋" w:eastAsia="仿宋" w:cs="仿宋"/>
          <w:color w:val="auto"/>
          <w:sz w:val="24"/>
          <w:szCs w:val="24"/>
          <w:highlight w:val="none"/>
        </w:rPr>
        <w:t xml:space="preserve">（四舍五入保留两位小数）。</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4.商务技术分按算术平均值计算，分值四舍五入保留两位小数。</w:t>
      </w:r>
      <w:r/>
    </w:p>
    <w:p>
      <w:pPr>
        <w:ind w:left="695" w:firstLine="480"/>
        <w:jc w:val="left"/>
        <w:spacing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供应商价格部分和商务技术部分的合计分值，为该供应商的评审总得分</w:t>
      </w:r>
      <w:r>
        <w:rPr>
          <w:rFonts w:hint="eastAsia" w:ascii="仿宋" w:hAnsi="仿宋" w:eastAsia="仿宋" w:cs="仿宋"/>
          <w:color w:val="auto"/>
          <w:sz w:val="24"/>
          <w:szCs w:val="24"/>
          <w:highlight w:val="none"/>
        </w:rPr>
        <w:t xml:space="preserve">（四舍五入保留两位小数）。</w:t>
      </w:r>
      <w:r>
        <w:rPr>
          <w:rFonts w:hint="eastAsia" w:ascii="仿宋" w:hAnsi="仿宋" w:eastAsia="仿宋" w:cs="仿宋"/>
          <w:bCs/>
          <w:color w:val="auto"/>
          <w:sz w:val="24"/>
          <w:szCs w:val="24"/>
          <w:highlight w:val="none"/>
        </w:rPr>
        <w:t xml:space="preserve">综合得分评审后得分由高到低顺序排列，评出综合评审最优的供应商。若综合得分相同的，按</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报价由低到高顺序排列；综合得分且</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报价相同的，按技术标优劣顺序排列；若报价相同且</w:t>
      </w:r>
      <w:r>
        <w:rPr>
          <w:rFonts w:hint="eastAsia" w:ascii="仿宋" w:hAnsi="仿宋" w:eastAsia="仿宋" w:cs="仿宋"/>
          <w:bCs/>
          <w:color w:val="auto"/>
          <w:sz w:val="24"/>
          <w:szCs w:val="24"/>
          <w:highlight w:val="none"/>
          <w:lang w:val="en-US" w:eastAsia="zh-CN"/>
        </w:rPr>
        <w:t xml:space="preserve">商务</w:t>
      </w:r>
      <w:r>
        <w:rPr>
          <w:rFonts w:hint="eastAsia" w:ascii="仿宋" w:hAnsi="仿宋" w:eastAsia="仿宋" w:cs="仿宋"/>
          <w:bCs/>
          <w:color w:val="auto"/>
          <w:sz w:val="24"/>
          <w:szCs w:val="24"/>
          <w:highlight w:val="none"/>
        </w:rPr>
        <w:t xml:space="preserve">技术标得分相同的，按照响应供应商类似业绩得分最高的投标人为中标候选人。</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文件满足磋商文件全部实质性要求且综合得分最高的供应商为第一中标候选人，依次类推。</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6.评委在认真审阅响应文件的基础上，根据各响应文件的响应程度独立评判，不得统一打分</w:t>
      </w:r>
      <w:r>
        <w:rPr>
          <w:rFonts w:hint="eastAsia" w:ascii="仿宋" w:hAnsi="仿宋" w:eastAsia="仿宋" w:cs="仿宋"/>
          <w:color w:val="auto"/>
          <w:sz w:val="24"/>
          <w:szCs w:val="24"/>
          <w:highlight w:val="none"/>
        </w:rPr>
        <w:t xml:space="preserve">。</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w:t>
      </w:r>
      <w:r>
        <w:rPr>
          <w:rFonts w:hint="eastAsia" w:ascii="仿宋" w:hAnsi="仿宋" w:eastAsia="仿宋" w:cs="仿宋"/>
          <w:b/>
          <w:color w:val="auto"/>
          <w:sz w:val="24"/>
          <w:szCs w:val="24"/>
          <w:highlight w:val="none"/>
          <w:lang w:eastAsia="en-US"/>
        </w:rPr>
        <w:t xml:space="preserve">资格审查</w:t>
      </w:r>
      <w:r/>
    </w:p>
    <w:tbl>
      <w:tblPr>
        <w:tblStyle w:val="78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1523"/>
        <w:gridCol w:w="2210"/>
        <w:gridCol w:w="5206"/>
      </w:tblGrid>
      <w:tr>
        <w:trPr>
          <w:jc w:val="center"/>
          <w:trHeight w:val="463"/>
        </w:trPr>
        <w:tc>
          <w:tcPr>
            <w:gridSpan w:val="2"/>
            <w:tcW w:w="1275" w:type="pct"/>
            <w:vAlign w:val="center"/>
            <w:textDirection w:val="lrTb"/>
            <w:noWrap w:val="false"/>
          </w:tcPr>
          <w:p>
            <w:pPr>
              <w:ind w:left="695" w:firstLine="0"/>
              <w:jc w:val="center"/>
              <w:keepLines w:val="0"/>
              <w:keepNext w:val="0"/>
              <w:pageBreakBefore w:val="0"/>
              <w:spacing w:line="360" w:lineRule="exact"/>
              <w:rPr>
                <w:rFonts w:hint="eastAsia" w:ascii="仿宋" w:hAnsi="仿宋" w:eastAsia="仿宋" w:cs="仿宋"/>
                <w:b/>
                <w:bCs/>
                <w:color w:val="auto"/>
                <w:sz w:val="21"/>
                <w:szCs w:val="21"/>
                <w:highlight w:val="none"/>
              </w:rPr>
            </w:pPr>
            <w:r/>
            <w:bookmarkStart w:id="92" w:name="OLE_LINK9"/>
            <w:r>
              <w:rPr>
                <w:rFonts w:hint="eastAsia" w:ascii="仿宋" w:hAnsi="仿宋" w:eastAsia="仿宋" w:cs="仿宋"/>
                <w:b/>
                <w:bCs/>
                <w:color w:val="auto"/>
                <w:sz w:val="21"/>
                <w:szCs w:val="21"/>
                <w:highlight w:val="none"/>
              </w:rPr>
              <w:t xml:space="preserve">条款号</w:t>
            </w:r>
            <w:r/>
          </w:p>
        </w:tc>
        <w:tc>
          <w:tcPr>
            <w:tcBorders>
              <w:left w:val="none" w:color="000000" w:sz="4" w:space="0"/>
            </w:tcBorders>
            <w:tcW w:w="1110" w:type="pct"/>
            <w:vAlign w:val="center"/>
            <w:textDirection w:val="lrTb"/>
            <w:noWrap w:val="false"/>
          </w:tcPr>
          <w:p>
            <w:pPr>
              <w:ind w:left="695" w:firstLine="0"/>
              <w:jc w:val="center"/>
              <w:keepLines w:val="0"/>
              <w:keepNext w:val="0"/>
              <w:pageBreakBefore w:val="0"/>
              <w:spacing w:line="3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评审因素</w:t>
            </w:r>
            <w:r/>
          </w:p>
        </w:tc>
        <w:tc>
          <w:tcPr>
            <w:tcBorders>
              <w:left w:val="none" w:color="000000" w:sz="4" w:space="0"/>
            </w:tcBorders>
            <w:tcW w:w="2613" w:type="pct"/>
            <w:vAlign w:val="center"/>
            <w:textDirection w:val="lrTb"/>
            <w:noWrap w:val="false"/>
          </w:tcPr>
          <w:p>
            <w:pPr>
              <w:ind w:left="695" w:firstLine="0"/>
              <w:jc w:val="center"/>
              <w:keepLines w:val="0"/>
              <w:keepNext w:val="0"/>
              <w:pageBreakBefore w:val="0"/>
              <w:spacing w:line="3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评审标准</w:t>
            </w:r>
            <w:r/>
          </w:p>
        </w:tc>
      </w:tr>
      <w:tr>
        <w:trPr>
          <w:jc w:val="center"/>
          <w:trHeight w:val="804"/>
        </w:trPr>
        <w:tc>
          <w:tcPr>
            <w:tcBorders>
              <w:top w:val="none" w:color="000000" w:sz="4" w:space="0"/>
            </w:tcBorders>
            <w:tcW w:w="510" w:type="pct"/>
            <w:vAlign w:val="center"/>
            <w:vMerge w:val="restart"/>
            <w:textDirection w:val="lrTb"/>
            <w:noWrap w:val="false"/>
          </w:tcPr>
          <w:p>
            <w:pPr>
              <w:ind w:left="695" w:firstLine="0"/>
              <w:jc w:val="cente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none" w:color="000000" w:sz="4" w:space="0"/>
              <w:left w:val="none" w:color="000000" w:sz="4" w:space="0"/>
            </w:tcBorders>
            <w:tcW w:w="765" w:type="pct"/>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形式评审标准</w:t>
            </w:r>
            <w:r/>
          </w:p>
        </w:tc>
        <w:tc>
          <w:tcPr>
            <w:tcBorders>
              <w:left w:val="none" w:color="000000" w:sz="4" w:space="0"/>
            </w:tcBorders>
            <w:tcW w:w="1110"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磋商供应商名称</w:t>
            </w:r>
            <w:r/>
          </w:p>
        </w:tc>
        <w:tc>
          <w:tcPr>
            <w:tcBorders>
              <w:left w:val="none" w:color="000000" w:sz="4" w:space="0"/>
            </w:tcBorders>
            <w:tcW w:w="2613"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磋商供应商名称与营业执照；不一致的，提供有效证明材料</w:t>
            </w:r>
            <w:r/>
          </w:p>
        </w:tc>
      </w:tr>
      <w:tr>
        <w:trPr>
          <w:jc w:val="center"/>
          <w:trHeight w:val="1113"/>
        </w:trPr>
        <w:tc>
          <w:tcPr>
            <w:tcBorders>
              <w:top w:val="none" w:color="000000" w:sz="4" w:space="0"/>
            </w:tcBorders>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none" w:color="000000" w:sz="4" w:space="0"/>
              <w:left w:val="none" w:color="000000" w:sz="4" w:space="0"/>
            </w:tcBorders>
            <w:tcW w:w="765"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0"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磋商文件签字盖章</w:t>
            </w:r>
            <w:r/>
          </w:p>
        </w:tc>
        <w:tc>
          <w:tcPr>
            <w:tcBorders>
              <w:left w:val="none" w:color="000000" w:sz="4" w:space="0"/>
            </w:tcBorders>
            <w:tcW w:w="2613"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磋商文件中规定按照相关要求</w:t>
            </w:r>
            <w:r>
              <w:rPr>
                <w:rFonts w:hint="eastAsia" w:ascii="仿宋" w:hAnsi="仿宋" w:eastAsia="仿宋" w:cs="仿宋"/>
                <w:color w:val="auto"/>
                <w:sz w:val="21"/>
                <w:szCs w:val="21"/>
                <w:highlight w:val="none"/>
              </w:rPr>
              <w:t xml:space="preserve">加盖磋商供应商公章和企业法定代表人（或企业法定代表人委托代理人）印章（或签字）</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。委托代理人有合法、有效的委托书（原件）</w:t>
            </w:r>
            <w:r>
              <w:rPr>
                <w:rFonts w:hint="eastAsia" w:ascii="仿宋" w:hAnsi="仿宋" w:eastAsia="仿宋" w:cs="仿宋"/>
                <w:color w:val="auto"/>
                <w:sz w:val="21"/>
                <w:szCs w:val="21"/>
                <w:highlight w:val="none"/>
                <w:lang w:eastAsia="zh-CN"/>
              </w:rPr>
              <w:t xml:space="preserve">。</w:t>
            </w:r>
            <w:r/>
          </w:p>
        </w:tc>
      </w:tr>
      <w:tr>
        <w:trPr>
          <w:jc w:val="center"/>
          <w:trHeight w:val="362"/>
        </w:trPr>
        <w:tc>
          <w:tcPr>
            <w:tcBorders>
              <w:top w:val="none" w:color="000000" w:sz="4" w:space="0"/>
            </w:tcBorders>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none" w:color="000000" w:sz="4" w:space="0"/>
              <w:left w:val="none" w:color="000000" w:sz="4" w:space="0"/>
            </w:tcBorders>
            <w:tcW w:w="765"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0" w:type="pct"/>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资格审查文件格式</w:t>
            </w:r>
            <w:r/>
          </w:p>
        </w:tc>
        <w:tc>
          <w:tcPr>
            <w:tcBorders>
              <w:left w:val="none" w:color="000000" w:sz="4" w:space="0"/>
            </w:tcBorders>
            <w:tcW w:w="2613" w:type="pct"/>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符合磋商文件要求并附有所有相应表格</w:t>
            </w:r>
            <w:r/>
          </w:p>
        </w:tc>
      </w:tr>
      <w:tr>
        <w:trPr>
          <w:jc w:val="center"/>
          <w:trHeight w:val="595"/>
        </w:trPr>
        <w:tc>
          <w:tcPr>
            <w:tcBorders>
              <w:top w:val="none" w:color="000000" w:sz="4" w:space="0"/>
            </w:tcBorders>
            <w:tcW w:w="510" w:type="pct"/>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Borders>
              <w:top w:val="none" w:color="000000" w:sz="4" w:space="0"/>
              <w:left w:val="none" w:color="000000" w:sz="4" w:space="0"/>
            </w:tcBorders>
            <w:tcW w:w="765" w:type="pct"/>
            <w:vAlign w:val="center"/>
            <w:vMerge w:val="restart"/>
            <w:textDirection w:val="lrTb"/>
            <w:noWrap w:val="false"/>
          </w:tcPr>
          <w:p>
            <w:pPr>
              <w:ind w:left="695" w:firstLine="0"/>
              <w:jc w:val="cente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资格评审标准</w:t>
            </w:r>
            <w:r/>
          </w:p>
        </w:tc>
        <w:tc>
          <w:tcPr>
            <w:tcBorders>
              <w:left w:val="none" w:color="000000" w:sz="4" w:space="0"/>
            </w:tcBorders>
            <w:tcW w:w="1110"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法定代表人身份证明书、授权委托书</w:t>
            </w:r>
            <w:r/>
          </w:p>
        </w:tc>
        <w:tc>
          <w:tcPr>
            <w:tcBorders>
              <w:left w:val="none" w:color="000000" w:sz="4" w:space="0"/>
            </w:tcBorders>
            <w:tcW w:w="2613" w:type="pct"/>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法定代表人参加的，必须提供法定代表人身份证明及法定代表人本人身份证原件扫描件（格式详见第七章）；非法定代表人参加的，必须提供法定代表人签字或盖章的授权委托书及法定代表人、被授权人的两人身份证的原件扫描件（格式</w:t>
            </w:r>
            <w:r>
              <w:rPr>
                <w:rFonts w:hint="eastAsia" w:ascii="仿宋" w:hAnsi="仿宋" w:eastAsia="仿宋" w:cs="仿宋"/>
                <w:color w:val="auto"/>
                <w:sz w:val="21"/>
                <w:szCs w:val="21"/>
                <w:highlight w:val="none"/>
                <w:lang w:val="en-US" w:eastAsia="zh-CN"/>
              </w:rPr>
              <w:t xml:space="preserve">按后附件</w:t>
            </w:r>
            <w:r>
              <w:rPr>
                <w:rFonts w:hint="eastAsia" w:ascii="仿宋" w:hAnsi="仿宋" w:eastAsia="仿宋" w:cs="仿宋"/>
                <w:color w:val="auto"/>
                <w:sz w:val="21"/>
                <w:szCs w:val="21"/>
                <w:highlight w:val="none"/>
              </w:rPr>
              <w:t xml:space="preserve">）；</w:t>
            </w:r>
            <w:r/>
          </w:p>
        </w:tc>
      </w:tr>
      <w:tr>
        <w:trPr>
          <w:jc w:val="center"/>
          <w:trHeight w:val="344"/>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5"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0" w:type="pct"/>
            <w:vAlign w:val="center"/>
            <w:textDirection w:val="lrTb"/>
            <w:noWrap w:val="false"/>
          </w:tcPr>
          <w:p>
            <w:pPr>
              <w:ind w:left="695" w:firstLine="0"/>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声明函</w:t>
            </w:r>
            <w:r/>
          </w:p>
        </w:tc>
        <w:tc>
          <w:tcPr>
            <w:tcBorders>
              <w:left w:val="none" w:color="000000" w:sz="4" w:space="0"/>
            </w:tcBorders>
            <w:tcW w:w="2613" w:type="pct"/>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磋商供应商符合《政府采购法》第二十二条规定条件的声明函（按磋商文件后附格式）；</w:t>
            </w:r>
            <w:r/>
          </w:p>
        </w:tc>
      </w:tr>
      <w:tr>
        <w:trPr>
          <w:jc w:val="center"/>
          <w:trHeight w:val="591"/>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5"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left w:val="none" w:color="000000" w:sz="4" w:space="0"/>
            </w:tcBorders>
            <w:tcW w:w="1110"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磋商供应商未列入失信被执行人或重大税收违法案件当事人名单或政府采购严重失信行为记录名单的证明材料</w:t>
            </w:r>
            <w:r/>
          </w:p>
        </w:tc>
        <w:tc>
          <w:tcPr>
            <w:shd w:val="clear" w:color="auto" w:fill="auto"/>
            <w:tcBorders>
              <w:left w:val="none" w:color="000000" w:sz="4" w:space="0"/>
            </w:tcBorders>
            <w:tcW w:w="2613"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 xml:space="preserve">供应商未被“信用中国”网站列入失信被执行人或重大税收违法案件当事人名单或政府采购严重失信行为记录名单，或查询“信用中国”网站后发现响应供应商不存在其他不符合资格条件规定的信用记录的。</w:t>
            </w:r>
            <w:r/>
          </w:p>
        </w:tc>
      </w:tr>
      <w:tr>
        <w:trPr>
          <w:jc w:val="center"/>
          <w:trHeight w:val="1490"/>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5"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0" w:type="pct"/>
            <w:vAlign w:val="center"/>
            <w:textDirection w:val="lrTb"/>
            <w:noWrap w:val="false"/>
          </w:tcPr>
          <w:p>
            <w:pPr>
              <w:jc w:val="center"/>
              <w:keepLines w:val="0"/>
              <w:keepNext w:val="0"/>
              <w:pageBreakBefore w:val="0"/>
              <w:spacing w:line="36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落实政府采购政策需满足的资格要求</w:t>
            </w:r>
            <w:r/>
          </w:p>
        </w:tc>
        <w:tc>
          <w:tcPr>
            <w:tcBorders>
              <w:left w:val="none" w:color="000000" w:sz="4" w:space="0"/>
            </w:tcBorders>
            <w:tcW w:w="2613"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本项目为专门面向中小微企业采购项目（须按照财库〔2020〕46号文要求提供中小企业声明函，格式见附件）</w:t>
            </w:r>
            <w:r>
              <w:rPr>
                <w:rFonts w:hint="eastAsia" w:ascii="仿宋" w:hAnsi="仿宋" w:eastAsia="仿宋" w:cs="仿宋"/>
                <w:color w:val="auto"/>
                <w:sz w:val="21"/>
                <w:szCs w:val="21"/>
                <w:highlight w:val="none"/>
                <w:lang w:eastAsia="zh-CN"/>
              </w:rPr>
              <w:t xml:space="preserve">。</w:t>
            </w:r>
            <w:r/>
          </w:p>
        </w:tc>
      </w:tr>
      <w:tr>
        <w:trPr>
          <w:jc w:val="center"/>
          <w:trHeight w:val="1490"/>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5"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0" w:type="pct"/>
            <w:vAlign w:val="center"/>
            <w:textDirection w:val="lrTb"/>
            <w:noWrap w:val="false"/>
          </w:tcPr>
          <w:p>
            <w:pPr>
              <w:jc w:val="center"/>
              <w:keepLines w:val="0"/>
              <w:keepNext w:val="0"/>
              <w:pageBreakBefore w:val="0"/>
              <w:spacing w:line="36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特定资格要求</w:t>
            </w:r>
            <w:r/>
          </w:p>
        </w:tc>
        <w:tc>
          <w:tcPr>
            <w:tcBorders>
              <w:left w:val="none" w:color="000000" w:sz="4" w:space="0"/>
            </w:tcBorders>
            <w:tcW w:w="2613"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供应商持有有效的《中华人民共和国出版物经营许可证》</w:t>
            </w:r>
            <w:r/>
          </w:p>
        </w:tc>
      </w:tr>
      <w:tr>
        <w:trPr>
          <w:jc w:val="center"/>
          <w:trHeight w:val="392"/>
        </w:trPr>
        <w:tc>
          <w:tcPr>
            <w:tcW w:w="510" w:type="pct"/>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1"/>
                <w:szCs w:val="21"/>
                <w:highlight w:val="none"/>
                <w:lang w:val="en-US" w:eastAsia="zh-CN"/>
              </w:rPr>
            </w:pPr>
            <w:r/>
            <w:bookmarkStart w:id="93" w:name="_Hlk14941930"/>
            <w:r>
              <w:rPr>
                <w:rFonts w:hint="eastAsia" w:ascii="仿宋" w:hAnsi="仿宋" w:eastAsia="仿宋" w:cs="仿宋"/>
                <w:color w:val="auto"/>
                <w:sz w:val="21"/>
                <w:szCs w:val="21"/>
                <w:highlight w:val="none"/>
                <w:lang w:val="en-US" w:eastAsia="zh-CN"/>
              </w:rPr>
              <w:t xml:space="preserve">3</w:t>
            </w:r>
            <w:r/>
          </w:p>
        </w:tc>
        <w:tc>
          <w:tcPr>
            <w:tcBorders>
              <w:left w:val="none" w:color="000000" w:sz="4" w:space="0"/>
            </w:tcBorders>
            <w:tcW w:w="765" w:type="pct"/>
            <w:vAlign w:val="center"/>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0"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val="en-US" w:eastAsia="zh-CN"/>
              </w:rPr>
              <w:t xml:space="preserve">其他供应商认为需要递交的资格证明材料</w:t>
            </w:r>
            <w:r/>
          </w:p>
        </w:tc>
        <w:tc>
          <w:tcPr>
            <w:tcBorders>
              <w:left w:val="none" w:color="000000" w:sz="4" w:space="0"/>
            </w:tcBorders>
            <w:tcW w:w="2613"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val="en-US" w:eastAsia="zh-CN"/>
              </w:rPr>
              <w:t xml:space="preserve">其他资格证明材料</w:t>
            </w:r>
            <w:r/>
          </w:p>
        </w:tc>
      </w:tr>
      <w:tr>
        <w:trPr>
          <w:jc w:val="center"/>
          <w:trHeight w:val="90"/>
        </w:trPr>
        <w:tc>
          <w:tcPr>
            <w:gridSpan w:val="4"/>
            <w:tcW w:w="5000" w:type="pct"/>
            <w:vAlign w:val="center"/>
            <w:textDirection w:val="lrTb"/>
            <w:noWrap w:val="false"/>
          </w:tcPr>
          <w:p>
            <w:pPr>
              <w:ind w:firstLine="211"/>
              <w:keepLines w:val="0"/>
              <w:keepNext w:val="0"/>
              <w:pageBreakBefore w:val="0"/>
              <w:spacing w:line="3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上述条款资格评审标准的递交资料需提供清晰的原件扫描件并加盖响应单位公章；以上资格评审标准评审标等相关内容不清晰或资料不全的或不符合要求的，由此引起的后果由供应商自负。</w:t>
            </w:r>
            <w:r/>
          </w:p>
          <w:p>
            <w:pPr>
              <w:ind w:firstLine="211"/>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注：通过形式评审和资格审查的响应供应商可进入以下评审(资格审查不合格的响应供应商不得进入本项目商务技术标和报价标的综合评审阶段)。</w:t>
            </w:r>
            <w:bookmarkEnd w:id="93"/>
            <w:r/>
            <w:bookmarkEnd w:id="92"/>
            <w:r/>
            <w:r/>
          </w:p>
        </w:tc>
      </w:tr>
    </w:tbl>
    <w:p>
      <w:pPr>
        <w:ind w:firstLine="482"/>
        <w:jc w:val="left"/>
        <w:keepLines w:val="0"/>
        <w:keepNext w:val="0"/>
        <w:pageBreakBefore w:val="0"/>
        <w:spacing w:line="4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七、磋商小组对符合资格供应商的响应文件进行符合性审查。</w:t>
      </w:r>
      <w:r/>
    </w:p>
    <w:p>
      <w:pPr>
        <w:ind w:left="695" w:firstLine="482"/>
        <w:jc w:val="center"/>
        <w:spacing w:line="460" w:lineRule="exact"/>
        <w:rPr>
          <w:rFonts w:hint="eastAsia"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符合性审查要求</w:t>
      </w:r>
      <w:r/>
    </w:p>
    <w:tbl>
      <w:tblPr>
        <w:tblStyle w:val="78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没有《竞争性磋商文件》不允许的附加条件。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zh-CN"/>
              </w:rPr>
              <w:t xml:space="preserve">满足《竞争性磋商文件》以“★”标明的全部实质性条款要求。</w:t>
            </w:r>
            <w:r/>
          </w:p>
        </w:tc>
      </w:tr>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t xml:space="preserve">按《竞争性磋商文件》要求</w:t>
            </w:r>
            <w:r>
              <w:rPr>
                <w:rFonts w:hint="eastAsia" w:ascii="仿宋" w:hAnsi="仿宋" w:eastAsia="仿宋" w:cs="仿宋"/>
                <w:b/>
                <w:bCs/>
                <w:color w:val="auto"/>
                <w:sz w:val="24"/>
                <w:szCs w:val="24"/>
                <w:highlight w:val="none"/>
              </w:rPr>
              <w:t xml:space="preserve">提供承诺书</w:t>
            </w:r>
            <w:r>
              <w:rPr>
                <w:rFonts w:hint="eastAsia" w:ascii="仿宋" w:hAnsi="仿宋" w:eastAsia="仿宋" w:cs="仿宋"/>
                <w:b/>
                <w:bCs/>
                <w:color w:val="auto"/>
                <w:sz w:val="24"/>
                <w:szCs w:val="24"/>
                <w:highlight w:val="none"/>
                <w:lang w:val="en-US" w:eastAsia="zh-CN"/>
              </w:rPr>
              <w:t xml:space="preserve">作为符合性审查材料的</w:t>
            </w:r>
            <w:r>
              <w:rPr>
                <w:rFonts w:hint="eastAsia" w:ascii="仿宋" w:hAnsi="仿宋" w:eastAsia="仿宋" w:cs="仿宋"/>
                <w:b/>
                <w:bCs/>
                <w:color w:val="auto"/>
                <w:sz w:val="24"/>
                <w:szCs w:val="24"/>
                <w:highlight w:val="none"/>
              </w:rPr>
              <w:t xml:space="preserve">（如有）</w:t>
            </w:r>
            <w:r>
              <w:rPr>
                <w:rFonts w:hint="eastAsia" w:ascii="仿宋" w:hAnsi="仿宋" w:eastAsia="仿宋" w:cs="仿宋"/>
                <w:color w:val="auto"/>
                <w:sz w:val="24"/>
                <w:szCs w:val="24"/>
                <w:highlight w:val="none"/>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没有无效</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没有串通</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情形。</w:t>
            </w:r>
            <w:r/>
          </w:p>
        </w:tc>
      </w:tr>
    </w:tbl>
    <w:p>
      <w:pPr>
        <w:pStyle w:val="980"/>
        <w:ind w:firstLine="482"/>
        <w:keepLines w:val="0"/>
        <w:keepNext w:val="0"/>
        <w:pageBreakBefore w:val="0"/>
        <w:spacing w:line="360" w:lineRule="auto"/>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zh-CN"/>
        </w:rPr>
        <w:t xml:space="preserve">本磋商文件</w:t>
      </w:r>
      <w:r>
        <w:rPr>
          <w:rFonts w:hint="eastAsia" w:ascii="仿宋" w:hAnsi="仿宋" w:eastAsia="仿宋" w:cs="仿宋"/>
          <w:b/>
          <w:bCs/>
          <w:color w:val="auto"/>
          <w:sz w:val="24"/>
          <w:szCs w:val="24"/>
          <w:highlight w:val="none"/>
          <w:u w:val="single"/>
          <w:lang w:val="en-US" w:eastAsia="zh-CN"/>
        </w:rPr>
        <w:t xml:space="preserve">所</w:t>
      </w:r>
      <w:r>
        <w:rPr>
          <w:rFonts w:hint="eastAsia" w:ascii="仿宋" w:hAnsi="仿宋" w:eastAsia="仿宋" w:cs="仿宋"/>
          <w:b/>
          <w:bCs/>
          <w:color w:val="auto"/>
          <w:sz w:val="24"/>
          <w:szCs w:val="24"/>
          <w:highlight w:val="none"/>
          <w:u w:val="single"/>
          <w:lang w:val="zh-CN"/>
        </w:rPr>
        <w:t xml:space="preserve">有“★”标明的条款，请各供应商仔细研读且作为符合性审查要求，未通过符合性审查的响应文件，经磋商小组核实将被判为不满足竞争性磋商文件实质性要求，</w:t>
      </w:r>
      <w:r>
        <w:rPr>
          <w:rFonts w:hint="eastAsia" w:ascii="仿宋" w:hAnsi="仿宋" w:eastAsia="仿宋" w:cs="仿宋"/>
          <w:b/>
          <w:bCs/>
          <w:color w:val="auto"/>
          <w:sz w:val="24"/>
          <w:szCs w:val="24"/>
          <w:highlight w:val="none"/>
          <w:u w:val="single"/>
        </w:rPr>
        <w:t xml:space="preserve">作无效响应处理。</w:t>
      </w:r>
      <w:r/>
    </w:p>
    <w:p>
      <w:pPr>
        <w:numPr>
          <w:ilvl w:val="0"/>
          <w:numId w:val="0"/>
        </w:numPr>
        <w:ind w:firstLine="482"/>
        <w:jc w:val="left"/>
        <w:keepLines w:val="0"/>
        <w:keepNext w:val="0"/>
        <w:pageBreakBefore w:val="0"/>
        <w:spacing w:line="460" w:lineRule="exact"/>
        <w:widowControl w:val="off"/>
        <w:rPr>
          <w:rFonts w:hint="eastAsia"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lang w:eastAsia="en-US"/>
        </w:rPr>
        <w:t xml:space="preserve">综合评分评审标准</w:t>
      </w:r>
      <w:r/>
    </w:p>
    <w:tbl>
      <w:tblPr>
        <w:tblStyle w:val="782"/>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477"/>
        <w:gridCol w:w="1397"/>
        <w:gridCol w:w="1714"/>
        <w:gridCol w:w="6190"/>
      </w:tblGrid>
      <w:tr>
        <w:trPr>
          <w:jc w:val="center"/>
          <w:trHeight w:val="754"/>
        </w:trPr>
        <w:tc>
          <w:tcPr>
            <w:tcW w:w="244"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p>
        </w:tc>
        <w:tc>
          <w:tcPr>
            <w:tcW w:w="714"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因素和分值</w:t>
            </w:r>
            <w:r/>
          </w:p>
        </w:tc>
        <w:tc>
          <w:tcPr>
            <w:tcW w:w="876"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详细因素及分值</w:t>
            </w:r>
            <w:r/>
          </w:p>
        </w:tc>
        <w:tc>
          <w:tcPr>
            <w:tcW w:w="3163"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评分细则</w:t>
            </w:r>
            <w:r/>
          </w:p>
        </w:tc>
      </w:tr>
      <w:tr>
        <w:trPr>
          <w:jc w:val="center"/>
          <w:trHeight w:val="1114"/>
        </w:trPr>
        <w:tc>
          <w:tcPr>
            <w:tcW w:w="244" w:type="pct"/>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14" w:type="pct"/>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商务技术标（85分）</w:t>
            </w:r>
            <w:r/>
          </w:p>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6" w:type="pct"/>
            <w:vAlign w:val="center"/>
            <w:textDirection w:val="lrTb"/>
            <w:noWrap w:val="false"/>
          </w:tcPr>
          <w:p>
            <w:pPr>
              <w:jc w:val="center"/>
              <w:spacing w:line="380" w:lineRule="exact"/>
              <w:rPr>
                <w:rStyle w:val="813"/>
                <w:rFonts w:hint="default" w:ascii="仿宋" w:hAnsi="仿宋" w:eastAsia="仿宋" w:cs="仿宋"/>
                <w:i w:val="0"/>
                <w:iCs w:val="0"/>
                <w:color w:val="auto"/>
                <w:sz w:val="21"/>
                <w:szCs w:val="21"/>
                <w:highlight w:val="none"/>
                <w:lang w:val="en-US" w:eastAsia="zh-CN"/>
              </w:rPr>
            </w:pPr>
            <w:r>
              <w:rPr>
                <w:rStyle w:val="813"/>
                <w:rFonts w:hint="eastAsia" w:ascii="仿宋" w:hAnsi="仿宋" w:eastAsia="仿宋" w:cs="仿宋"/>
                <w:i w:val="0"/>
                <w:iCs w:val="0"/>
                <w:color w:val="auto"/>
                <w:sz w:val="21"/>
                <w:szCs w:val="21"/>
                <w:highlight w:val="none"/>
              </w:rPr>
              <w:t xml:space="preserve">企业</w:t>
            </w:r>
            <w:r>
              <w:rPr>
                <w:rStyle w:val="813"/>
                <w:rFonts w:hint="eastAsia" w:ascii="仿宋" w:hAnsi="仿宋" w:eastAsia="仿宋" w:cs="仿宋"/>
                <w:i w:val="0"/>
                <w:iCs w:val="0"/>
                <w:color w:val="auto"/>
                <w:sz w:val="21"/>
                <w:szCs w:val="21"/>
                <w:highlight w:val="none"/>
                <w:lang w:val="en-US" w:eastAsia="zh-CN"/>
              </w:rPr>
              <w:t xml:space="preserve">履约能力</w:t>
            </w:r>
            <w:r/>
          </w:p>
          <w:p>
            <w:pPr>
              <w:jc w:val="center"/>
              <w:spacing w:line="380" w:lineRule="exact"/>
              <w:rPr>
                <w:rStyle w:val="813"/>
                <w:rFonts w:hint="eastAsia" w:ascii="仿宋" w:hAnsi="仿宋" w:eastAsia="仿宋" w:cs="仿宋"/>
                <w:i w:val="0"/>
                <w:iCs w:val="0"/>
                <w:color w:val="auto"/>
                <w:sz w:val="21"/>
                <w:szCs w:val="21"/>
                <w:highlight w:val="none"/>
                <w:lang w:eastAsia="zh-CN"/>
              </w:rPr>
            </w:pPr>
            <w:r>
              <w:rPr>
                <w:rStyle w:val="813"/>
                <w:rFonts w:hint="eastAsia" w:ascii="仿宋" w:hAnsi="仿宋" w:eastAsia="仿宋" w:cs="仿宋"/>
                <w:i w:val="0"/>
                <w:iCs w:val="0"/>
                <w:color w:val="auto"/>
                <w:sz w:val="21"/>
                <w:szCs w:val="21"/>
                <w:highlight w:val="none"/>
                <w:lang w:eastAsia="zh-CN"/>
              </w:rPr>
              <w:t xml:space="preserve">（</w:t>
            </w:r>
            <w:r>
              <w:rPr>
                <w:rStyle w:val="813"/>
                <w:rFonts w:hint="eastAsia" w:ascii="仿宋" w:hAnsi="仿宋" w:eastAsia="仿宋" w:cs="仿宋"/>
                <w:i w:val="0"/>
                <w:iCs w:val="0"/>
                <w:color w:val="auto"/>
                <w:sz w:val="21"/>
                <w:szCs w:val="21"/>
                <w:highlight w:val="none"/>
                <w:lang w:val="en-US" w:eastAsia="zh-CN"/>
              </w:rPr>
              <w:t xml:space="preserve">20分</w:t>
            </w:r>
            <w:r>
              <w:rPr>
                <w:rStyle w:val="813"/>
                <w:rFonts w:hint="eastAsia" w:ascii="仿宋" w:hAnsi="仿宋" w:eastAsia="仿宋" w:cs="仿宋"/>
                <w:i w:val="0"/>
                <w:iCs w:val="0"/>
                <w:color w:val="auto"/>
                <w:sz w:val="21"/>
                <w:szCs w:val="21"/>
                <w:highlight w:val="none"/>
                <w:lang w:eastAsia="zh-CN"/>
              </w:rPr>
              <w:t xml:space="preserve">）</w:t>
            </w:r>
            <w:r/>
          </w:p>
        </w:tc>
        <w:tc>
          <w:tcPr>
            <w:tcW w:w="3163" w:type="pct"/>
            <w:vAlign w:val="center"/>
            <w:textDirection w:val="lrTb"/>
            <w:noWrap w:val="false"/>
          </w:tcPr>
          <w:p>
            <w:pPr>
              <w:keepLines w:val="0"/>
              <w:keepNext w:val="0"/>
              <w:pageBreakBefore w:val="0"/>
              <w:spacing w:line="360" w:lineRule="exact"/>
              <w:rPr>
                <w:rFonts w:hint="eastAsia" w:ascii="仿宋" w:hAnsi="仿宋" w:eastAsia="仿宋" w:cs="仿宋"/>
                <w:i w:val="0"/>
                <w:iCs w:val="0"/>
                <w:color w:val="auto"/>
                <w:sz w:val="21"/>
                <w:szCs w:val="21"/>
                <w:highlight w:val="none"/>
              </w:rPr>
            </w:pPr>
            <w:r>
              <w:rPr>
                <w:rStyle w:val="813"/>
                <w:rFonts w:hint="eastAsia" w:ascii="仿宋" w:hAnsi="仿宋" w:eastAsia="仿宋" w:cs="仿宋"/>
                <w:i w:val="0"/>
                <w:iCs w:val="0"/>
                <w:color w:val="auto"/>
                <w:sz w:val="21"/>
                <w:szCs w:val="21"/>
                <w:highlight w:val="none"/>
                <w:lang w:val="en-US" w:eastAsia="zh-CN"/>
              </w:rPr>
              <w:t xml:space="preserve">1.</w:t>
            </w:r>
            <w:r>
              <w:rPr>
                <w:rStyle w:val="813"/>
                <w:rFonts w:hint="eastAsia" w:ascii="仿宋" w:hAnsi="仿宋" w:eastAsia="仿宋" w:cs="仿宋"/>
                <w:i w:val="0"/>
                <w:iCs w:val="0"/>
                <w:color w:val="auto"/>
                <w:sz w:val="21"/>
                <w:szCs w:val="21"/>
                <w:highlight w:val="none"/>
              </w:rPr>
              <w:t xml:space="preserve">出版社合作资源（</w:t>
            </w:r>
            <w:r>
              <w:rPr>
                <w:rStyle w:val="813"/>
                <w:rFonts w:hint="eastAsia" w:ascii="仿宋" w:hAnsi="仿宋" w:eastAsia="仿宋" w:cs="仿宋"/>
                <w:i w:val="0"/>
                <w:iCs w:val="0"/>
                <w:color w:val="auto"/>
                <w:sz w:val="21"/>
                <w:szCs w:val="21"/>
                <w:highlight w:val="none"/>
                <w:lang w:val="en-US" w:eastAsia="zh-CN"/>
              </w:rPr>
              <w:t xml:space="preserve">20</w:t>
            </w:r>
            <w:r>
              <w:rPr>
                <w:rStyle w:val="813"/>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t xml:space="preserve">：</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1）</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须具备教材出版代理资源，与正规出版社有稳定合作关系。根据</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提供的有效出版社合作资源数量进行分档</w:t>
            </w:r>
            <w:r>
              <w:rPr>
                <w:rFonts w:hint="eastAsia" w:ascii="仿宋" w:hAnsi="仿宋" w:eastAsia="仿宋" w:cs="仿宋"/>
                <w:i w:val="0"/>
                <w:iCs w:val="0"/>
                <w:color w:val="auto"/>
                <w:sz w:val="21"/>
                <w:szCs w:val="21"/>
                <w:highlight w:val="none"/>
                <w:lang w:val="en-US" w:eastAsia="zh-CN"/>
              </w:rPr>
              <w:t xml:space="preserve">计</w:t>
            </w:r>
            <w:r>
              <w:rPr>
                <w:rFonts w:hint="eastAsia" w:ascii="仿宋" w:hAnsi="仿宋" w:eastAsia="仿宋" w:cs="仿宋"/>
                <w:i w:val="0"/>
                <w:iCs w:val="0"/>
                <w:color w:val="auto"/>
                <w:sz w:val="21"/>
                <w:szCs w:val="21"/>
                <w:highlight w:val="none"/>
              </w:rPr>
              <w:t xml:space="preserve">分：</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①累计合作出版社资源达到25家及以上的，计</w:t>
            </w:r>
            <w:r>
              <w:rPr>
                <w:rFonts w:hint="eastAsia" w:ascii="仿宋" w:hAnsi="仿宋" w:eastAsia="仿宋" w:cs="仿宋"/>
                <w:i w:val="0"/>
                <w:iCs w:val="0"/>
                <w:color w:val="auto"/>
                <w:sz w:val="21"/>
                <w:szCs w:val="21"/>
                <w:highlight w:val="none"/>
                <w:lang w:val="en-US" w:eastAsia="zh-CN"/>
              </w:rPr>
              <w:t xml:space="preserve">7</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②累计合作出版社资源达到20-24家的，计</w:t>
            </w:r>
            <w:r>
              <w:rPr>
                <w:rFonts w:hint="eastAsia" w:ascii="仿宋" w:hAnsi="仿宋" w:eastAsia="仿宋" w:cs="仿宋"/>
                <w:i w:val="0"/>
                <w:iCs w:val="0"/>
                <w:color w:val="auto"/>
                <w:sz w:val="21"/>
                <w:szCs w:val="21"/>
                <w:highlight w:val="none"/>
                <w:lang w:val="en-US" w:eastAsia="zh-CN"/>
              </w:rPr>
              <w:t xml:space="preserve">5</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③累计合作出版社资源达到15-19家的，计</w:t>
            </w: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④累计合作出版社资源达到10-14家的，计</w:t>
            </w:r>
            <w:r>
              <w:rPr>
                <w:rFonts w:hint="eastAsia" w:ascii="仿宋" w:hAnsi="仿宋" w:eastAsia="仿宋" w:cs="仿宋"/>
                <w:i w:val="0"/>
                <w:iCs w:val="0"/>
                <w:color w:val="auto"/>
                <w:sz w:val="21"/>
                <w:szCs w:val="21"/>
                <w:highlight w:val="none"/>
                <w:lang w:val="en-US" w:eastAsia="zh-CN"/>
              </w:rPr>
              <w:t xml:space="preserve">1</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⑤累计合作出版社资源不足10家的，不</w:t>
            </w:r>
            <w:r>
              <w:rPr>
                <w:rStyle w:val="817"/>
                <w:rFonts w:hint="eastAsia" w:ascii="仿宋" w:hAnsi="仿宋" w:eastAsia="仿宋" w:cs="仿宋"/>
                <w:i w:val="0"/>
                <w:iCs w:val="0"/>
                <w:color w:val="auto"/>
                <w:sz w:val="21"/>
                <w:szCs w:val="21"/>
                <w:highlight w:val="none"/>
              </w:rPr>
              <w:t xml:space="preserve">计</w:t>
            </w:r>
            <w:r>
              <w:rPr>
                <w:rFonts w:hint="eastAsia" w:ascii="仿宋" w:hAnsi="仿宋" w:eastAsia="仿宋" w:cs="仿宋"/>
                <w:i w:val="0"/>
                <w:iCs w:val="0"/>
                <w:color w:val="auto"/>
                <w:sz w:val="21"/>
                <w:szCs w:val="21"/>
                <w:highlight w:val="none"/>
              </w:rPr>
              <w:t xml:space="preserve">分。</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证明材料：提供与各出版社的有效合作协议或授权证明文件</w:t>
            </w:r>
            <w:r>
              <w:rPr>
                <w:rFonts w:hint="eastAsia" w:ascii="仿宋" w:hAnsi="仿宋" w:eastAsia="仿宋" w:cs="仿宋"/>
                <w:i w:val="0"/>
                <w:iCs w:val="0"/>
                <w:color w:val="auto"/>
                <w:sz w:val="21"/>
                <w:szCs w:val="21"/>
                <w:highlight w:val="none"/>
                <w:lang w:eastAsia="zh-CN"/>
              </w:rPr>
              <w:t xml:space="preserve">原件扫描件</w:t>
            </w:r>
            <w:r>
              <w:rPr>
                <w:rFonts w:hint="eastAsia" w:ascii="仿宋" w:hAnsi="仿宋" w:eastAsia="仿宋" w:cs="仿宋"/>
                <w:i w:val="0"/>
                <w:iCs w:val="0"/>
                <w:color w:val="auto"/>
                <w:sz w:val="21"/>
                <w:szCs w:val="21"/>
                <w:highlight w:val="none"/>
              </w:rPr>
              <w:t xml:space="preserve">。所有材料均需加盖</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公章，否则不得分。转委托的合作关系不予认可。</w:t>
            </w:r>
            <w:r/>
          </w:p>
          <w:p>
            <w:pPr>
              <w:keepLines w:val="0"/>
              <w:keepNext w:val="0"/>
              <w:pageBreakBefore w:val="0"/>
              <w:spacing w:line="360" w:lineRule="exact"/>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2）</w:t>
            </w:r>
            <w:r>
              <w:rPr>
                <w:rFonts w:hint="eastAsia" w:ascii="仿宋" w:hAnsi="仿宋" w:eastAsia="仿宋" w:cs="仿宋"/>
                <w:i w:val="0"/>
                <w:iCs w:val="0"/>
                <w:color w:val="auto"/>
                <w:sz w:val="21"/>
                <w:szCs w:val="21"/>
                <w:highlight w:val="none"/>
              </w:rPr>
              <w:t xml:space="preserve">合作出版社资源</w:t>
            </w:r>
            <w:r>
              <w:rPr>
                <w:rFonts w:hint="eastAsia" w:ascii="仿宋" w:hAnsi="仿宋" w:eastAsia="仿宋" w:cs="仿宋"/>
                <w:i w:val="0"/>
                <w:iCs w:val="0"/>
                <w:color w:val="auto"/>
                <w:sz w:val="21"/>
                <w:szCs w:val="21"/>
                <w:highlight w:val="none"/>
                <w:lang w:val="en-US" w:eastAsia="zh-CN"/>
              </w:rPr>
              <w:t xml:space="preserve">中</w:t>
            </w:r>
            <w:r>
              <w:rPr>
                <w:rFonts w:hint="eastAsia" w:ascii="仿宋" w:hAnsi="仿宋" w:eastAsia="仿宋" w:cs="仿宋"/>
                <w:i w:val="0"/>
                <w:iCs w:val="0"/>
                <w:color w:val="auto"/>
                <w:sz w:val="21"/>
                <w:szCs w:val="21"/>
                <w:highlight w:val="none"/>
              </w:rPr>
              <w:t xml:space="preserve">，若</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合作名录中涵盖大连海事大学出版社、哈尔滨工程大学出版社、人民交通出版社、高等教育出版社、机械工业出版社、上海交通大学出版社</w:t>
            </w:r>
            <w:r>
              <w:rPr>
                <w:rFonts w:hint="eastAsia" w:ascii="仿宋" w:hAnsi="仿宋" w:eastAsia="仿宋" w:cs="仿宋"/>
                <w:i w:val="0"/>
                <w:iCs w:val="0"/>
                <w:color w:val="auto"/>
                <w:sz w:val="21"/>
                <w:szCs w:val="21"/>
                <w:highlight w:val="none"/>
                <w:lang w:eastAsia="zh-CN"/>
              </w:rPr>
              <w:t xml:space="preserve">、北京航空航天大学出版社、</w:t>
            </w:r>
            <w:r>
              <w:rPr>
                <w:rFonts w:hint="eastAsia" w:ascii="仿宋" w:hAnsi="仿宋" w:eastAsia="仿宋" w:cs="仿宋"/>
                <w:i w:val="0"/>
                <w:iCs w:val="0"/>
                <w:color w:val="auto"/>
                <w:sz w:val="21"/>
                <w:szCs w:val="21"/>
                <w:highlight w:val="none"/>
                <w:lang w:val="en-US" w:eastAsia="zh-CN"/>
              </w:rPr>
              <w:t xml:space="preserve">航空工业出版社、湖南大学出版社、南京大学出版社</w:t>
            </w:r>
            <w:r>
              <w:rPr>
                <w:rFonts w:hint="eastAsia" w:ascii="仿宋" w:hAnsi="仿宋" w:eastAsia="仿宋" w:cs="仿宋"/>
                <w:i w:val="0"/>
                <w:iCs w:val="0"/>
                <w:color w:val="auto"/>
                <w:sz w:val="21"/>
                <w:szCs w:val="21"/>
                <w:highlight w:val="none"/>
              </w:rPr>
              <w:t xml:space="preserve">的，</w:t>
            </w:r>
            <w:r>
              <w:rPr>
                <w:rFonts w:hint="eastAsia" w:ascii="仿宋" w:hAnsi="仿宋" w:eastAsia="仿宋" w:cs="仿宋"/>
                <w:i w:val="0"/>
                <w:iCs w:val="0"/>
                <w:color w:val="auto"/>
                <w:sz w:val="21"/>
                <w:szCs w:val="21"/>
                <w:highlight w:val="none"/>
                <w:lang w:val="en-US" w:eastAsia="zh-CN"/>
              </w:rPr>
              <w:t xml:space="preserve">证明材料：</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①需提供响应供应商与对应出版社签订的合同原件扫描件，并加盖公章，以上</w:t>
            </w:r>
            <w:r>
              <w:rPr>
                <w:rFonts w:hint="eastAsia" w:ascii="仿宋" w:hAnsi="仿宋" w:eastAsia="仿宋" w:cs="仿宋"/>
                <w:i w:val="0"/>
                <w:iCs w:val="0"/>
                <w:color w:val="auto"/>
                <w:sz w:val="21"/>
                <w:szCs w:val="21"/>
                <w:highlight w:val="none"/>
              </w:rPr>
              <w:t xml:space="preserve">每</w:t>
            </w:r>
            <w:r>
              <w:rPr>
                <w:rFonts w:hint="eastAsia" w:ascii="仿宋" w:hAnsi="仿宋" w:eastAsia="仿宋" w:cs="仿宋"/>
                <w:i w:val="0"/>
                <w:iCs w:val="0"/>
                <w:color w:val="auto"/>
                <w:sz w:val="21"/>
                <w:szCs w:val="21"/>
                <w:highlight w:val="none"/>
                <w:lang w:val="en-US" w:eastAsia="zh-CN"/>
              </w:rPr>
              <w:t xml:space="preserve">提供</w:t>
            </w:r>
            <w:r>
              <w:rPr>
                <w:rFonts w:hint="eastAsia" w:ascii="仿宋" w:hAnsi="仿宋" w:eastAsia="仿宋" w:cs="仿宋"/>
                <w:i w:val="0"/>
                <w:iCs w:val="0"/>
                <w:color w:val="auto"/>
                <w:sz w:val="21"/>
                <w:szCs w:val="21"/>
                <w:highlight w:val="none"/>
              </w:rPr>
              <w:t xml:space="preserve">一家，</w:t>
            </w:r>
            <w:r>
              <w:rPr>
                <w:rFonts w:hint="eastAsia" w:ascii="仿宋" w:hAnsi="仿宋" w:eastAsia="仿宋" w:cs="仿宋"/>
                <w:i w:val="0"/>
                <w:iCs w:val="0"/>
                <w:color w:val="auto"/>
                <w:sz w:val="21"/>
                <w:szCs w:val="21"/>
                <w:highlight w:val="none"/>
                <w:lang w:val="en-US" w:eastAsia="zh-CN"/>
              </w:rPr>
              <w:t xml:space="preserve">得1</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lang w:val="en-US" w:eastAsia="zh-CN"/>
              </w:rPr>
              <w:t xml:space="preserve">；</w:t>
            </w:r>
            <w:r>
              <w:rPr>
                <w:rFonts w:hint="eastAsia" w:ascii="仿宋" w:hAnsi="仿宋" w:eastAsia="仿宋" w:cs="仿宋"/>
                <w:i w:val="0"/>
                <w:iCs w:val="0"/>
                <w:color w:val="auto"/>
                <w:sz w:val="21"/>
                <w:szCs w:val="21"/>
                <w:highlight w:val="none"/>
              </w:rPr>
              <w:t xml:space="preserve">本</w:t>
            </w:r>
            <w:r>
              <w:rPr>
                <w:rFonts w:hint="eastAsia" w:ascii="仿宋" w:hAnsi="仿宋" w:eastAsia="仿宋" w:cs="仿宋"/>
                <w:i w:val="0"/>
                <w:iCs w:val="0"/>
                <w:color w:val="auto"/>
                <w:sz w:val="21"/>
                <w:szCs w:val="21"/>
                <w:highlight w:val="none"/>
                <w:lang w:val="en-US" w:eastAsia="zh-CN"/>
              </w:rPr>
              <w:t xml:space="preserve">条</w:t>
            </w:r>
            <w:r>
              <w:rPr>
                <w:rFonts w:hint="eastAsia" w:ascii="仿宋" w:hAnsi="仿宋" w:eastAsia="仿宋" w:cs="仿宋"/>
                <w:i w:val="0"/>
                <w:iCs w:val="0"/>
                <w:color w:val="auto"/>
                <w:sz w:val="21"/>
                <w:szCs w:val="21"/>
                <w:highlight w:val="none"/>
              </w:rPr>
              <w:t xml:space="preserve">累计最高</w:t>
            </w:r>
            <w:r>
              <w:rPr>
                <w:rFonts w:hint="eastAsia" w:ascii="仿宋" w:hAnsi="仿宋" w:eastAsia="仿宋" w:cs="仿宋"/>
                <w:i w:val="0"/>
                <w:iCs w:val="0"/>
                <w:color w:val="auto"/>
                <w:sz w:val="21"/>
                <w:szCs w:val="21"/>
                <w:highlight w:val="none"/>
                <w:lang w:val="en-US" w:eastAsia="zh-CN"/>
              </w:rPr>
              <w:t xml:space="preserve">得10</w:t>
            </w:r>
            <w:r>
              <w:rPr>
                <w:rFonts w:hint="eastAsia" w:ascii="仿宋" w:hAnsi="仿宋" w:eastAsia="仿宋" w:cs="仿宋"/>
                <w:i w:val="0"/>
                <w:iCs w:val="0"/>
                <w:color w:val="auto"/>
                <w:sz w:val="21"/>
                <w:szCs w:val="21"/>
                <w:highlight w:val="none"/>
              </w:rPr>
              <w:t xml:space="preserve">分。</w:t>
            </w:r>
            <w:r/>
          </w:p>
          <w:p>
            <w:pPr>
              <w:keepLines w:val="0"/>
              <w:keepNext w:val="0"/>
              <w:pageBreakBefore w:val="0"/>
              <w:spacing w:line="360" w:lineRule="exact"/>
              <w:rPr>
                <w:rFonts w:hint="eastAsia" w:ascii="仿宋" w:hAnsi="仿宋" w:eastAsia="仿宋" w:cs="仿宋"/>
                <w:bCs/>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②提供承诺书：承诺</w:t>
            </w:r>
            <w:r>
              <w:rPr>
                <w:rFonts w:hint="eastAsia" w:ascii="仿宋" w:hAnsi="仿宋" w:eastAsia="仿宋" w:cs="仿宋"/>
                <w:i w:val="0"/>
                <w:iCs w:val="0"/>
                <w:strike w:val="0"/>
                <w:color w:val="auto"/>
                <w:sz w:val="21"/>
                <w:szCs w:val="21"/>
                <w:highlight w:val="none"/>
                <w:u w:val="none"/>
                <w:lang w:val="en-US" w:eastAsia="zh-CN"/>
              </w:rPr>
              <w:t xml:space="preserve">学校原有的获得省级及以上奖项的教材如修订</w:t>
            </w:r>
            <w:r>
              <w:rPr>
                <w:rFonts w:hint="eastAsia" w:ascii="仿宋" w:hAnsi="仿宋" w:eastAsia="仿宋" w:cs="仿宋"/>
                <w:i w:val="0"/>
                <w:iCs w:val="0"/>
                <w:strike w:val="0"/>
                <w:color w:val="auto"/>
                <w:sz w:val="21"/>
                <w:szCs w:val="21"/>
                <w:highlight w:val="none"/>
                <w:u w:val="none"/>
                <w:lang w:val="en-US" w:eastAsia="zh-CN"/>
              </w:rPr>
              <w:t xml:space="preserve">再版</w:t>
            </w:r>
            <w:r>
              <w:rPr>
                <w:rFonts w:hint="eastAsia" w:ascii="仿宋" w:hAnsi="仿宋" w:eastAsia="仿宋" w:cs="仿宋"/>
                <w:i w:val="0"/>
                <w:iCs w:val="0"/>
                <w:color w:val="auto"/>
                <w:sz w:val="21"/>
                <w:szCs w:val="21"/>
                <w:highlight w:val="none"/>
                <w:lang w:val="en-US" w:eastAsia="zh-CN"/>
              </w:rPr>
              <w:t xml:space="preserve">，能根据教材对接原出版社，且承诺中标后每部教材可至少配备1名专业出版编辑人员，否则愿意取消其中标权利且履约保证金作为违约金承诺的得3分（格式自拟），以上承诺书内容完全响应，方可得分。</w:t>
            </w:r>
            <w:r/>
          </w:p>
        </w:tc>
      </w:tr>
      <w:tr>
        <w:trPr>
          <w:jc w:val="center"/>
          <w:trHeight w:val="308"/>
        </w:trPr>
        <w:tc>
          <w:tcPr>
            <w:tcW w:w="24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6" w:type="pct"/>
            <w:vAlign w:val="center"/>
            <w:textDirection w:val="lrTb"/>
            <w:noWrap w:val="false"/>
          </w:tcPr>
          <w:p>
            <w:pPr>
              <w:jc w:val="center"/>
              <w:spacing w:line="380" w:lineRule="exact"/>
              <w:rPr>
                <w:rFonts w:hint="eastAsia" w:ascii="仿宋" w:hAnsi="仿宋" w:eastAsia="仿宋" w:cs="仿宋"/>
                <w:bCs/>
                <w:color w:val="auto"/>
                <w:sz w:val="21"/>
                <w:szCs w:val="21"/>
                <w:highlight w:val="none"/>
                <w:lang w:eastAsia="zh-CN"/>
              </w:rPr>
            </w:pPr>
            <w:r>
              <w:rPr>
                <w:rStyle w:val="813"/>
                <w:rFonts w:hint="eastAsia" w:ascii="仿宋" w:hAnsi="仿宋" w:eastAsia="仿宋" w:cs="仿宋"/>
                <w:i w:val="0"/>
                <w:iCs w:val="0"/>
                <w:color w:val="auto"/>
                <w:sz w:val="21"/>
                <w:szCs w:val="21"/>
                <w:highlight w:val="none"/>
                <w:lang w:val="en-US" w:eastAsia="zh-CN"/>
              </w:rPr>
              <w:t xml:space="preserve">响应供应商类似业绩（20分）</w:t>
            </w:r>
            <w:r/>
          </w:p>
        </w:tc>
        <w:tc>
          <w:tcPr>
            <w:tcW w:w="3163" w:type="pct"/>
            <w:vAlign w:val="center"/>
            <w:textDirection w:val="lrTb"/>
            <w:noWrap w:val="false"/>
          </w:tcPr>
          <w:p>
            <w:pPr>
              <w:numPr>
                <w:ilvl w:val="0"/>
                <w:numId w:val="2"/>
              </w:numPr>
              <w:keepLines w:val="0"/>
              <w:keepNext w:val="0"/>
              <w:pageBreakBefore w:val="0"/>
              <w:spacing w:line="360" w:lineRule="exact"/>
              <w:rPr>
                <w:rStyle w:val="817"/>
                <w:rFonts w:hint="eastAsia" w:ascii="仿宋" w:hAnsi="仿宋" w:eastAsia="仿宋" w:cs="仿宋"/>
                <w:i w:val="0"/>
                <w:iCs w:val="0"/>
                <w:color w:val="auto"/>
                <w:sz w:val="21"/>
                <w:szCs w:val="21"/>
                <w:highlight w:val="none"/>
              </w:rPr>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高等学校委托实施教材出版工作</w:t>
            </w:r>
            <w:r>
              <w:rPr>
                <w:rStyle w:val="817"/>
                <w:rFonts w:hint="eastAsia" w:ascii="仿宋" w:hAnsi="仿宋" w:eastAsia="仿宋" w:cs="仿宋"/>
                <w:b/>
                <w:bCs/>
                <w:i w:val="0"/>
                <w:iCs w:val="0"/>
                <w:color w:val="auto"/>
                <w:sz w:val="21"/>
                <w:szCs w:val="21"/>
                <w:highlight w:val="none"/>
              </w:rPr>
              <w:t xml:space="preserve">经验（</w:t>
            </w:r>
            <w:r>
              <w:rPr>
                <w:rStyle w:val="817"/>
                <w:rFonts w:hint="eastAsia" w:ascii="仿宋" w:hAnsi="仿宋" w:eastAsia="仿宋" w:cs="仿宋"/>
                <w:b/>
                <w:bCs/>
                <w:i w:val="0"/>
                <w:iCs w:val="0"/>
                <w:color w:val="auto"/>
                <w:sz w:val="21"/>
                <w:szCs w:val="21"/>
                <w:highlight w:val="none"/>
                <w:lang w:val="en-US" w:eastAsia="zh-CN"/>
              </w:rPr>
              <w:t xml:space="preserve">15</w:t>
            </w:r>
            <w:r>
              <w:rPr>
                <w:rStyle w:val="817"/>
                <w:rFonts w:hint="eastAsia" w:ascii="仿宋" w:hAnsi="仿宋" w:eastAsia="仿宋" w:cs="仿宋"/>
                <w:b/>
                <w:bCs/>
                <w:i w:val="0"/>
                <w:iCs w:val="0"/>
                <w:color w:val="auto"/>
                <w:sz w:val="21"/>
                <w:szCs w:val="21"/>
                <w:highlight w:val="none"/>
              </w:rPr>
              <w:t xml:space="preserve">分）</w:t>
            </w:r>
            <w:r>
              <w:rPr>
                <w:rStyle w:val="817"/>
                <w:rFonts w:hint="eastAsia" w:ascii="仿宋" w:hAnsi="仿宋" w:eastAsia="仿宋" w:cs="仿宋"/>
                <w:i w:val="0"/>
                <w:iCs w:val="0"/>
                <w:color w:val="auto"/>
                <w:sz w:val="21"/>
                <w:szCs w:val="21"/>
                <w:highlight w:val="none"/>
              </w:rPr>
              <w:t xml:space="preserve">：</w:t>
            </w:r>
            <w:r/>
          </w:p>
          <w:p>
            <w:pPr>
              <w:numPr>
                <w:ilvl w:val="0"/>
                <w:numId w:val="0"/>
              </w:numPr>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rPr>
            </w:pPr>
            <w:r>
              <w:rPr>
                <w:rFonts w:hint="eastAsia" w:ascii="仿宋" w:hAnsi="仿宋" w:eastAsia="仿宋" w:cs="仿宋"/>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rPr>
              <w:t xml:space="preserve">自2023年1月1日（含）以来（以合同签订时间为准）</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受高等学校委托实施教材出版工作</w:t>
            </w:r>
            <w:r>
              <w:rPr>
                <w:rFonts w:hint="eastAsia" w:ascii="仿宋" w:hAnsi="仿宋" w:eastAsia="仿宋" w:cs="仿宋"/>
                <w:i w:val="0"/>
                <w:iCs w:val="0"/>
                <w:caps w:val="0"/>
                <w:color w:val="auto"/>
                <w:spacing w:val="0"/>
                <w:sz w:val="21"/>
                <w:szCs w:val="21"/>
                <w:highlight w:val="none"/>
                <w:shd w:val="clear" w:color="auto" w:fill="ffffff"/>
              </w:rPr>
              <w:t xml:space="preserve">，每提供一份</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有效业绩（含合同及对应教材，如合同中无法体现该教材信息，则需另附委托单位盖章确认的证明）</w:t>
            </w:r>
            <w:r>
              <w:rPr>
                <w:rFonts w:hint="eastAsia" w:ascii="仿宋" w:hAnsi="仿宋" w:eastAsia="仿宋" w:cs="仿宋"/>
                <w:i w:val="0"/>
                <w:iCs w:val="0"/>
                <w:caps w:val="0"/>
                <w:color w:val="auto"/>
                <w:spacing w:val="0"/>
                <w:sz w:val="21"/>
                <w:szCs w:val="21"/>
                <w:highlight w:val="none"/>
                <w:shd w:val="clear" w:color="auto" w:fill="ffffff"/>
              </w:rPr>
              <w:t xml:space="preserve">计</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3</w:t>
            </w:r>
            <w:r>
              <w:rPr>
                <w:rFonts w:hint="eastAsia" w:ascii="仿宋" w:hAnsi="仿宋" w:eastAsia="仿宋" w:cs="仿宋"/>
                <w:i w:val="0"/>
                <w:iCs w:val="0"/>
                <w:caps w:val="0"/>
                <w:color w:val="auto"/>
                <w:spacing w:val="0"/>
                <w:sz w:val="21"/>
                <w:szCs w:val="21"/>
                <w:highlight w:val="none"/>
                <w:shd w:val="clear" w:color="auto" w:fill="ffffff"/>
              </w:rPr>
              <w:t xml:space="preserve">分，本项最高计</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15</w:t>
            </w:r>
            <w:r>
              <w:rPr>
                <w:rFonts w:hint="eastAsia" w:ascii="仿宋" w:hAnsi="仿宋" w:eastAsia="仿宋" w:cs="仿宋"/>
                <w:i w:val="0"/>
                <w:iCs w:val="0"/>
                <w:caps w:val="0"/>
                <w:color w:val="auto"/>
                <w:spacing w:val="0"/>
                <w:sz w:val="21"/>
                <w:szCs w:val="21"/>
                <w:highlight w:val="none"/>
                <w:shd w:val="clear" w:color="auto" w:fill="ffffff"/>
              </w:rPr>
              <w:t xml:space="preserve">分。</w:t>
            </w:r>
            <w:r/>
          </w:p>
          <w:p>
            <w:pPr>
              <w:keepLines w:val="0"/>
              <w:keepNext w:val="0"/>
              <w:pageBreakBefore w:val="0"/>
              <w:spacing w:line="360" w:lineRule="exact"/>
              <w:rPr>
                <w:rFonts w:hint="eastAsia" w:ascii="仿宋" w:hAnsi="仿宋" w:eastAsia="仿宋" w:cs="仿宋"/>
                <w:b/>
                <w:bCs/>
                <w:i w:val="0"/>
                <w:iCs w:val="0"/>
                <w:caps w:val="0"/>
                <w:color w:val="auto"/>
                <w:spacing w:val="0"/>
                <w:sz w:val="21"/>
                <w:szCs w:val="21"/>
                <w:highlight w:val="none"/>
                <w:shd w:val="clear" w:color="auto" w:fill="ffffff"/>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注：（1）以上不同单项合同但</w:t>
            </w:r>
            <w:r>
              <w:rPr>
                <w:rFonts w:hint="eastAsia" w:ascii="仿宋" w:hAnsi="仿宋" w:eastAsia="仿宋" w:cs="仿宋"/>
                <w:b/>
                <w:bCs/>
                <w:i w:val="0"/>
                <w:iCs w:val="0"/>
                <w:caps w:val="0"/>
                <w:color w:val="auto"/>
                <w:spacing w:val="0"/>
                <w:sz w:val="21"/>
                <w:szCs w:val="21"/>
                <w:highlight w:val="none"/>
                <w:shd w:val="clear" w:color="auto" w:fill="ffffff"/>
              </w:rPr>
              <w:t xml:space="preserve">同一</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部教材</w:t>
            </w:r>
            <w:r>
              <w:rPr>
                <w:rFonts w:hint="eastAsia" w:ascii="仿宋" w:hAnsi="仿宋" w:eastAsia="仿宋" w:cs="仿宋"/>
                <w:b/>
                <w:bCs/>
                <w:i w:val="0"/>
                <w:iCs w:val="0"/>
                <w:caps w:val="0"/>
                <w:color w:val="auto"/>
                <w:spacing w:val="0"/>
                <w:sz w:val="21"/>
                <w:szCs w:val="21"/>
                <w:highlight w:val="none"/>
                <w:shd w:val="clear" w:color="auto" w:fill="ffffff"/>
              </w:rPr>
              <w:t xml:space="preserve">按一</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份</w:t>
            </w:r>
            <w:r>
              <w:rPr>
                <w:rFonts w:hint="eastAsia" w:ascii="仿宋" w:hAnsi="仿宋" w:eastAsia="仿宋" w:cs="仿宋"/>
                <w:b/>
                <w:bCs/>
                <w:i w:val="0"/>
                <w:iCs w:val="0"/>
                <w:caps w:val="0"/>
                <w:color w:val="auto"/>
                <w:spacing w:val="0"/>
                <w:sz w:val="21"/>
                <w:szCs w:val="21"/>
                <w:highlight w:val="none"/>
                <w:shd w:val="clear" w:color="auto" w:fill="ffffff"/>
              </w:rPr>
              <w:t xml:space="preserve">业绩计算，不重复计分</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提供</w:t>
            </w:r>
            <w:r>
              <w:rPr>
                <w:rFonts w:hint="eastAsia" w:ascii="仿宋" w:hAnsi="仿宋" w:eastAsia="仿宋" w:cs="仿宋"/>
                <w:b/>
                <w:bCs/>
                <w:i w:val="0"/>
                <w:iCs w:val="0"/>
                <w:caps w:val="0"/>
                <w:color w:val="auto"/>
                <w:spacing w:val="0"/>
                <w:sz w:val="21"/>
                <w:szCs w:val="21"/>
                <w:highlight w:val="none"/>
                <w:shd w:val="clear" w:color="auto" w:fill="ffffff"/>
              </w:rPr>
              <w:t xml:space="preserve">教材的封面及版权页</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原件扫描件</w:t>
            </w:r>
            <w:r>
              <w:rPr>
                <w:rFonts w:hint="eastAsia" w:ascii="仿宋" w:hAnsi="仿宋" w:eastAsia="仿宋" w:cs="仿宋"/>
                <w:b/>
                <w:bCs/>
                <w:i w:val="0"/>
                <w:iCs w:val="0"/>
                <w:caps w:val="0"/>
                <w:color w:val="auto"/>
                <w:spacing w:val="0"/>
                <w:sz w:val="21"/>
                <w:szCs w:val="21"/>
                <w:highlight w:val="none"/>
                <w:shd w:val="clear" w:color="auto" w:fill="ffffff"/>
              </w:rPr>
              <w:t xml:space="preserve">，并加盖</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b/>
                <w:bCs/>
                <w:i w:val="0"/>
                <w:iCs w:val="0"/>
                <w:caps w:val="0"/>
                <w:color w:val="auto"/>
                <w:spacing w:val="0"/>
                <w:sz w:val="21"/>
                <w:szCs w:val="21"/>
                <w:highlight w:val="none"/>
                <w:shd w:val="clear" w:color="auto" w:fill="ffffff"/>
              </w:rPr>
              <w:t xml:space="preserve">公章</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w:t>
            </w:r>
            <w:r>
              <w:rPr>
                <w:rFonts w:hint="eastAsia" w:ascii="仿宋" w:hAnsi="仿宋" w:eastAsia="仿宋" w:cs="仿宋"/>
                <w:b/>
                <w:bCs/>
                <w:i w:val="0"/>
                <w:iCs w:val="0"/>
                <w:caps w:val="0"/>
                <w:color w:val="auto"/>
                <w:spacing w:val="0"/>
                <w:sz w:val="21"/>
                <w:szCs w:val="21"/>
                <w:highlight w:val="none"/>
                <w:shd w:val="clear" w:color="auto" w:fill="ffffff"/>
              </w:rPr>
              <w:t xml:space="preserve">否则不得分。</w:t>
            </w:r>
            <w:r/>
          </w:p>
          <w:p>
            <w:pPr>
              <w:numPr>
                <w:ilvl w:val="0"/>
                <w:numId w:val="3"/>
              </w:numPr>
              <w:keepLines w:val="0"/>
              <w:keepNext w:val="0"/>
              <w:pageBreakBefore w:val="0"/>
              <w:spacing w:line="360" w:lineRule="exact"/>
              <w:rPr>
                <w:rFonts w:hint="eastAsia" w:ascii="仿宋" w:hAnsi="仿宋" w:eastAsia="仿宋" w:cs="仿宋"/>
                <w:b/>
                <w:bCs/>
                <w:i w:val="0"/>
                <w:iCs w:val="0"/>
                <w:caps w:val="0"/>
                <w:color w:val="auto"/>
                <w:spacing w:val="0"/>
                <w:sz w:val="21"/>
                <w:szCs w:val="21"/>
                <w:highlight w:val="none"/>
                <w:shd w:val="clear" w:color="auto" w:fill="ffffff"/>
              </w:rPr>
            </w:pPr>
            <w:r>
              <w:rPr>
                <w:rStyle w:val="813"/>
                <w:rFonts w:hint="eastAsia" w:ascii="仿宋" w:hAnsi="仿宋" w:eastAsia="仿宋" w:cs="仿宋"/>
                <w:b/>
                <w:bCs/>
                <w:i w:val="0"/>
                <w:iCs w:val="0"/>
                <w:caps w:val="0"/>
                <w:color w:val="auto"/>
                <w:spacing w:val="0"/>
                <w:sz w:val="21"/>
                <w:szCs w:val="21"/>
                <w:highlight w:val="none"/>
                <w:shd w:val="clear" w:color="auto" w:fill="ffffff"/>
              </w:rPr>
              <w:t xml:space="preserve">证明材料</w:t>
            </w:r>
            <w:r>
              <w:rPr>
                <w:rFonts w:hint="eastAsia" w:ascii="仿宋" w:hAnsi="仿宋" w:eastAsia="仿宋" w:cs="仿宋"/>
                <w:b/>
                <w:bCs/>
                <w:i w:val="0"/>
                <w:iCs w:val="0"/>
                <w:caps w:val="0"/>
                <w:color w:val="auto"/>
                <w:spacing w:val="0"/>
                <w:sz w:val="21"/>
                <w:szCs w:val="21"/>
                <w:highlight w:val="none"/>
                <w:shd w:val="clear" w:color="auto" w:fill="ffffff"/>
              </w:rPr>
              <w:t xml:space="preserve">：提供</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教材的封面及版权原件扫描件、</w:t>
            </w:r>
            <w:r>
              <w:rPr>
                <w:rFonts w:hint="eastAsia" w:ascii="仿宋" w:hAnsi="仿宋" w:eastAsia="仿宋" w:cs="仿宋"/>
                <w:b/>
                <w:bCs/>
                <w:i w:val="0"/>
                <w:iCs w:val="0"/>
                <w:caps w:val="0"/>
                <w:color w:val="auto"/>
                <w:spacing w:val="0"/>
                <w:sz w:val="21"/>
                <w:szCs w:val="21"/>
                <w:highlight w:val="none"/>
                <w:shd w:val="clear" w:color="auto" w:fill="ffffff"/>
              </w:rPr>
              <w:t xml:space="preserve">合同</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原件扫描件</w:t>
            </w:r>
            <w:r>
              <w:rPr>
                <w:rFonts w:hint="eastAsia" w:ascii="仿宋" w:hAnsi="仿宋" w:eastAsia="仿宋" w:cs="仿宋"/>
                <w:b/>
                <w:bCs/>
                <w:i w:val="0"/>
                <w:iCs w:val="0"/>
                <w:caps w:val="0"/>
                <w:color w:val="auto"/>
                <w:spacing w:val="0"/>
                <w:sz w:val="21"/>
                <w:szCs w:val="21"/>
                <w:highlight w:val="none"/>
                <w:shd w:val="clear" w:color="auto" w:fill="ffffff"/>
              </w:rPr>
              <w:t xml:space="preserve">，并加盖</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b/>
                <w:bCs/>
                <w:i w:val="0"/>
                <w:iCs w:val="0"/>
                <w:caps w:val="0"/>
                <w:color w:val="auto"/>
                <w:spacing w:val="0"/>
                <w:sz w:val="21"/>
                <w:szCs w:val="21"/>
                <w:highlight w:val="none"/>
                <w:shd w:val="clear" w:color="auto" w:fill="ffffff"/>
              </w:rPr>
              <w:t xml:space="preserve">公章，否则不得分。</w:t>
            </w:r>
            <w:r/>
          </w:p>
          <w:p>
            <w:pPr>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2.</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高等学校委托实施教材出版教材获奖</w:t>
            </w:r>
            <w:r>
              <w:rPr>
                <w:rFonts w:hint="eastAsia" w:ascii="仿宋" w:hAnsi="仿宋" w:eastAsia="仿宋" w:cs="仿宋"/>
                <w:b/>
                <w:bCs/>
                <w:i w:val="0"/>
                <w:iCs w:val="0"/>
                <w:caps w:val="0"/>
                <w:color w:val="auto"/>
                <w:spacing w:val="0"/>
                <w:sz w:val="21"/>
                <w:szCs w:val="21"/>
                <w:highlight w:val="none"/>
                <w:shd w:val="clear" w:color="auto" w:fill="ffffff"/>
              </w:rPr>
              <w:t xml:space="preserve">（</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5</w:t>
            </w:r>
            <w:r>
              <w:rPr>
                <w:rFonts w:hint="eastAsia" w:ascii="仿宋" w:hAnsi="仿宋" w:eastAsia="仿宋" w:cs="仿宋"/>
                <w:b/>
                <w:bCs/>
                <w:i w:val="0"/>
                <w:iCs w:val="0"/>
                <w:caps w:val="0"/>
                <w:color w:val="auto"/>
                <w:spacing w:val="0"/>
                <w:sz w:val="21"/>
                <w:szCs w:val="21"/>
                <w:highlight w:val="none"/>
                <w:shd w:val="clear" w:color="auto" w:fill="ffffff"/>
              </w:rPr>
              <w:t xml:space="preserve">分）</w:t>
            </w:r>
            <w:r>
              <w:rPr>
                <w:rFonts w:hint="eastAsia" w:ascii="仿宋" w:hAnsi="仿宋" w:eastAsia="仿宋" w:cs="仿宋"/>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rPr>
              <w:t xml:space="preserve">对第</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1</w:t>
            </w:r>
            <w:r>
              <w:rPr>
                <w:rFonts w:hint="eastAsia" w:ascii="仿宋" w:hAnsi="仿宋" w:eastAsia="仿宋" w:cs="仿宋"/>
                <w:i w:val="0"/>
                <w:iCs w:val="0"/>
                <w:caps w:val="0"/>
                <w:color w:val="auto"/>
                <w:spacing w:val="0"/>
                <w:sz w:val="21"/>
                <w:szCs w:val="21"/>
                <w:highlight w:val="none"/>
                <w:shd w:val="clear" w:color="auto" w:fill="ffffff"/>
              </w:rPr>
              <w:t xml:space="preserve">项中已用于证明出版经验的教材，</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获得全国教材建设奖的，每提供一个得2分；</w:t>
            </w:r>
            <w:r>
              <w:rPr>
                <w:rFonts w:hint="eastAsia" w:ascii="仿宋" w:hAnsi="仿宋" w:eastAsia="仿宋" w:cs="仿宋"/>
                <w:i w:val="0"/>
                <w:iCs w:val="0"/>
                <w:caps w:val="0"/>
                <w:color w:val="auto"/>
                <w:spacing w:val="0"/>
                <w:sz w:val="21"/>
                <w:szCs w:val="21"/>
                <w:highlight w:val="none"/>
                <w:shd w:val="clear" w:color="auto" w:fill="ffffff"/>
              </w:rPr>
              <w:t xml:space="preserve">获得</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省级及以上“十三五”或“十四五”规划教材或重点教材或精品教材或教材建设奖等荣誉的，每提供一份计1分。</w:t>
            </w:r>
            <w:r>
              <w:rPr>
                <w:rFonts w:hint="eastAsia" w:ascii="仿宋" w:hAnsi="仿宋" w:eastAsia="仿宋" w:cs="仿宋"/>
                <w:i w:val="0"/>
                <w:iCs w:val="0"/>
                <w:caps w:val="0"/>
                <w:color w:val="auto"/>
                <w:spacing w:val="0"/>
                <w:sz w:val="21"/>
                <w:szCs w:val="21"/>
                <w:highlight w:val="none"/>
                <w:shd w:val="clear" w:color="auto" w:fill="ffffff"/>
              </w:rPr>
              <w:t xml:space="preserve">本项最高</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计5</w:t>
            </w:r>
            <w:r>
              <w:rPr>
                <w:rFonts w:hint="eastAsia" w:ascii="仿宋" w:hAnsi="仿宋" w:eastAsia="仿宋" w:cs="仿宋"/>
                <w:i w:val="0"/>
                <w:iCs w:val="0"/>
                <w:caps w:val="0"/>
                <w:color w:val="auto"/>
                <w:spacing w:val="0"/>
                <w:sz w:val="21"/>
                <w:szCs w:val="21"/>
                <w:highlight w:val="none"/>
                <w:shd w:val="clear" w:color="auto" w:fill="ffffff"/>
              </w:rPr>
              <w:t xml:space="preserve">分。</w:t>
            </w:r>
            <w:r/>
          </w:p>
          <w:p>
            <w:pPr>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rPr>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注：</w:t>
            </w:r>
            <w:r>
              <w:rPr>
                <w:rFonts w:hint="eastAsia" w:ascii="仿宋" w:hAnsi="仿宋" w:eastAsia="仿宋" w:cs="仿宋"/>
                <w:i w:val="0"/>
                <w:iCs w:val="0"/>
                <w:caps w:val="0"/>
                <w:color w:val="auto"/>
                <w:spacing w:val="0"/>
                <w:sz w:val="21"/>
                <w:szCs w:val="21"/>
                <w:highlight w:val="none"/>
                <w:shd w:val="clear" w:color="auto" w:fill="ffffff"/>
              </w:rPr>
              <w:t xml:space="preserve">同一部教材</w:t>
            </w:r>
            <w:r>
              <w:rPr>
                <w:rFonts w:hint="eastAsia" w:ascii="仿宋" w:hAnsi="仿宋" w:eastAsia="仿宋" w:cs="仿宋"/>
                <w:i w:val="0"/>
                <w:iCs w:val="0"/>
                <w:caps w:val="0"/>
                <w:color w:val="auto"/>
                <w:spacing w:val="0"/>
                <w:sz w:val="21"/>
                <w:szCs w:val="21"/>
                <w:highlight w:val="none"/>
                <w:shd w:val="clear" w:color="auto" w:fill="ffffff"/>
                <w:lang w:eastAsia="zh-CN"/>
              </w:rPr>
              <w:t xml:space="preserve">的</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不同荣誉</w:t>
            </w:r>
            <w:r>
              <w:rPr>
                <w:rFonts w:hint="eastAsia" w:ascii="仿宋" w:hAnsi="仿宋" w:eastAsia="仿宋" w:cs="仿宋"/>
                <w:i w:val="0"/>
                <w:iCs w:val="0"/>
                <w:caps w:val="0"/>
                <w:color w:val="auto"/>
                <w:spacing w:val="0"/>
                <w:sz w:val="21"/>
                <w:szCs w:val="21"/>
                <w:highlight w:val="none"/>
                <w:shd w:val="clear" w:color="auto" w:fill="ffffff"/>
              </w:rPr>
              <w:t xml:space="preserve">按一份业绩计算，不重复计分。</w:t>
            </w:r>
            <w:r>
              <w:rPr>
                <w:rFonts w:hint="eastAsia" w:ascii="仿宋" w:hAnsi="仿宋" w:eastAsia="仿宋" w:cs="仿宋"/>
                <w:i w:val="0"/>
                <w:iCs w:val="0"/>
                <w:caps w:val="0"/>
                <w:color w:val="auto"/>
                <w:spacing w:val="0"/>
                <w:sz w:val="21"/>
                <w:szCs w:val="21"/>
                <w:highlight w:val="none"/>
                <w:shd w:val="clear" w:color="auto" w:fill="ffffff"/>
              </w:rPr>
              <w:br/>
            </w:r>
            <w:r>
              <w:rPr>
                <w:rFonts w:hint="eastAsia" w:ascii="仿宋" w:hAnsi="仿宋" w:eastAsia="仿宋" w:cs="仿宋"/>
                <w:i w:val="0"/>
                <w:iCs w:val="0"/>
                <w:caps w:val="0"/>
                <w:color w:val="auto"/>
                <w:spacing w:val="0"/>
                <w:sz w:val="21"/>
                <w:szCs w:val="21"/>
                <w:highlight w:val="none"/>
                <w:shd w:val="clear" w:color="auto" w:fill="ffffff"/>
              </w:rPr>
              <w:t xml:space="preserve">*证明材料：提供</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由国家相关教育部门颁发以上相关教材获奖证书或正式发文文件</w:t>
            </w:r>
            <w:r>
              <w:rPr>
                <w:rFonts w:hint="eastAsia" w:ascii="仿宋" w:hAnsi="仿宋" w:eastAsia="仿宋" w:cs="仿宋"/>
                <w:i w:val="0"/>
                <w:iCs w:val="0"/>
                <w:caps w:val="0"/>
                <w:color w:val="auto"/>
                <w:spacing w:val="0"/>
                <w:sz w:val="21"/>
                <w:szCs w:val="21"/>
                <w:highlight w:val="none"/>
                <w:shd w:val="clear" w:color="auto" w:fill="ffffff"/>
              </w:rPr>
              <w:t xml:space="preserve">，并加盖</w:t>
            </w:r>
            <w:r>
              <w:rPr>
                <w:rFonts w:hint="eastAsia" w:ascii="仿宋" w:hAnsi="仿宋" w:eastAsia="仿宋" w:cs="仿宋"/>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rPr>
              <w:t xml:space="preserve">公章</w:t>
            </w:r>
            <w:r>
              <w:rPr>
                <w:rFonts w:hint="eastAsia" w:ascii="仿宋" w:hAnsi="仿宋" w:eastAsia="仿宋" w:cs="仿宋"/>
                <w:i w:val="0"/>
                <w:iCs w:val="0"/>
                <w:caps w:val="0"/>
                <w:color w:val="auto"/>
                <w:spacing w:val="0"/>
                <w:sz w:val="21"/>
                <w:szCs w:val="21"/>
                <w:highlight w:val="none"/>
                <w:shd w:val="clear" w:color="auto" w:fill="ffffff"/>
                <w:lang w:eastAsia="zh-CN"/>
              </w:rPr>
              <w:t xml:space="preserve">，</w:t>
            </w:r>
            <w:r>
              <w:rPr>
                <w:rFonts w:hint="eastAsia" w:ascii="仿宋" w:hAnsi="仿宋" w:eastAsia="仿宋" w:cs="仿宋"/>
                <w:i w:val="0"/>
                <w:iCs w:val="0"/>
                <w:caps w:val="0"/>
                <w:color w:val="auto"/>
                <w:spacing w:val="0"/>
                <w:sz w:val="21"/>
                <w:szCs w:val="21"/>
                <w:highlight w:val="none"/>
                <w:shd w:val="clear" w:color="auto" w:fill="ffffff"/>
              </w:rPr>
              <w:t xml:space="preserve">否则不得分。</w:t>
            </w:r>
            <w:r/>
          </w:p>
          <w:p>
            <w:pPr>
              <w:ind w:firstLine="422"/>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lang w:val="en-US" w:eastAsia="zh-CN"/>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特别申明：第1-2条款列明的高等学校专指：经过中国教育部或省级教育部门批准，具有高等教育招生资格，能够颁发国家承认的大专及以上学历证书的学校（包含大学、专门学院、高等职业技术学院和高等专科学校）。</w:t>
            </w:r>
            <w:r/>
          </w:p>
        </w:tc>
      </w:tr>
      <w:tr>
        <w:trPr>
          <w:jc w:val="center"/>
          <w:trHeight w:val="675"/>
        </w:trPr>
        <w:tc>
          <w:tcPr>
            <w:tcW w:w="24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shd w:val="clear" w:color="auto" w:fill="auto"/>
            <w:tcW w:w="876" w:type="pct"/>
            <w:vAlign w:val="center"/>
            <w:textDirection w:val="lrTb"/>
            <w:noWrap w:val="false"/>
          </w:tcPr>
          <w:p>
            <w:pPr>
              <w:jc w:val="center"/>
              <w:spacing w:line="380" w:lineRule="exact"/>
              <w:rPr>
                <w:rFonts w:hint="eastAsia" w:ascii="仿宋" w:hAnsi="仿宋" w:eastAsia="仿宋" w:cs="仿宋"/>
                <w:b/>
                <w:bCs/>
                <w:i w:val="0"/>
                <w:iCs w:val="0"/>
                <w:color w:val="auto"/>
                <w:sz w:val="21"/>
                <w:szCs w:val="21"/>
                <w:highlight w:val="none"/>
                <w:lang w:val="en-US" w:eastAsia="zh-CN" w:bidi="ar-SA"/>
              </w:rPr>
            </w:pPr>
            <w:r>
              <w:rPr>
                <w:rStyle w:val="813"/>
                <w:rFonts w:hint="eastAsia" w:ascii="仿宋" w:hAnsi="仿宋" w:eastAsia="仿宋" w:cs="仿宋"/>
                <w:i w:val="0"/>
                <w:iCs w:val="0"/>
                <w:color w:val="auto"/>
                <w:sz w:val="21"/>
                <w:szCs w:val="21"/>
                <w:highlight w:val="none"/>
                <w:lang w:val="en-US" w:eastAsia="zh-CN"/>
              </w:rPr>
              <w:t xml:space="preserve">教材推广服务能力（11分）</w:t>
            </w:r>
            <w:r/>
          </w:p>
        </w:tc>
        <w:tc>
          <w:tcPr>
            <w:shd w:val="clear" w:color="auto" w:fill="auto"/>
            <w:tcW w:w="3163" w:type="pct"/>
            <w:vAlign w:val="center"/>
            <w:textDirection w:val="lrTb"/>
            <w:noWrap w:val="false"/>
          </w:tcPr>
          <w:p>
            <w:pPr>
              <w:numPr>
                <w:ilvl w:val="0"/>
                <w:numId w:val="0"/>
              </w:numPr>
              <w:keepLines w:val="0"/>
              <w:keepNext w:val="0"/>
              <w:pageBreakBefore w:val="0"/>
              <w:spacing w:line="360" w:lineRule="exact"/>
              <w:rPr>
                <w:rStyle w:val="813"/>
                <w:rFonts w:hint="eastAsia" w:ascii="仿宋" w:hAnsi="仿宋" w:eastAsia="仿宋" w:cs="仿宋"/>
                <w:b/>
                <w:bCs/>
                <w:i w:val="0"/>
                <w:iCs w:val="0"/>
                <w:color w:val="auto"/>
                <w:sz w:val="21"/>
                <w:szCs w:val="21"/>
                <w:highlight w:val="none"/>
                <w:lang w:val="en-US" w:eastAsia="zh-CN"/>
              </w:rPr>
            </w:pPr>
            <w:r>
              <w:rPr>
                <w:rStyle w:val="813"/>
                <w:rFonts w:hint="eastAsia" w:ascii="仿宋" w:hAnsi="仿宋" w:eastAsia="仿宋" w:cs="仿宋"/>
                <w:b/>
                <w:bCs/>
                <w:i w:val="0"/>
                <w:iCs w:val="0"/>
                <w:color w:val="auto"/>
                <w:sz w:val="21"/>
                <w:szCs w:val="21"/>
                <w:highlight w:val="none"/>
                <w:lang w:val="en-US" w:eastAsia="zh-CN"/>
              </w:rPr>
              <w:t xml:space="preserve">1.推广业绩（3分）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教材年发行量：</w:t>
            </w:r>
            <w:r>
              <w:rPr>
                <w:rStyle w:val="813"/>
                <w:rFonts w:hint="default" w:ascii="仿宋" w:hAnsi="仿宋" w:eastAsia="仿宋" w:cs="仿宋"/>
                <w:b w:val="0"/>
                <w:bCs w:val="0"/>
                <w:i w:val="0"/>
                <w:iCs w:val="0"/>
                <w:color w:val="auto"/>
                <w:sz w:val="21"/>
                <w:szCs w:val="21"/>
                <w:highlight w:val="none"/>
                <w:lang w:val="en-US" w:eastAsia="zh-CN"/>
              </w:rPr>
              <w:t xml:space="preserve">2025年度代理出版的教材（非本学校项目）累计发行量</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eastAsia" w:ascii="宋体" w:hAnsi="宋体" w:eastAsia="宋体" w:cs="宋体"/>
                <w:b w:val="0"/>
                <w:bCs w:val="0"/>
                <w:i w:val="0"/>
                <w:iCs w:val="0"/>
                <w:color w:val="auto"/>
                <w:sz w:val="21"/>
                <w:szCs w:val="21"/>
                <w:highlight w:val="none"/>
                <w:lang w:val="en-US" w:eastAsia="zh-CN"/>
              </w:rPr>
              <w:t xml:space="preserve">≧</w:t>
            </w:r>
            <w:r>
              <w:rPr>
                <w:rStyle w:val="813"/>
                <w:rFonts w:hint="eastAsia" w:ascii="仿宋" w:hAnsi="仿宋" w:eastAsia="仿宋" w:cs="仿宋"/>
                <w:b w:val="0"/>
                <w:bCs w:val="0"/>
                <w:i w:val="0"/>
                <w:iCs w:val="0"/>
                <w:color w:val="auto"/>
                <w:sz w:val="21"/>
                <w:szCs w:val="21"/>
                <w:highlight w:val="none"/>
                <w:lang w:val="en-US" w:eastAsia="zh-CN"/>
              </w:rPr>
              <w:t xml:space="preserve">30000册，计3分；</w:t>
            </w:r>
            <w:r>
              <w:rPr>
                <w:rStyle w:val="813"/>
                <w:rFonts w:hint="eastAsia" w:ascii="宋体" w:hAnsi="宋体" w:eastAsia="宋体" w:cs="宋体"/>
                <w:b w:val="0"/>
                <w:bCs w:val="0"/>
                <w:i w:val="0"/>
                <w:iCs w:val="0"/>
                <w:color w:val="auto"/>
                <w:sz w:val="21"/>
                <w:szCs w:val="21"/>
                <w:highlight w:val="none"/>
                <w:lang w:val="en-US" w:eastAsia="zh-CN"/>
              </w:rPr>
              <w:t xml:space="preserve">≧</w:t>
            </w:r>
            <w:r>
              <w:rPr>
                <w:rStyle w:val="813"/>
                <w:rFonts w:hint="eastAsia" w:ascii="仿宋" w:hAnsi="仿宋" w:eastAsia="仿宋" w:cs="仿宋"/>
                <w:b w:val="0"/>
                <w:bCs w:val="0"/>
                <w:i w:val="0"/>
                <w:iCs w:val="0"/>
                <w:color w:val="auto"/>
                <w:sz w:val="21"/>
                <w:szCs w:val="21"/>
                <w:highlight w:val="none"/>
                <w:lang w:val="en-US" w:eastAsia="zh-CN"/>
              </w:rPr>
              <w:t xml:space="preserve">10000册且&lt;2万册，计2分；&lt;1万册,计1分；不提供，不计分。</w:t>
            </w:r>
            <w:r/>
          </w:p>
          <w:p>
            <w:pPr>
              <w:numPr>
                <w:ilvl w:val="0"/>
                <w:numId w:val="0"/>
              </w:numPr>
              <w:keepLines w:val="0"/>
              <w:keepNext w:val="0"/>
              <w:pageBreakBefore w:val="0"/>
              <w:spacing w:line="360" w:lineRule="exact"/>
              <w:rPr>
                <w:rStyle w:val="813"/>
                <w:rFonts w:hint="default" w:ascii="仿宋" w:hAnsi="仿宋" w:eastAsia="仿宋" w:cs="仿宋"/>
                <w:b w:val="0"/>
                <w:bCs w:val="0"/>
                <w:i w:val="0"/>
                <w:iCs w:val="0"/>
                <w:color w:val="auto"/>
                <w:sz w:val="21"/>
                <w:szCs w:val="21"/>
                <w:highlight w:val="none"/>
                <w:lang w:val="en-US" w:eastAsia="zh-CN"/>
              </w:rPr>
            </w:pPr>
            <w:r>
              <w:rPr>
                <w:rStyle w:val="813"/>
                <w:rFonts w:hint="default" w:ascii="仿宋" w:hAnsi="仿宋" w:eastAsia="仿宋" w:cs="仿宋"/>
                <w:b w:val="0"/>
                <w:bCs w:val="0"/>
                <w:i w:val="0"/>
                <w:iCs w:val="0"/>
                <w:color w:val="auto"/>
                <w:sz w:val="21"/>
                <w:szCs w:val="21"/>
                <w:highlight w:val="none"/>
                <w:lang w:val="en-US" w:eastAsia="zh-CN"/>
              </w:rPr>
              <w:t xml:space="preserve">提供出版社结算单或发行系统截图</w:t>
            </w:r>
            <w:r>
              <w:rPr>
                <w:rStyle w:val="813"/>
                <w:rFonts w:hint="eastAsia" w:ascii="仿宋" w:hAnsi="仿宋" w:eastAsia="仿宋" w:cs="仿宋"/>
                <w:b w:val="0"/>
                <w:bCs w:val="0"/>
                <w:i w:val="0"/>
                <w:iCs w:val="0"/>
                <w:color w:val="auto"/>
                <w:sz w:val="21"/>
                <w:szCs w:val="21"/>
                <w:highlight w:val="none"/>
                <w:lang w:val="en-US" w:eastAsia="zh-CN"/>
              </w:rPr>
              <w:t xml:space="preserve">，加盖供应商公章。</w:t>
            </w:r>
            <w:r/>
          </w:p>
          <w:p>
            <w:pPr>
              <w:numPr>
                <w:ilvl w:val="0"/>
                <w:numId w:val="0"/>
              </w:numPr>
              <w:keepLines w:val="0"/>
              <w:keepNext w:val="0"/>
              <w:pageBreakBefore w:val="0"/>
              <w:spacing w:line="360" w:lineRule="exact"/>
              <w:rPr>
                <w:rStyle w:val="813"/>
                <w:rFonts w:hint="eastAsia" w:ascii="仿宋" w:hAnsi="仿宋" w:eastAsia="仿宋" w:cs="仿宋"/>
                <w:b/>
                <w:bCs/>
                <w:i w:val="0"/>
                <w:iCs w:val="0"/>
                <w:color w:val="auto"/>
                <w:sz w:val="21"/>
                <w:szCs w:val="21"/>
                <w:highlight w:val="none"/>
                <w:lang w:val="en-US" w:eastAsia="zh-CN"/>
              </w:rPr>
            </w:pPr>
            <w:r>
              <w:rPr>
                <w:rStyle w:val="813"/>
                <w:rFonts w:hint="eastAsia" w:ascii="仿宋" w:hAnsi="仿宋" w:eastAsia="仿宋" w:cs="仿宋"/>
                <w:b/>
                <w:bCs/>
                <w:i w:val="0"/>
                <w:iCs w:val="0"/>
                <w:color w:val="auto"/>
                <w:sz w:val="21"/>
                <w:szCs w:val="21"/>
                <w:highlight w:val="none"/>
                <w:lang w:val="en-US" w:eastAsia="zh-CN"/>
              </w:rPr>
              <w:t xml:space="preserve">2.数字化营销能力（6分）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（1）新媒体平台数据。代理商运营的教材相关公众号/视频号，最近3个月平均单篇阅读量。≥2000人次，计3分；1000-1999</w:t>
            </w:r>
            <w:r>
              <w:rPr>
                <w:rFonts w:hint="eastAsia"/>
                <w:color w:val="auto"/>
                <w:highlight w:val="none"/>
                <w:lang w:val="en-US" w:eastAsia="zh-CN"/>
              </w:rPr>
              <w:t xml:space="preserve">人次</w:t>
            </w:r>
            <w:r>
              <w:rPr>
                <w:rStyle w:val="813"/>
                <w:rFonts w:hint="eastAsia" w:ascii="仿宋" w:hAnsi="仿宋" w:eastAsia="仿宋" w:cs="仿宋"/>
                <w:b w:val="0"/>
                <w:bCs w:val="0"/>
                <w:i w:val="0"/>
                <w:iCs w:val="0"/>
                <w:color w:val="auto"/>
                <w:sz w:val="21"/>
                <w:szCs w:val="21"/>
                <w:highlight w:val="none"/>
                <w:lang w:val="en-US" w:eastAsia="zh-CN"/>
              </w:rPr>
              <w:t xml:space="preserve">，计2分；500-999</w:t>
            </w:r>
            <w:r>
              <w:rPr>
                <w:rFonts w:hint="eastAsia"/>
                <w:color w:val="auto"/>
                <w:highlight w:val="none"/>
                <w:lang w:val="en-US" w:eastAsia="zh-CN"/>
              </w:rPr>
              <w:t xml:space="preserve">人次</w:t>
            </w:r>
            <w:r>
              <w:rPr>
                <w:rStyle w:val="813"/>
                <w:rFonts w:hint="eastAsia" w:ascii="仿宋" w:hAnsi="仿宋" w:eastAsia="仿宋" w:cs="仿宋"/>
                <w:b w:val="0"/>
                <w:bCs w:val="0"/>
                <w:i w:val="0"/>
                <w:iCs w:val="0"/>
                <w:color w:val="auto"/>
                <w:sz w:val="21"/>
                <w:szCs w:val="21"/>
                <w:highlight w:val="none"/>
                <w:lang w:val="en-US" w:eastAsia="zh-CN"/>
              </w:rPr>
              <w:t xml:space="preserve">，计1分；&lt;500人次或未运营，计0分。</w:t>
            </w:r>
            <w:r/>
          </w:p>
          <w:p>
            <w:pPr>
              <w:numPr>
                <w:ilvl w:val="0"/>
                <w:numId w:val="0"/>
              </w:numPr>
              <w:keepLines w:val="0"/>
              <w:keepNext w:val="0"/>
              <w:pageBreakBefore w:val="0"/>
              <w:spacing w:line="360" w:lineRule="exact"/>
              <w:rPr>
                <w:rStyle w:val="813"/>
                <w:rFonts w:hint="default"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提供公众号后台数据截图（须含日期），加盖供应商公章。</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（2）线上教材展示平台。供应商</w:t>
            </w:r>
            <w:r>
              <w:rPr>
                <w:rStyle w:val="813"/>
                <w:rFonts w:hint="default" w:ascii="仿宋" w:hAnsi="仿宋" w:eastAsia="仿宋" w:cs="仿宋"/>
                <w:b w:val="0"/>
                <w:bCs w:val="0"/>
                <w:i w:val="0"/>
                <w:iCs w:val="0"/>
                <w:color w:val="auto"/>
                <w:sz w:val="21"/>
                <w:szCs w:val="21"/>
                <w:highlight w:val="none"/>
                <w:lang w:val="en-US" w:eastAsia="zh-CN"/>
              </w:rPr>
              <w:t xml:space="preserve">拥有教材展示网站/小程序/APP，且具备在线试读、样章下载、院校注册申请样书</w:t>
            </w:r>
            <w:r>
              <w:rPr>
                <w:rStyle w:val="813"/>
                <w:rFonts w:hint="eastAsia" w:ascii="仿宋" w:hAnsi="仿宋" w:eastAsia="仿宋" w:cs="仿宋"/>
                <w:b w:val="0"/>
                <w:bCs w:val="0"/>
                <w:i w:val="0"/>
                <w:iCs w:val="0"/>
                <w:color w:val="auto"/>
                <w:sz w:val="21"/>
                <w:szCs w:val="21"/>
                <w:highlight w:val="none"/>
                <w:lang w:val="en-US" w:eastAsia="zh-CN"/>
              </w:rPr>
              <w:t xml:space="preserve">等功能，每具备一项功能计</w:t>
            </w:r>
            <w:r>
              <w:rPr>
                <w:rStyle w:val="813"/>
                <w:rFonts w:hint="default" w:ascii="仿宋" w:hAnsi="仿宋" w:eastAsia="仿宋" w:cs="仿宋"/>
                <w:b w:val="0"/>
                <w:bCs w:val="0"/>
                <w:i w:val="0"/>
                <w:iCs w:val="0"/>
                <w:color w:val="auto"/>
                <w:sz w:val="21"/>
                <w:szCs w:val="21"/>
                <w:highlight w:val="none"/>
                <w:lang w:val="en-US" w:eastAsia="zh-CN"/>
              </w:rPr>
              <w:t xml:space="preserve">1分；</w:t>
            </w:r>
            <w:r>
              <w:rPr>
                <w:rStyle w:val="813"/>
                <w:rFonts w:hint="eastAsia" w:ascii="仿宋" w:hAnsi="仿宋" w:eastAsia="仿宋" w:cs="仿宋"/>
                <w:b w:val="0"/>
                <w:bCs w:val="0"/>
                <w:i w:val="0"/>
                <w:iCs w:val="0"/>
                <w:color w:val="auto"/>
                <w:sz w:val="21"/>
                <w:szCs w:val="21"/>
                <w:highlight w:val="none"/>
                <w:lang w:val="en-US" w:eastAsia="zh-CN"/>
              </w:rPr>
              <w:t xml:space="preserve">满分3分。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提供平台链接及功能截图，加盖供应商公章。</w:t>
            </w:r>
            <w:r/>
          </w:p>
          <w:p>
            <w:pPr>
              <w:numPr>
                <w:ilvl w:val="0"/>
                <w:numId w:val="0"/>
              </w:numPr>
              <w:keepLines w:val="0"/>
              <w:keepNext w:val="0"/>
              <w:pageBreakBefore w:val="0"/>
              <w:spacing w:line="360" w:lineRule="exact"/>
              <w:rPr>
                <w:rStyle w:val="813"/>
                <w:rFonts w:hint="eastAsia" w:ascii="仿宋" w:hAnsi="仿宋" w:eastAsia="仿宋" w:cs="仿宋"/>
                <w:b/>
                <w:bCs/>
                <w:i w:val="0"/>
                <w:iCs w:val="0"/>
                <w:color w:val="auto"/>
                <w:sz w:val="21"/>
                <w:szCs w:val="21"/>
                <w:highlight w:val="none"/>
                <w:lang w:val="en-US" w:eastAsia="zh-CN"/>
              </w:rPr>
            </w:pPr>
            <w:r>
              <w:rPr>
                <w:rStyle w:val="813"/>
                <w:rFonts w:hint="eastAsia" w:ascii="仿宋" w:hAnsi="仿宋" w:eastAsia="仿宋" w:cs="仿宋"/>
                <w:b/>
                <w:bCs/>
                <w:i w:val="0"/>
                <w:iCs w:val="0"/>
                <w:color w:val="auto"/>
                <w:sz w:val="21"/>
                <w:szCs w:val="21"/>
                <w:highlight w:val="none"/>
                <w:lang w:val="en-US" w:eastAsia="zh-CN"/>
              </w:rPr>
              <w:t xml:space="preserve">3.推广服务承诺（2分）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default" w:ascii="仿宋" w:hAnsi="仿宋" w:eastAsia="仿宋" w:cs="仿宋"/>
                <w:b w:val="0"/>
                <w:bCs w:val="0"/>
                <w:i w:val="0"/>
                <w:iCs w:val="0"/>
                <w:color w:val="auto"/>
                <w:sz w:val="21"/>
                <w:szCs w:val="21"/>
                <w:highlight w:val="none"/>
                <w:lang w:val="en-US" w:eastAsia="zh-CN"/>
              </w:rPr>
              <w:t xml:space="preserve">承诺每学期协助学校举办线上/线下教材巡展、教学研讨会的场次</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default" w:ascii="仿宋" w:hAnsi="仿宋" w:eastAsia="仿宋" w:cs="仿宋"/>
                <w:b w:val="0"/>
                <w:bCs w:val="0"/>
                <w:i w:val="0"/>
                <w:iCs w:val="0"/>
                <w:color w:val="auto"/>
                <w:sz w:val="21"/>
                <w:szCs w:val="21"/>
                <w:highlight w:val="none"/>
                <w:lang w:val="en-US" w:eastAsia="zh-CN"/>
              </w:rPr>
              <w:t xml:space="preserve">≥3场</w:t>
            </w:r>
            <w:r>
              <w:rPr>
                <w:rStyle w:val="813"/>
                <w:rFonts w:hint="eastAsia" w:ascii="仿宋" w:hAnsi="仿宋" w:eastAsia="仿宋" w:cs="仿宋"/>
                <w:b w:val="0"/>
                <w:bCs w:val="0"/>
                <w:i w:val="0"/>
                <w:iCs w:val="0"/>
                <w:color w:val="auto"/>
                <w:sz w:val="21"/>
                <w:szCs w:val="21"/>
                <w:highlight w:val="none"/>
                <w:lang w:val="en-US" w:eastAsia="zh-CN"/>
              </w:rPr>
              <w:t xml:space="preserve">，计2</w:t>
            </w:r>
            <w:r>
              <w:rPr>
                <w:rStyle w:val="813"/>
                <w:rFonts w:hint="default" w:ascii="仿宋" w:hAnsi="仿宋" w:eastAsia="仿宋" w:cs="仿宋"/>
                <w:b w:val="0"/>
                <w:bCs w:val="0"/>
                <w:i w:val="0"/>
                <w:iCs w:val="0"/>
                <w:color w:val="auto"/>
                <w:sz w:val="21"/>
                <w:szCs w:val="21"/>
                <w:highlight w:val="none"/>
                <w:lang w:val="en-US" w:eastAsia="zh-CN"/>
              </w:rPr>
              <w:t xml:space="preserve">分</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default" w:ascii="仿宋" w:hAnsi="仿宋" w:eastAsia="仿宋" w:cs="仿宋"/>
                <w:b w:val="0"/>
                <w:bCs w:val="0"/>
                <w:i w:val="0"/>
                <w:iCs w:val="0"/>
                <w:color w:val="auto"/>
                <w:sz w:val="21"/>
                <w:szCs w:val="21"/>
                <w:highlight w:val="none"/>
                <w:lang w:val="en-US" w:eastAsia="zh-CN"/>
              </w:rPr>
              <w:t xml:space="preserve">2场</w:t>
            </w:r>
            <w:r>
              <w:rPr>
                <w:rStyle w:val="813"/>
                <w:rFonts w:hint="eastAsia" w:ascii="仿宋" w:hAnsi="仿宋" w:eastAsia="仿宋" w:cs="仿宋"/>
                <w:b w:val="0"/>
                <w:bCs w:val="0"/>
                <w:i w:val="0"/>
                <w:iCs w:val="0"/>
                <w:color w:val="auto"/>
                <w:sz w:val="21"/>
                <w:szCs w:val="21"/>
                <w:highlight w:val="none"/>
                <w:lang w:val="en-US" w:eastAsia="zh-CN"/>
              </w:rPr>
              <w:t xml:space="preserve">，计1</w:t>
            </w:r>
            <w:r>
              <w:rPr>
                <w:rStyle w:val="813"/>
                <w:rFonts w:hint="default" w:ascii="仿宋" w:hAnsi="仿宋" w:eastAsia="仿宋" w:cs="仿宋"/>
                <w:b w:val="0"/>
                <w:bCs w:val="0"/>
                <w:i w:val="0"/>
                <w:iCs w:val="0"/>
                <w:color w:val="auto"/>
                <w:sz w:val="21"/>
                <w:szCs w:val="21"/>
                <w:highlight w:val="none"/>
                <w:lang w:val="en-US" w:eastAsia="zh-CN"/>
              </w:rPr>
              <w:t xml:space="preserve">分</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default" w:ascii="仿宋" w:hAnsi="仿宋" w:eastAsia="仿宋" w:cs="仿宋"/>
                <w:b w:val="0"/>
                <w:bCs w:val="0"/>
                <w:i w:val="0"/>
                <w:iCs w:val="0"/>
                <w:color w:val="auto"/>
                <w:sz w:val="21"/>
                <w:szCs w:val="21"/>
                <w:highlight w:val="none"/>
                <w:lang w:val="en-US" w:eastAsia="zh-CN"/>
              </w:rPr>
              <w:t xml:space="preserve">1场</w:t>
            </w:r>
            <w:r>
              <w:rPr>
                <w:rStyle w:val="813"/>
                <w:rFonts w:hint="eastAsia" w:ascii="仿宋" w:hAnsi="仿宋" w:eastAsia="仿宋" w:cs="仿宋"/>
                <w:b w:val="0"/>
                <w:bCs w:val="0"/>
                <w:i w:val="0"/>
                <w:iCs w:val="0"/>
                <w:color w:val="auto"/>
                <w:sz w:val="21"/>
                <w:szCs w:val="21"/>
                <w:highlight w:val="none"/>
                <w:lang w:val="en-US" w:eastAsia="zh-CN"/>
              </w:rPr>
              <w:t xml:space="preserve">及以下或不承诺，计</w:t>
            </w:r>
            <w:r>
              <w:rPr>
                <w:rStyle w:val="813"/>
                <w:rFonts w:hint="default" w:ascii="仿宋" w:hAnsi="仿宋" w:eastAsia="仿宋" w:cs="仿宋"/>
                <w:b w:val="0"/>
                <w:bCs w:val="0"/>
                <w:i w:val="0"/>
                <w:iCs w:val="0"/>
                <w:color w:val="auto"/>
                <w:sz w:val="21"/>
                <w:szCs w:val="21"/>
                <w:highlight w:val="none"/>
                <w:lang w:val="en-US" w:eastAsia="zh-CN"/>
              </w:rPr>
              <w:t xml:space="preserve">0分</w:t>
            </w:r>
            <w:r>
              <w:rPr>
                <w:rStyle w:val="813"/>
                <w:rFonts w:hint="eastAsia" w:ascii="仿宋" w:hAnsi="仿宋" w:eastAsia="仿宋" w:cs="仿宋"/>
                <w:b w:val="0"/>
                <w:bCs w:val="0"/>
                <w:i w:val="0"/>
                <w:iCs w:val="0"/>
                <w:color w:val="auto"/>
                <w:sz w:val="21"/>
                <w:szCs w:val="21"/>
                <w:highlight w:val="none"/>
                <w:lang w:val="en-US" w:eastAsia="zh-CN"/>
              </w:rPr>
              <w:t xml:space="preserve">。</w:t>
            </w:r>
            <w:r/>
          </w:p>
          <w:p>
            <w:pPr>
              <w:numPr>
                <w:ilvl w:val="0"/>
                <w:numId w:val="0"/>
              </w:numPr>
              <w:keepLines w:val="0"/>
              <w:keepNext w:val="0"/>
              <w:pageBreakBefore w:val="0"/>
              <w:spacing w:line="360" w:lineRule="exact"/>
              <w:rPr>
                <w:rFonts w:hint="eastAsia" w:ascii="仿宋" w:hAnsi="仿宋" w:eastAsia="仿宋" w:cs="仿宋"/>
                <w:i w:val="0"/>
                <w:iCs w:val="0"/>
                <w:color w:val="auto"/>
                <w:sz w:val="21"/>
                <w:szCs w:val="21"/>
                <w:highlight w:val="none"/>
                <w:lang w:val="en-US" w:eastAsia="zh-CN" w:bidi="ar-SA"/>
              </w:rPr>
            </w:pPr>
            <w:r>
              <w:rPr>
                <w:rStyle w:val="813"/>
                <w:rFonts w:hint="eastAsia" w:ascii="仿宋" w:hAnsi="仿宋" w:eastAsia="仿宋" w:cs="仿宋"/>
                <w:b w:val="0"/>
                <w:bCs w:val="0"/>
                <w:i w:val="0"/>
                <w:iCs w:val="0"/>
                <w:color w:val="auto"/>
                <w:sz w:val="21"/>
                <w:szCs w:val="21"/>
                <w:highlight w:val="none"/>
                <w:lang w:val="en-US" w:eastAsia="zh-CN"/>
              </w:rPr>
              <w:t xml:space="preserve">提供承诺函，且包含年度推广活动计划表（含场次、形式、预期覆盖人数），加盖供应商公章。</w:t>
            </w:r>
            <w:r/>
          </w:p>
        </w:tc>
      </w:tr>
      <w:tr>
        <w:trPr>
          <w:jc w:val="center"/>
          <w:trHeight w:val="675"/>
        </w:trPr>
        <w:tc>
          <w:tcPr>
            <w:tcW w:w="24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6" w:type="pct"/>
            <w:vAlign w:val="center"/>
            <w:textDirection w:val="lrTb"/>
            <w:noWrap w:val="false"/>
          </w:tcPr>
          <w:p>
            <w:pPr>
              <w:jc w:val="center"/>
              <w:spacing w:line="380" w:lineRule="exact"/>
              <w:rPr>
                <w:rFonts w:hint="eastAsia" w:ascii="仿宋" w:hAnsi="仿宋" w:eastAsia="仿宋" w:cs="仿宋"/>
                <w:bCs/>
                <w:color w:val="auto"/>
                <w:sz w:val="21"/>
                <w:szCs w:val="21"/>
                <w:highlight w:val="none"/>
                <w:lang w:eastAsia="zh-CN"/>
              </w:rPr>
            </w:pPr>
            <w:r>
              <w:rPr>
                <w:rStyle w:val="813"/>
                <w:rFonts w:hint="eastAsia" w:ascii="仿宋" w:hAnsi="仿宋" w:eastAsia="仿宋" w:cs="仿宋"/>
                <w:i w:val="0"/>
                <w:iCs w:val="0"/>
                <w:color w:val="auto"/>
                <w:sz w:val="21"/>
                <w:szCs w:val="21"/>
                <w:highlight w:val="none"/>
              </w:rPr>
              <w:t xml:space="preserve">出版</w:t>
            </w:r>
            <w:r>
              <w:rPr>
                <w:rStyle w:val="813"/>
                <w:rFonts w:hint="eastAsia" w:ascii="仿宋" w:hAnsi="仿宋" w:eastAsia="仿宋" w:cs="仿宋"/>
                <w:i w:val="0"/>
                <w:iCs w:val="0"/>
                <w:color w:val="auto"/>
                <w:sz w:val="21"/>
                <w:szCs w:val="21"/>
                <w:highlight w:val="none"/>
                <w:lang w:val="en-US" w:eastAsia="zh-CN"/>
              </w:rPr>
              <w:t xml:space="preserve">全流程</w:t>
            </w:r>
            <w:r>
              <w:rPr>
                <w:rStyle w:val="813"/>
                <w:rFonts w:hint="eastAsia" w:ascii="仿宋" w:hAnsi="仿宋" w:eastAsia="仿宋" w:cs="仿宋"/>
                <w:i w:val="0"/>
                <w:iCs w:val="0"/>
                <w:color w:val="auto"/>
                <w:sz w:val="21"/>
                <w:szCs w:val="21"/>
                <w:highlight w:val="none"/>
              </w:rPr>
              <w:t xml:space="preserve">服务方案</w:t>
            </w:r>
            <w:r>
              <w:rPr>
                <w:rStyle w:val="813"/>
                <w:rFonts w:hint="eastAsia" w:ascii="仿宋" w:hAnsi="仿宋" w:eastAsia="仿宋" w:cs="仿宋"/>
                <w:i w:val="0"/>
                <w:iCs w:val="0"/>
                <w:color w:val="auto"/>
                <w:sz w:val="21"/>
                <w:szCs w:val="21"/>
                <w:highlight w:val="none"/>
                <w:lang w:eastAsia="zh-CN"/>
              </w:rPr>
              <w:t xml:space="preserve">（</w:t>
            </w:r>
            <w:r>
              <w:rPr>
                <w:rStyle w:val="813"/>
                <w:rFonts w:hint="eastAsia" w:ascii="仿宋" w:hAnsi="仿宋" w:eastAsia="仿宋" w:cs="仿宋"/>
                <w:i w:val="0"/>
                <w:iCs w:val="0"/>
                <w:color w:val="auto"/>
                <w:sz w:val="21"/>
                <w:szCs w:val="21"/>
                <w:highlight w:val="none"/>
                <w:lang w:val="en-US" w:eastAsia="zh-CN"/>
              </w:rPr>
              <w:t xml:space="preserve">28分</w:t>
            </w:r>
            <w:r>
              <w:rPr>
                <w:rStyle w:val="813"/>
                <w:rFonts w:hint="eastAsia" w:ascii="仿宋" w:hAnsi="仿宋" w:eastAsia="仿宋" w:cs="仿宋"/>
                <w:i w:val="0"/>
                <w:iCs w:val="0"/>
                <w:color w:val="auto"/>
                <w:sz w:val="21"/>
                <w:szCs w:val="21"/>
                <w:highlight w:val="none"/>
                <w:lang w:eastAsia="zh-CN"/>
              </w:rPr>
              <w:t xml:space="preserve">）</w:t>
            </w:r>
            <w:r/>
          </w:p>
        </w:tc>
        <w:tc>
          <w:tcPr>
            <w:tcW w:w="3163" w:type="pct"/>
            <w:vAlign w:val="center"/>
            <w:textDirection w:val="lrTb"/>
            <w:noWrap w:val="false"/>
          </w:tcPr>
          <w:p>
            <w:pPr>
              <w:pStyle w:val="808"/>
              <w:ind w:left="0"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lang w:eastAsia="zh-CN"/>
              </w:rPr>
              <w:t xml:space="preserve">针对本项目需求提供</w:t>
            </w:r>
            <w:r>
              <w:rPr>
                <w:rFonts w:hint="eastAsia" w:ascii="仿宋" w:hAnsi="仿宋" w:eastAsia="仿宋" w:cs="仿宋"/>
                <w:i w:val="0"/>
                <w:iCs w:val="0"/>
                <w:color w:val="auto"/>
                <w:sz w:val="21"/>
                <w:szCs w:val="21"/>
                <w:highlight w:val="none"/>
              </w:rPr>
              <w:t xml:space="preserve">完整的教材出版服务方案，</w:t>
            </w:r>
            <w:r>
              <w:rPr>
                <w:rFonts w:hint="eastAsia" w:ascii="仿宋" w:hAnsi="仿宋" w:eastAsia="仿宋" w:cs="仿宋"/>
                <w:i w:val="0"/>
                <w:iCs w:val="0"/>
                <w:color w:val="auto"/>
                <w:sz w:val="21"/>
                <w:szCs w:val="21"/>
                <w:highlight w:val="none"/>
                <w:lang w:val="en-US" w:eastAsia="zh-CN"/>
              </w:rPr>
              <w:t xml:space="preserve">包含但不限于方案完整性与需求针对性、出版流程与进度控制、质量控制措施、团队配置与资源能力以及售后服务与风险控制等内容。</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1、方案完整性与需求针对性（5分）</w:t>
            </w:r>
            <w:r/>
          </w:p>
          <w:p>
            <w:pPr>
              <w:pStyle w:val="808"/>
              <w:numPr>
                <w:ilvl w:val="0"/>
                <w:numId w:val="0"/>
              </w:numPr>
              <w:ind w:right="0"/>
              <w:keepLines w:val="0"/>
              <w:keepNext w:val="0"/>
              <w:pageBreakBefore w:val="0"/>
              <w:spacing w:beforeAutospacing="0" w:afterAutospacing="0" w:line="360" w:lineRule="exact"/>
              <w:widowControl/>
              <w:rPr>
                <w:rFonts w:hint="default"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方案包含覆盖现状分析、专业匹配、修订再版、申报指导全流程、对本项目的针对性分析。</w:t>
            </w:r>
            <w:r/>
          </w:p>
          <w:p>
            <w:pPr>
              <w:pStyle w:val="808"/>
              <w:numPr>
                <w:ilvl w:val="0"/>
                <w:numId w:val="0"/>
              </w:numPr>
              <w:ind w:right="0"/>
              <w:keepLines w:val="0"/>
              <w:keepNext w:val="0"/>
              <w:pageBreakBefore w:val="0"/>
              <w:spacing w:beforeAutospacing="0" w:afterAutospacing="0" w:line="360" w:lineRule="exact"/>
              <w:widowControl/>
              <w:rPr>
                <w:rFonts w:hint="default"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每有一项且方案合理得1分，无方案或方案与本项目背离的不得分。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2、出版流程与进度控制（5分）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（1）提供详细的流程时间节点图，设立里程碑及跟踪机制，有明确的延期补救措施得5分。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（2）流程清晰，有基本时间安排和跟踪方式，但缺乏具体补救预案得3分。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（3）流程简略，时间节点模糊，补救措施不详得1分。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（4）无流程或与本项目背离的不予得分。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3、质量控制措施（5分）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明确“三审三校”执行标准，设定差错率控制目标（如≤0.5‱）</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（1）有内部质检、交叉审读、样书抽检等完整机制得5分。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（2）有基本质量要求和审校流程，但标准不够量化或机制不够系统得3分。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（3）质量措施简略，仅做原则性承诺得1分。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（4）无质量控制措施方案的或与本项目背离的不予得分。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4、团队配置与能力（5分）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从拟派团队配置的专业结构、人员数量、团队负责人出版发行行业从业经验、团队人员出版行业工作经验，且持有出版发行行业相关职业资格证书以上方面提供相关方案以及佐证材料，由评委综合评审后进行合理评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（1）拟派团队配置专业结构优化、人员配备充足、团队负责人出版发行行业从业经验≥5年；团队人员出版行业工作经验丰富，均达3年及以上工作经验，且持有出版发行行业相关职业资格证书，得5分。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（2）拟派团队配置专业结构合理、人员配备较充足、团队负责人出版发行行业从业经验≥3年；团队人员出版行业工作经验丰富，均达1年及以上工作经验，相关职业资格证书得3分。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（3）有团队配置，有人员配备数量、资质的得1分。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（4）不提供或无任何与本项目相关资质证明不予得分。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证明材料：提供上述人员应提供行政部门颁发的相关证书原件扫描件（从业经验以获得证书日期为准），人员数量及专业、资质请同时以表格列明以及社保机构出具的投标人为上述人员缴纳的投标截止日前连续3个月（2026年3月至2026年5月）内任意一个月的社保缴纳证明,未按要求提供者不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5、售后服务与风险控制（5分）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（1）提供免费样书数量、协助规划教材申报、质量问题免费调换等售后服务；提供人员变动、印刷故障等应急预案且具有可实施性的得5分。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（2）提供具有可实施性的售后服务；有提供人员变动、印刷故障等应急预案的得3分。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（3）有售后服务，无风险预案；或有风险预案，无售后服务的得1分。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rPr>
              <w:t xml:space="preserve">（4）无售后服务且无风险控制内容，或方案与本项目背离的不得分不得分。</w:t>
            </w:r>
            <w:r>
              <w:rPr>
                <w:rFonts w:hint="eastAsia" w:ascii="仿宋" w:hAnsi="仿宋" w:eastAsia="仿宋" w:cs="仿宋"/>
                <w:i w:val="0"/>
                <w:iCs w:val="0"/>
                <w:color w:val="auto"/>
                <w:sz w:val="21"/>
                <w:szCs w:val="21"/>
                <w:highlight w:val="none"/>
              </w:rPr>
              <w:t xml:space="preserve">​</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6、对采购人加急订单的处理方案及采用的措施（3分）。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（1）方案制定完善，科学、适用性强得3分；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（2）有方案制定较完善且具有适用性的得2分；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（3）有方案制定且能适用的得1分；</w:t>
            </w:r>
            <w:r/>
          </w:p>
          <w:p>
            <w:pPr>
              <w:pStyle w:val="808"/>
              <w:numPr>
                <w:ilvl w:val="0"/>
                <w:numId w:val="0"/>
              </w:numPr>
              <w:ind w:left="0" w:right="0" w:firstLine="0"/>
              <w:keepLines w:val="0"/>
              <w:keepNext w:val="0"/>
              <w:pageBreakBefore w:val="0"/>
              <w:spacing w:beforeAutospacing="0" w:afterAutospacing="0" w:line="360" w:lineRule="exact"/>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（4）方案制定不适用或未见阐述不予得分。</w:t>
            </w:r>
            <w:r/>
          </w:p>
        </w:tc>
      </w:tr>
      <w:tr>
        <w:trPr>
          <w:cantSplit/>
          <w:jc w:val="center"/>
          <w:trHeight w:val="1663"/>
        </w:trPr>
        <w:tc>
          <w:tcPr>
            <w:tcW w:w="24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6" w:type="pct"/>
            <w:vAlign w:val="center"/>
            <w:textDirection w:val="lrTb"/>
            <w:noWrap w:val="false"/>
          </w:tcPr>
          <w:p>
            <w:pPr>
              <w:jc w:val="center"/>
              <w:spacing w:line="380" w:lineRule="exact"/>
              <w:rPr>
                <w:rFonts w:hint="eastAsia" w:ascii="仿宋" w:hAnsi="仿宋" w:eastAsia="仿宋" w:cs="仿宋"/>
                <w:bCs/>
                <w:color w:val="auto"/>
                <w:sz w:val="21"/>
                <w:szCs w:val="21"/>
                <w:highlight w:val="none"/>
              </w:rPr>
            </w:pPr>
            <w:r>
              <w:rPr>
                <w:rStyle w:val="813"/>
                <w:rFonts w:hint="eastAsia" w:ascii="仿宋" w:hAnsi="仿宋" w:eastAsia="仿宋" w:cs="仿宋"/>
                <w:i w:val="0"/>
                <w:iCs w:val="0"/>
                <w:color w:val="auto"/>
                <w:sz w:val="21"/>
                <w:szCs w:val="21"/>
                <w:highlight w:val="none"/>
                <w:lang w:val="en-US" w:eastAsia="zh-CN"/>
              </w:rPr>
              <w:t xml:space="preserve">特色服务（6分）</w:t>
            </w:r>
            <w:r/>
          </w:p>
        </w:tc>
        <w:tc>
          <w:tcPr>
            <w:tcW w:w="3163" w:type="pct"/>
            <w:vAlign w:val="center"/>
            <w:textDirection w:val="lrTb"/>
            <w:noWrap w:val="false"/>
          </w:tcPr>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aps w:val="0"/>
                <w:color w:val="auto"/>
                <w:spacing w:val="0"/>
                <w:sz w:val="21"/>
                <w:szCs w:val="21"/>
                <w:highlight w:val="none"/>
                <w:shd w:val="clear" w:color="auto" w:fill="ffffff"/>
                <w:lang w:val="en-US" w:eastAsia="zh-CN"/>
              </w:rP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提供其它特色服务，如符合采购单位需要的额外措施，经评委确认，并根据本项目特征具有可实施性的，请列出并具体说明。特色服务是指供应商为提高教材服务水平、增加教材服务项目、扩大教材服务影响等服务方案，且采购人不需支付以上服务产生的任何费用。</w:t>
            </w:r>
            <w:r/>
          </w:p>
          <w:p>
            <w:pPr>
              <w:pStyle w:val="808"/>
              <w:numPr>
                <w:ilvl w:val="0"/>
                <w:numId w:val="0"/>
              </w:numPr>
              <w:ind w:right="0"/>
              <w:keepLines w:val="0"/>
              <w:keepNext w:val="0"/>
              <w:pageBreakBefore w:val="0"/>
              <w:spacing w:beforeAutospacing="0" w:afterAutospacing="0" w:line="360" w:lineRule="exact"/>
              <w:widowControl/>
              <w:rPr>
                <w:rFonts w:hint="default" w:ascii="仿宋" w:hAnsi="仿宋" w:eastAsia="仿宋" w:cs="仿宋"/>
                <w:i w:val="0"/>
                <w:iCs w:val="0"/>
                <w:caps w:val="0"/>
                <w:color w:val="auto"/>
                <w:spacing w:val="0"/>
                <w:sz w:val="21"/>
                <w:szCs w:val="21"/>
                <w:highlight w:val="none"/>
                <w:shd w:val="clear" w:color="auto" w:fill="ffffff"/>
                <w:lang w:val="en-US" w:eastAsia="zh-CN"/>
              </w:rP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每提供一项具有实际意义、质量高、有利于专业建设的且具有可实施性的特色服务得2分；不提供不得分。</w:t>
            </w:r>
            <w:r/>
          </w:p>
          <w:p>
            <w:pPr>
              <w:pStyle w:val="808"/>
              <w:numPr>
                <w:ilvl w:val="0"/>
                <w:numId w:val="0"/>
              </w:numPr>
              <w:ind w:left="0" w:right="0" w:firstLine="0"/>
              <w:keepLines w:val="0"/>
              <w:keepNext w:val="0"/>
              <w:pageBreakBefore w:val="0"/>
              <w:spacing w:beforeAutospacing="0" w:afterAutospacing="0" w:line="360" w:lineRule="exact"/>
              <w:widowControl/>
              <w:rPr>
                <w:rFonts w:hint="eastAsia" w:ascii="仿宋" w:hAnsi="仿宋" w:eastAsia="仿宋" w:cs="仿宋"/>
                <w:bCs/>
                <w:color w:val="auto"/>
                <w:sz w:val="21"/>
                <w:szCs w:val="21"/>
                <w:highlight w:val="none"/>
              </w:rP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以上须提供具体实施方案。</w:t>
            </w:r>
            <w:r/>
          </w:p>
        </w:tc>
      </w:tr>
    </w:tbl>
    <w:p>
      <w:pPr>
        <w:numPr>
          <w:ilvl w:val="0"/>
          <w:numId w:val="0"/>
        </w:num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报价分：（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p>
      <w:pPr>
        <w:pStyle w:val="773"/>
        <w:ind w:firstLine="482"/>
        <w:pageBreakBefore w:val="0"/>
        <w:spacing w:before="0" w:after="0"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（1）最高限价：</w:t>
      </w:r>
      <w:r>
        <w:rPr>
          <w:rFonts w:hint="eastAsia" w:ascii="仿宋" w:hAnsi="仿宋" w:eastAsia="仿宋" w:cs="仿宋"/>
          <w:b/>
          <w:bCs/>
          <w:color w:val="auto"/>
          <w:sz w:val="24"/>
          <w:szCs w:val="24"/>
          <w:highlight w:val="none"/>
          <w:lang w:val="en-US" w:eastAsia="zh-CN"/>
        </w:rPr>
        <w:t xml:space="preserve">4.5万元/部，</w:t>
      </w:r>
      <w:r>
        <w:rPr>
          <w:rFonts w:hint="eastAsia" w:ascii="仿宋" w:hAnsi="仿宋" w:eastAsia="仿宋" w:cs="仿宋"/>
          <w:b/>
          <w:bCs/>
          <w:color w:val="auto"/>
          <w:sz w:val="24"/>
          <w:szCs w:val="24"/>
          <w:highlight w:val="none"/>
        </w:rPr>
        <w:t xml:space="preserve">响应报价不得超过最高限价，超过</w:t>
      </w:r>
      <w:r>
        <w:rPr>
          <w:rFonts w:hint="eastAsia" w:ascii="仿宋" w:hAnsi="仿宋" w:eastAsia="仿宋" w:cs="仿宋"/>
          <w:b/>
          <w:bCs/>
          <w:color w:val="auto"/>
          <w:sz w:val="24"/>
          <w:szCs w:val="24"/>
          <w:highlight w:val="none"/>
          <w:lang w:val="en-US" w:eastAsia="zh-CN"/>
        </w:rPr>
        <w:t xml:space="preserve">最高限价</w:t>
      </w:r>
      <w:r>
        <w:rPr>
          <w:rFonts w:hint="eastAsia" w:ascii="仿宋" w:hAnsi="仿宋" w:eastAsia="仿宋" w:cs="仿宋"/>
          <w:b/>
          <w:bCs/>
          <w:color w:val="auto"/>
          <w:sz w:val="24"/>
          <w:szCs w:val="24"/>
          <w:highlight w:val="none"/>
        </w:rPr>
        <w:t xml:space="preserve">的为无效报价，按照无效响应处理；</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（2）满足磋商文件要求且磋商价格最低的有效磋商报价为磋商基准价，其价格分为满分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bCs/>
          <w:color w:val="auto"/>
          <w:sz w:val="24"/>
          <w:szCs w:val="24"/>
          <w:highlight w:val="none"/>
        </w:rPr>
        <w:t xml:space="preserve">（有效数字保留到小数点后两位）</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其他响应单位的价格分按照下列公式计算：</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报价得分=(磋商基准价/磋商报价)×报价权值</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%×100</w:t>
      </w:r>
      <w:r/>
    </w:p>
    <w:p>
      <w:pPr>
        <w:ind w:firstLine="482"/>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w:t>
      </w:r>
      <w:r>
        <w:rPr>
          <w:rFonts w:hint="eastAsia" w:ascii="仿宋" w:hAnsi="仿宋" w:eastAsia="仿宋" w:cs="仿宋"/>
          <w:b/>
          <w:bCs/>
          <w:color w:val="auto"/>
          <w:sz w:val="24"/>
          <w:szCs w:val="24"/>
          <w:highlight w:val="none"/>
          <w:lang w:val="en-US" w:eastAsia="zh-CN"/>
        </w:rPr>
        <w:t xml:space="preserve">评审</w:t>
      </w:r>
      <w:r>
        <w:rPr>
          <w:rFonts w:hint="eastAsia" w:ascii="仿宋" w:hAnsi="仿宋" w:eastAsia="仿宋" w:cs="仿宋"/>
          <w:b/>
          <w:bCs/>
          <w:color w:val="auto"/>
          <w:sz w:val="24"/>
          <w:szCs w:val="24"/>
          <w:highlight w:val="none"/>
        </w:rPr>
        <w:t xml:space="preserve">委员会启动异常低价投标（响应）审查的情形和具体要求如下：</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（1）本项目如出现以下情形的，磋商小组将启动异常低价投标（响应）审查程序：</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②投标（响应）报价低于通过符合性审查的次低报价供应商投标（响应）报价50%的，即投标（响应）报价&lt;通过符合性审查的次低报价供应商投标（响应）报价×50%；</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③投标（响应）报价低于采购项目最高限价45%的，即投标（响应）报价&lt;采购项目最高限价×45%；</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④评审委员会基于专业判断，认为供应商报价过低，有可能影响产品质量或者不能诚信履约的其他情形。</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8"/>
        <w:numPr>
          <w:ilvl w:val="0"/>
          <w:numId w:val="0"/>
        </w:numPr>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（3）监管部门应当加强对评审专家的指导和监管，进一步压实评审专家的责任。监管部门在投诉处理、监督检查中发现评审委员会未按规定对异常低价开展审查的，依法予以纠正并追究评审专家的法律责任。</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（三）</w:t>
      </w:r>
      <w:r>
        <w:rPr>
          <w:rFonts w:hint="eastAsia" w:ascii="仿宋" w:hAnsi="仿宋" w:eastAsia="仿宋" w:cs="仿宋"/>
          <w:b/>
          <w:bCs/>
          <w:color w:val="auto"/>
          <w:sz w:val="24"/>
          <w:szCs w:val="24"/>
          <w:highlight w:val="none"/>
        </w:rPr>
        <w:t xml:space="preserve">政府采购政策功能落实</w:t>
      </w:r>
      <w:r/>
    </w:p>
    <w:p>
      <w:pPr>
        <w:pStyle w:val="983"/>
        <w:ind w:left="562" w:right="0" w:firstLine="0"/>
        <w:jc w:val="both"/>
        <w:spacing w:before="0" w:after="0" w:line="440" w:lineRule="exact"/>
        <w:rPr>
          <w:rFonts w:hint="eastAsia" w:ascii="仿宋" w:hAnsi="仿宋" w:eastAsia="仿宋" w:cs="仿宋"/>
          <w:b/>
          <w:bCs/>
          <w:color w:val="auto"/>
          <w:highlight w:val="none"/>
        </w:rPr>
      </w:pPr>
      <w:r>
        <w:rPr>
          <w:rFonts w:hint="eastAsia" w:ascii="仿宋" w:hAnsi="仿宋" w:eastAsia="仿宋" w:cs="仿宋"/>
          <w:b/>
          <w:color w:val="auto"/>
          <w:highlight w:val="none"/>
        </w:rPr>
        <w:t xml:space="preserve">四、</w:t>
      </w:r>
      <w:r>
        <w:rPr>
          <w:rFonts w:hint="eastAsia" w:ascii="仿宋" w:hAnsi="仿宋" w:eastAsia="仿宋" w:cs="仿宋"/>
          <w:b/>
          <w:bCs/>
          <w:color w:val="auto"/>
          <w:highlight w:val="none"/>
        </w:rPr>
        <w:t xml:space="preserve">政府采购政策功能落实</w:t>
      </w:r>
      <w:r/>
    </w:p>
    <w:p>
      <w:pPr>
        <w:ind w:firstLine="480"/>
        <w:spacing w:line="480" w:lineRule="exact"/>
        <w:rPr>
          <w:rFonts w:hint="eastAsia" w:ascii="仿宋" w:hAnsi="仿宋" w:eastAsia="仿宋" w:cs="仿宋"/>
          <w:b/>
          <w:bCs/>
          <w:color w:val="auto"/>
          <w:highlight w:val="none"/>
        </w:rPr>
      </w:pPr>
      <w:r>
        <w:rPr>
          <w:rFonts w:hint="eastAsia" w:ascii="仿宋" w:hAnsi="仿宋" w:eastAsia="仿宋" w:cs="仿宋"/>
          <w:bCs/>
          <w:color w:val="auto"/>
          <w:sz w:val="24"/>
          <w:highlight w:val="none"/>
        </w:rPr>
        <w:t xml:space="preserve">本项目采购标的对应的中小企业划分标准所属行业为</w:t>
      </w:r>
      <w:r>
        <w:rPr>
          <w:rFonts w:hint="default" w:ascii="仿宋" w:hAnsi="仿宋" w:eastAsia="仿宋" w:cs="仿宋"/>
          <w:bCs/>
          <w:color w:val="auto"/>
          <w:sz w:val="24"/>
          <w:highlight w:val="none"/>
        </w:rPr>
        <w:t xml:space="preserve">其他未列明行业。</w:t>
      </w:r>
      <w:r>
        <w:rPr>
          <w:rFonts w:hint="default" w:ascii="仿宋" w:hAnsi="仿宋" w:eastAsia="仿宋" w:cs="仿宋"/>
          <w:b/>
          <w:bCs/>
          <w:color w:val="auto"/>
          <w:sz w:val="24"/>
          <w:szCs w:val="24"/>
          <w:highlight w:val="none"/>
          <w:u w:val="single"/>
          <w:lang w:val="en-US" w:eastAsia="zh-CN"/>
        </w:rPr>
        <w:t xml:space="preserve">从业人员300人以下的为中小微型企业。其中，从业人员100人及以上的为中型企业；从业人员10人及以上的为小型企业；从业人员10人以下的为微型企业。</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1、小微型企业价格扣除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（1）本项目对小型和微型企业产品给予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的扣除价格，用扣除后的价格参与评审。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en-US" w:eastAsia="zh-CN"/>
        </w:rPr>
        <w:t xml:space="preserve">响应</w:t>
      </w:r>
      <w:r>
        <w:rPr>
          <w:rFonts w:hint="eastAsia" w:ascii="仿宋" w:hAnsi="仿宋" w:eastAsia="仿宋" w:cs="仿宋"/>
          <w:bCs/>
          <w:color w:val="auto"/>
          <w:sz w:val="24"/>
          <w:highlight w:val="none"/>
        </w:rPr>
        <w:t xml:space="preserve">单位需按照《政府采购促进中小企业发展管理办法》（财库﹝2020﹞46 号）的规定提供相应的《中小企业声明函》。</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（3）企业标准请参照《关于印发中小企业划型标准规定的通知》（工信部联企业[2011]300号）文件规定自行填写。</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2、残疾人福利单位价格扣除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（1）本项目对残疾人福利性单位，给予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的价格扣除，用扣除后的价格参与评审。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（2）残疾人福利单位需按照采购文件的要求提供《残疾人福利性单位声明函》。</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（3）残疾人福利单位标准请参照《关于促进残疾人就业政府采购政策的通知》（财库〔2017〕141号）。</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3、监狱和戒毒企业价格扣除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（1）本项目对监狱和戒毒企业（简称监狱企业）给予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的价格扣除，用扣除后的价格参与评审。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（2）监狱企业参加政府采购活动时，需提供由省级以上监狱管理局、戒毒管理局(含新疆生产建设兵团)出具的属于监狱企业的证明文件。</w:t>
      </w:r>
      <w:r>
        <w:rPr>
          <w:rFonts w:hint="eastAsia" w:ascii="仿宋" w:hAnsi="仿宋" w:eastAsia="仿宋" w:cs="仿宋"/>
          <w:bCs/>
          <w:color w:val="auto"/>
          <w:sz w:val="24"/>
          <w:highlight w:val="none"/>
          <w:lang w:val="en-US" w:eastAsia="zh-CN"/>
        </w:rPr>
        <w:t xml:space="preserve">响应</w:t>
      </w:r>
      <w:r>
        <w:rPr>
          <w:rFonts w:hint="eastAsia" w:ascii="仿宋" w:hAnsi="仿宋" w:eastAsia="仿宋" w:cs="仿宋"/>
          <w:bCs/>
          <w:color w:val="auto"/>
          <w:sz w:val="24"/>
          <w:highlight w:val="none"/>
        </w:rPr>
        <w:t xml:space="preserve">单位如不提供上述证明文件，价格将不做相应扣除。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（3）监狱企业标准请参照《关于政府采购支持监狱企业发展有关问题的通知》（财库[2014]68号）。</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4、残疾人福利单位、监狱企业属于小型、微型企业的，不重复享受政策。</w:t>
      </w:r>
      <w:r/>
    </w:p>
    <w:p>
      <w:pPr>
        <w:ind w:firstLine="57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6、联合体各方均为小型、微型企业（残疾人福利单位、监狱企业）的，联合体享受上述同类价格扣除，用扣除后的价格参与评审。</w:t>
      </w:r>
      <w:r/>
    </w:p>
    <w:p>
      <w:pPr>
        <w:ind w:firstLine="570"/>
        <w:spacing w:line="440" w:lineRule="exact"/>
        <w:rPr>
          <w:rFonts w:hint="eastAsia" w:ascii="仿宋" w:hAnsi="仿宋" w:eastAsia="仿宋" w:cs="仿宋"/>
          <w:b/>
          <w:color w:val="auto"/>
          <w:sz w:val="24"/>
          <w:highlight w:val="none"/>
        </w:rPr>
      </w:pPr>
      <w:r>
        <w:rPr>
          <w:rFonts w:hint="eastAsia" w:ascii="仿宋" w:hAnsi="仿宋" w:eastAsia="仿宋" w:cs="仿宋"/>
          <w:b/>
          <w:bCs w:val="0"/>
          <w:color w:val="auto"/>
          <w:sz w:val="24"/>
          <w:highlight w:val="none"/>
        </w:rPr>
        <w:t xml:space="preserve">7、专门面向中小企业采购的项目或者采购包，不再执行价格评审优惠的扶持政策。</w:t>
      </w:r>
      <w:r/>
    </w:p>
    <w:p>
      <w:pPr>
        <w:ind w:firstLine="480"/>
        <w:keepLines w:val="0"/>
        <w:keepNext w:val="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、根据《江苏省政府采购信用管理暂行办法》的规定，供应商信用评价结果为三星的扣2分，评价结果为二星的扣3分，评价结果为一星的扣4分。</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（四）成交供应商的确定</w:t>
      </w:r>
      <w:r/>
    </w:p>
    <w:p>
      <w:pPr>
        <w:ind w:firstLine="5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评委会汇总各评委评分后，按照得分从高到低的顺序推荐三名中标候选人，并编写评标报告。</w:t>
      </w:r>
      <w:r/>
    </w:p>
    <w:p>
      <w:pPr>
        <w:numPr>
          <w:ilvl w:val="0"/>
          <w:numId w:val="4"/>
        </w:numPr>
        <w:ind w:firstLine="555"/>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评标结果按评审后总得分由高到低顺序排列。总得分相同的，按</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报价由低到高顺序排列。得分且</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报价相同的，由采购人代表现场抽签决定排名顺序。</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文件满足招标文件全部实质性要求，且按照评审因素的量化指标评审得分前三名的响应单位为中标候选人。</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2、第一中标候选人毁标或有异议的处理</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若第一中标候选人毁标的，合格</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单位符合法定数量时，经审核无异常情况的，可以由第二中标候选人中标，第一中标候选人记不良记录一次。否则应当重新开展采购活动。</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3、评标争议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评标时评委对评标的细则若有争议，由评标小组评委集体讨论确定。</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4、落标原因</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评标小组不对落标的</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单位做落标原因的解释。</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（五）公告成交结果</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1、开标结束后，采购单位自中标</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单位确定之日起2个工作日内在指定媒体上公告中标结果。</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2、中标公告期限为1个工作日，同时向中标</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单位发出《中标通知书》。</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3、《中标通知书》一经发出，即具有法律效力。</w:t>
      </w: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单位依法承担法律责任。</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（六）出现下列情形之一的，作无效响应处理</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1.同一供应商提交两个（含两个）以上不同的响应报价的。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2.不具备磋商文件中规定的资格要求的。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3.响应报价超过了采购预算或最高限价的。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除非在磋商中磋商小组对采购需求中的技术、服务要求以及合同草案条款作了实质性变更，否则</w:t>
      </w:r>
      <w:r>
        <w:rPr>
          <w:rFonts w:hint="eastAsia" w:ascii="仿宋" w:hAnsi="仿宋" w:eastAsia="仿宋" w:cs="仿宋"/>
          <w:b/>
          <w:color w:val="auto"/>
          <w:sz w:val="24"/>
          <w:szCs w:val="24"/>
          <w:highlight w:val="none"/>
        </w:rPr>
        <w:t xml:space="preserve">采购单位不接受供应商高于自己前一轮的磋商报价</w:t>
      </w:r>
      <w:r>
        <w:rPr>
          <w:rFonts w:hint="eastAsia" w:ascii="仿宋" w:hAnsi="仿宋" w:eastAsia="仿宋" w:cs="仿宋"/>
          <w:color w:val="auto"/>
          <w:sz w:val="24"/>
          <w:szCs w:val="24"/>
          <w:highlight w:val="none"/>
        </w:rPr>
        <w:t xml:space="preserve">。</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.未通过符合性检查的。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.不符合法律、法规和磋商文件中规定的其他实质性要求的。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.响应文件含有采购人不能接受的附加条件的。</w:t>
      </w:r>
      <w:r/>
    </w:p>
    <w:p>
      <w:pPr>
        <w:pStyle w:val="808"/>
        <w:ind w:left="718" w:firstLine="482"/>
        <w:jc w:val="both"/>
        <w:keepLines w:val="0"/>
        <w:keepNext w:val="0"/>
        <w:pageBreakBefore w:val="0"/>
        <w:spacing w:before="0" w:beforeAutospacing="0" w:after="0" w:afterAutospacing="0" w:line="440" w:lineRule="atLeast"/>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9.磋商小组认为响应供应商的报价出现（财库〔2026〕2号文）规定的异常低价情形之一的，将通过“不见面交易系统”启动异常低价投标（响应）审查程序，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8"/>
        <w:ind w:left="718" w:firstLine="482"/>
        <w:jc w:val="both"/>
        <w:keepLines w:val="0"/>
        <w:keepNext w:val="0"/>
        <w:pageBreakBefore w:val="0"/>
        <w:spacing w:before="0" w:beforeAutospacing="0" w:after="0" w:afterAutospacing="0" w:line="440" w:lineRule="atLeast"/>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.本项目采购产品被财政部、国家发改委、生态环境部等列入“节能产品品目清单”、“环境标志产品品目清单”强制采购范围，而供应商所</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产品不在强制采购范围内的。（所投产品如属于政府强制采购节能产品品目清单范围内，响应文件中必须提供国家确定的认证机构出具的、处于有效期之内的该节能产品认证证书扫描件）。</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11</w:t>
      </w:r>
      <w:r>
        <w:rPr>
          <w:rFonts w:hint="eastAsia" w:ascii="仿宋" w:hAnsi="仿宋" w:eastAsia="仿宋" w:cs="仿宋"/>
          <w:bCs/>
          <w:color w:val="auto"/>
          <w:sz w:val="24"/>
          <w:szCs w:val="24"/>
          <w:highlight w:val="none"/>
        </w:rPr>
        <w:t xml:space="preserve">.响应文件未按照磋商文件要求加盖电子签章。</w:t>
      </w:r>
      <w:r/>
    </w:p>
    <w:p>
      <w:pPr>
        <w:ind w:left="695" w:firstLine="482"/>
        <w:keepLines w:val="0"/>
        <w:keepNext w:val="0"/>
        <w:pageBreakBefore w:val="0"/>
        <w:spacing w:line="46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.响应文件技术商务分得分低于（商务技术标</w:t>
      </w:r>
      <w:r>
        <w:rPr>
          <w:rFonts w:hint="eastAsia" w:ascii="仿宋" w:hAnsi="仿宋" w:eastAsia="仿宋" w:cs="仿宋"/>
          <w:b/>
          <w:bCs w:val="0"/>
          <w:color w:val="auto"/>
          <w:sz w:val="24"/>
          <w:szCs w:val="24"/>
          <w:highlight w:val="none"/>
          <w:lang w:val="en-US" w:eastAsia="zh-CN"/>
        </w:rPr>
        <w:t xml:space="preserve">85</w:t>
      </w:r>
      <w:r>
        <w:rPr>
          <w:rFonts w:hint="eastAsia" w:ascii="仿宋" w:hAnsi="仿宋" w:eastAsia="仿宋" w:cs="仿宋"/>
          <w:b/>
          <w:bCs w:val="0"/>
          <w:color w:val="auto"/>
          <w:sz w:val="24"/>
          <w:szCs w:val="24"/>
          <w:highlight w:val="none"/>
        </w:rPr>
        <w:t xml:space="preserve">分）50%时视为未实质性响应采购文件要求。</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.供应商在系统规定的时间内未成功解密电子响应文件的。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.供应商在规定的时间内未提交最终报价的。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.未完整上传响应文件电子文档的,或上传的文件打不开的。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.不同的供应商响应文件制作机器码、文件创建标识码一致的。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.其他法律、法规及本磋商文件规定的属无效响应的情形。</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（七）出现下列情形之一的，本次竞争性磋商采购活动将被终止</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1.因情况变化，不再符合规定的竞争性磋商采购方式适用情形的。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2.出现影响采购公正的违法、违规行为的。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4.在苏采云系统规定时间内成功解密电子响应文件的供应商不足3家的。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5.因重大变故，采购任务取消的。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6.磋商小组认定磋商文件存在歧义、重大缺陷导致评审工作无法进行。</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7.因系统故障原因造成磋商无法继续进行的。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（八）其他</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w:t>
      </w:r>
      <w:r>
        <w:rPr>
          <w:rFonts w:hint="eastAsia" w:ascii="仿宋" w:hAnsi="仿宋" w:eastAsia="仿宋" w:cs="仿宋"/>
          <w:b/>
          <w:bCs/>
          <w:color w:val="auto"/>
          <w:sz w:val="24"/>
          <w:szCs w:val="24"/>
          <w:highlight w:val="none"/>
        </w:rPr>
        <w:t xml:space="preserve">（按照综合得分由高到低顺序）</w:t>
      </w:r>
      <w:r>
        <w:rPr>
          <w:rFonts w:hint="eastAsia" w:ascii="仿宋" w:hAnsi="仿宋" w:eastAsia="仿宋" w:cs="仿宋"/>
          <w:bCs/>
          <w:color w:val="auto"/>
          <w:sz w:val="24"/>
          <w:szCs w:val="24"/>
          <w:highlight w:val="none"/>
        </w:rPr>
        <w:t xml:space="preserve">依次确定其他中标候选人为</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，也可以重新招标。</w:t>
      </w:r>
      <w:r/>
    </w:p>
    <w:p>
      <w:pPr>
        <w:ind w:left="695" w:firstLine="883"/>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clear="all"/>
      </w:r>
      <w:r/>
    </w:p>
    <w:p>
      <w:pPr>
        <w:ind w:left="695" w:firstLine="643"/>
        <w:jc w:val="center"/>
        <w:spacing w:line="480" w:lineRule="exact"/>
        <w:rPr>
          <w:rFonts w:hint="eastAsia" w:ascii="仿宋" w:hAnsi="仿宋" w:eastAsia="仿宋" w:cs="仿宋"/>
          <w:b/>
          <w:color w:val="auto"/>
          <w:sz w:val="32"/>
          <w:szCs w:val="32"/>
          <w:highlight w:val="none"/>
        </w:rPr>
        <w:outlineLvl w:val="1"/>
      </w:pPr>
      <w:r>
        <w:rPr>
          <w:rFonts w:hint="eastAsia" w:ascii="仿宋" w:hAnsi="仿宋" w:eastAsia="仿宋" w:cs="仿宋"/>
          <w:b/>
          <w:color w:val="auto"/>
          <w:sz w:val="32"/>
          <w:szCs w:val="32"/>
          <w:highlight w:val="none"/>
        </w:rPr>
        <w:t xml:space="preserve">第五章  响应文件组成及格式</w:t>
      </w:r>
      <w:r/>
    </w:p>
    <w:p>
      <w:pPr>
        <w:ind w:left="695" w:firstLine="482"/>
        <w:spacing w:line="460" w:lineRule="exac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由资格审查证明文件、</w:t>
      </w:r>
      <w:r>
        <w:rPr>
          <w:rFonts w:hint="eastAsia" w:ascii="仿宋" w:hAnsi="仿宋" w:eastAsia="仿宋" w:cs="仿宋"/>
          <w:b/>
          <w:bCs/>
          <w:color w:val="auto"/>
          <w:sz w:val="24"/>
          <w:szCs w:val="24"/>
          <w:highlight w:val="none"/>
        </w:rPr>
        <w:t xml:space="preserve">符合性审查、商务技术</w:t>
      </w:r>
      <w:r>
        <w:rPr>
          <w:rFonts w:hint="eastAsia" w:ascii="仿宋" w:hAnsi="仿宋" w:eastAsia="仿宋" w:cs="仿宋"/>
          <w:b/>
          <w:bCs/>
          <w:color w:val="auto"/>
          <w:sz w:val="24"/>
          <w:szCs w:val="24"/>
          <w:highlight w:val="none"/>
          <w:lang w:val="zh-CN"/>
        </w:rPr>
        <w:t xml:space="preserve">响应文件、价格文件组成。</w:t>
      </w:r>
      <w:r/>
    </w:p>
    <w:p>
      <w:pPr>
        <w:ind w:left="695"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一、资格审查证明文件（不能出现商务技术文件、价格文件）</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w:t>
      </w:r>
      <w:r>
        <w:rPr>
          <w:rFonts w:hint="eastAsia" w:ascii="仿宋" w:hAnsi="仿宋" w:eastAsia="仿宋" w:cs="仿宋"/>
          <w:bCs/>
          <w:color w:val="auto"/>
          <w:sz w:val="24"/>
          <w:szCs w:val="24"/>
          <w:highlight w:val="none"/>
        </w:rPr>
        <w:t xml:space="preserve">供应商符合《政府采购法》第二十二条规定条件的</w:t>
      </w:r>
      <w:bookmarkStart w:id="94" w:name="OLE_LINK2"/>
      <w:r>
        <w:rPr>
          <w:rFonts w:hint="eastAsia" w:ascii="仿宋" w:hAnsi="仿宋" w:eastAsia="仿宋" w:cs="仿宋"/>
          <w:bCs/>
          <w:color w:val="auto"/>
          <w:sz w:val="24"/>
          <w:szCs w:val="24"/>
          <w:highlight w:val="none"/>
        </w:rPr>
        <w:t xml:space="preserve">承诺函</w:t>
      </w:r>
      <w:bookmarkEnd w:id="94"/>
      <w:r>
        <w:rPr>
          <w:rFonts w:hint="eastAsia" w:ascii="仿宋" w:hAnsi="仿宋" w:eastAsia="仿宋" w:cs="仿宋"/>
          <w:bCs/>
          <w:color w:val="auto"/>
          <w:sz w:val="24"/>
          <w:szCs w:val="24"/>
          <w:highlight w:val="none"/>
          <w:lang w:val="zh-CN"/>
        </w:rPr>
        <w:t xml:space="preserve">（格式见附件1）；</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bCs/>
          <w:color w:val="auto"/>
          <w:sz w:val="24"/>
          <w:szCs w:val="24"/>
          <w:highlight w:val="none"/>
        </w:rPr>
        <w:t xml:space="preserve">法定代表人参加</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的，必须提供法人身份证明原件及本人身份证原件扫描件</w:t>
      </w:r>
      <w:r>
        <w:rPr>
          <w:rFonts w:hint="eastAsia" w:ascii="仿宋" w:hAnsi="仿宋" w:eastAsia="仿宋" w:cs="仿宋"/>
          <w:bCs/>
          <w:color w:val="auto"/>
          <w:sz w:val="24"/>
          <w:szCs w:val="24"/>
          <w:highlight w:val="none"/>
          <w:lang w:val="zh-CN"/>
        </w:rPr>
        <w:t xml:space="preserve">（格式见附件2）</w:t>
      </w:r>
      <w:r>
        <w:rPr>
          <w:rFonts w:hint="eastAsia" w:ascii="仿宋" w:hAnsi="仿宋" w:eastAsia="仿宋" w:cs="仿宋"/>
          <w:bCs/>
          <w:color w:val="auto"/>
          <w:sz w:val="24"/>
          <w:szCs w:val="24"/>
          <w:highlight w:val="none"/>
        </w:rPr>
        <w:t xml:space="preserve">；非法定代表人参加的，必须提供法定代表人签名或盖章的授权委托书原件及被委托授权人身份证原件扫描件和法定代表人的身份证原件扫描件；</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3.</w:t>
      </w:r>
      <w:r>
        <w:rPr>
          <w:rFonts w:hint="eastAsia" w:ascii="仿宋" w:hAnsi="仿宋" w:eastAsia="仿宋" w:cs="仿宋"/>
          <w:bCs/>
          <w:color w:val="auto"/>
          <w:sz w:val="24"/>
          <w:szCs w:val="24"/>
          <w:highlight w:val="none"/>
        </w:rPr>
        <w:t xml:space="preserve">非法定代表人参加的，必须提供法定代表人签名或盖章的授权委托书原件及被委托授权人身份证原件扫描件和法定代表人的身份证原件扫描件</w:t>
      </w:r>
      <w:r>
        <w:rPr>
          <w:rFonts w:hint="eastAsia" w:ascii="仿宋" w:hAnsi="仿宋" w:eastAsia="仿宋" w:cs="仿宋"/>
          <w:bCs/>
          <w:color w:val="auto"/>
          <w:sz w:val="24"/>
          <w:szCs w:val="24"/>
          <w:highlight w:val="none"/>
          <w:lang w:val="zh-CN"/>
        </w:rPr>
        <w:t xml:space="preserve">（格式见附件3）；</w:t>
      </w:r>
      <w:r/>
    </w:p>
    <w:p>
      <w:pPr>
        <w:ind w:left="695" w:firstLine="480"/>
        <w:keepLines w:val="0"/>
        <w:keepNext w:val="0"/>
        <w:pageBreakBefore w:val="0"/>
        <w:spacing w:line="36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4.落实政府采购政策需满足的资格要求：本项目为专门面向中小微企业采购项目（须按照财库〔2020〕46号文要求提供中小企业声明函，格式见附件4.5.6）。</w:t>
      </w:r>
      <w:r/>
    </w:p>
    <w:p>
      <w:pPr>
        <w:ind w:left="718" w:firstLine="482"/>
        <w:keepLines w:val="0"/>
        <w:keepNext w:val="0"/>
        <w:pageBreakBefore w:val="0"/>
        <w:spacing w:line="360" w:lineRule="auto"/>
        <w:widowControl w:val="off"/>
        <w:rPr>
          <w:rFonts w:hint="eastAsia" w:ascii="仿宋" w:hAnsi="仿宋" w:eastAsia="仿宋" w:cs="仿宋"/>
          <w:color w:val="auto"/>
          <w:highlight w:val="none"/>
          <w:lang w:val="zh-CN"/>
        </w:rPr>
      </w:pPr>
      <w:r>
        <w:rPr>
          <w:rFonts w:hint="eastAsia" w:ascii="仿宋" w:hAnsi="仿宋" w:eastAsia="仿宋" w:cs="仿宋"/>
          <w:b/>
          <w:bCs/>
          <w:color w:val="auto"/>
          <w:sz w:val="24"/>
          <w:szCs w:val="24"/>
          <w:highlight w:val="none"/>
          <w:lang w:val="en-US" w:eastAsia="zh-CN"/>
        </w:rPr>
        <w:t xml:space="preserve">5.供应商持有有效的《中华人民共和国出版物经营许可证》；</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lang w:val="zh-CN"/>
        </w:rPr>
        <w:t xml:space="preserve">.磋商公告资格要求提供相应的佐证材料；</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lang w:val="zh-CN"/>
        </w:rPr>
        <w:t xml:space="preserve">.其它需要提交的资格审查证明材料。</w:t>
      </w:r>
      <w:r/>
    </w:p>
    <w:p>
      <w:pPr>
        <w:ind w:left="695" w:firstLine="480"/>
        <w:spacing w:line="500" w:lineRule="exact"/>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如采购</w:t>
      </w:r>
      <w:r>
        <w:rPr>
          <w:rFonts w:hint="eastAsia" w:ascii="仿宋" w:hAnsi="仿宋" w:eastAsia="仿宋" w:cs="仿宋"/>
          <w:bCs/>
          <w:color w:val="auto"/>
          <w:sz w:val="24"/>
          <w:szCs w:val="24"/>
          <w:highlight w:val="none"/>
          <w:lang w:val="zh-CN"/>
        </w:rPr>
        <w:t xml:space="preserve">文件要求提供的资格审查证明材料中没有对应的接口上传的资料，可以在本部分的其他材料的接口中上传）</w:t>
      </w:r>
      <w:r/>
    </w:p>
    <w:p>
      <w:pPr>
        <w:ind w:left="695"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二、符合性审查</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1.磋商响应函；</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2.</w:t>
      </w:r>
      <w:bookmarkStart w:id="95" w:name="OLE_LINK8"/>
      <w:r>
        <w:rPr>
          <w:rFonts w:hint="eastAsia" w:ascii="仿宋" w:hAnsi="仿宋" w:eastAsia="仿宋" w:cs="仿宋"/>
          <w:color w:val="auto"/>
          <w:sz w:val="24"/>
          <w:szCs w:val="24"/>
          <w:highlight w:val="none"/>
        </w:rPr>
        <w:t xml:space="preserve">商务部分正负偏离表；</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val="zh-CN"/>
        </w:rPr>
        <w:t xml:space="preserve">）</w:t>
      </w:r>
      <w:bookmarkEnd w:id="95"/>
      <w:r/>
      <w:r/>
    </w:p>
    <w:p>
      <w:pPr>
        <w:contextualSpacing w:val="0"/>
        <w:ind w:left="695" w:firstLine="480"/>
        <w:keepLines w:val="0"/>
        <w:keepNext w:val="0"/>
        <w:pageBreakBefore w:val="0"/>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bookmarkStart w:id="96" w:name="OLE_LINK10"/>
      <w:r>
        <w:rPr>
          <w:rFonts w:hint="eastAsia" w:ascii="仿宋" w:hAnsi="仿宋" w:eastAsia="仿宋" w:cs="仿宋"/>
          <w:color w:val="auto"/>
          <w:sz w:val="24"/>
          <w:szCs w:val="24"/>
          <w:highlight w:val="none"/>
        </w:rPr>
        <w:t xml:space="preserve">技术部分正负偏离表；</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val="zh-CN"/>
        </w:rPr>
        <w:t xml:space="preserve">）</w:t>
      </w:r>
      <w:bookmarkEnd w:id="96"/>
      <w:r/>
      <w:r/>
    </w:p>
    <w:p>
      <w:pPr>
        <w:contextualSpacing w:val="0"/>
        <w:ind w:left="695" w:firstLine="480"/>
        <w:keepLines w:val="0"/>
        <w:keepNext w:val="0"/>
        <w:pageBreakBefore w:val="0"/>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本</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lang w:val="zh-CN"/>
        </w:rPr>
        <w:t xml:space="preserve">文件第三部分项目需求部分要求的符合性审查证明材料。</w:t>
      </w:r>
      <w:r/>
    </w:p>
    <w:p>
      <w:pPr>
        <w:ind w:left="695" w:firstLine="482"/>
        <w:spacing w:line="500" w:lineRule="exact"/>
        <w:rPr>
          <w:rFonts w:hint="eastAsia" w:ascii="仿宋" w:hAnsi="仿宋" w:eastAsia="仿宋" w:cs="仿宋"/>
          <w:b/>
          <w:color w:val="auto"/>
          <w:sz w:val="24"/>
          <w:szCs w:val="24"/>
          <w:highlight w:val="none"/>
          <w:u w:val="single"/>
          <w:lang w:eastAsia="zh-CN"/>
        </w:rPr>
      </w:pPr>
      <w:r>
        <w:rPr>
          <w:rFonts w:hint="eastAsia" w:ascii="仿宋" w:hAnsi="仿宋" w:eastAsia="仿宋" w:cs="仿宋"/>
          <w:b/>
          <w:color w:val="auto"/>
          <w:sz w:val="24"/>
          <w:szCs w:val="24"/>
          <w:highlight w:val="none"/>
          <w:u w:val="single"/>
        </w:rPr>
        <w:t xml:space="preserve">注明：</w:t>
      </w:r>
      <w:r>
        <w:rPr>
          <w:rFonts w:hint="eastAsia" w:ascii="仿宋" w:hAnsi="仿宋" w:eastAsia="仿宋" w:cs="仿宋"/>
          <w:b/>
          <w:color w:val="auto"/>
          <w:sz w:val="24"/>
          <w:szCs w:val="24"/>
          <w:highlight w:val="none"/>
          <w:u w:val="single"/>
          <w:lang w:eastAsia="zh-CN"/>
        </w:rPr>
        <w:t xml:space="preserve">（</w:t>
      </w:r>
      <w:r>
        <w:rPr>
          <w:rFonts w:hint="eastAsia" w:ascii="仿宋" w:hAnsi="仿宋" w:eastAsia="仿宋" w:cs="仿宋"/>
          <w:b/>
          <w:color w:val="auto"/>
          <w:sz w:val="24"/>
          <w:szCs w:val="24"/>
          <w:highlight w:val="none"/>
          <w:u w:val="single"/>
          <w:lang w:val="en-US" w:eastAsia="zh-CN"/>
        </w:rPr>
        <w:t xml:space="preserve">1</w:t>
      </w:r>
      <w:r>
        <w:rPr>
          <w:rFonts w:hint="eastAsia" w:ascii="仿宋" w:hAnsi="仿宋" w:eastAsia="仿宋" w:cs="仿宋"/>
          <w:b/>
          <w:color w:val="auto"/>
          <w:sz w:val="24"/>
          <w:szCs w:val="24"/>
          <w:highlight w:val="none"/>
          <w:u w:val="single"/>
          <w:lang w:eastAsia="zh-CN"/>
        </w:rPr>
        <w:t xml:space="preserve">）</w:t>
      </w:r>
      <w:r>
        <w:rPr>
          <w:rFonts w:hint="eastAsia" w:ascii="仿宋" w:hAnsi="仿宋" w:eastAsia="仿宋" w:cs="仿宋"/>
          <w:b/>
          <w:color w:val="auto"/>
          <w:sz w:val="24"/>
          <w:szCs w:val="24"/>
          <w:highlight w:val="none"/>
          <w:u w:val="single"/>
        </w:rPr>
        <w:t xml:space="preserve">上述1-</w:t>
      </w:r>
      <w:r>
        <w:rPr>
          <w:rFonts w:hint="eastAsia" w:ascii="仿宋" w:hAnsi="仿宋" w:eastAsia="仿宋" w:cs="仿宋"/>
          <w:b/>
          <w:color w:val="auto"/>
          <w:sz w:val="24"/>
          <w:szCs w:val="24"/>
          <w:highlight w:val="none"/>
          <w:u w:val="single"/>
          <w:lang w:val="en-US" w:eastAsia="zh-CN"/>
        </w:rPr>
        <w:t xml:space="preserve">4</w:t>
      </w:r>
      <w:r>
        <w:rPr>
          <w:rFonts w:hint="eastAsia" w:ascii="仿宋" w:hAnsi="仿宋" w:eastAsia="仿宋" w:cs="仿宋"/>
          <w:b/>
          <w:color w:val="auto"/>
          <w:sz w:val="24"/>
          <w:szCs w:val="24"/>
          <w:highlight w:val="none"/>
          <w:u w:val="single"/>
        </w:rPr>
        <w:t xml:space="preserve">条款材料为符合性检查项，未提供或不符合要求均按无效</w:t>
      </w:r>
      <w:r>
        <w:rPr>
          <w:rFonts w:hint="eastAsia" w:ascii="仿宋" w:hAnsi="仿宋" w:eastAsia="仿宋" w:cs="仿宋"/>
          <w:b/>
          <w:color w:val="auto"/>
          <w:sz w:val="24"/>
          <w:szCs w:val="24"/>
          <w:highlight w:val="none"/>
          <w:u w:val="single"/>
          <w:lang w:val="en-US" w:eastAsia="zh-CN"/>
        </w:rPr>
        <w:t xml:space="preserve">响应</w:t>
      </w:r>
      <w:r>
        <w:rPr>
          <w:rFonts w:hint="eastAsia" w:ascii="仿宋" w:hAnsi="仿宋" w:eastAsia="仿宋" w:cs="仿宋"/>
          <w:b/>
          <w:color w:val="auto"/>
          <w:sz w:val="24"/>
          <w:szCs w:val="24"/>
          <w:highlight w:val="none"/>
          <w:u w:val="single"/>
        </w:rPr>
        <w:t xml:space="preserve">处理</w:t>
      </w:r>
      <w:r>
        <w:rPr>
          <w:rFonts w:hint="eastAsia" w:ascii="仿宋" w:hAnsi="仿宋" w:eastAsia="仿宋" w:cs="仿宋"/>
          <w:b/>
          <w:color w:val="auto"/>
          <w:sz w:val="24"/>
          <w:szCs w:val="24"/>
          <w:highlight w:val="none"/>
          <w:u w:val="single"/>
          <w:lang w:eastAsia="zh-CN"/>
        </w:rPr>
        <w:t xml:space="preserve">。</w:t>
      </w:r>
      <w:r/>
    </w:p>
    <w:p>
      <w:pPr>
        <w:ind w:left="695" w:firstLine="482"/>
        <w:spacing w:line="480" w:lineRule="exact"/>
        <w:rPr>
          <w:rFonts w:hint="eastAsia" w:ascii="仿宋" w:hAnsi="仿宋" w:eastAsia="仿宋" w:cs="仿宋"/>
          <w:b/>
          <w:bCs w:val="0"/>
          <w:color w:val="auto"/>
          <w:sz w:val="24"/>
          <w:szCs w:val="24"/>
          <w:highlight w:val="none"/>
          <w:u w:val="single"/>
          <w:lang w:eastAsia="zh-CN"/>
        </w:rPr>
      </w:pPr>
      <w:r>
        <w:rPr>
          <w:rFonts w:hint="eastAsia" w:ascii="仿宋" w:hAnsi="仿宋" w:eastAsia="仿宋" w:cs="仿宋"/>
          <w:b/>
          <w:bCs w:val="0"/>
          <w:color w:val="auto"/>
          <w:sz w:val="24"/>
          <w:szCs w:val="24"/>
          <w:highlight w:val="none"/>
          <w:u w:val="single"/>
          <w:lang w:eastAsia="zh-CN"/>
        </w:rPr>
        <w:t xml:space="preserve">（</w:t>
      </w:r>
      <w:r>
        <w:rPr>
          <w:rFonts w:hint="eastAsia" w:ascii="仿宋" w:hAnsi="仿宋" w:eastAsia="仿宋" w:cs="仿宋"/>
          <w:b/>
          <w:bCs w:val="0"/>
          <w:color w:val="auto"/>
          <w:sz w:val="24"/>
          <w:szCs w:val="24"/>
          <w:highlight w:val="none"/>
          <w:u w:val="single"/>
          <w:lang w:val="en-US" w:eastAsia="zh-CN"/>
        </w:rPr>
        <w:t xml:space="preserve">2</w:t>
      </w:r>
      <w:r>
        <w:rPr>
          <w:rFonts w:hint="eastAsia" w:ascii="仿宋" w:hAnsi="仿宋" w:eastAsia="仿宋" w:cs="仿宋"/>
          <w:b/>
          <w:bCs w:val="0"/>
          <w:color w:val="auto"/>
          <w:sz w:val="24"/>
          <w:szCs w:val="24"/>
          <w:highlight w:val="none"/>
          <w:u w:val="single"/>
          <w:lang w:eastAsia="zh-CN"/>
        </w:rPr>
        <w:t xml:space="preserve">）</w:t>
      </w:r>
      <w:r>
        <w:rPr>
          <w:rFonts w:hint="eastAsia" w:ascii="仿宋" w:hAnsi="仿宋" w:eastAsia="仿宋" w:cs="仿宋"/>
          <w:b/>
          <w:bCs w:val="0"/>
          <w:color w:val="auto"/>
          <w:spacing w:val="-6"/>
          <w:sz w:val="24"/>
          <w:szCs w:val="24"/>
          <w:highlight w:val="none"/>
          <w:u w:val="single"/>
        </w:rPr>
        <w:t xml:space="preserve">本项目</w:t>
      </w:r>
      <w:r>
        <w:rPr>
          <w:rFonts w:hint="eastAsia" w:ascii="仿宋" w:hAnsi="仿宋" w:eastAsia="仿宋" w:cs="仿宋"/>
          <w:b/>
          <w:bCs w:val="0"/>
          <w:color w:val="auto"/>
          <w:spacing w:val="-6"/>
          <w:sz w:val="24"/>
          <w:szCs w:val="24"/>
          <w:highlight w:val="none"/>
          <w:u w:val="single"/>
          <w:lang w:eastAsia="zh-CN"/>
        </w:rPr>
        <w:t xml:space="preserve">磋商文件</w:t>
      </w:r>
      <w:r>
        <w:rPr>
          <w:rFonts w:hint="eastAsia" w:ascii="仿宋" w:hAnsi="仿宋" w:eastAsia="仿宋" w:cs="仿宋"/>
          <w:b/>
          <w:bCs w:val="0"/>
          <w:color w:val="auto"/>
          <w:spacing w:val="-6"/>
          <w:sz w:val="24"/>
          <w:szCs w:val="24"/>
          <w:highlight w:val="none"/>
          <w:u w:val="single"/>
        </w:rPr>
        <w:t xml:space="preserve">中所有</w:t>
      </w:r>
      <w:r>
        <w:rPr>
          <w:rFonts w:hint="eastAsia" w:ascii="仿宋" w:hAnsi="仿宋" w:eastAsia="仿宋" w:cs="仿宋"/>
          <w:b/>
          <w:bCs w:val="0"/>
          <w:color w:val="auto"/>
          <w:spacing w:val="-6"/>
          <w:sz w:val="24"/>
          <w:szCs w:val="24"/>
          <w:highlight w:val="none"/>
          <w:u w:val="single"/>
          <w:lang w:val="zh-CN"/>
        </w:rPr>
        <w:t xml:space="preserve">以“</w:t>
      </w:r>
      <w:r>
        <w:rPr>
          <w:rFonts w:hint="eastAsia" w:ascii="仿宋" w:hAnsi="仿宋" w:eastAsia="仿宋" w:cs="仿宋"/>
          <w:b/>
          <w:bCs w:val="0"/>
          <w:color w:val="auto"/>
          <w:spacing w:val="-6"/>
          <w:sz w:val="24"/>
          <w:szCs w:val="24"/>
          <w:highlight w:val="none"/>
          <w:u w:val="single"/>
        </w:rPr>
        <w:t xml:space="preserve">★</w:t>
      </w:r>
      <w:r>
        <w:rPr>
          <w:rFonts w:hint="eastAsia" w:ascii="仿宋" w:hAnsi="仿宋" w:eastAsia="仿宋" w:cs="仿宋"/>
          <w:b/>
          <w:bCs w:val="0"/>
          <w:color w:val="auto"/>
          <w:spacing w:val="-6"/>
          <w:sz w:val="24"/>
          <w:szCs w:val="24"/>
          <w:highlight w:val="none"/>
          <w:u w:val="single"/>
          <w:lang w:val="zh-CN"/>
        </w:rPr>
        <w:t xml:space="preserve">”标明</w:t>
      </w:r>
      <w:r>
        <w:rPr>
          <w:rFonts w:hint="eastAsia" w:ascii="仿宋" w:hAnsi="仿宋" w:eastAsia="仿宋" w:cs="仿宋"/>
          <w:b/>
          <w:bCs w:val="0"/>
          <w:color w:val="auto"/>
          <w:spacing w:val="-6"/>
          <w:sz w:val="24"/>
          <w:szCs w:val="24"/>
          <w:highlight w:val="none"/>
          <w:u w:val="single"/>
        </w:rPr>
        <w:t xml:space="preserve">条款的内容均为本项目实质性响应条款，若在符合性审查阶段，经评标小组确认响应供应商未能在</w:t>
      </w:r>
      <w:r>
        <w:rPr>
          <w:rFonts w:hint="eastAsia" w:ascii="仿宋" w:hAnsi="仿宋" w:eastAsia="仿宋" w:cs="仿宋"/>
          <w:b/>
          <w:bCs w:val="0"/>
          <w:color w:val="auto"/>
          <w:spacing w:val="-6"/>
          <w:sz w:val="24"/>
          <w:szCs w:val="24"/>
          <w:highlight w:val="none"/>
          <w:u w:val="single"/>
          <w:lang w:val="en-US" w:eastAsia="zh-CN"/>
        </w:rPr>
        <w:t xml:space="preserve">符合性</w:t>
      </w:r>
      <w:r>
        <w:rPr>
          <w:rFonts w:hint="eastAsia" w:ascii="仿宋" w:hAnsi="仿宋" w:eastAsia="仿宋" w:cs="仿宋"/>
          <w:b/>
          <w:bCs w:val="0"/>
          <w:color w:val="auto"/>
          <w:spacing w:val="-6"/>
          <w:sz w:val="24"/>
          <w:szCs w:val="24"/>
          <w:highlight w:val="none"/>
          <w:u w:val="single"/>
        </w:rPr>
        <w:t xml:space="preserve">响应文件中提交本项目需求中相关承诺的，经评标小组核实将被判为不满足</w:t>
      </w:r>
      <w:r>
        <w:rPr>
          <w:rFonts w:hint="eastAsia" w:ascii="仿宋" w:hAnsi="仿宋" w:eastAsia="仿宋" w:cs="仿宋"/>
          <w:b/>
          <w:bCs w:val="0"/>
          <w:color w:val="auto"/>
          <w:spacing w:val="-6"/>
          <w:sz w:val="24"/>
          <w:szCs w:val="24"/>
          <w:highlight w:val="none"/>
          <w:u w:val="single"/>
          <w:lang w:eastAsia="zh-CN"/>
        </w:rPr>
        <w:t xml:space="preserve">磋商文件</w:t>
      </w:r>
      <w:r>
        <w:rPr>
          <w:rFonts w:hint="eastAsia" w:ascii="仿宋" w:hAnsi="仿宋" w:eastAsia="仿宋" w:cs="仿宋"/>
          <w:b/>
          <w:bCs w:val="0"/>
          <w:color w:val="auto"/>
          <w:spacing w:val="-6"/>
          <w:sz w:val="24"/>
          <w:szCs w:val="24"/>
          <w:highlight w:val="none"/>
          <w:u w:val="single"/>
        </w:rPr>
        <w:t xml:space="preserve">实质性要求，作为无效响应处理。</w:t>
      </w:r>
      <w:r/>
    </w:p>
    <w:p>
      <w:pPr>
        <w:ind w:left="695" w:firstLine="482"/>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三、商务技术标包（应包括但不限于以下内容。不得出现报价，否则作废）</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.商务技术评分标准中须提供的相关得分佐证材料；</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.供应商认为需要提交的其他商务技术材料。</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如采购</w:t>
      </w:r>
      <w:r>
        <w:rPr>
          <w:rFonts w:hint="eastAsia" w:ascii="仿宋" w:hAnsi="仿宋" w:eastAsia="仿宋" w:cs="仿宋"/>
          <w:color w:val="auto"/>
          <w:sz w:val="24"/>
          <w:szCs w:val="24"/>
          <w:highlight w:val="none"/>
          <w:lang w:val="zh-CN"/>
        </w:rPr>
        <w:t xml:space="preserve">文件要求提供的商务技术标材料中没有对应的接口上传的资料，可以在本部分的其他材料的接口中上传）</w:t>
      </w:r>
      <w:r/>
    </w:p>
    <w:p>
      <w:pPr>
        <w:ind w:left="695" w:firstLine="482"/>
        <w:spacing w:line="460" w:lineRule="exac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四</w:t>
      </w:r>
      <w:r>
        <w:rPr>
          <w:rFonts w:hint="eastAsia" w:ascii="仿宋" w:hAnsi="仿宋" w:eastAsia="仿宋" w:cs="仿宋"/>
          <w:b/>
          <w:bCs/>
          <w:color w:val="auto"/>
          <w:sz w:val="24"/>
          <w:szCs w:val="24"/>
          <w:highlight w:val="none"/>
          <w:lang w:val="zh-CN"/>
        </w:rPr>
        <w:t xml:space="preserve">、价格文件</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1.磋商</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val="zh-CN"/>
        </w:rPr>
        <w:t xml:space="preserve">报价表（格式见附件</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zh-CN"/>
        </w:rPr>
        <w:t xml:space="preserve">）；</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（如</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文件要求提供的价格标资料中没有对应的接口上传的资料可以在本部分的其他材料的接口中上传）</w:t>
      </w:r>
      <w:r/>
    </w:p>
    <w:p>
      <w:pPr>
        <w:ind w:left="695"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br w:type="page" w:clear="all"/>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附件1</w:t>
      </w:r>
      <w:r/>
    </w:p>
    <w:p>
      <w:pPr>
        <w:pStyle w:val="821"/>
        <w:rPr>
          <w:rFonts w:hint="eastAsia"/>
          <w:color w:val="auto"/>
          <w:highlight w:val="none"/>
          <w:lang w:val="zh-CN"/>
        </w:rPr>
      </w:pPr>
      <w:r>
        <w:rPr>
          <w:rFonts w:hint="eastAsia"/>
          <w:color w:val="auto"/>
          <w:highlight w:val="none"/>
          <w:lang w:val="zh-CN"/>
        </w:rPr>
      </w:r>
      <w:r/>
    </w:p>
    <w:p>
      <w:pPr>
        <w:jc w:val="center"/>
        <w:rPr>
          <w:rFonts w:hint="eastAsia" w:ascii="仿宋" w:hAnsi="仿宋" w:eastAsia="仿宋" w:cs="仿宋"/>
          <w:b/>
          <w:color w:val="auto"/>
          <w:sz w:val="32"/>
          <w:szCs w:val="32"/>
          <w:highlight w:val="none"/>
        </w:rPr>
      </w:pPr>
      <w:r/>
      <w:bookmarkStart w:id="97" w:name="OLE_LINK13"/>
      <w:r>
        <w:rPr>
          <w:rFonts w:hint="eastAsia" w:ascii="仿宋" w:hAnsi="仿宋" w:eastAsia="仿宋" w:cs="仿宋"/>
          <w:b/>
          <w:color w:val="auto"/>
          <w:sz w:val="32"/>
          <w:szCs w:val="32"/>
          <w:highlight w:val="none"/>
          <w:lang w:eastAsia="zh-CN"/>
        </w:rPr>
        <w:t xml:space="preserve">响应供应商</w:t>
      </w:r>
      <w:r>
        <w:rPr>
          <w:rFonts w:hint="eastAsia" w:ascii="仿宋" w:hAnsi="仿宋" w:eastAsia="仿宋" w:cs="仿宋"/>
          <w:b/>
          <w:color w:val="auto"/>
          <w:sz w:val="32"/>
          <w:szCs w:val="32"/>
          <w:highlight w:val="none"/>
        </w:rPr>
        <w:t xml:space="preserve">符合《政府采购法》第二十二条规定条件的声明函</w:t>
      </w:r>
      <w:r/>
    </w:p>
    <w:p>
      <w:pPr>
        <w:pStyle w:val="821"/>
        <w:rPr>
          <w:rFonts w:hint="eastAsia"/>
          <w:color w:val="auto"/>
          <w:highlight w:val="none"/>
        </w:rPr>
      </w:pPr>
      <w:r>
        <w:rPr>
          <w:rFonts w:hint="eastAsia"/>
          <w:color w:val="auto"/>
          <w:highlight w:val="none"/>
        </w:rPr>
      </w:r>
      <w:r/>
    </w:p>
    <w:p>
      <w:pPr>
        <w:ind w:left="695" w:firstLine="480"/>
        <w:spacing w:line="460" w:lineRule="exact"/>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rPr>
        <w:t xml:space="preserve">我单位参加</w:t>
      </w:r>
      <w:r>
        <w:rPr>
          <w:rFonts w:hint="eastAsia" w:ascii="仿宋" w:hAnsi="仿宋" w:eastAsia="仿宋" w:cs="仿宋"/>
          <w:bCs/>
          <w:color w:val="auto"/>
          <w:sz w:val="24"/>
          <w:szCs w:val="21"/>
          <w:highlight w:val="none"/>
          <w:u w:val="single"/>
        </w:rPr>
        <w:t xml:space="preserve">________________</w:t>
      </w:r>
      <w:r>
        <w:rPr>
          <w:rFonts w:hint="eastAsia" w:ascii="仿宋" w:hAnsi="仿宋" w:eastAsia="仿宋" w:cs="仿宋"/>
          <w:bCs/>
          <w:color w:val="auto"/>
          <w:sz w:val="24"/>
          <w:szCs w:val="21"/>
          <w:highlight w:val="none"/>
        </w:rPr>
        <w:t xml:space="preserve">（项目名称），</w:t>
      </w:r>
      <w:r>
        <w:rPr>
          <w:rFonts w:hint="eastAsia" w:ascii="仿宋" w:hAnsi="仿宋" w:eastAsia="仿宋" w:cs="仿宋"/>
          <w:bCs/>
          <w:color w:val="auto"/>
          <w:sz w:val="24"/>
          <w:szCs w:val="21"/>
          <w:highlight w:val="none"/>
          <w:u w:val="single"/>
        </w:rPr>
        <w:t xml:space="preserve">_________________</w:t>
      </w:r>
      <w:r>
        <w:rPr>
          <w:rFonts w:hint="eastAsia" w:ascii="仿宋" w:hAnsi="仿宋" w:eastAsia="仿宋" w:cs="仿宋"/>
          <w:bCs/>
          <w:color w:val="auto"/>
          <w:sz w:val="24"/>
          <w:szCs w:val="21"/>
          <w:highlight w:val="none"/>
        </w:rPr>
        <w:t xml:space="preserve">（项目编号）投标活动。针对《中华人民共和国政府采购法》第二十二条规定做出如下声明：</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1.我单位具有独立承担民事责任的能力；</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2.我单位具有良好的商业信誉和健全的财务会计制度；</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3.我单位具有履行合同所必需的设备和专业技术能力；</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4.我单位有依法缴纳税收和社会保障资金的良好记录；</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6.我单位满足法律、行政法规规定的其他条件。</w:t>
      </w:r>
      <w:r/>
    </w:p>
    <w:p>
      <w:pPr>
        <w:ind w:left="695" w:firstLine="480"/>
        <w:jc w:val="cente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承诺人名称（公章）：</w:t>
      </w:r>
      <w:r/>
    </w:p>
    <w:p>
      <w:pPr>
        <w:ind w:left="695" w:firstLine="480"/>
        <w:jc w:val="right"/>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日期：</w:t>
      </w:r>
      <w:r>
        <w:rPr>
          <w:rFonts w:hint="eastAsia" w:ascii="仿宋" w:hAnsi="仿宋" w:eastAsia="仿宋" w:cs="仿宋"/>
          <w:bCs/>
          <w:color w:val="auto"/>
          <w:sz w:val="24"/>
          <w:szCs w:val="21"/>
          <w:highlight w:val="none"/>
          <w:u w:val="single"/>
        </w:rPr>
        <w:t xml:space="preserve">______</w:t>
      </w:r>
      <w:r>
        <w:rPr>
          <w:rFonts w:hint="eastAsia" w:ascii="仿宋" w:hAnsi="仿宋" w:eastAsia="仿宋" w:cs="仿宋"/>
          <w:bCs/>
          <w:color w:val="auto"/>
          <w:sz w:val="24"/>
          <w:szCs w:val="21"/>
          <w:highlight w:val="none"/>
        </w:rPr>
        <w:t xml:space="preserve">年</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月</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日</w:t>
      </w:r>
      <w:bookmarkEnd w:id="97"/>
      <w:r/>
      <w:r/>
    </w:p>
    <w:p>
      <w:pPr>
        <w:ind w:left="695" w:firstLine="640"/>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br w:type="page" w:clear="all"/>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附件2</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法定代表人身份证明</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先生／女士：</w:t>
      </w:r>
      <w:r>
        <w:rPr>
          <w:rFonts w:hint="eastAsia" w:ascii="仿宋" w:hAnsi="仿宋" w:eastAsia="仿宋" w:cs="仿宋"/>
          <w:color w:val="auto"/>
          <w:sz w:val="24"/>
          <w:szCs w:val="24"/>
          <w:highlight w:val="none"/>
        </w:rPr>
        <w:t xml:space="preserve">现任我单位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职务，为法定代表人，特此证明。</w:t>
      </w:r>
      <w:r/>
    </w:p>
    <w:p>
      <w:pPr>
        <w:jc w:val="left"/>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身份证号码：</w:t>
      </w:r>
      <w:r/>
    </w:p>
    <w:p>
      <w:pPr>
        <w:ind w:firstLine="484"/>
        <w:jc w:val="righ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磋商响应供应商（盖章）</w:t>
      </w:r>
      <w:r/>
    </w:p>
    <w:p>
      <w:pPr>
        <w:ind w:firstLine="484"/>
        <w:jc w:val="right"/>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    月    日</w:t>
      </w:r>
      <w:r/>
    </w:p>
    <w:p>
      <w:pPr>
        <w:ind w:firstLine="484"/>
        <w:jc w:val="right"/>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注：提供法定代表人的身份证</w:t>
      </w:r>
      <w:r>
        <w:rPr>
          <w:rFonts w:hint="eastAsia" w:ascii="仿宋" w:hAnsi="仿宋" w:eastAsia="仿宋" w:cs="仿宋"/>
          <w:color w:val="auto"/>
          <w:sz w:val="24"/>
          <w:szCs w:val="24"/>
          <w:highlight w:val="none"/>
          <w:lang w:val="en-US" w:eastAsia="zh-CN"/>
        </w:rPr>
        <w:t xml:space="preserve">正反面</w:t>
      </w:r>
      <w:r>
        <w:rPr>
          <w:rFonts w:hint="eastAsia" w:ascii="仿宋" w:hAnsi="仿宋" w:eastAsia="仿宋" w:cs="仿宋"/>
          <w:color w:val="auto"/>
          <w:sz w:val="24"/>
          <w:szCs w:val="24"/>
          <w:highlight w:val="none"/>
        </w:rPr>
        <w:t xml:space="preserve">扫描件并加盖公章</w:t>
      </w:r>
      <w:r/>
    </w:p>
    <w:p>
      <w:pPr>
        <w:pStyle w:val="823"/>
        <w:ind w:firstLine="1687"/>
        <w:spacing w:line="360" w:lineRule="auto"/>
        <w:rPr>
          <w:rFonts w:hint="eastAsia" w:ascii="仿宋" w:hAnsi="仿宋" w:eastAsia="仿宋" w:cs="仿宋"/>
          <w:b/>
          <w:bCs/>
          <w:color w:val="auto"/>
          <w:sz w:val="24"/>
          <w:szCs w:val="24"/>
          <w:highlight w:val="none"/>
        </w:rPr>
        <w:outlineLvl w:val="4"/>
      </w:pPr>
      <w:r>
        <w:rPr>
          <w:rFonts w:hint="eastAsia" w:ascii="仿宋" w:hAnsi="仿宋" w:eastAsia="仿宋" w:cs="仿宋"/>
          <w:b/>
          <w:bCs/>
          <w:color w:val="auto"/>
          <w:sz w:val="24"/>
          <w:szCs w:val="24"/>
          <w:highlight w:val="none"/>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附件3</w:t>
      </w:r>
      <w:r/>
    </w:p>
    <w:p>
      <w:pPr>
        <w:jc w:val="center"/>
        <w:rPr>
          <w:rFonts w:hint="eastAsia" w:ascii="仿宋" w:hAnsi="仿宋" w:eastAsia="仿宋" w:cs="仿宋"/>
          <w:b/>
          <w:color w:val="auto"/>
          <w:sz w:val="32"/>
          <w:szCs w:val="32"/>
          <w:highlight w:val="none"/>
          <w:lang w:eastAsia="zh-CN"/>
        </w:rPr>
      </w:pPr>
      <w:r/>
      <w:bookmarkStart w:id="98" w:name="OLE_LINK14"/>
      <w:r>
        <w:rPr>
          <w:rFonts w:hint="eastAsia" w:ascii="仿宋" w:hAnsi="仿宋" w:eastAsia="仿宋" w:cs="仿宋"/>
          <w:b/>
          <w:color w:val="auto"/>
          <w:sz w:val="32"/>
          <w:szCs w:val="32"/>
          <w:highlight w:val="none"/>
          <w:lang w:eastAsia="zh-CN"/>
        </w:rPr>
        <w:t xml:space="preserve">法定代表人授权委托书</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本授权书于---年---月---日起生效。代理人无转委托权。</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代理人(被授权人):------</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授权单位名称（盖章）：-----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授权单位法定代表人（签字或盖章）：-----</w:t>
      </w:r>
      <w:bookmarkEnd w:id="98"/>
      <w:r/>
      <w:r/>
    </w:p>
    <w:p>
      <w:pPr>
        <w:ind w:firstLine="484"/>
        <w:jc w:val="center"/>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年    月    日</w:t>
      </w:r>
      <w:r/>
    </w:p>
    <w:p>
      <w:pPr>
        <w:pStyle w:val="823"/>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注：提供被委托授权人的身份证原件扫描件正反两面和法定代表人的身份证</w:t>
      </w:r>
      <w:r>
        <w:rPr>
          <w:rFonts w:hint="eastAsia" w:ascii="仿宋" w:hAnsi="仿宋" w:eastAsia="仿宋" w:cs="仿宋"/>
          <w:color w:val="auto"/>
          <w:sz w:val="24"/>
          <w:szCs w:val="24"/>
          <w:highlight w:val="none"/>
          <w:lang w:val="en-US" w:eastAsia="zh-CN"/>
        </w:rPr>
        <w:t xml:space="preserve">正反两面</w:t>
      </w:r>
      <w:r>
        <w:rPr>
          <w:rFonts w:hint="eastAsia" w:ascii="仿宋" w:hAnsi="仿宋" w:eastAsia="仿宋" w:cs="仿宋"/>
          <w:color w:val="auto"/>
          <w:sz w:val="24"/>
          <w:szCs w:val="24"/>
          <w:highlight w:val="none"/>
        </w:rPr>
        <w:t xml:space="preserve">原件扫描件正反面</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32"/>
          <w:szCs w:val="32"/>
          <w:highlight w:val="none"/>
          <w:lang w:val="en-US" w:eastAsia="zh-CN"/>
        </w:rPr>
        <w:br w:type="page" w:clear="all"/>
      </w:r>
      <w:r/>
    </w:p>
    <w:p>
      <w:pPr>
        <w:contextualSpacing/>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b/>
          <w:bCs/>
          <w:color w:val="auto"/>
          <w:sz w:val="32"/>
          <w:szCs w:val="32"/>
          <w:highlight w:val="none"/>
          <w:lang w:val="en-US" w:eastAsia="zh-CN"/>
        </w:rPr>
        <w:t xml:space="preserve">附件4</w:t>
      </w:r>
      <w:r/>
    </w:p>
    <w:p>
      <w:pPr>
        <w:jc w:val="center"/>
        <w:rPr>
          <w:rFonts w:hint="eastAsia" w:ascii="仿宋" w:hAnsi="仿宋" w:eastAsia="仿宋" w:cs="仿宋"/>
          <w:color w:val="auto"/>
          <w:sz w:val="32"/>
          <w:szCs w:val="32"/>
          <w:highlight w:val="none"/>
        </w:rPr>
      </w:pPr>
      <w:r/>
      <w:bookmarkStart w:id="99" w:name="OLE_LINK15"/>
      <w:r/>
      <w:bookmarkStart w:id="100" w:name="OLE_LINK16"/>
      <w:r>
        <w:rPr>
          <w:rFonts w:hint="eastAsia" w:ascii="仿宋" w:hAnsi="仿宋" w:eastAsia="仿宋" w:cs="仿宋"/>
          <w:b/>
          <w:color w:val="auto"/>
          <w:sz w:val="32"/>
          <w:szCs w:val="32"/>
          <w:highlight w:val="none"/>
          <w:lang w:eastAsia="zh-CN"/>
        </w:rPr>
        <w:t xml:space="preserve">中小企业声明函</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号）的规定，本公司（联合体）参加（单位名称）的（项目名称）采购活动，服务全部由符合政策要求的中小企业承接。</w:t>
      </w:r>
      <w:bookmarkEnd w:id="99"/>
      <w:r>
        <w:rPr>
          <w:rFonts w:hint="eastAsia" w:ascii="仿宋" w:hAnsi="仿宋" w:eastAsia="仿宋" w:cs="仿宋"/>
          <w:color w:val="auto"/>
          <w:sz w:val="24"/>
          <w:szCs w:val="24"/>
          <w:highlight w:val="none"/>
        </w:rPr>
        <w:t xml:space="preserve">根据《工业和信息化部、国家统计局、国家发展和改革委员会、财政部关于印发中小企业划型标准规定的通知》(工信部联企业[2011]300号)的规定，相关企业（含联合体中的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小微企业、签订分包意向协议的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小微企业）的具体情况如下：</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其他未列明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其他未列明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1.从业人员、营业收入、资产总额填报上一年度数据，无上一年度数据的新成立企业可不填报。</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3.供应商自行勾选承接企业的企业规模类型。</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p>
    <w:p>
      <w:pPr>
        <w:contextualSpacing/>
        <w:spacing w:line="4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bCs/>
          <w:color w:val="auto"/>
          <w:sz w:val="32"/>
          <w:szCs w:val="32"/>
          <w:highlight w:val="none"/>
          <w:lang w:val="en-US" w:eastAsia="zh-CN"/>
        </w:rPr>
        <w:t xml:space="preserve">附件5</w:t>
      </w:r>
      <w:r/>
    </w:p>
    <w:p>
      <w:pPr>
        <w:contextualSpacing/>
        <w:jc w:val="center"/>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 xml:space="preserve">残疾人福利性单位声明函</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highlight w:val="none"/>
          <w:u w:val="single"/>
        </w:rPr>
        <w:t xml:space="preserve">______</w:t>
      </w:r>
      <w:r>
        <w:rPr>
          <w:rFonts w:hint="eastAsia" w:ascii="仿宋" w:hAnsi="仿宋" w:eastAsia="仿宋" w:cs="仿宋"/>
          <w:color w:val="auto"/>
          <w:sz w:val="24"/>
          <w:highlight w:val="none"/>
        </w:rPr>
        <w:t xml:space="preserve">单位的采购文件编号为</w:t>
      </w:r>
      <w:r>
        <w:rPr>
          <w:rFonts w:hint="eastAsia" w:ascii="仿宋" w:hAnsi="仿宋" w:eastAsia="仿宋" w:cs="仿宋"/>
          <w:color w:val="auto"/>
          <w:sz w:val="24"/>
          <w:highlight w:val="none"/>
          <w:u w:val="single"/>
        </w:rPr>
        <w:t xml:space="preserve">______</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项目（分包号：**）采购活动由本单位提供服务。</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w:t>
      </w:r>
      <w:r>
        <w:rPr>
          <w:rFonts w:hint="eastAsia" w:ascii="仿宋" w:hAnsi="仿宋" w:eastAsia="仿宋" w:cs="仿宋"/>
          <w:color w:val="auto"/>
          <w:sz w:val="24"/>
          <w:highlight w:val="none"/>
          <w:lang w:eastAsia="zh-CN"/>
        </w:rPr>
        <w:t xml:space="preserve">中标</w:t>
      </w:r>
      <w:r>
        <w:rPr>
          <w:rFonts w:hint="eastAsia" w:ascii="仿宋" w:hAnsi="仿宋" w:eastAsia="仿宋" w:cs="仿宋"/>
          <w:color w:val="auto"/>
          <w:sz w:val="24"/>
          <w:highlight w:val="none"/>
        </w:rPr>
        <w:t xml:space="preserve">供应商为残疾人福利性单位的，此声明函将随中标/</w:t>
      </w:r>
      <w:r>
        <w:rPr>
          <w:rFonts w:hint="eastAsia" w:ascii="仿宋" w:hAnsi="仿宋" w:eastAsia="仿宋" w:cs="仿宋"/>
          <w:color w:val="auto"/>
          <w:sz w:val="24"/>
          <w:highlight w:val="none"/>
          <w:lang w:eastAsia="zh-CN"/>
        </w:rPr>
        <w:t xml:space="preserve">中标</w:t>
      </w:r>
      <w:r>
        <w:rPr>
          <w:rFonts w:hint="eastAsia" w:ascii="仿宋" w:hAnsi="仿宋" w:eastAsia="仿宋" w:cs="仿宋"/>
          <w:color w:val="auto"/>
          <w:sz w:val="24"/>
          <w:highlight w:val="none"/>
        </w:rPr>
        <w:t xml:space="preserve">结果同时公告，接受社会监督</w:t>
      </w:r>
      <w:r>
        <w:rPr>
          <w:rFonts w:hint="eastAsia" w:ascii="仿宋" w:hAnsi="仿宋" w:eastAsia="仿宋" w:cs="仿宋"/>
          <w:color w:val="auto"/>
          <w:sz w:val="24"/>
          <w:szCs w:val="24"/>
          <w:highlight w:val="none"/>
        </w:rPr>
        <w:t xml:space="preserve">。</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pStyle w:val="1015"/>
        <w:ind w:firstLine="6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jc w:val="center"/>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br w:type="page" w:clear="all"/>
      </w:r>
      <w:r/>
    </w:p>
    <w:p>
      <w:pPr>
        <w:jc w:val="both"/>
        <w:spacing w:line="420" w:lineRule="exact"/>
        <w:rPr>
          <w:rFonts w:hint="eastAsia" w:ascii="仿宋" w:hAnsi="仿宋" w:eastAsia="仿宋" w:cs="仿宋"/>
          <w:b/>
          <w:bCs/>
          <w:color w:val="auto"/>
          <w:sz w:val="32"/>
          <w:szCs w:val="32"/>
          <w:highlight w:val="none"/>
          <w:lang w:val="en-US" w:eastAsia="zh-CN"/>
        </w:rPr>
        <w:outlineLvl w:val="3"/>
      </w:pPr>
      <w:r>
        <w:rPr>
          <w:rFonts w:hint="eastAsia" w:ascii="仿宋" w:hAnsi="仿宋" w:eastAsia="仿宋" w:cs="仿宋"/>
          <w:b/>
          <w:bCs/>
          <w:color w:val="auto"/>
          <w:sz w:val="32"/>
          <w:szCs w:val="32"/>
          <w:highlight w:val="none"/>
          <w:lang w:val="en-US" w:eastAsia="zh-CN"/>
        </w:rPr>
        <w:t xml:space="preserve">附件6</w:t>
      </w:r>
      <w:r/>
    </w:p>
    <w:p>
      <w:pPr>
        <w:jc w:val="center"/>
        <w:spacing w:line="420" w:lineRule="exact"/>
        <w:rPr>
          <w:rFonts w:hint="eastAsia" w:ascii="仿宋" w:hAnsi="仿宋" w:eastAsia="仿宋" w:cs="仿宋"/>
          <w:b/>
          <w:bCs/>
          <w:color w:val="auto"/>
          <w:sz w:val="32"/>
          <w:szCs w:val="32"/>
          <w:highlight w:val="none"/>
        </w:rPr>
        <w:outlineLvl w:val="3"/>
      </w:pPr>
      <w:r>
        <w:rPr>
          <w:rFonts w:hint="eastAsia" w:ascii="仿宋" w:hAnsi="仿宋" w:eastAsia="仿宋" w:cs="仿宋"/>
          <w:b/>
          <w:color w:val="auto"/>
          <w:sz w:val="32"/>
          <w:szCs w:val="32"/>
          <w:highlight w:val="none"/>
          <w:lang w:eastAsia="zh-CN"/>
        </w:rPr>
        <w:t xml:space="preserve">监狱和戒毒企业证明材料</w:t>
      </w:r>
      <w:r/>
    </w:p>
    <w:p>
      <w:pPr>
        <w:ind w:firstLine="498"/>
        <w:jc w:val="center"/>
        <w:spacing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bookmarkEnd w:id="100"/>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1.专门面向中小微型企业采购的项目，供应商为监狱和戒毒企业并提供服务的必须提供此声明函，否则将不能通过资格审查。</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2.非专门面向中小微型企业采购的项目，供应商如不提供此声明函，价格将不做相应扣除。</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w:t>
      </w:r>
      <w:r>
        <w:rPr>
          <w:rFonts w:hint="eastAsia" w:ascii="仿宋" w:hAnsi="仿宋" w:eastAsia="仿宋" w:cs="仿宋"/>
          <w:color w:val="auto"/>
          <w:sz w:val="24"/>
          <w:szCs w:val="24"/>
          <w:highlight w:val="none"/>
          <w:lang w:eastAsia="zh-CN"/>
        </w:rPr>
        <w:t xml:space="preserve">中标</w:t>
      </w:r>
      <w:r>
        <w:rPr>
          <w:rFonts w:hint="eastAsia" w:ascii="仿宋" w:hAnsi="仿宋" w:eastAsia="仿宋" w:cs="仿宋"/>
          <w:color w:val="auto"/>
          <w:sz w:val="24"/>
          <w:szCs w:val="24"/>
          <w:highlight w:val="none"/>
        </w:rPr>
        <w:t xml:space="preserve">供应商为监狱和戒毒企业单位的，此声明函将随中标/</w:t>
      </w:r>
      <w:r>
        <w:rPr>
          <w:rFonts w:hint="eastAsia" w:ascii="仿宋" w:hAnsi="仿宋" w:eastAsia="仿宋" w:cs="仿宋"/>
          <w:color w:val="auto"/>
          <w:sz w:val="24"/>
          <w:szCs w:val="24"/>
          <w:highlight w:val="none"/>
          <w:lang w:eastAsia="zh-CN"/>
        </w:rPr>
        <w:t xml:space="preserve">中标</w:t>
      </w:r>
      <w:r>
        <w:rPr>
          <w:rFonts w:hint="eastAsia" w:ascii="仿宋" w:hAnsi="仿宋" w:eastAsia="仿宋" w:cs="仿宋"/>
          <w:color w:val="auto"/>
          <w:sz w:val="24"/>
          <w:szCs w:val="24"/>
          <w:highlight w:val="none"/>
        </w:rPr>
        <w:t xml:space="preserve">结果同时公告，接受社会监督。</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rPr>
          <w:rFonts w:hint="eastAsia"/>
          <w:color w:val="auto"/>
          <w:highlight w:val="none"/>
          <w:lang w:val="en-US" w:eastAsia="zh-CN"/>
        </w:rPr>
      </w:pPr>
      <w:r>
        <w:rPr>
          <w:rFonts w:hint="eastAsia"/>
          <w:color w:val="auto"/>
          <w:highlight w:val="none"/>
          <w:lang w:val="en-US" w:eastAsia="zh-CN"/>
        </w:rPr>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附件7</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val="zh-CN" w:eastAsia="zh-CN"/>
        </w:rPr>
        <w:t xml:space="preserve">★</w:t>
      </w:r>
      <w:bookmarkStart w:id="101" w:name="OLE_LINK12"/>
      <w:r/>
      <w:bookmarkStart w:id="102" w:name="OLE_LINK19"/>
      <w:r>
        <w:rPr>
          <w:rFonts w:hint="eastAsia" w:ascii="仿宋" w:hAnsi="仿宋" w:eastAsia="仿宋" w:cs="仿宋"/>
          <w:b/>
          <w:color w:val="auto"/>
          <w:sz w:val="32"/>
          <w:szCs w:val="32"/>
          <w:highlight w:val="none"/>
          <w:lang w:eastAsia="zh-CN"/>
        </w:rPr>
        <w:t xml:space="preserve">磋商响应函</w:t>
      </w:r>
      <w:bookmarkEnd w:id="101"/>
      <w:r/>
      <w:r/>
    </w:p>
    <w:p>
      <w:pPr>
        <w:ind w:left="695" w:firstLine="440"/>
        <w:spacing w:line="360" w:lineRule="auto"/>
        <w:rPr>
          <w:rFonts w:hint="eastAsia" w:ascii="仿宋" w:hAnsi="仿宋" w:eastAsia="仿宋" w:cs="仿宋"/>
          <w:bCs/>
          <w:color w:val="auto"/>
          <w:sz w:val="24"/>
          <w:szCs w:val="24"/>
          <w:highlight w:val="none"/>
        </w:rPr>
      </w:pPr>
      <w:r>
        <w:rPr>
          <w:rFonts w:hint="eastAsia" w:ascii="仿宋" w:hAnsi="仿宋" w:eastAsia="仿宋" w:cs="仿宋"/>
          <w:iCs/>
          <w:color w:val="auto"/>
          <w:sz w:val="22"/>
          <w:szCs w:val="22"/>
          <w:highlight w:val="none"/>
          <w:u w:val="single"/>
        </w:rPr>
        <w:t xml:space="preserve">（采购人）</w:t>
      </w:r>
      <w:r>
        <w:rPr>
          <w:rFonts w:hint="eastAsia" w:ascii="仿宋" w:hAnsi="仿宋" w:eastAsia="仿宋" w:cs="仿宋"/>
          <w:color w:val="auto"/>
          <w:sz w:val="24"/>
          <w:szCs w:val="24"/>
          <w:highlight w:val="none"/>
        </w:rPr>
        <w:t xml:space="preserve">：</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依据贵单位 （采购项目名称及项目编号)项目</w:t>
      </w:r>
      <w:r>
        <w:rPr>
          <w:rFonts w:hint="eastAsia" w:ascii="仿宋" w:hAnsi="仿宋" w:eastAsia="仿宋" w:cs="仿宋"/>
          <w:color w:val="auto"/>
          <w:sz w:val="24"/>
          <w:szCs w:val="24"/>
          <w:highlight w:val="none"/>
          <w:lang w:val="en-US" w:eastAsia="zh-CN"/>
        </w:rPr>
        <w:t xml:space="preserve">竞争性磋商</w:t>
      </w:r>
      <w:r>
        <w:rPr>
          <w:rFonts w:hint="eastAsia" w:ascii="仿宋" w:hAnsi="仿宋" w:eastAsia="仿宋" w:cs="仿宋"/>
          <w:color w:val="auto"/>
          <w:sz w:val="24"/>
          <w:szCs w:val="24"/>
          <w:highlight w:val="none"/>
        </w:rPr>
        <w:t xml:space="preserve">的邀请，我方授权（姓名）（职务）为全权代表参加该项目的</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，全权处理本次</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的有关事宜。同时，我公司声明如下：</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1、同意并接受磋商文件的各项要求，遵守磋商文件中的各项规定，按磋商文件的要求提供报价。</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2、我公司已经详细阅读了全部磋商文件及其附件，我方已完全清晰理解磋商文件的要求，不存在任何含糊不清和误解之处，同意放弃对这些文件所提出的异议和质疑的权利。</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3、我公司已毫无保留地向贵方提供一切所需的证明材料。</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4、我公司承诺在本次</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中提供的一切文件，无论是原件还是原件扫描件均真实合法有效，绝无任何虚假、伪造和夸大的成份。否则，愿承担相应的后果和法律责任。</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5、我公司尊重评标委员会所作的评定结果，同时清楚理解到报价最低并非意味着必定获得成交资格。</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6、一旦我方成交,我方将根据磋商文件的要求和</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文件的承诺签订合同，严格履行合同的责任和义务,并保证在磋商文件规定的时间完成项目，交付采购单位验收、使用。</w:t>
      </w:r>
      <w:r/>
    </w:p>
    <w:p>
      <w:pPr>
        <w:ind w:left="695"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磋商供应商：（加盖公章）</w:t>
      </w:r>
      <w:r/>
    </w:p>
    <w:p>
      <w:pPr>
        <w:ind w:left="695"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法定代表人或被授权人：（签字或盖章）</w:t>
      </w:r>
      <w:r/>
    </w:p>
    <w:p>
      <w:pPr>
        <w:ind w:left="695"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bookmarkEnd w:id="102"/>
      <w:r/>
      <w:r/>
    </w:p>
    <w:p>
      <w:pPr>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contextualSpacing/>
        <w:spacing w:line="400" w:lineRule="exact"/>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8</w:t>
      </w:r>
      <w:r/>
    </w:p>
    <w:p>
      <w:pPr>
        <w:contextualSpacing/>
        <w:jc w:val="center"/>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zh-CN" w:eastAsia="zh-CN"/>
        </w:rPr>
        <w:t xml:space="preserve">★</w:t>
      </w:r>
      <w:bookmarkStart w:id="103" w:name="OLE_LINK17"/>
      <w:r>
        <w:rPr>
          <w:rFonts w:hint="eastAsia" w:ascii="仿宋" w:hAnsi="仿宋" w:eastAsia="仿宋" w:cs="仿宋"/>
          <w:b/>
          <w:color w:val="auto"/>
          <w:sz w:val="32"/>
          <w:szCs w:val="32"/>
          <w:highlight w:val="none"/>
          <w:lang w:eastAsia="zh-CN"/>
        </w:rPr>
        <w:t xml:space="preserve">商务部分正负偏离表</w:t>
      </w:r>
      <w:r/>
    </w:p>
    <w:p>
      <w:pPr>
        <w:ind w:left="695"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7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2440"/>
        <w:gridCol w:w="2123"/>
        <w:gridCol w:w="2757"/>
        <w:gridCol w:w="149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contextualSpacing/>
        <w:ind w:left="695" w:firstLine="482"/>
        <w:spacing w:line="30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1.供应商提交的响应文件中与采购文件第三部分“项目需求”中的商务部分的要求，</w:t>
      </w:r>
      <w:r>
        <w:rPr>
          <w:rFonts w:hint="eastAsia" w:ascii="仿宋" w:hAnsi="仿宋" w:eastAsia="仿宋" w:cs="仿宋"/>
          <w:b/>
          <w:bCs/>
          <w:color w:val="auto"/>
          <w:sz w:val="24"/>
          <w:szCs w:val="24"/>
          <w:highlight w:val="none"/>
          <w:u w:val="single"/>
        </w:rPr>
        <w:t xml:space="preserve">应逐条填列在偏离表中</w:t>
      </w:r>
      <w:r>
        <w:rPr>
          <w:rFonts w:hint="eastAsia" w:ascii="仿宋" w:hAnsi="仿宋" w:eastAsia="仿宋" w:cs="仿宋"/>
          <w:color w:val="auto"/>
          <w:sz w:val="24"/>
          <w:szCs w:val="24"/>
          <w:highlight w:val="none"/>
        </w:rPr>
        <w:t xml:space="preserve">。</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2.“偏离说明”一栏选择“正偏离”、“无偏离”、“负偏离”进行填写。正偏离、无偏离的确认和负偏离的是否响应磋商文件，由磋商小组认定。</w:t>
      </w:r>
      <w:r/>
    </w:p>
    <w:p>
      <w:pPr>
        <w:contextualSpacing/>
        <w:ind w:left="695" w:firstLine="482"/>
        <w:spacing w:line="30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3.本项目商务</w:t>
      </w:r>
      <w:r>
        <w:rPr>
          <w:rFonts w:hint="eastAsia" w:ascii="仿宋" w:hAnsi="仿宋" w:eastAsia="仿宋" w:cs="仿宋"/>
          <w:b/>
          <w:bCs/>
          <w:color w:val="auto"/>
          <w:sz w:val="24"/>
          <w:szCs w:val="24"/>
          <w:highlight w:val="none"/>
          <w:lang w:val="en-US" w:eastAsia="zh-CN"/>
        </w:rPr>
        <w:t xml:space="preserve">部分</w:t>
      </w:r>
      <w:r>
        <w:rPr>
          <w:rFonts w:hint="eastAsia" w:ascii="仿宋" w:hAnsi="仿宋" w:eastAsia="仿宋" w:cs="仿宋"/>
          <w:b/>
          <w:bCs/>
          <w:color w:val="auto"/>
          <w:sz w:val="24"/>
          <w:szCs w:val="24"/>
          <w:highlight w:val="none"/>
        </w:rPr>
        <w:t xml:space="preserve">条款不接受负偏离，有负偏离的按无效标处理。供应商若提供其他增值服务，可以在表中自行据实填写。</w:t>
      </w:r>
      <w:bookmarkEnd w:id="103"/>
      <w:r/>
      <w:r/>
    </w:p>
    <w:p>
      <w:pPr>
        <w:ind w:left="695"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695"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695"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contextualSpacing/>
        <w:spacing w:line="400" w:lineRule="exac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9</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zh-CN" w:eastAsia="zh-CN"/>
        </w:rPr>
        <w:t xml:space="preserve">★</w:t>
      </w:r>
      <w:bookmarkStart w:id="104" w:name="OLE_LINK18"/>
      <w:r>
        <w:rPr>
          <w:rFonts w:hint="eastAsia" w:ascii="仿宋" w:hAnsi="仿宋" w:eastAsia="仿宋" w:cs="仿宋"/>
          <w:b/>
          <w:color w:val="auto"/>
          <w:sz w:val="32"/>
          <w:szCs w:val="32"/>
          <w:highlight w:val="none"/>
          <w:lang w:eastAsia="zh-CN"/>
        </w:rPr>
        <w:t xml:space="preserve">技术部分正负偏离表</w:t>
      </w:r>
      <w:r/>
    </w:p>
    <w:p>
      <w:pPr>
        <w:ind w:left="695"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7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2440"/>
        <w:gridCol w:w="2124"/>
        <w:gridCol w:w="2756"/>
        <w:gridCol w:w="1492"/>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contextualSpacing/>
        <w:ind w:left="695" w:firstLine="482"/>
        <w:spacing w:line="30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1.供应商提交的响应文件中与采购文件第三部分“项目需求”中的技术部分的要求，</w:t>
      </w:r>
      <w:r>
        <w:rPr>
          <w:rFonts w:hint="eastAsia" w:ascii="仿宋" w:hAnsi="仿宋" w:eastAsia="仿宋" w:cs="仿宋"/>
          <w:b/>
          <w:bCs/>
          <w:color w:val="auto"/>
          <w:sz w:val="24"/>
          <w:szCs w:val="24"/>
          <w:highlight w:val="none"/>
          <w:u w:val="single"/>
        </w:rPr>
        <w:t xml:space="preserve">应逐条填列在偏离表中</w:t>
      </w:r>
      <w:r>
        <w:rPr>
          <w:rFonts w:hint="eastAsia" w:ascii="仿宋" w:hAnsi="仿宋" w:eastAsia="仿宋" w:cs="仿宋"/>
          <w:color w:val="auto"/>
          <w:sz w:val="24"/>
          <w:szCs w:val="24"/>
          <w:highlight w:val="none"/>
        </w:rPr>
        <w:t xml:space="preserve">。</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2.“偏离说明”一栏选择“正偏离”、“无偏离”、“负偏离”进行填写。正偏离、无偏离的确认和负偏离的是否响应磋商文件，由磋商小组认定。</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3.供应商若提供其他增值服务，可以在表中自行据实填写。</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bookmarkEnd w:id="104"/>
      <w:r>
        <w:rPr>
          <w:rFonts w:hint="eastAsia" w:ascii="仿宋" w:hAnsi="仿宋" w:eastAsia="仿宋" w:cs="仿宋"/>
          <w:b/>
          <w:bCs/>
          <w:color w:val="auto"/>
          <w:sz w:val="24"/>
          <w:szCs w:val="24"/>
          <w:highlight w:val="none"/>
        </w:rPr>
        <w:t xml:space="preserve">本项目</w:t>
      </w:r>
      <w:r>
        <w:rPr>
          <w:rFonts w:hint="eastAsia" w:ascii="仿宋" w:hAnsi="仿宋" w:eastAsia="仿宋" w:cs="仿宋"/>
          <w:b/>
          <w:bCs/>
          <w:color w:val="auto"/>
          <w:sz w:val="24"/>
          <w:szCs w:val="24"/>
          <w:highlight w:val="none"/>
          <w:lang w:val="en-US" w:eastAsia="zh-CN"/>
        </w:rPr>
        <w:t xml:space="preserve">技术部分</w:t>
      </w:r>
      <w:r>
        <w:rPr>
          <w:rFonts w:hint="eastAsia" w:ascii="仿宋" w:hAnsi="仿宋" w:eastAsia="仿宋" w:cs="仿宋"/>
          <w:b/>
          <w:bCs/>
          <w:color w:val="auto"/>
          <w:sz w:val="24"/>
          <w:szCs w:val="24"/>
          <w:highlight w:val="none"/>
        </w:rPr>
        <w:t xml:space="preserve">条款不接受负偏离，有负偏离的按无效标处理。供应商若提供其他增值服务，可以在表中自行据实填写。</w:t>
      </w:r>
      <w:r/>
    </w:p>
    <w:p>
      <w:pPr>
        <w:contextualSpacing/>
        <w:spacing w:line="40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24"/>
          <w:szCs w:val="24"/>
          <w:highlight w:val="none"/>
        </w:rPr>
        <w:br w:type="page" w:clear="all"/>
      </w:r>
      <w:r>
        <w:rPr>
          <w:rFonts w:hint="eastAsia" w:ascii="仿宋" w:hAnsi="仿宋" w:eastAsia="仿宋" w:cs="仿宋"/>
          <w:b/>
          <w:bCs/>
          <w:color w:val="auto"/>
          <w:sz w:val="32"/>
          <w:szCs w:val="32"/>
          <w:highlight w:val="none"/>
          <w:lang w:val="zh-CN"/>
        </w:rPr>
        <w:t xml:space="preserve">附件</w:t>
      </w:r>
      <w:bookmarkStart w:id="105" w:name="_Toc20744811"/>
      <w:r/>
      <w:bookmarkStart w:id="106" w:name="_Toc20744274"/>
      <w:r>
        <w:rPr>
          <w:rFonts w:hint="eastAsia" w:ascii="仿宋" w:hAnsi="仿宋" w:eastAsia="仿宋" w:cs="仿宋"/>
          <w:b/>
          <w:bCs/>
          <w:color w:val="auto"/>
          <w:sz w:val="32"/>
          <w:szCs w:val="32"/>
          <w:highlight w:val="none"/>
          <w:lang w:val="en-US" w:eastAsia="zh-CN"/>
        </w:rPr>
        <w:t xml:space="preserve">10</w:t>
      </w:r>
      <w:r/>
    </w:p>
    <w:p>
      <w:pPr>
        <w:jc w:val="center"/>
        <w:rPr>
          <w:rFonts w:hint="eastAsia" w:ascii="仿宋" w:hAnsi="仿宋" w:eastAsia="仿宋" w:cs="仿宋"/>
          <w:color w:val="auto"/>
          <w:sz w:val="28"/>
          <w:szCs w:val="28"/>
          <w:highlight w:val="none"/>
          <w:lang w:val="zh-CN"/>
        </w:rPr>
      </w:pPr>
      <w:r>
        <w:rPr>
          <w:rFonts w:hint="eastAsia" w:ascii="仿宋" w:hAnsi="仿宋" w:eastAsia="仿宋" w:cs="仿宋"/>
          <w:b/>
          <w:color w:val="auto"/>
          <w:sz w:val="32"/>
          <w:szCs w:val="32"/>
          <w:highlight w:val="none"/>
          <w:lang w:val="zh-CN" w:eastAsia="zh-CN"/>
        </w:rPr>
        <w:t xml:space="preserve">磋商</w:t>
      </w:r>
      <w:r>
        <w:rPr>
          <w:rFonts w:hint="eastAsia" w:ascii="仿宋" w:hAnsi="仿宋" w:eastAsia="仿宋" w:cs="仿宋"/>
          <w:b/>
          <w:color w:val="auto"/>
          <w:sz w:val="32"/>
          <w:szCs w:val="32"/>
          <w:highlight w:val="none"/>
          <w:lang w:eastAsia="zh-CN"/>
        </w:rPr>
        <w:t xml:space="preserve">响应</w:t>
      </w:r>
      <w:r>
        <w:rPr>
          <w:rFonts w:hint="eastAsia" w:ascii="仿宋" w:hAnsi="仿宋" w:eastAsia="仿宋" w:cs="仿宋"/>
          <w:b/>
          <w:color w:val="auto"/>
          <w:sz w:val="32"/>
          <w:szCs w:val="32"/>
          <w:highlight w:val="none"/>
          <w:lang w:val="zh-CN" w:eastAsia="zh-CN"/>
        </w:rPr>
        <w:t xml:space="preserve">报价表</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1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供应商全称（加盖公章）：</w:t>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jc w:val="center"/>
          <w:trHeight w:val="600"/>
        </w:trPr>
        <w:tc>
          <w:tcPr>
            <w:tcW w:w="4148" w:type="dxa"/>
            <w:vAlign w:val="center"/>
            <w:textDirection w:val="lrTb"/>
            <w:noWrap w:val="false"/>
          </w:tcPr>
          <w:p>
            <w:pPr>
              <w:ind w:left="695"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磋商服务名称</w:t>
            </w:r>
            <w:r/>
          </w:p>
        </w:tc>
        <w:tc>
          <w:tcPr>
            <w:tcW w:w="4607" w:type="dxa"/>
            <w:vAlign w:val="center"/>
            <w:textDirection w:val="lrTb"/>
            <w:noWrap w:val="false"/>
          </w:tcPr>
          <w:p>
            <w:pPr>
              <w:ind w:left="695"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en-US" w:eastAsia="zh-CN"/>
              </w:rPr>
              <w:t xml:space="preserve">响应报价</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元/部</w:t>
            </w:r>
            <w:r>
              <w:rPr>
                <w:rFonts w:hint="eastAsia" w:ascii="仿宋" w:hAnsi="仿宋" w:eastAsia="仿宋" w:cs="仿宋"/>
                <w:color w:val="auto"/>
                <w:sz w:val="24"/>
                <w:szCs w:val="24"/>
                <w:highlight w:val="none"/>
              </w:rPr>
              <w:t xml:space="preserve">）</w:t>
            </w:r>
            <w:r/>
          </w:p>
        </w:tc>
      </w:tr>
      <w:tr>
        <w:trPr>
          <w:jc w:val="center"/>
          <w:trHeight w:val="1091"/>
        </w:trPr>
        <w:tc>
          <w:tcPr>
            <w:tcW w:w="4148" w:type="dxa"/>
            <w:textDirection w:val="lrTb"/>
            <w:noWrap w:val="false"/>
          </w:tcPr>
          <w:p>
            <w:pPr>
              <w:ind w:left="695"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607" w:type="dxa"/>
            <w:textDirection w:val="lrTb"/>
            <w:noWrap w:val="false"/>
          </w:tcPr>
          <w:p>
            <w:pPr>
              <w:ind w:left="695"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lang w:val="en-US" w:eastAsia="zh-CN"/>
              </w:rPr>
              <w:t xml:space="preserve">    /部</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元/部</w:t>
            </w:r>
            <w:r/>
          </w:p>
        </w:tc>
      </w:tr>
    </w:tbl>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填写说明：</w:t>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1、报价表必须加盖供应商公章。</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2、如有分包，供应商参与任何一个包的标的，都需单独填写</w:t>
      </w:r>
      <w:r>
        <w:rPr>
          <w:rFonts w:hint="eastAsia" w:ascii="仿宋" w:hAnsi="仿宋" w:eastAsia="仿宋" w:cs="仿宋"/>
          <w:color w:val="auto"/>
          <w:sz w:val="24"/>
          <w:szCs w:val="24"/>
          <w:highlight w:val="none"/>
          <w:lang w:val="zh-CN" w:eastAsia="zh-CN"/>
        </w:rPr>
        <w:t xml:space="preserve">磋商</w:t>
      </w:r>
      <w:r>
        <w:rPr>
          <w:rFonts w:hint="eastAsia" w:ascii="仿宋" w:hAnsi="仿宋" w:eastAsia="仿宋" w:cs="仿宋"/>
          <w:color w:val="auto"/>
          <w:sz w:val="24"/>
          <w:szCs w:val="24"/>
          <w:highlight w:val="none"/>
          <w:lang w:eastAsia="zh-CN"/>
        </w:rPr>
        <w:t xml:space="preserve">响应</w:t>
      </w:r>
      <w:r>
        <w:rPr>
          <w:rFonts w:hint="eastAsia" w:ascii="仿宋" w:hAnsi="仿宋" w:eastAsia="仿宋" w:cs="仿宋"/>
          <w:color w:val="auto"/>
          <w:sz w:val="24"/>
          <w:szCs w:val="24"/>
          <w:highlight w:val="none"/>
          <w:lang w:val="zh-CN" w:eastAsia="zh-CN"/>
        </w:rPr>
        <w:t xml:space="preserve">报价表。</w:t>
      </w:r>
      <w:r/>
    </w:p>
    <w:p>
      <w:pPr>
        <w:ind w:left="695"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各供应商请关注开标大厅交流区，在开标结束后，请勿离开开标大厅。采购人或采购代理机构通知最后报价填报后，所有的响应供应商须在15分钟内填写并提交最后报价，未在规定时间内提交最后报价</w:t>
      </w:r>
      <w:r>
        <w:rPr>
          <w:rFonts w:hint="eastAsia" w:ascii="仿宋" w:hAnsi="仿宋" w:eastAsia="仿宋" w:cs="仿宋"/>
          <w:color w:val="auto"/>
          <w:sz w:val="24"/>
          <w:szCs w:val="24"/>
          <w:highlight w:val="none"/>
          <w:u w:val="single"/>
          <w:lang w:val="en-US" w:eastAsia="zh-CN"/>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将</w:t>
      </w:r>
      <w:r>
        <w:rPr>
          <w:rFonts w:hint="eastAsia" w:ascii="仿宋" w:hAnsi="仿宋" w:eastAsia="仿宋" w:cs="仿宋"/>
          <w:color w:val="auto"/>
          <w:sz w:val="24"/>
          <w:szCs w:val="24"/>
          <w:highlight w:val="none"/>
          <w:u w:val="single"/>
        </w:rPr>
        <w:t xml:space="preserve">作无效响应处理。</w:t>
      </w:r>
      <w:r/>
    </w:p>
    <w:p>
      <w:pPr>
        <w:ind w:left="695" w:firstLine="482"/>
        <w:spacing w:line="460" w:lineRule="exact"/>
        <w:rPr>
          <w:rFonts w:hint="eastAsia" w:ascii="仿宋" w:hAnsi="仿宋" w:eastAsia="仿宋" w:cs="仿宋"/>
          <w:b/>
          <w:bCs/>
          <w:color w:val="auto"/>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4、</w:t>
      </w:r>
      <w:r>
        <w:rPr>
          <w:rFonts w:hint="eastAsia" w:ascii="仿宋" w:hAnsi="仿宋" w:eastAsia="仿宋" w:cs="仿宋"/>
          <w:b/>
          <w:bCs/>
          <w:color w:val="auto"/>
          <w:sz w:val="24"/>
          <w:szCs w:val="24"/>
          <w:highlight w:val="none"/>
          <w:u w:val="single"/>
        </w:rPr>
        <w:t xml:space="preserve">除非在磋商中磋商小组对采购需求中的技术、服务要求以及合同草案条款作了实质性变更，否则采购单位不接受供应商高于自己前一轮的磋商报价。</w:t>
      </w:r>
      <w:r/>
    </w:p>
    <w:p>
      <w:pPr>
        <w:pStyle w:val="811"/>
        <w:ind w:left="695" w:firstLine="480"/>
        <w:spacing w:line="40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5、报价小数点精确到后两位。</w:t>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sz w:val="24"/>
          <w:szCs w:val="24"/>
          <w:highlight w:val="none"/>
          <w:u w:val="single"/>
          <w:lang w:val="en-US" w:eastAsia="zh-CN" w:bidi="ar-SA"/>
        </w:rPr>
        <w:br w:type="page" w:clear="all"/>
      </w:r>
      <w:r/>
    </w:p>
    <w:p>
      <w:pPr>
        <w:contextualSpacing/>
        <w:spacing w:line="400" w:lineRule="exact"/>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11</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质疑函范本</w:t>
      </w:r>
      <w:r/>
    </w:p>
    <w:p>
      <w:pPr>
        <w:ind w:left="695" w:firstLine="560"/>
        <w:spacing w:before="240"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ind w:left="695" w:firstLine="560"/>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ind w:left="695" w:firstLine="560"/>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ind w:left="695" w:firstLine="560"/>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签字(签章)：                   公章：                      </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p>
    <w:p>
      <w:pPr>
        <w:ind w:left="695" w:firstLine="562"/>
        <w:spacing w:line="4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质疑函制作说明：</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1.供应商提出质疑时，应提交质疑函和必要的证明材料。</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3.质疑供应商若对项目的某一分包进行质疑，质疑函中应列明具体分包号。</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4.质疑函的质疑事项应具体、明确，并有必要的事实依据和法律依据。</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5.质疑函的质疑请求应与质疑事项相关。</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bookmarkEnd w:id="105"/>
      <w:r/>
      <w:bookmarkEnd w:id="106"/>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12</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中小企业划型标准规定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各行业划型标准为：</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8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（十六）</w:t>
      </w:r>
      <w:r>
        <w:rPr>
          <w:rFonts w:hint="eastAsia" w:ascii="仿宋" w:hAnsi="仿宋" w:eastAsia="仿宋" w:cs="仿宋"/>
          <w:b/>
          <w:bCs/>
          <w:color w:val="auto"/>
          <w:sz w:val="24"/>
          <w:highlight w:val="none"/>
        </w:rPr>
        <w:t xml:space="preserve">其他未列明行业。从业人员300人以下的为中小微型企业。其中，从业人员100人及以上的为中型企业；从业人员10人及以上的为小型企业；从业人员10人以下的为微型企业。</w:t>
      </w:r>
      <w:r/>
    </w:p>
    <w:p>
      <w:pPr>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contextualSpacing/>
        <w:spacing w:line="400" w:lineRule="exact"/>
        <w:rPr>
          <w:rFonts w:hint="eastAsia" w:ascii="仿宋" w:hAnsi="仿宋" w:eastAsia="仿宋" w:cs="仿宋"/>
          <w:b/>
          <w:bCs/>
          <w:color w:val="auto"/>
          <w:sz w:val="28"/>
          <w:szCs w:val="28"/>
          <w:highlight w:val="none"/>
          <w:shd w:val="clear" w:color="auto" w:fill="ffffff"/>
        </w:rPr>
      </w:pPr>
      <w:r/>
      <w:bookmarkStart w:id="107" w:name="_Toc20823346"/>
      <w:r/>
      <w:bookmarkStart w:id="108" w:name="_Toc16938590"/>
      <w:r/>
      <w:bookmarkStart w:id="109" w:name="_Toc120614244"/>
      <w:r/>
      <w:bookmarkStart w:id="110" w:name="_Toc479962292"/>
      <w:r>
        <w:rPr>
          <w:rFonts w:hint="eastAsia" w:ascii="仿宋" w:hAnsi="仿宋" w:eastAsia="仿宋" w:cs="仿宋"/>
          <w:b/>
          <w:bCs/>
          <w:color w:val="auto"/>
          <w:sz w:val="28"/>
          <w:szCs w:val="28"/>
          <w:highlight w:val="none"/>
          <w:shd w:val="clear" w:color="auto" w:fill="ffffff"/>
        </w:rPr>
        <w:br w:type="page" w:clear="all"/>
      </w:r>
      <w:bookmarkEnd w:id="107"/>
      <w:r/>
      <w:bookmarkEnd w:id="108"/>
      <w:r/>
      <w:bookmarkEnd w:id="109"/>
      <w:r/>
      <w:bookmarkEnd w:id="110"/>
      <w:r/>
      <w:r/>
    </w:p>
    <w:p>
      <w:pPr>
        <w:contextualSpacing/>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附件13</w:t>
      </w:r>
      <w:r>
        <w:rPr>
          <w:rFonts w:hint="eastAsia" w:ascii="仿宋" w:hAnsi="仿宋" w:eastAsia="仿宋" w:cs="仿宋"/>
          <w:b/>
          <w:bCs/>
          <w:color w:val="auto"/>
          <w:sz w:val="32"/>
          <w:szCs w:val="32"/>
          <w:highlight w:val="none"/>
        </w:rPr>
        <w:t xml:space="preserve">    </w:t>
      </w:r>
      <w:r/>
    </w:p>
    <w:p>
      <w:pPr>
        <w:contextualSpacing/>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contextualSpacing/>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 xml:space="preserve">政府采购合同</w:t>
      </w:r>
      <w:r/>
    </w:p>
    <w:p>
      <w:pPr>
        <w:ind w:left="695"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left="695" w:firstLine="883"/>
        <w:jc w:val="center"/>
        <w:spacing w:line="48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政府采购合同参考范本</w:t>
      </w:r>
      <w:r/>
    </w:p>
    <w:p>
      <w:pPr>
        <w:ind w:left="695" w:firstLine="482"/>
        <w:jc w:val="center"/>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（服务类）</w:t>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left="695" w:firstLine="482"/>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 xml:space="preserve">第一部分 合同书</w:t>
      </w:r>
      <w:r/>
    </w:p>
    <w:p>
      <w:pPr>
        <w:pStyle w:val="1009"/>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甲方：</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签订地：</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left="695" w:firstLine="0"/>
        <w:jc w:val="center"/>
        <w:spacing w:line="600" w:lineRule="exact"/>
        <w:rPr>
          <w:rFonts w:hint="eastAsia" w:ascii="仿宋" w:hAnsi="仿宋" w:eastAsia="仿宋" w:cs="仿宋"/>
          <w:color w:val="auto"/>
          <w:sz w:val="24"/>
          <w:highlight w:val="none"/>
        </w:rPr>
        <w:sectPr>
          <w:headerReference w:type="default" r:id="rId9"/>
          <w:footerReference w:type="default" r:id="rId11"/>
          <w:footnotePr/>
          <w:endnotePr/>
          <w:type w:val="nextPage"/>
          <w:pgSz w:w="11907" w:h="16840" w:orient="portrait"/>
          <w:pgMar w:top="1440" w:right="1080" w:bottom="1440" w:left="1080" w:header="851" w:footer="851" w:gutter="0"/>
          <w:cols w:num="1" w:sep="0" w:space="720" w:equalWidth="1"/>
          <w:docGrid w:linePitch="360"/>
        </w:sectPr>
      </w:pPr>
      <w:r>
        <w:rPr>
          <w:rFonts w:hint="eastAsia" w:ascii="仿宋" w:hAnsi="仿宋" w:eastAsia="仿宋" w:cs="仿宋"/>
          <w:color w:val="auto"/>
          <w:sz w:val="24"/>
          <w:highlight w:val="none"/>
        </w:rPr>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rPr>
        <w:t xml:space="preserve">以</w:t>
      </w:r>
      <w:r>
        <w:rPr>
          <w:rFonts w:hint="eastAsia" w:ascii="仿宋" w:hAnsi="仿宋" w:eastAsia="仿宋" w:cs="仿宋"/>
          <w:color w:val="auto"/>
          <w:sz w:val="24"/>
          <w:highlight w:val="none"/>
          <w:u w:val="single"/>
        </w:rPr>
        <w:t xml:space="preserve">   （政府采购方式）  </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rPr>
        <w:t xml:space="preserve">   （同前页项目名称）   </w:t>
      </w:r>
      <w:r>
        <w:rPr>
          <w:rFonts w:hint="eastAsia" w:ascii="仿宋" w:hAnsi="仿宋" w:eastAsia="仿宋" w:cs="仿宋"/>
          <w:color w:val="auto"/>
          <w:sz w:val="24"/>
          <w:highlight w:val="none"/>
        </w:rPr>
        <w:t xml:space="preserve">项目进行了采购。经</w:t>
      </w:r>
      <w:r>
        <w:rPr>
          <w:rFonts w:hint="eastAsia" w:ascii="仿宋" w:hAnsi="仿宋" w:eastAsia="仿宋" w:cs="仿宋"/>
          <w:color w:val="auto"/>
          <w:sz w:val="24"/>
          <w:highlight w:val="none"/>
          <w:u w:val="single"/>
        </w:rPr>
        <w:t xml:space="preserve">   （相关评定主体名称）   </w:t>
      </w:r>
      <w:r>
        <w:rPr>
          <w:rFonts w:hint="eastAsia" w:ascii="仿宋" w:hAnsi="仿宋" w:eastAsia="仿宋" w:cs="仿宋"/>
          <w:color w:val="auto"/>
          <w:sz w:val="24"/>
          <w:highlight w:val="none"/>
        </w:rPr>
        <w:t xml:space="preserve">评定，</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rPr>
        <w:t xml:space="preserve">为该项目中标供应商。现于中标通知书发出之日起三十日内，按照采购文件确定的事项签订本合同。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根据《中华人民共和国合同法》、《中华人民共和国政府采购法》等相关法律法规之规定，按照平等、自愿、公平和诚实信用的原则，经</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lang w:val="zh-CN"/>
        </w:rPr>
        <w:t xml:space="preserve">(以下简称：甲方)和</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lang w:val="zh-CN"/>
        </w:rPr>
        <w:t xml:space="preserve">(以下简称：乙方)协商一致，约定以下合同</w:t>
      </w:r>
      <w:r>
        <w:rPr>
          <w:rFonts w:hint="eastAsia" w:ascii="仿宋" w:hAnsi="仿宋" w:eastAsia="仿宋" w:cs="仿宋"/>
          <w:color w:val="auto"/>
          <w:sz w:val="24"/>
          <w:highlight w:val="none"/>
        </w:rPr>
        <w:t xml:space="preserve">条款，以兹共同遵守、全面履行。</w:t>
      </w:r>
      <w:r/>
    </w:p>
    <w:p>
      <w:pPr>
        <w:ind w:left="695" w:firstLine="482"/>
        <w:spacing w:line="560" w:lineRule="exact"/>
        <w:rPr>
          <w:rFonts w:hint="eastAsia" w:ascii="仿宋" w:hAnsi="仿宋" w:eastAsia="仿宋" w:cs="仿宋"/>
          <w:color w:val="auto"/>
          <w:sz w:val="24"/>
          <w:highlight w:val="none"/>
        </w:rPr>
        <w:outlineLvl w:val="0"/>
      </w:pPr>
      <w:r/>
      <w:bookmarkStart w:id="111" w:name="_Toc19273"/>
      <w:r/>
      <w:bookmarkStart w:id="112" w:name="_Toc22967"/>
      <w:r/>
      <w:bookmarkStart w:id="113" w:name="_Toc20421"/>
      <w:r/>
      <w:bookmarkStart w:id="114" w:name="_Toc28855"/>
      <w:r/>
      <w:bookmarkStart w:id="115" w:name="_Toc15367"/>
      <w:r>
        <w:rPr>
          <w:rFonts w:hint="eastAsia" w:ascii="仿宋" w:hAnsi="仿宋" w:eastAsia="仿宋" w:cs="仿宋"/>
          <w:b/>
          <w:color w:val="auto"/>
          <w:sz w:val="24"/>
          <w:highlight w:val="none"/>
        </w:rPr>
        <w:t xml:space="preserve">1.1 合同组成部分</w:t>
      </w:r>
      <w:bookmarkEnd w:id="111"/>
      <w:r/>
      <w:bookmarkEnd w:id="112"/>
      <w:r/>
      <w:bookmarkEnd w:id="113"/>
      <w:r/>
      <w:bookmarkEnd w:id="114"/>
      <w:r/>
      <w:bookmarkEnd w:id="11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 本合同及其补充合同、变更协议；</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 中标通知书；</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文件（含澄清或者说明文件）；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 </w:t>
      </w:r>
      <w:r>
        <w:rPr>
          <w:rFonts w:hint="eastAsia" w:ascii="仿宋" w:hAnsi="仿宋" w:eastAsia="仿宋" w:cs="仿宋"/>
          <w:color w:val="auto"/>
          <w:sz w:val="24"/>
          <w:highlight w:val="none"/>
          <w:lang w:eastAsia="zh-CN"/>
        </w:rPr>
        <w:t xml:space="preserve">磋商文件</w:t>
      </w:r>
      <w:r>
        <w:rPr>
          <w:rFonts w:hint="eastAsia" w:ascii="仿宋" w:hAnsi="仿宋" w:eastAsia="仿宋" w:cs="仿宋"/>
          <w:color w:val="auto"/>
          <w:sz w:val="24"/>
          <w:highlight w:val="none"/>
        </w:rPr>
        <w:t xml:space="preserve">（含澄清或者修改文件）；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1.1.5 其他相关采购文件。</w:t>
      </w:r>
      <w:r/>
    </w:p>
    <w:p>
      <w:pPr>
        <w:ind w:left="695" w:firstLine="482"/>
        <w:spacing w:line="560" w:lineRule="exact"/>
        <w:rPr>
          <w:rFonts w:hint="eastAsia" w:ascii="仿宋" w:hAnsi="仿宋" w:eastAsia="仿宋" w:cs="仿宋"/>
          <w:b/>
          <w:color w:val="auto"/>
          <w:sz w:val="24"/>
          <w:highlight w:val="none"/>
        </w:rPr>
        <w:outlineLvl w:val="0"/>
      </w:pPr>
      <w:r/>
      <w:bookmarkStart w:id="116" w:name="_Toc22185"/>
      <w:r/>
      <w:bookmarkStart w:id="117" w:name="_Toc18585"/>
      <w:r/>
      <w:bookmarkStart w:id="118" w:name="_Toc6773"/>
      <w:r/>
      <w:bookmarkStart w:id="119" w:name="_Toc2918"/>
      <w:r/>
      <w:bookmarkStart w:id="120" w:name="_Toc6311"/>
      <w:r>
        <w:rPr>
          <w:rFonts w:hint="eastAsia" w:ascii="仿宋" w:hAnsi="仿宋" w:eastAsia="仿宋" w:cs="仿宋"/>
          <w:b/>
          <w:color w:val="auto"/>
          <w:sz w:val="24"/>
          <w:highlight w:val="none"/>
        </w:rPr>
        <w:t xml:space="preserve">1.2 标的</w:t>
      </w:r>
      <w:bookmarkEnd w:id="116"/>
      <w:r/>
      <w:bookmarkEnd w:id="117"/>
      <w:r/>
      <w:bookmarkEnd w:id="118"/>
      <w:r/>
      <w:bookmarkEnd w:id="119"/>
      <w:r/>
      <w:bookmarkEnd w:id="120"/>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1.2.1 标的名称：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1.2.2 标的数量：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 标的质量：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21" w:name="_Toc21124"/>
      <w:r/>
      <w:bookmarkStart w:id="122" w:name="_Toc1386"/>
      <w:r/>
      <w:bookmarkStart w:id="123" w:name="_Toc5635"/>
      <w:r/>
      <w:bookmarkStart w:id="124" w:name="_Toc13918"/>
      <w:r/>
      <w:bookmarkStart w:id="125" w:name="_Toc4929"/>
      <w:r>
        <w:rPr>
          <w:rFonts w:hint="eastAsia" w:ascii="仿宋" w:hAnsi="仿宋" w:eastAsia="仿宋" w:cs="仿宋"/>
          <w:b/>
          <w:color w:val="auto"/>
          <w:sz w:val="24"/>
          <w:highlight w:val="none"/>
        </w:rPr>
        <w:t xml:space="preserve">1.3 价款</w:t>
      </w:r>
      <w:bookmarkEnd w:id="121"/>
      <w:r/>
      <w:bookmarkEnd w:id="122"/>
      <w:r/>
      <w:bookmarkEnd w:id="123"/>
      <w:r/>
      <w:bookmarkEnd w:id="124"/>
      <w:r/>
      <w:bookmarkEnd w:id="12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本合同总价为：￥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元人民币）。</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分项价格：</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分项名称</w:t>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gridSpan w:val="2"/>
            <w:tcW w:w="4603"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695" w:firstLine="482"/>
        <w:spacing w:line="560" w:lineRule="exact"/>
        <w:rPr>
          <w:rFonts w:hint="eastAsia" w:ascii="仿宋" w:hAnsi="仿宋" w:eastAsia="仿宋" w:cs="仿宋"/>
          <w:b/>
          <w:color w:val="auto"/>
          <w:sz w:val="24"/>
          <w:highlight w:val="none"/>
        </w:rPr>
        <w:outlineLvl w:val="0"/>
      </w:pPr>
      <w:r/>
      <w:bookmarkStart w:id="126" w:name="_Toc14993"/>
      <w:r/>
      <w:bookmarkStart w:id="127" w:name="_Toc26916"/>
      <w:r/>
      <w:bookmarkStart w:id="128" w:name="_Toc3654"/>
      <w:r/>
      <w:bookmarkStart w:id="129" w:name="_Toc30506"/>
      <w:r/>
      <w:bookmarkStart w:id="130" w:name="_Toc30158"/>
      <w:r>
        <w:rPr>
          <w:rFonts w:hint="eastAsia" w:ascii="仿宋" w:hAnsi="仿宋" w:eastAsia="仿宋" w:cs="仿宋"/>
          <w:b/>
          <w:color w:val="auto"/>
          <w:sz w:val="24"/>
          <w:highlight w:val="none"/>
        </w:rPr>
        <w:t xml:space="preserve">1.4 付款方式和发票开具方式</w:t>
      </w:r>
      <w:bookmarkEnd w:id="126"/>
      <w:r/>
      <w:bookmarkEnd w:id="127"/>
      <w:r/>
      <w:bookmarkEnd w:id="128"/>
      <w:r/>
      <w:bookmarkEnd w:id="129"/>
      <w:r/>
      <w:bookmarkEnd w:id="130"/>
      <w:r/>
      <w:r/>
    </w:p>
    <w:p>
      <w:pPr>
        <w:ind w:left="695" w:firstLine="480"/>
        <w:spacing w:line="5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highlight w:val="none"/>
        </w:rPr>
        <w:t xml:space="preserve">1.4.1付款方式：</w:t>
      </w:r>
      <w:r/>
    </w:p>
    <w:p>
      <w:pPr>
        <w:ind w:left="695"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不支付预付款。每部教材验收合格后，学校凭成交供应商开具的增值税专用发票及验收单，在30个工作日内支付该部教材出版服务费的100%。本项目结算时按实进行结算，如按实际结算超过预算240万元，本项目自行终止。</w:t>
      </w:r>
      <w:r/>
    </w:p>
    <w:p>
      <w:pPr>
        <w:ind w:left="695"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（2）由供应商按国家有关财税规定开具增值税专用发票给采购人，采购人在收到供应商提供的发票后付款，若供应商方延迟开票，采购人付款时间顺延。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发票开具方式：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31" w:name="_Toc3625"/>
      <w:r/>
      <w:bookmarkStart w:id="132" w:name="_Toc11108"/>
      <w:r/>
      <w:bookmarkStart w:id="133" w:name="_Toc31421"/>
      <w:r/>
      <w:bookmarkStart w:id="134" w:name="_Toc8772"/>
      <w:r/>
      <w:bookmarkStart w:id="135" w:name="_Toc4760"/>
      <w:r>
        <w:rPr>
          <w:rFonts w:hint="eastAsia" w:ascii="仿宋" w:hAnsi="仿宋" w:eastAsia="仿宋" w:cs="仿宋"/>
          <w:b/>
          <w:color w:val="auto"/>
          <w:sz w:val="24"/>
          <w:highlight w:val="none"/>
        </w:rPr>
        <w:t xml:space="preserve">1.5 履行期限、地点和方式</w:t>
      </w:r>
      <w:bookmarkEnd w:id="131"/>
      <w:r/>
      <w:bookmarkEnd w:id="132"/>
      <w:r/>
      <w:bookmarkEnd w:id="133"/>
      <w:r/>
      <w:bookmarkEnd w:id="134"/>
      <w:r/>
      <w:bookmarkEnd w:id="135"/>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1.5.1 履行期限：</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 履行地点：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 履行方式：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color w:val="auto"/>
          <w:sz w:val="24"/>
          <w:highlight w:val="none"/>
          <w:u w:val="single"/>
        </w:rPr>
        <w:outlineLvl w:val="0"/>
      </w:pPr>
      <w:r/>
      <w:bookmarkStart w:id="136" w:name="_Toc8586"/>
      <w:r/>
      <w:bookmarkStart w:id="137" w:name="_Toc5698"/>
      <w:r/>
      <w:bookmarkStart w:id="138" w:name="_Toc2375"/>
      <w:r/>
      <w:bookmarkStart w:id="139" w:name="_Toc3079"/>
      <w:r/>
      <w:bookmarkStart w:id="140" w:name="_Toc24662"/>
      <w:r>
        <w:rPr>
          <w:rFonts w:hint="eastAsia" w:ascii="仿宋" w:hAnsi="仿宋" w:eastAsia="仿宋" w:cs="仿宋"/>
          <w:b/>
          <w:color w:val="auto"/>
          <w:sz w:val="24"/>
          <w:highlight w:val="none"/>
        </w:rPr>
        <w:t xml:space="preserve">1.6 违约责任</w:t>
      </w:r>
      <w:bookmarkEnd w:id="136"/>
      <w:r/>
      <w:bookmarkEnd w:id="137"/>
      <w:r/>
      <w:bookmarkEnd w:id="138"/>
      <w:r/>
      <w:bookmarkEnd w:id="139"/>
      <w:r/>
      <w:bookmarkEnd w:id="14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%；迟延履行的违约金计算数额达到前述最高限额之日起，甲方有权在要求乙方支付违约金的同时，书面通知乙方解除本合同；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%；迟延付款的违约金计算数额达到前述最高限额之日起，乙方有权在要求甲方支付违约金的同时，书面通知甲方解除本合同；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left="695" w:firstLine="482"/>
        <w:spacing w:line="560" w:lineRule="exact"/>
        <w:rPr>
          <w:rFonts w:hint="eastAsia" w:ascii="仿宋" w:hAnsi="仿宋" w:eastAsia="仿宋" w:cs="仿宋"/>
          <w:b/>
          <w:color w:val="auto"/>
          <w:sz w:val="24"/>
          <w:highlight w:val="none"/>
        </w:rPr>
        <w:outlineLvl w:val="0"/>
      </w:pPr>
      <w:r/>
      <w:bookmarkStart w:id="141" w:name="_Toc18683"/>
      <w:r/>
      <w:bookmarkStart w:id="142" w:name="_Toc9497"/>
      <w:r/>
      <w:bookmarkStart w:id="143" w:name="_Toc32454"/>
      <w:r/>
      <w:bookmarkStart w:id="144" w:name="_Toc26807"/>
      <w:r/>
      <w:bookmarkStart w:id="145" w:name="_Toc30329"/>
      <w:r>
        <w:rPr>
          <w:rFonts w:hint="eastAsia" w:ascii="仿宋" w:hAnsi="仿宋" w:eastAsia="仿宋" w:cs="仿宋"/>
          <w:b/>
          <w:color w:val="auto"/>
          <w:sz w:val="24"/>
          <w:highlight w:val="none"/>
        </w:rPr>
        <w:t xml:space="preserve">1.7 合同争议的解决</w:t>
      </w:r>
      <w:bookmarkEnd w:id="141"/>
      <w:r/>
      <w:bookmarkEnd w:id="142"/>
      <w:r/>
      <w:bookmarkEnd w:id="143"/>
      <w:r/>
      <w:bookmarkEnd w:id="144"/>
      <w:r/>
      <w:bookmarkEnd w:id="14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本合同履行过程中发生的任何争议，双方当事人均可通过和解或者调解解决；不愿和解、调解或者和解、调解不成的，可以选择下列第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种方式解决：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 将争议提交</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仲裁委员会依申请仲裁时其现行有效的仲裁规则裁决；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 向</w:t>
      </w:r>
      <w:r>
        <w:rPr>
          <w:rFonts w:hint="eastAsia" w:ascii="仿宋" w:hAnsi="仿宋" w:eastAsia="仿宋" w:cs="仿宋"/>
          <w:color w:val="auto"/>
          <w:sz w:val="24"/>
          <w:highlight w:val="none"/>
          <w:u w:val="single"/>
        </w:rPr>
        <w:t xml:space="preserve">   （被告住所地、合同履行地、合同签订地、原告住所地、标的物所在地等与争议有实际联系的地点中选出的人民法院名称）    </w:t>
      </w:r>
      <w:r>
        <w:rPr>
          <w:rFonts w:hint="eastAsia" w:ascii="仿宋" w:hAnsi="仿宋" w:eastAsia="仿宋" w:cs="仿宋"/>
          <w:color w:val="auto"/>
          <w:sz w:val="24"/>
          <w:highlight w:val="none"/>
        </w:rPr>
        <w:t xml:space="preserve">人民法院起诉。</w:t>
      </w:r>
      <w:r/>
    </w:p>
    <w:p>
      <w:pPr>
        <w:ind w:left="695" w:firstLine="482"/>
        <w:spacing w:line="560" w:lineRule="exact"/>
        <w:rPr>
          <w:rFonts w:hint="eastAsia" w:ascii="仿宋" w:hAnsi="仿宋" w:eastAsia="仿宋" w:cs="仿宋"/>
          <w:b/>
          <w:color w:val="auto"/>
          <w:sz w:val="24"/>
          <w:highlight w:val="none"/>
        </w:rPr>
        <w:outlineLvl w:val="0"/>
      </w:pPr>
      <w:r/>
      <w:bookmarkStart w:id="146" w:name="_Toc15827"/>
      <w:r/>
      <w:bookmarkStart w:id="147" w:name="_Toc16417"/>
      <w:r/>
      <w:bookmarkStart w:id="148" w:name="_Toc26227"/>
      <w:r/>
      <w:bookmarkStart w:id="149" w:name="_Toc12273"/>
      <w:r/>
      <w:bookmarkStart w:id="150" w:name="_Toc23784"/>
      <w:r>
        <w:rPr>
          <w:rFonts w:hint="eastAsia" w:ascii="仿宋" w:hAnsi="仿宋" w:eastAsia="仿宋" w:cs="仿宋"/>
          <w:b/>
          <w:color w:val="auto"/>
          <w:sz w:val="24"/>
          <w:highlight w:val="none"/>
        </w:rPr>
        <w:t xml:space="preserve">1.8 合同生效</w:t>
      </w:r>
      <w:bookmarkEnd w:id="146"/>
      <w:r/>
      <w:bookmarkEnd w:id="147"/>
      <w:r/>
      <w:bookmarkEnd w:id="148"/>
      <w:r/>
      <w:bookmarkEnd w:id="149"/>
      <w:r/>
      <w:bookmarkEnd w:id="150"/>
      <w:r/>
      <w:r/>
    </w:p>
    <w:p>
      <w:pPr>
        <w:ind w:left="695" w:firstLine="480"/>
        <w:spacing w:line="56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本合同自双方当事人盖章或者签字时生效。</w:t>
      </w:r>
      <w:r/>
    </w:p>
    <w:p>
      <w:pPr>
        <w:ind w:left="695" w:firstLine="482"/>
        <w:spacing w:line="560" w:lineRule="exact"/>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甲方</w:t>
      </w:r>
      <w:r>
        <w:rPr>
          <w:rFonts w:hint="eastAsia" w:ascii="仿宋" w:hAnsi="仿宋" w:eastAsia="仿宋" w:cs="仿宋"/>
          <w:color w:val="auto"/>
          <w:sz w:val="24"/>
          <w:highlight w:val="none"/>
          <w:lang w:val="zh-CN"/>
        </w:rPr>
        <w:t xml:space="preserve">：                             </w:t>
      </w:r>
      <w:r>
        <w:rPr>
          <w:rFonts w:hint="eastAsia" w:ascii="仿宋" w:hAnsi="仿宋" w:eastAsia="仿宋" w:cs="仿宋"/>
          <w:b/>
          <w:color w:val="auto"/>
          <w:sz w:val="24"/>
          <w:highlight w:val="none"/>
          <w:lang w:val="zh-CN"/>
        </w:rPr>
        <w:t xml:space="preserve">      乙方</w:t>
      </w:r>
      <w:r>
        <w:rPr>
          <w:rFonts w:hint="eastAsia" w:ascii="仿宋" w:hAnsi="仿宋" w:eastAsia="仿宋" w:cs="仿宋"/>
          <w:color w:val="auto"/>
          <w:sz w:val="24"/>
          <w:highlight w:val="none"/>
          <w:lang w:val="zh-CN"/>
        </w:rPr>
        <w:t xml:space="preserve">：</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统一社会信用代码：                        统一社会信用代码或身份证号码：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住所：                                   住所：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法定代表人或                             法定代表人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授权代表（签字）：                        或授权代表（签字）: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联系人：                                 联系人：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约定送达地址：                           约定送达地址：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邮政编码：                               邮政编码：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电话:                                    电话: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传真:                                    传真:</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电子邮箱：                               电子邮箱：</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开户名称：                               开户名称：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开户账号：</w:t>
      </w:r>
      <w:r>
        <w:rPr>
          <w:rFonts w:hint="eastAsia" w:ascii="仿宋" w:hAnsi="仿宋" w:eastAsia="仿宋" w:cs="仿宋"/>
          <w:color w:val="auto"/>
          <w:sz w:val="24"/>
          <w:highlight w:val="none"/>
          <w:lang w:val="zh-CN"/>
        </w:rPr>
        <w:t xml:space="preserve">                               </w:t>
      </w:r>
      <w:r>
        <w:rPr>
          <w:rFonts w:hint="eastAsia" w:ascii="仿宋" w:hAnsi="仿宋" w:eastAsia="仿宋" w:cs="仿宋"/>
          <w:color w:val="auto"/>
          <w:sz w:val="24"/>
          <w:highlight w:val="none"/>
        </w:rPr>
        <w:t xml:space="preserve">开户账号：</w:t>
      </w:r>
      <w:r/>
    </w:p>
    <w:p>
      <w:pPr>
        <w:pStyle w:val="1008"/>
        <w:ind w:left="695" w:firstLine="482"/>
        <w:jc w:val="center"/>
        <w:spacing w:line="560" w:lineRule="exact"/>
        <w:rPr>
          <w:rFonts w:hint="eastAsia" w:ascii="仿宋" w:hAnsi="仿宋" w:eastAsia="仿宋" w:cs="仿宋"/>
          <w:b/>
          <w:color w:val="auto"/>
          <w:szCs w:val="24"/>
          <w:highlight w:val="none"/>
        </w:rPr>
      </w:pPr>
      <w:r/>
      <w:bookmarkStart w:id="151" w:name="_Toc331685783"/>
      <w:r>
        <w:rPr>
          <w:rFonts w:hint="eastAsia" w:ascii="仿宋" w:hAnsi="仿宋" w:eastAsia="仿宋" w:cs="仿宋"/>
          <w:b/>
          <w:color w:val="auto"/>
          <w:szCs w:val="24"/>
          <w:highlight w:val="none"/>
        </w:rPr>
        <w:t xml:space="preserve">第二部分 合同一般条款</w:t>
      </w:r>
      <w:bookmarkEnd w:id="151"/>
      <w:r/>
      <w:r/>
    </w:p>
    <w:p>
      <w:pPr>
        <w:ind w:left="695" w:firstLine="482"/>
        <w:spacing w:line="560" w:lineRule="exact"/>
        <w:rPr>
          <w:rFonts w:hint="eastAsia" w:ascii="仿宋" w:hAnsi="仿宋" w:eastAsia="仿宋" w:cs="仿宋"/>
          <w:b/>
          <w:color w:val="auto"/>
          <w:sz w:val="24"/>
          <w:highlight w:val="none"/>
        </w:rPr>
        <w:outlineLvl w:val="0"/>
      </w:pPr>
      <w:r/>
      <w:bookmarkStart w:id="152" w:name="_Ref467379205"/>
      <w:r/>
      <w:bookmarkStart w:id="153" w:name="_Ref467378404"/>
      <w:r/>
      <w:bookmarkStart w:id="154" w:name="_Ref467379109"/>
      <w:r/>
      <w:bookmarkStart w:id="155" w:name="_Toc31297"/>
      <w:r/>
      <w:bookmarkStart w:id="156" w:name="_Toc487900349"/>
      <w:r/>
      <w:bookmarkStart w:id="157" w:name="_Toc279701240"/>
      <w:r/>
      <w:bookmarkStart w:id="158" w:name="_Ref467378463"/>
      <w:r/>
      <w:bookmarkStart w:id="159" w:name="_Toc5228"/>
      <w:r/>
      <w:bookmarkStart w:id="160" w:name="_Toc259093669"/>
      <w:r/>
      <w:bookmarkStart w:id="161" w:name="_Ref467379101"/>
      <w:r/>
      <w:bookmarkStart w:id="162" w:name="_Ref467379195"/>
      <w:r/>
      <w:bookmarkStart w:id="163" w:name="_Ref467379214"/>
      <w:r/>
      <w:bookmarkStart w:id="164" w:name="_Toc14021"/>
      <w:r/>
      <w:bookmarkStart w:id="165" w:name="_Ref467378499"/>
      <w:r/>
      <w:bookmarkStart w:id="166" w:name="_Ref467379225"/>
      <w:r/>
      <w:bookmarkStart w:id="167" w:name="_Toc19680"/>
      <w:r/>
      <w:bookmarkStart w:id="168" w:name="_Ref467379094"/>
      <w:r/>
      <w:bookmarkStart w:id="169" w:name="_Toc25079"/>
      <w:r>
        <w:rPr>
          <w:rFonts w:hint="eastAsia" w:ascii="仿宋" w:hAnsi="仿宋" w:eastAsia="仿宋" w:cs="仿宋"/>
          <w:b/>
          <w:color w:val="auto"/>
          <w:sz w:val="24"/>
          <w:highlight w:val="none"/>
        </w:rPr>
        <w:t xml:space="preserve">2.1 定义</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本合同中的下列词语应按以下内容进行解释：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 “合同”系指采购人和中标供应商签订的载明双方当事人所达成的协议，并包括所有的附件、附录和构成合同的其他文件。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 “合同价”系指根据合同约定，中标供应商在完全履行合同义务后，采购人应支付给中标供应商的价格。</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 “服务”系指中标供应商根据合同约定应向采购人履行的除货物和工程以外的其他政府采购对象，包括采购人自身需要的服务和向社会公众提供的公共服务。</w:t>
      </w:r>
      <w:r/>
    </w:p>
    <w:p>
      <w:pPr>
        <w:ind w:left="695" w:firstLine="480"/>
        <w:spacing w:line="560" w:lineRule="exact"/>
        <w:rPr>
          <w:rFonts w:hint="eastAsia" w:ascii="仿宋" w:hAnsi="仿宋" w:eastAsia="仿宋" w:cs="仿宋"/>
          <w:color w:val="auto"/>
          <w:sz w:val="24"/>
          <w:highlight w:val="none"/>
        </w:rPr>
      </w:pPr>
      <w:r/>
      <w:bookmarkStart w:id="170" w:name="_Ref467378840"/>
      <w:r>
        <w:rPr>
          <w:rFonts w:hint="eastAsia" w:ascii="仿宋" w:hAnsi="仿宋" w:eastAsia="仿宋" w:cs="仿宋"/>
          <w:color w:val="auto"/>
          <w:sz w:val="24"/>
          <w:highlight w:val="none"/>
        </w:rPr>
        <w:t xml:space="preserve">2.1.4 “甲方”系指与中标供应商签署合同的采购人</w:t>
      </w:r>
      <w:bookmarkEnd w:id="170"/>
      <w:r>
        <w:rPr>
          <w:rFonts w:hint="eastAsia" w:ascii="仿宋" w:hAnsi="仿宋" w:eastAsia="仿宋" w:cs="仿宋"/>
          <w:color w:val="auto"/>
          <w:sz w:val="24"/>
          <w:highlight w:val="none"/>
        </w:rPr>
        <w:t xml:space="preserve">；采购人委托采购代理机构代表其与乙方签订合同的，采购人的授权委托书作为合同附件。</w:t>
      </w:r>
      <w:r/>
    </w:p>
    <w:p>
      <w:pPr>
        <w:ind w:left="695" w:firstLine="480"/>
        <w:spacing w:line="560" w:lineRule="exact"/>
        <w:rPr>
          <w:rFonts w:hint="eastAsia" w:ascii="仿宋" w:hAnsi="仿宋" w:eastAsia="仿宋" w:cs="仿宋"/>
          <w:color w:val="auto"/>
          <w:sz w:val="24"/>
          <w:highlight w:val="none"/>
        </w:rPr>
      </w:pPr>
      <w:r/>
      <w:bookmarkStart w:id="171" w:name="_Ref467379400"/>
      <w:r>
        <w:rPr>
          <w:rFonts w:hint="eastAsia" w:ascii="仿宋" w:hAnsi="仿宋" w:eastAsia="仿宋" w:cs="仿宋"/>
          <w:color w:val="auto"/>
          <w:sz w:val="24"/>
          <w:highlight w:val="none"/>
        </w:rPr>
        <w:t xml:space="preserve">2.1.5 “乙方”系指根据合同约定提供服务的中标供应商</w:t>
      </w:r>
      <w:bookmarkEnd w:id="171"/>
      <w:r>
        <w:rPr>
          <w:rFonts w:hint="eastAsia" w:ascii="仿宋" w:hAnsi="仿宋" w:eastAsia="仿宋" w:cs="仿宋"/>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695" w:firstLine="480"/>
        <w:spacing w:line="560" w:lineRule="exact"/>
        <w:rPr>
          <w:rFonts w:hint="eastAsia" w:ascii="仿宋" w:hAnsi="仿宋" w:eastAsia="仿宋" w:cs="仿宋"/>
          <w:color w:val="auto"/>
          <w:sz w:val="24"/>
          <w:highlight w:val="none"/>
        </w:rPr>
      </w:pPr>
      <w:r/>
      <w:bookmarkStart w:id="172" w:name="_Ref467379436"/>
      <w:r>
        <w:rPr>
          <w:rFonts w:hint="eastAsia" w:ascii="仿宋" w:hAnsi="仿宋" w:eastAsia="仿宋" w:cs="仿宋"/>
          <w:color w:val="auto"/>
          <w:sz w:val="24"/>
          <w:highlight w:val="none"/>
        </w:rPr>
        <w:t xml:space="preserve">2.1.6 “现场”系指合同约定提供服务的地点。</w:t>
      </w:r>
      <w:bookmarkEnd w:id="172"/>
      <w:r/>
      <w:r/>
    </w:p>
    <w:p>
      <w:pPr>
        <w:ind w:left="695" w:firstLine="482"/>
        <w:spacing w:line="560" w:lineRule="exact"/>
        <w:rPr>
          <w:rFonts w:hint="eastAsia" w:ascii="仿宋" w:hAnsi="仿宋" w:eastAsia="仿宋" w:cs="仿宋"/>
          <w:b/>
          <w:color w:val="auto"/>
          <w:sz w:val="24"/>
          <w:highlight w:val="none"/>
        </w:rPr>
        <w:outlineLvl w:val="0"/>
      </w:pPr>
      <w:r/>
      <w:bookmarkStart w:id="173" w:name="_Toc19539"/>
      <w:r/>
      <w:bookmarkStart w:id="174" w:name="_Toc23289"/>
      <w:r/>
      <w:bookmarkStart w:id="175" w:name="_Toc487900350"/>
      <w:r/>
      <w:bookmarkStart w:id="176" w:name="_Toc16752"/>
      <w:r/>
      <w:bookmarkStart w:id="177" w:name="_Toc3769"/>
      <w:r/>
      <w:bookmarkStart w:id="178" w:name="_Toc279701241"/>
      <w:r/>
      <w:bookmarkStart w:id="179" w:name="_Toc259093670"/>
      <w:r/>
      <w:bookmarkStart w:id="180" w:name="_Toc31402"/>
      <w:r>
        <w:rPr>
          <w:rFonts w:hint="eastAsia" w:ascii="仿宋" w:hAnsi="仿宋" w:eastAsia="仿宋" w:cs="仿宋"/>
          <w:b/>
          <w:color w:val="auto"/>
          <w:sz w:val="24"/>
          <w:highlight w:val="none"/>
        </w:rPr>
        <w:t xml:space="preserve">2.2 技术规范</w:t>
      </w:r>
      <w:bookmarkEnd w:id="173"/>
      <w:r/>
      <w:bookmarkEnd w:id="174"/>
      <w:r/>
      <w:bookmarkEnd w:id="175"/>
      <w:r/>
      <w:bookmarkEnd w:id="176"/>
      <w:r/>
      <w:bookmarkEnd w:id="177"/>
      <w:r/>
      <w:bookmarkEnd w:id="178"/>
      <w:r/>
      <w:bookmarkEnd w:id="179"/>
      <w:r/>
      <w:bookmarkEnd w:id="18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left="695" w:firstLine="482"/>
        <w:spacing w:line="560" w:lineRule="exact"/>
        <w:rPr>
          <w:rFonts w:hint="eastAsia" w:ascii="仿宋" w:hAnsi="仿宋" w:eastAsia="仿宋" w:cs="仿宋"/>
          <w:b/>
          <w:color w:val="auto"/>
          <w:sz w:val="24"/>
          <w:highlight w:val="none"/>
        </w:rPr>
        <w:outlineLvl w:val="0"/>
      </w:pPr>
      <w:r/>
      <w:bookmarkStart w:id="181" w:name="_Toc13673"/>
      <w:r/>
      <w:bookmarkStart w:id="182" w:name="_Toc27945"/>
      <w:r/>
      <w:bookmarkStart w:id="183" w:name="_Toc487900351"/>
      <w:r/>
      <w:bookmarkStart w:id="184" w:name="_Toc279701242"/>
      <w:r/>
      <w:bookmarkStart w:id="185" w:name="_Toc9161"/>
      <w:r/>
      <w:bookmarkStart w:id="186" w:name="_Toc259093671"/>
      <w:r/>
      <w:bookmarkStart w:id="187" w:name="_Toc4133"/>
      <w:r/>
      <w:bookmarkStart w:id="188" w:name="_Toc12412"/>
      <w:r>
        <w:rPr>
          <w:rFonts w:hint="eastAsia" w:ascii="仿宋" w:hAnsi="仿宋" w:eastAsia="仿宋" w:cs="仿宋"/>
          <w:b/>
          <w:color w:val="auto"/>
          <w:sz w:val="24"/>
          <w:highlight w:val="none"/>
        </w:rPr>
        <w:t xml:space="preserve">2.3 知识产权</w:t>
      </w:r>
      <w:bookmarkEnd w:id="181"/>
      <w:r/>
      <w:bookmarkEnd w:id="182"/>
      <w:r/>
      <w:bookmarkEnd w:id="183"/>
      <w:r/>
      <w:bookmarkEnd w:id="184"/>
      <w:r/>
      <w:bookmarkEnd w:id="185"/>
      <w:r/>
      <w:bookmarkEnd w:id="186"/>
      <w:r/>
      <w:bookmarkEnd w:id="187"/>
      <w:r/>
      <w:bookmarkEnd w:id="18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 合同涉及技术成果的归属和收益的分成办法的，详见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2.4 履约检查和问题反馈</w:t>
      </w:r>
      <w:r/>
    </w:p>
    <w:p>
      <w:pPr>
        <w:ind w:left="695" w:firstLine="480"/>
        <w:spacing w:line="560" w:lineRule="exact"/>
        <w:rPr>
          <w:rFonts w:hint="eastAsia" w:ascii="仿宋" w:hAnsi="仿宋" w:eastAsia="仿宋" w:cs="仿宋"/>
          <w:color w:val="auto"/>
          <w:sz w:val="24"/>
          <w:highlight w:val="none"/>
        </w:rPr>
      </w:pPr>
      <w:r/>
      <w:bookmarkStart w:id="189" w:name="_Ref467379657"/>
      <w:r>
        <w:rPr>
          <w:rFonts w:hint="eastAsia" w:ascii="仿宋" w:hAnsi="仿宋" w:eastAsia="仿宋" w:cs="仿宋"/>
          <w:color w:val="auto"/>
          <w:sz w:val="24"/>
          <w:highlight w:val="none"/>
        </w:rPr>
        <w:t xml:space="preserve">2.4.1</w:t>
      </w:r>
      <w:bookmarkEnd w:id="189"/>
      <w:r/>
      <w:bookmarkStart w:id="190" w:name="_Toc186431854"/>
      <w:r/>
      <w:bookmarkStart w:id="191" w:name="_Ref467379793"/>
      <w:r/>
      <w:bookmarkStart w:id="192" w:name="_Toc487900357"/>
      <w:r/>
      <w:bookmarkStart w:id="193" w:name="_Toc259093676"/>
      <w:r/>
      <w:bookmarkStart w:id="194" w:name="_Toc279701247"/>
      <w:r/>
      <w:bookmarkStart w:id="195" w:name="_Ref467379807"/>
      <w:r>
        <w:rPr>
          <w:rFonts w:hint="eastAsia" w:ascii="仿宋" w:hAnsi="仿宋" w:eastAsia="仿宋" w:cs="仿宋"/>
          <w:color w:val="auto"/>
          <w:sz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 合同履行期间，甲方有权将履行过程中出现的问题反馈给乙方，双方当事人应以书面形式约定需要完善和改进的内容</w:t>
      </w:r>
      <w:bookmarkEnd w:id="190"/>
      <w:r/>
      <w:bookmarkStart w:id="196" w:name="_Toc186431855"/>
      <w:r>
        <w:rPr>
          <w:rFonts w:hint="eastAsia" w:ascii="仿宋" w:hAnsi="仿宋" w:eastAsia="仿宋" w:cs="仿宋"/>
          <w:color w:val="auto"/>
          <w:sz w:val="24"/>
          <w:highlight w:val="none"/>
        </w:rPr>
        <w:t xml:space="preserve">。</w:t>
      </w:r>
      <w:bookmarkEnd w:id="196"/>
      <w:r/>
      <w:r/>
    </w:p>
    <w:p>
      <w:pPr>
        <w:ind w:left="695" w:firstLine="482"/>
        <w:spacing w:line="560" w:lineRule="exact"/>
        <w:rPr>
          <w:rFonts w:hint="eastAsia" w:ascii="仿宋" w:hAnsi="仿宋" w:eastAsia="仿宋" w:cs="仿宋"/>
          <w:b/>
          <w:color w:val="auto"/>
          <w:sz w:val="24"/>
          <w:highlight w:val="none"/>
        </w:rPr>
        <w:outlineLvl w:val="0"/>
      </w:pPr>
      <w:r/>
      <w:bookmarkStart w:id="197" w:name="_Toc15447"/>
      <w:r/>
      <w:bookmarkStart w:id="198" w:name="_Toc22011"/>
      <w:r/>
      <w:bookmarkStart w:id="199" w:name="_Toc32670"/>
      <w:r/>
      <w:bookmarkStart w:id="200" w:name="_Toc26555"/>
      <w:r/>
      <w:bookmarkStart w:id="201" w:name="_Toc31233"/>
      <w:r>
        <w:rPr>
          <w:rFonts w:hint="eastAsia" w:ascii="仿宋" w:hAnsi="仿宋" w:eastAsia="仿宋" w:cs="仿宋"/>
          <w:b/>
          <w:color w:val="auto"/>
          <w:sz w:val="24"/>
          <w:highlight w:val="none"/>
        </w:rPr>
        <w:t xml:space="preserve">2.5 结算方式和付款条件</w:t>
      </w:r>
      <w:bookmarkEnd w:id="191"/>
      <w:r/>
      <w:bookmarkEnd w:id="192"/>
      <w:r/>
      <w:bookmarkEnd w:id="193"/>
      <w:r/>
      <w:bookmarkEnd w:id="194"/>
      <w:r/>
      <w:bookmarkEnd w:id="195"/>
      <w:r/>
      <w:bookmarkEnd w:id="197"/>
      <w:r/>
      <w:bookmarkEnd w:id="198"/>
      <w:r/>
      <w:bookmarkEnd w:id="199"/>
      <w:r/>
      <w:bookmarkEnd w:id="200"/>
      <w:r/>
      <w:bookmarkEnd w:id="201"/>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202" w:name="_Ref467379923"/>
      <w:r/>
      <w:bookmarkStart w:id="203" w:name="_Ref467379863"/>
      <w:r/>
      <w:bookmarkStart w:id="204" w:name="_Toc279701248"/>
      <w:r/>
      <w:bookmarkStart w:id="205" w:name="_Ref467379852"/>
      <w:r/>
      <w:bookmarkStart w:id="206" w:name="_Toc487900358"/>
      <w:r/>
      <w:bookmarkStart w:id="207" w:name="_Toc259093677"/>
      <w:r/>
      <w:bookmarkStart w:id="208" w:name="_Toc16163"/>
      <w:r/>
      <w:bookmarkStart w:id="209" w:name="_Toc13154"/>
      <w:r/>
      <w:bookmarkStart w:id="210" w:name="_Toc18990"/>
      <w:r/>
      <w:bookmarkStart w:id="211" w:name="_Toc30507"/>
      <w:r/>
      <w:bookmarkStart w:id="212" w:name="_Toc13467"/>
      <w:r>
        <w:rPr>
          <w:rFonts w:hint="eastAsia" w:ascii="仿宋" w:hAnsi="仿宋" w:eastAsia="仿宋" w:cs="仿宋"/>
          <w:b/>
          <w:color w:val="auto"/>
          <w:sz w:val="24"/>
          <w:highlight w:val="none"/>
        </w:rPr>
        <w:t xml:space="preserve">2.6 技术资料</w:t>
      </w:r>
      <w:bookmarkEnd w:id="202"/>
      <w:r/>
      <w:bookmarkEnd w:id="203"/>
      <w:r/>
      <w:bookmarkEnd w:id="204"/>
      <w:r/>
      <w:bookmarkEnd w:id="205"/>
      <w:r/>
      <w:bookmarkEnd w:id="206"/>
      <w:r/>
      <w:bookmarkEnd w:id="207"/>
      <w:r>
        <w:rPr>
          <w:rFonts w:hint="eastAsia" w:ascii="仿宋" w:hAnsi="仿宋" w:eastAsia="仿宋" w:cs="仿宋"/>
          <w:b/>
          <w:color w:val="auto"/>
          <w:sz w:val="24"/>
          <w:highlight w:val="none"/>
        </w:rPr>
        <w:t xml:space="preserve">和保密义务</w:t>
      </w:r>
      <w:bookmarkEnd w:id="208"/>
      <w:r/>
      <w:bookmarkEnd w:id="209"/>
      <w:r/>
      <w:bookmarkEnd w:id="210"/>
      <w:r/>
      <w:bookmarkEnd w:id="211"/>
      <w:r/>
      <w:bookmarkEnd w:id="212"/>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 乙方有权依据合同约定和项目需要，向甲方了解有关情况，调阅有关资料等，甲方应予积极配合；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 乙方有义务妥善保管和保护由甲方提供的前款信息和资料等；</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695" w:firstLine="482"/>
        <w:spacing w:line="560" w:lineRule="exact"/>
        <w:rPr>
          <w:rFonts w:hint="eastAsia" w:ascii="仿宋" w:hAnsi="仿宋" w:eastAsia="仿宋" w:cs="仿宋"/>
          <w:b/>
          <w:color w:val="auto"/>
          <w:sz w:val="24"/>
          <w:highlight w:val="none"/>
        </w:rPr>
        <w:outlineLvl w:val="0"/>
      </w:pPr>
      <w:r/>
      <w:bookmarkStart w:id="213" w:name="_Toc19069"/>
      <w:r/>
      <w:bookmarkStart w:id="214" w:name="_Toc279701252"/>
      <w:r/>
      <w:bookmarkStart w:id="215" w:name="_Toc259093681"/>
      <w:r/>
      <w:bookmarkStart w:id="216" w:name="_Toc487900362"/>
      <w:r>
        <w:rPr>
          <w:rFonts w:hint="eastAsia" w:ascii="仿宋" w:hAnsi="仿宋" w:eastAsia="仿宋" w:cs="仿宋"/>
          <w:b/>
          <w:color w:val="auto"/>
          <w:sz w:val="24"/>
          <w:highlight w:val="none"/>
        </w:rPr>
        <w:t xml:space="preserve">2.7 质量保证</w:t>
      </w:r>
      <w:bookmarkEnd w:id="21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 乙方应建立和完善履行合同的内部质量保证体系，并提供相关内部规章制度给甲方，以便甲方进行监督检查；</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 乙方应保证履行合同的人员数量和素质、软件和硬件设备的配置、场地、环境和设施等满足全面履行合同的要求，并应接受甲方的监督检查。</w:t>
      </w:r>
      <w:r/>
    </w:p>
    <w:p>
      <w:pPr>
        <w:ind w:left="695" w:firstLine="482"/>
        <w:spacing w:line="560" w:lineRule="exact"/>
        <w:rPr>
          <w:rFonts w:hint="eastAsia" w:ascii="仿宋" w:hAnsi="仿宋" w:eastAsia="仿宋" w:cs="仿宋"/>
          <w:b/>
          <w:color w:val="auto"/>
          <w:sz w:val="24"/>
          <w:highlight w:val="none"/>
        </w:rPr>
        <w:outlineLvl w:val="0"/>
      </w:pPr>
      <w:r/>
      <w:bookmarkStart w:id="217" w:name="_Toc22267"/>
      <w:r>
        <w:rPr>
          <w:rFonts w:hint="eastAsia" w:ascii="仿宋" w:hAnsi="仿宋" w:eastAsia="仿宋" w:cs="仿宋"/>
          <w:b/>
          <w:color w:val="auto"/>
          <w:sz w:val="24"/>
          <w:highlight w:val="none"/>
        </w:rPr>
        <w:t xml:space="preserve">2.8 延迟</w:t>
      </w:r>
      <w:bookmarkEnd w:id="214"/>
      <w:r/>
      <w:bookmarkEnd w:id="215"/>
      <w:r/>
      <w:bookmarkEnd w:id="216"/>
      <w:r>
        <w:rPr>
          <w:rFonts w:hint="eastAsia" w:ascii="仿宋" w:hAnsi="仿宋" w:eastAsia="仿宋" w:cs="仿宋"/>
          <w:b/>
          <w:color w:val="auto"/>
          <w:sz w:val="24"/>
          <w:highlight w:val="none"/>
        </w:rPr>
        <w:t xml:space="preserve">履行</w:t>
      </w:r>
      <w:bookmarkEnd w:id="21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695" w:firstLine="482"/>
        <w:spacing w:line="560" w:lineRule="exact"/>
        <w:rPr>
          <w:rFonts w:hint="eastAsia" w:ascii="仿宋" w:hAnsi="仿宋" w:eastAsia="仿宋" w:cs="仿宋"/>
          <w:b/>
          <w:color w:val="auto"/>
          <w:sz w:val="24"/>
          <w:highlight w:val="none"/>
        </w:rPr>
        <w:outlineLvl w:val="0"/>
      </w:pPr>
      <w:r/>
      <w:bookmarkStart w:id="218" w:name="_Toc10611"/>
      <w:r/>
      <w:bookmarkStart w:id="219" w:name="_Toc259093683"/>
      <w:r/>
      <w:bookmarkStart w:id="220" w:name="_Toc487900364"/>
      <w:r/>
      <w:bookmarkStart w:id="221" w:name="_Toc279701254"/>
      <w:r/>
      <w:bookmarkStart w:id="222" w:name="_Ref467378121"/>
      <w:r>
        <w:rPr>
          <w:rFonts w:hint="eastAsia" w:ascii="仿宋" w:hAnsi="仿宋" w:eastAsia="仿宋" w:cs="仿宋"/>
          <w:b/>
          <w:color w:val="auto"/>
          <w:sz w:val="24"/>
          <w:highlight w:val="none"/>
        </w:rPr>
        <w:t xml:space="preserve">2.9 合同变更</w:t>
      </w:r>
      <w:bookmarkEnd w:id="21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23" w:name="_Toc279701259"/>
      <w:r/>
      <w:bookmarkStart w:id="224" w:name="_Toc487900369"/>
      <w:r/>
      <w:bookmarkStart w:id="225" w:name="_Toc259093688"/>
      <w:r/>
      <w:r/>
    </w:p>
    <w:p>
      <w:pPr>
        <w:ind w:left="695" w:firstLine="482"/>
        <w:spacing w:line="560" w:lineRule="exact"/>
        <w:rPr>
          <w:rFonts w:hint="eastAsia" w:ascii="仿宋" w:hAnsi="仿宋" w:eastAsia="仿宋" w:cs="仿宋"/>
          <w:b/>
          <w:color w:val="auto"/>
          <w:sz w:val="24"/>
          <w:highlight w:val="none"/>
        </w:rPr>
        <w:outlineLvl w:val="0"/>
      </w:pPr>
      <w:r/>
      <w:bookmarkStart w:id="226" w:name="_Toc26689"/>
      <w:r/>
      <w:bookmarkStart w:id="227" w:name="_Toc10663"/>
      <w:r/>
      <w:bookmarkStart w:id="228" w:name="_Toc42"/>
      <w:r/>
      <w:bookmarkStart w:id="229" w:name="_Toc21830"/>
      <w:r/>
      <w:bookmarkStart w:id="230" w:name="_Toc23368"/>
      <w:r>
        <w:rPr>
          <w:rFonts w:hint="eastAsia" w:ascii="仿宋" w:hAnsi="仿宋" w:eastAsia="仿宋" w:cs="仿宋"/>
          <w:b/>
          <w:color w:val="auto"/>
          <w:sz w:val="24"/>
          <w:highlight w:val="none"/>
        </w:rPr>
        <w:t xml:space="preserve">2.10 合同转让</w:t>
      </w:r>
      <w:bookmarkEnd w:id="223"/>
      <w:r/>
      <w:bookmarkEnd w:id="224"/>
      <w:r/>
      <w:bookmarkEnd w:id="225"/>
      <w:r>
        <w:rPr>
          <w:rFonts w:hint="eastAsia" w:ascii="仿宋" w:hAnsi="仿宋" w:eastAsia="仿宋" w:cs="仿宋"/>
          <w:b/>
          <w:color w:val="auto"/>
          <w:sz w:val="24"/>
          <w:highlight w:val="none"/>
        </w:rPr>
        <w:t xml:space="preserve">和分包</w:t>
      </w:r>
      <w:bookmarkEnd w:id="226"/>
      <w:r/>
      <w:bookmarkEnd w:id="227"/>
      <w:r/>
      <w:bookmarkEnd w:id="228"/>
      <w:r/>
      <w:bookmarkEnd w:id="229"/>
      <w:r/>
      <w:bookmarkEnd w:id="23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695" w:firstLine="482"/>
        <w:spacing w:line="560" w:lineRule="exact"/>
        <w:rPr>
          <w:rFonts w:hint="eastAsia" w:ascii="仿宋" w:hAnsi="仿宋" w:eastAsia="仿宋" w:cs="仿宋"/>
          <w:b/>
          <w:color w:val="auto"/>
          <w:sz w:val="24"/>
          <w:highlight w:val="none"/>
        </w:rPr>
        <w:outlineLvl w:val="0"/>
      </w:pPr>
      <w:r/>
      <w:bookmarkStart w:id="231" w:name="_Toc25571"/>
      <w:r/>
      <w:bookmarkStart w:id="232" w:name="_Toc32494"/>
      <w:r/>
      <w:bookmarkStart w:id="233" w:name="_Toc4720"/>
      <w:r/>
      <w:bookmarkStart w:id="234" w:name="_Toc14371"/>
      <w:r/>
      <w:bookmarkStart w:id="235" w:name="_Toc26633"/>
      <w:r>
        <w:rPr>
          <w:rFonts w:hint="eastAsia" w:ascii="仿宋" w:hAnsi="仿宋" w:eastAsia="仿宋" w:cs="仿宋"/>
          <w:b/>
          <w:color w:val="auto"/>
          <w:sz w:val="24"/>
          <w:highlight w:val="none"/>
        </w:rPr>
        <w:t xml:space="preserve">2.11 不可抗力</w:t>
      </w:r>
      <w:bookmarkEnd w:id="231"/>
      <w:r/>
      <w:bookmarkEnd w:id="232"/>
      <w:r/>
      <w:bookmarkEnd w:id="233"/>
      <w:r/>
      <w:bookmarkEnd w:id="234"/>
      <w:r/>
      <w:bookmarkEnd w:id="23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2.11.1如果任何一方遭遇法律规定的不可抗力，致使合同履行受阻时，履行合同的期限应予延长，延长的期限应相当于不可抗力所影响的时间；</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2.11.2 因不可抗力致使不能实现合同目的的，当事人可以解除合同；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2.11.3 因不可抗力致使合同有变更必要的，双方当事人应在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约定时间内以书面形式变更合同；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2.11.4受不可抗力影响的一方在不可抗力发生后，应在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约定时间内以书面形式通知对方当事人，并在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约定时间内，将有关部门出具的证明文件送达对方当事人。</w:t>
      </w:r>
      <w:r/>
    </w:p>
    <w:p>
      <w:pPr>
        <w:ind w:left="695" w:firstLine="482"/>
        <w:spacing w:line="560" w:lineRule="exact"/>
        <w:rPr>
          <w:rFonts w:hint="eastAsia" w:ascii="仿宋" w:hAnsi="仿宋" w:eastAsia="仿宋" w:cs="仿宋"/>
          <w:b/>
          <w:color w:val="auto"/>
          <w:sz w:val="24"/>
          <w:highlight w:val="none"/>
        </w:rPr>
        <w:outlineLvl w:val="0"/>
      </w:pPr>
      <w:r/>
      <w:bookmarkStart w:id="236" w:name="_Toc24465"/>
      <w:r/>
      <w:bookmarkStart w:id="237" w:name="_Toc23854"/>
      <w:r/>
      <w:bookmarkStart w:id="238" w:name="_Toc487900365"/>
      <w:r/>
      <w:bookmarkStart w:id="239" w:name="_Toc14115"/>
      <w:r/>
      <w:bookmarkStart w:id="240" w:name="_Toc279701255"/>
      <w:r/>
      <w:bookmarkStart w:id="241" w:name="_Toc25783"/>
      <w:r/>
      <w:bookmarkStart w:id="242" w:name="_Toc259093684"/>
      <w:r/>
      <w:bookmarkStart w:id="243" w:name="_Toc3638"/>
      <w:r>
        <w:rPr>
          <w:rFonts w:hint="eastAsia" w:ascii="仿宋" w:hAnsi="仿宋" w:eastAsia="仿宋" w:cs="仿宋"/>
          <w:b/>
          <w:color w:val="auto"/>
          <w:sz w:val="24"/>
          <w:highlight w:val="none"/>
        </w:rPr>
        <w:t xml:space="preserve">2.12 税费</w:t>
      </w:r>
      <w:bookmarkEnd w:id="236"/>
      <w:r/>
      <w:bookmarkEnd w:id="237"/>
      <w:r/>
      <w:bookmarkEnd w:id="238"/>
      <w:r/>
      <w:bookmarkEnd w:id="239"/>
      <w:r/>
      <w:bookmarkEnd w:id="240"/>
      <w:r/>
      <w:bookmarkEnd w:id="241"/>
      <w:r/>
      <w:bookmarkEnd w:id="242"/>
      <w:r/>
      <w:bookmarkEnd w:id="24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与合同有关的一切税费，均按照中华人民共和国法律的相关规定缴纳。</w:t>
      </w:r>
      <w:r/>
    </w:p>
    <w:p>
      <w:pPr>
        <w:ind w:left="695" w:firstLine="482"/>
        <w:spacing w:line="560" w:lineRule="exact"/>
        <w:rPr>
          <w:rFonts w:hint="eastAsia" w:ascii="仿宋" w:hAnsi="仿宋" w:eastAsia="仿宋" w:cs="仿宋"/>
          <w:b/>
          <w:color w:val="auto"/>
          <w:sz w:val="24"/>
          <w:highlight w:val="none"/>
        </w:rPr>
        <w:outlineLvl w:val="0"/>
      </w:pPr>
      <w:r/>
      <w:bookmarkStart w:id="244" w:name="_Toc30105"/>
      <w:r/>
      <w:bookmarkStart w:id="245" w:name="_Toc487900368"/>
      <w:r/>
      <w:bookmarkStart w:id="246" w:name="_Toc279701258"/>
      <w:r/>
      <w:bookmarkStart w:id="247" w:name="_Toc26883"/>
      <w:r/>
      <w:bookmarkStart w:id="248" w:name="_Toc25525"/>
      <w:r/>
      <w:bookmarkStart w:id="249" w:name="_Toc7315"/>
      <w:r/>
      <w:bookmarkStart w:id="250" w:name="_Toc14814"/>
      <w:r/>
      <w:bookmarkStart w:id="251" w:name="_Toc259093687"/>
      <w:r>
        <w:rPr>
          <w:rFonts w:hint="eastAsia" w:ascii="仿宋" w:hAnsi="仿宋" w:eastAsia="仿宋" w:cs="仿宋"/>
          <w:b/>
          <w:color w:val="auto"/>
          <w:sz w:val="24"/>
          <w:highlight w:val="none"/>
        </w:rPr>
        <w:t xml:space="preserve">2.13 乙方破产</w:t>
      </w:r>
      <w:bookmarkEnd w:id="244"/>
      <w:r/>
      <w:bookmarkEnd w:id="245"/>
      <w:r/>
      <w:bookmarkEnd w:id="246"/>
      <w:r/>
      <w:bookmarkEnd w:id="247"/>
      <w:r/>
      <w:bookmarkEnd w:id="248"/>
      <w:r/>
      <w:bookmarkEnd w:id="249"/>
      <w:r/>
      <w:bookmarkEnd w:id="250"/>
      <w:r/>
      <w:bookmarkEnd w:id="251"/>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695" w:firstLine="482"/>
        <w:spacing w:line="560" w:lineRule="exact"/>
        <w:rPr>
          <w:rFonts w:hint="eastAsia" w:ascii="仿宋" w:hAnsi="仿宋" w:eastAsia="仿宋" w:cs="仿宋"/>
          <w:b/>
          <w:color w:val="auto"/>
          <w:sz w:val="24"/>
          <w:highlight w:val="none"/>
        </w:rPr>
        <w:outlineLvl w:val="0"/>
      </w:pPr>
      <w:r/>
      <w:bookmarkStart w:id="252" w:name="_Toc23323"/>
      <w:r/>
      <w:bookmarkStart w:id="253" w:name="_Toc2016"/>
      <w:r/>
      <w:bookmarkStart w:id="254" w:name="_Toc1123"/>
      <w:r>
        <w:rPr>
          <w:rFonts w:hint="eastAsia" w:ascii="仿宋" w:hAnsi="仿宋" w:eastAsia="仿宋" w:cs="仿宋"/>
          <w:b/>
          <w:color w:val="auto"/>
          <w:sz w:val="24"/>
          <w:highlight w:val="none"/>
        </w:rPr>
        <w:t xml:space="preserve">2.14 合同中止、终止</w:t>
      </w:r>
      <w:bookmarkEnd w:id="252"/>
      <w:r/>
      <w:bookmarkEnd w:id="253"/>
      <w:r/>
      <w:bookmarkEnd w:id="25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2.14.1 双方当事人不得擅自中止或者终止合同；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left="695" w:firstLine="482"/>
        <w:spacing w:line="560" w:lineRule="exact"/>
        <w:rPr>
          <w:rFonts w:hint="eastAsia" w:ascii="仿宋" w:hAnsi="仿宋" w:eastAsia="仿宋" w:cs="仿宋"/>
          <w:b/>
          <w:color w:val="auto"/>
          <w:sz w:val="24"/>
          <w:highlight w:val="none"/>
        </w:rPr>
        <w:outlineLvl w:val="0"/>
      </w:pPr>
      <w:r/>
      <w:bookmarkStart w:id="255" w:name="_Toc14525"/>
      <w:r/>
      <w:bookmarkStart w:id="256" w:name="_Toc17363"/>
      <w:r/>
      <w:bookmarkStart w:id="257" w:name="_Toc1969"/>
      <w:r>
        <w:rPr>
          <w:rFonts w:hint="eastAsia" w:ascii="仿宋" w:hAnsi="仿宋" w:eastAsia="仿宋" w:cs="仿宋"/>
          <w:b/>
          <w:color w:val="auto"/>
          <w:sz w:val="24"/>
          <w:highlight w:val="none"/>
        </w:rPr>
        <w:t xml:space="preserve">2.15 检验和验收</w:t>
      </w:r>
      <w:bookmarkEnd w:id="255"/>
      <w:r/>
      <w:bookmarkEnd w:id="256"/>
      <w:r/>
      <w:bookmarkEnd w:id="257"/>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2.15.1 乙方按照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的约定，定期提交服务报告，甲方按照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的约定进行定期验收；</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2.15.3 检验和验收标准、程序等具体内容以及前述验收书的效力详见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i/>
          <w:color w:val="auto"/>
          <w:sz w:val="24"/>
          <w:highlight w:val="none"/>
        </w:rPr>
        <w:t xml:space="preserve">。</w:t>
      </w:r>
      <w:bookmarkEnd w:id="219"/>
      <w:r/>
      <w:bookmarkEnd w:id="220"/>
      <w:r/>
      <w:bookmarkEnd w:id="221"/>
      <w:r/>
      <w:bookmarkEnd w:id="222"/>
      <w:r/>
      <w:r/>
    </w:p>
    <w:p>
      <w:pPr>
        <w:ind w:left="695" w:firstLine="482"/>
        <w:spacing w:line="560" w:lineRule="exact"/>
        <w:rPr>
          <w:rFonts w:hint="eastAsia" w:ascii="仿宋" w:hAnsi="仿宋" w:eastAsia="仿宋" w:cs="仿宋"/>
          <w:b/>
          <w:color w:val="auto"/>
          <w:sz w:val="24"/>
          <w:highlight w:val="none"/>
        </w:rPr>
        <w:outlineLvl w:val="0"/>
      </w:pPr>
      <w:r/>
      <w:bookmarkStart w:id="258" w:name="_Toc487900371"/>
      <w:r/>
      <w:bookmarkStart w:id="259" w:name="_Toc279701261"/>
      <w:r/>
      <w:bookmarkStart w:id="260" w:name="_Toc259093690"/>
      <w:r/>
      <w:bookmarkStart w:id="261" w:name="_Toc12666"/>
      <w:r/>
      <w:bookmarkStart w:id="262" w:name="_Toc25198"/>
      <w:r/>
      <w:bookmarkStart w:id="263" w:name="_Toc9808"/>
      <w:r/>
      <w:bookmarkStart w:id="264" w:name="_Toc2308"/>
      <w:r/>
      <w:bookmarkStart w:id="265" w:name="_Toc31892"/>
      <w:r>
        <w:rPr>
          <w:rFonts w:hint="eastAsia" w:ascii="仿宋" w:hAnsi="仿宋" w:eastAsia="仿宋" w:cs="仿宋"/>
          <w:b/>
          <w:color w:val="auto"/>
          <w:sz w:val="24"/>
          <w:highlight w:val="none"/>
        </w:rPr>
        <w:t xml:space="preserve">2.16 通知</w:t>
      </w:r>
      <w:bookmarkEnd w:id="258"/>
      <w:r/>
      <w:bookmarkEnd w:id="259"/>
      <w:r/>
      <w:bookmarkEnd w:id="260"/>
      <w:r>
        <w:rPr>
          <w:rFonts w:hint="eastAsia" w:ascii="仿宋" w:hAnsi="仿宋" w:eastAsia="仿宋" w:cs="仿宋"/>
          <w:b/>
          <w:color w:val="auto"/>
          <w:sz w:val="24"/>
          <w:highlight w:val="none"/>
        </w:rPr>
        <w:t xml:space="preserve">和送达</w:t>
      </w:r>
      <w:bookmarkEnd w:id="261"/>
      <w:r/>
      <w:bookmarkEnd w:id="262"/>
      <w:r/>
      <w:bookmarkEnd w:id="263"/>
      <w:r/>
      <w:bookmarkEnd w:id="264"/>
      <w:r/>
      <w:bookmarkEnd w:id="265"/>
      <w:r/>
      <w:r/>
    </w:p>
    <w:p>
      <w:pPr>
        <w:ind w:left="695" w:firstLine="480"/>
        <w:spacing w:line="560" w:lineRule="exact"/>
        <w:rPr>
          <w:rFonts w:hint="eastAsia" w:ascii="仿宋" w:hAnsi="仿宋" w:eastAsia="仿宋" w:cs="仿宋"/>
          <w:color w:val="auto"/>
          <w:sz w:val="24"/>
          <w:highlight w:val="none"/>
        </w:rPr>
      </w:pPr>
      <w:r/>
      <w:bookmarkStart w:id="266" w:name="_Toc7073"/>
      <w:r/>
      <w:bookmarkStart w:id="267" w:name="_Toc29220"/>
      <w:r/>
      <w:bookmarkStart w:id="268" w:name="_Toc279701262"/>
      <w:r/>
      <w:bookmarkStart w:id="269" w:name="_Toc259093691"/>
      <w:r/>
      <w:bookmarkStart w:id="270" w:name="_Toc487900372"/>
      <w:r>
        <w:rPr>
          <w:rFonts w:hint="eastAsia" w:ascii="仿宋" w:hAnsi="仿宋" w:eastAsia="仿宋" w:cs="仿宋"/>
          <w:color w:val="auto"/>
          <w:sz w:val="24"/>
          <w:highlight w:val="none"/>
        </w:rPr>
        <w:t xml:space="preserve">2.16.1 任何一方因履行合同而以合同第一部分尾部所列明的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发出的所有通知、文件、材料，均视为已向对方当事人送达；任何一方变更上述送达方式或者地址的，应于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个工作日内书面通知对方当事人，在对方当事人收到有关变更通知之前，变更前的约定送达方式或者地址仍视为有效。</w:t>
      </w:r>
      <w:bookmarkEnd w:id="266"/>
      <w:r/>
      <w:bookmarkEnd w:id="267"/>
      <w:r/>
      <w:r/>
    </w:p>
    <w:p>
      <w:pPr>
        <w:ind w:left="695" w:firstLine="480"/>
        <w:spacing w:line="560" w:lineRule="exact"/>
        <w:rPr>
          <w:rFonts w:hint="eastAsia" w:ascii="仿宋" w:hAnsi="仿宋" w:eastAsia="仿宋" w:cs="仿宋"/>
          <w:color w:val="auto"/>
          <w:sz w:val="24"/>
          <w:highlight w:val="none"/>
        </w:rPr>
      </w:pPr>
      <w:r/>
      <w:bookmarkStart w:id="271" w:name="_Toc18401"/>
      <w:r/>
      <w:bookmarkStart w:id="272" w:name="_Toc27674"/>
      <w:r>
        <w:rPr>
          <w:rFonts w:hint="eastAsia" w:ascii="仿宋" w:hAnsi="仿宋" w:eastAsia="仿宋" w:cs="仿宋"/>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1"/>
      <w:r/>
      <w:bookmarkEnd w:id="272"/>
      <w:r/>
      <w:bookmarkEnd w:id="268"/>
      <w:r/>
      <w:bookmarkEnd w:id="269"/>
      <w:r/>
      <w:bookmarkEnd w:id="270"/>
      <w:r/>
      <w:r/>
    </w:p>
    <w:p>
      <w:pPr>
        <w:ind w:left="695" w:firstLine="482"/>
        <w:spacing w:line="560" w:lineRule="exact"/>
        <w:rPr>
          <w:rFonts w:hint="eastAsia" w:ascii="仿宋" w:hAnsi="仿宋" w:eastAsia="仿宋" w:cs="仿宋"/>
          <w:b/>
          <w:color w:val="auto"/>
          <w:sz w:val="24"/>
          <w:highlight w:val="none"/>
        </w:rPr>
        <w:outlineLvl w:val="0"/>
      </w:pPr>
      <w:r/>
      <w:bookmarkStart w:id="273" w:name="_Toc28906"/>
      <w:r/>
      <w:bookmarkStart w:id="274" w:name="_Toc487900373"/>
      <w:r/>
      <w:bookmarkStart w:id="275" w:name="_Toc12254"/>
      <w:r/>
      <w:bookmarkStart w:id="276" w:name="_Toc20808"/>
      <w:r/>
      <w:bookmarkStart w:id="277" w:name="_Toc259093692"/>
      <w:r/>
      <w:bookmarkStart w:id="278" w:name="_Toc27644"/>
      <w:r/>
      <w:bookmarkStart w:id="279" w:name="_Toc279701263"/>
      <w:r/>
      <w:bookmarkStart w:id="280" w:name="_Toc5063"/>
      <w:r>
        <w:rPr>
          <w:rFonts w:hint="eastAsia" w:ascii="仿宋" w:hAnsi="仿宋" w:eastAsia="仿宋" w:cs="仿宋"/>
          <w:b/>
          <w:color w:val="auto"/>
          <w:sz w:val="24"/>
          <w:highlight w:val="none"/>
        </w:rPr>
        <w:t xml:space="preserve">2.17 合同使用的文字和适用的法律</w:t>
      </w:r>
      <w:bookmarkEnd w:id="273"/>
      <w:r/>
      <w:bookmarkEnd w:id="274"/>
      <w:r/>
      <w:bookmarkEnd w:id="275"/>
      <w:r/>
      <w:bookmarkEnd w:id="276"/>
      <w:r/>
      <w:bookmarkEnd w:id="277"/>
      <w:r/>
      <w:bookmarkEnd w:id="278"/>
      <w:r/>
      <w:bookmarkEnd w:id="279"/>
      <w:r/>
      <w:bookmarkEnd w:id="28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2.17.1 合同使用汉语书就、变更和解释；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2.17.2 合同适用中华人民共和国法律。</w:t>
      </w:r>
      <w:r/>
    </w:p>
    <w:p>
      <w:pPr>
        <w:ind w:left="695" w:firstLine="482"/>
        <w:spacing w:line="560" w:lineRule="exact"/>
        <w:rPr>
          <w:rFonts w:hint="eastAsia" w:ascii="仿宋" w:hAnsi="仿宋" w:eastAsia="仿宋" w:cs="仿宋"/>
          <w:b/>
          <w:color w:val="auto"/>
          <w:sz w:val="24"/>
          <w:highlight w:val="none"/>
        </w:rPr>
        <w:outlineLvl w:val="0"/>
      </w:pPr>
      <w:r/>
      <w:bookmarkStart w:id="281" w:name="_Toc22266"/>
      <w:r/>
      <w:bookmarkStart w:id="282" w:name="_Toc30096"/>
      <w:r/>
      <w:bookmarkStart w:id="283" w:name="_Toc279701264"/>
      <w:r/>
      <w:bookmarkStart w:id="284" w:name="_Toc1492"/>
      <w:r/>
      <w:bookmarkStart w:id="285" w:name="_Toc259093693"/>
      <w:r/>
      <w:bookmarkStart w:id="286" w:name="_Toc27403"/>
      <w:r/>
      <w:bookmarkStart w:id="287" w:name="_Toc27127"/>
      <w:r/>
      <w:bookmarkStart w:id="288" w:name="_Toc487900374"/>
      <w:r>
        <w:rPr>
          <w:rFonts w:hint="eastAsia" w:ascii="仿宋" w:hAnsi="仿宋" w:eastAsia="仿宋" w:cs="仿宋"/>
          <w:b/>
          <w:color w:val="auto"/>
          <w:sz w:val="24"/>
          <w:highlight w:val="none"/>
        </w:rPr>
        <w:t xml:space="preserve">2.18 履约保证金</w:t>
      </w:r>
      <w:bookmarkEnd w:id="281"/>
      <w:r/>
      <w:bookmarkEnd w:id="282"/>
      <w:r/>
      <w:bookmarkEnd w:id="283"/>
      <w:r/>
      <w:bookmarkEnd w:id="284"/>
      <w:r/>
      <w:bookmarkEnd w:id="285"/>
      <w:r/>
      <w:bookmarkEnd w:id="286"/>
      <w:r/>
      <w:bookmarkEnd w:id="28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2.18.1 采购文件要求乙方提交履约保证金的，乙方应按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约定的方式，以支票、汇票、本票或者金融机构、担保机构出具的</w:t>
      </w:r>
      <w:r>
        <w:rPr>
          <w:rFonts w:hint="eastAsia" w:ascii="仿宋" w:hAnsi="仿宋" w:eastAsia="仿宋" w:cs="仿宋"/>
          <w:color w:val="auto"/>
          <w:sz w:val="24"/>
          <w:highlight w:val="none"/>
          <w:lang w:val="en-US" w:eastAsia="zh-CN"/>
        </w:rPr>
        <w:t xml:space="preserve">见索即付的</w:t>
      </w:r>
      <w:r>
        <w:rPr>
          <w:rFonts w:hint="eastAsia" w:ascii="仿宋" w:hAnsi="仿宋" w:eastAsia="仿宋" w:cs="仿宋"/>
          <w:color w:val="auto"/>
          <w:sz w:val="24"/>
          <w:highlight w:val="none"/>
        </w:rPr>
        <w:t xml:space="preserve">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b/>
          <w:bCs w:val="0"/>
          <w:color w:val="auto"/>
          <w:sz w:val="24"/>
          <w:highlight w:val="none"/>
          <w:u w:val="single"/>
          <w:lang w:val="en-US" w:eastAsia="zh-CN"/>
        </w:rPr>
        <w:t xml:space="preserve">应为无任何附加条件见索即付保函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color w:val="auto"/>
          <w:sz w:val="24"/>
          <w:highlight w:val="none"/>
        </w:rPr>
        <w:t xml:space="preserve">等形式，提交不超过合同价</w:t>
      </w:r>
      <w:r>
        <w:rPr>
          <w:rFonts w:hint="eastAsia" w:ascii="仿宋" w:hAnsi="仿宋" w:eastAsia="仿宋" w:cs="仿宋"/>
          <w:color w:val="auto"/>
          <w:sz w:val="24"/>
          <w:highlight w:val="none"/>
          <w:u w:val="single"/>
          <w:lang w:val="en-US" w:eastAsia="zh-CN"/>
        </w:rPr>
        <w:t xml:space="preserve">10% </w:t>
      </w:r>
      <w:r>
        <w:rPr>
          <w:rFonts w:hint="eastAsia" w:ascii="仿宋" w:hAnsi="仿宋" w:eastAsia="仿宋" w:cs="仿宋"/>
          <w:color w:val="auto"/>
          <w:sz w:val="24"/>
          <w:highlight w:val="none"/>
        </w:rPr>
        <w:t xml:space="preserve">的履约保证金；</w:t>
      </w:r>
      <w:r/>
    </w:p>
    <w:p>
      <w:pPr>
        <w:ind w:left="695" w:firstLine="482"/>
        <w:spacing w:line="560" w:lineRule="exact"/>
        <w:rPr>
          <w:rFonts w:hint="eastAsia" w:ascii="仿宋" w:hAnsi="仿宋" w:eastAsia="仿宋" w:cs="仿宋"/>
          <w:color w:val="auto"/>
          <w:sz w:val="24"/>
          <w:highlight w:val="none"/>
        </w:rPr>
      </w:pPr>
      <w:r>
        <w:rPr>
          <w:rFonts w:hint="eastAsia" w:ascii="仿宋" w:hAnsi="仿宋" w:eastAsia="仿宋" w:cs="仿宋"/>
          <w:b/>
          <w:bCs w:val="0"/>
          <w:color w:val="auto"/>
          <w:sz w:val="24"/>
          <w:highlight w:val="none"/>
          <w:lang w:val="en-US" w:eastAsia="zh-CN"/>
        </w:rPr>
        <w:t xml:space="preserve">注：</w:t>
      </w:r>
      <w:r>
        <w:rPr>
          <w:rFonts w:hint="eastAsia" w:ascii="仿宋" w:hAnsi="仿宋" w:eastAsia="仿宋" w:cs="仿宋"/>
          <w:b/>
          <w:bCs w:val="0"/>
          <w:color w:val="auto"/>
          <w:sz w:val="24"/>
          <w:highlight w:val="none"/>
        </w:rPr>
        <w:t xml:space="preserve">金融机构、担保机构出具的保函</w:t>
      </w:r>
      <w:r>
        <w:rPr>
          <w:rFonts w:hint="eastAsia" w:ascii="仿宋" w:hAnsi="仿宋" w:eastAsia="仿宋" w:cs="仿宋"/>
          <w:b/>
          <w:bCs w:val="0"/>
          <w:color w:val="auto"/>
          <w:sz w:val="24"/>
          <w:highlight w:val="none"/>
          <w:lang w:val="en-US" w:eastAsia="zh-CN"/>
        </w:rPr>
        <w:t xml:space="preserve">有效期需含质保期。</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2.18.2 履约保证金在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约定期间内不予退还或者应完全有效，前述约定期间届满之日起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个工作日内，甲方应将履约保证金退还乙方；</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88"/>
      <w:r/>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2.19 合同份数</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合同份数按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规定，每份均具有同等法律效力。</w:t>
      </w:r>
      <w:r/>
    </w:p>
    <w:p>
      <w:pPr>
        <w:pStyle w:val="1008"/>
        <w:ind w:left="695" w:firstLine="480"/>
        <w:jc w:val="center"/>
        <w:spacing w:line="560" w:lineRule="exact"/>
        <w:rPr>
          <w:rFonts w:hint="eastAsia" w:ascii="仿宋" w:hAnsi="仿宋" w:eastAsia="仿宋" w:cs="仿宋"/>
          <w:b/>
          <w:color w:val="auto"/>
          <w:szCs w:val="24"/>
          <w:highlight w:val="none"/>
        </w:rPr>
      </w:pPr>
      <w:r>
        <w:rPr>
          <w:rFonts w:hint="eastAsia" w:ascii="仿宋" w:hAnsi="仿宋" w:eastAsia="仿宋" w:cs="仿宋"/>
          <w:color w:val="auto"/>
          <w:szCs w:val="24"/>
          <w:highlight w:val="none"/>
        </w:rPr>
        <w:br w:type="page" w:clear="all"/>
      </w:r>
      <w:bookmarkStart w:id="289" w:name="_Toc331685784"/>
      <w:r>
        <w:rPr>
          <w:rFonts w:hint="eastAsia" w:ascii="仿宋" w:hAnsi="仿宋" w:eastAsia="仿宋" w:cs="仿宋"/>
          <w:b/>
          <w:color w:val="auto"/>
          <w:szCs w:val="24"/>
          <w:highlight w:val="none"/>
        </w:rPr>
        <w:t xml:space="preserve">第三部分  合同专用条款</w:t>
      </w:r>
      <w:bookmarkEnd w:id="28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8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jc w:val="center"/>
          <w:trHeight w:val="391"/>
        </w:trPr>
        <w:tc>
          <w:tcPr>
            <w:tcBorders>
              <w:left w:val="single" w:color="auto" w:sz="4" w:space="0"/>
            </w:tcBorders>
            <w:tcW w:w="801" w:type="dxa"/>
            <w:vAlign w:val="center"/>
            <w:textDirection w:val="lrTb"/>
            <w:noWrap w:val="false"/>
          </w:tcPr>
          <w:p>
            <w:pPr>
              <w:jc w:val="both"/>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条款号</w:t>
            </w:r>
            <w:r/>
          </w:p>
        </w:tc>
        <w:tc>
          <w:tcPr>
            <w:tcW w:w="7633" w:type="dxa"/>
            <w:vAlign w:val="center"/>
            <w:textDirection w:val="lrTb"/>
            <w:noWrap w:val="false"/>
          </w:tcPr>
          <w:p>
            <w:pPr>
              <w:ind w:left="695" w:firstLine="0"/>
              <w:jc w:val="center"/>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约定内容</w:t>
            </w:r>
            <w:r/>
          </w:p>
        </w:tc>
      </w:tr>
      <w:tr>
        <w:trPr>
          <w:jc w:val="cente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7633"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811"/>
        <w:ind w:left="695" w:firstLine="482"/>
        <w:spacing w:line="360" w:lineRule="auto"/>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注释：本合同样本中的条款仅作为双方签订合同的参考，为阐明各方的权利和义务，经协商可增加新的条款。但不得与磋商文件、乙方响应文件的实质性内容相背离。</w:t>
      </w:r>
      <w:r/>
    </w:p>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Helvetica">
    <w:panose1 w:val="020B0604020202020204"/>
  </w:font>
  <w:font w:name="长城仿宋">
    <w:panose1 w:val="020B0503020202020204"/>
  </w:font>
  <w:font w:name="方正仿宋_GBK">
    <w:panose1 w:val="020B0503020202020204"/>
  </w:font>
  <w:font w:name="Calibri">
    <w:panose1 w:val="020F0502020204030204"/>
  </w:font>
  <w:font w:name="微软雅黑">
    <w:panose1 w:val="020B0503020204020204"/>
  </w:font>
  <w:font w:name="Trebuchet MS">
    <w:panose1 w:val="020B0603020202020204"/>
  </w:font>
  <w:font w:name="Courier New">
    <w:panose1 w:val="02070309020205020404"/>
  </w:font>
  <w:font w:name="仿宋">
    <w:panose1 w:val="02010609060101010101"/>
  </w:font>
  <w:font w:name="等线">
    <w:panose1 w:val="02010600030101010101"/>
  </w:font>
  <w:font w:name="仿宋_GB2312">
    <w:panose1 w:val="02010609060101010101"/>
  </w:font>
  <w:font w:name="幼圆">
    <w:panose1 w:val="02010509060101010101"/>
  </w:font>
  <w:font w:name="黑体">
    <w:panose1 w:val="02010609060101010101"/>
  </w:font>
  <w:font w:name="楷体_GB2312">
    <w:panose1 w:val="02010609060101010101"/>
  </w:font>
  <w:font w:name="FuturaA Bk BT">
    <w:panose1 w:val="020B0503020202020204"/>
  </w:font>
  <w:font w:name="Arial">
    <w:panose1 w:val="020B0604020202020204"/>
  </w:font>
  <w:font w:name="宋体">
    <w:panose1 w:val="02010600030101010101"/>
  </w:font>
  <w:font w:name="??_GB2312">
    <w:panose1 w:val="020B0503020202020204"/>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7"/>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79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002"/>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5 Char"/>
    <w:basedOn w:val="781"/>
    <w:link w:val="776"/>
    <w:uiPriority w:val="9"/>
    <w:rPr>
      <w:rFonts w:ascii="Arial" w:hAnsi="Arial" w:eastAsia="Arial" w:cs="Arial"/>
      <w:b/>
      <w:bCs/>
      <w:sz w:val="24"/>
      <w:szCs w:val="24"/>
    </w:rPr>
  </w:style>
  <w:style w:type="character" w:styleId="760">
    <w:name w:val="Heading 6 Char"/>
    <w:basedOn w:val="781"/>
    <w:link w:val="777"/>
    <w:uiPriority w:val="9"/>
    <w:rPr>
      <w:rFonts w:ascii="Arial" w:hAnsi="Arial" w:eastAsia="Arial" w:cs="Arial"/>
      <w:b/>
      <w:bCs/>
      <w:sz w:val="22"/>
      <w:szCs w:val="22"/>
    </w:rPr>
  </w:style>
  <w:style w:type="character" w:styleId="761">
    <w:name w:val="Heading 7 Char"/>
    <w:basedOn w:val="781"/>
    <w:link w:val="778"/>
    <w:uiPriority w:val="9"/>
    <w:rPr>
      <w:rFonts w:ascii="Arial" w:hAnsi="Arial" w:eastAsia="Arial" w:cs="Arial"/>
      <w:b/>
      <w:bCs/>
      <w:i/>
      <w:iCs/>
      <w:sz w:val="22"/>
      <w:szCs w:val="22"/>
    </w:rPr>
  </w:style>
  <w:style w:type="character" w:styleId="762">
    <w:name w:val="Heading 8 Char"/>
    <w:basedOn w:val="781"/>
    <w:link w:val="779"/>
    <w:uiPriority w:val="9"/>
    <w:rPr>
      <w:rFonts w:ascii="Arial" w:hAnsi="Arial" w:eastAsia="Arial" w:cs="Arial"/>
      <w:i/>
      <w:iCs/>
      <w:sz w:val="22"/>
      <w:szCs w:val="22"/>
    </w:rPr>
  </w:style>
  <w:style w:type="character" w:styleId="763">
    <w:name w:val="Heading 9 Char"/>
    <w:basedOn w:val="781"/>
    <w:link w:val="780"/>
    <w:uiPriority w:val="9"/>
    <w:rPr>
      <w:rFonts w:ascii="Arial" w:hAnsi="Arial" w:eastAsia="Arial" w:cs="Arial"/>
      <w:i/>
      <w:iCs/>
      <w:sz w:val="21"/>
      <w:szCs w:val="21"/>
    </w:rPr>
  </w:style>
  <w:style w:type="character" w:styleId="764">
    <w:name w:val="Title Char"/>
    <w:basedOn w:val="781"/>
    <w:link w:val="809"/>
    <w:uiPriority w:val="10"/>
    <w:rPr>
      <w:sz w:val="48"/>
      <w:szCs w:val="48"/>
    </w:rPr>
  </w:style>
  <w:style w:type="character" w:styleId="765">
    <w:name w:val="Subtitle Char"/>
    <w:basedOn w:val="781"/>
    <w:link w:val="801"/>
    <w:uiPriority w:val="11"/>
    <w:rPr>
      <w:sz w:val="24"/>
      <w:szCs w:val="24"/>
    </w:rPr>
  </w:style>
  <w:style w:type="character" w:styleId="766">
    <w:name w:val="Quote Char"/>
    <w:link w:val="840"/>
    <w:uiPriority w:val="29"/>
    <w:rPr>
      <w:i/>
    </w:rPr>
  </w:style>
  <w:style w:type="character" w:styleId="767">
    <w:name w:val="Intense Quote Char"/>
    <w:link w:val="842"/>
    <w:uiPriority w:val="30"/>
    <w:rPr>
      <w:i/>
    </w:rPr>
  </w:style>
  <w:style w:type="character" w:styleId="768">
    <w:name w:val="Footnote Text Char"/>
    <w:link w:val="802"/>
    <w:uiPriority w:val="99"/>
    <w:rPr>
      <w:sz w:val="18"/>
    </w:rPr>
  </w:style>
  <w:style w:type="character" w:styleId="769">
    <w:name w:val="Endnote Text Char"/>
    <w:link w:val="796"/>
    <w:uiPriority w:val="99"/>
    <w:rPr>
      <w:sz w:val="20"/>
    </w:rPr>
  </w:style>
  <w:style w:type="paragraph" w:styleId="770">
    <w:name w:val="TOC Heading"/>
    <w:uiPriority w:val="39"/>
    <w:unhideWhenUsed/>
  </w:style>
  <w:style w:type="paragraph" w:styleId="77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2">
    <w:name w:val="Heading 1"/>
    <w:basedOn w:val="771"/>
    <w:next w:val="771"/>
    <w:uiPriority w:val="0"/>
    <w:qFormat/>
    <w:pPr>
      <w:keepLines/>
      <w:keepNext/>
      <w:spacing w:before="340" w:after="330" w:line="578" w:lineRule="auto"/>
      <w:outlineLvl w:val="0"/>
    </w:pPr>
    <w:rPr>
      <w:rFonts w:eastAsia="楷体_GB2312"/>
      <w:b/>
      <w:sz w:val="44"/>
    </w:rPr>
  </w:style>
  <w:style w:type="paragraph" w:styleId="773">
    <w:name w:val="Heading 2"/>
    <w:basedOn w:val="771"/>
    <w:next w:val="783"/>
    <w:uiPriority w:val="9"/>
    <w:qFormat/>
    <w:pPr>
      <w:keepLines/>
      <w:keepNext/>
      <w:spacing w:before="260" w:after="260" w:line="415" w:lineRule="auto"/>
      <w:outlineLvl w:val="1"/>
    </w:pPr>
    <w:rPr>
      <w:rFonts w:ascii="Arial" w:hAnsi="Arial" w:eastAsia="黑体"/>
      <w:b/>
      <w:bCs/>
      <w:sz w:val="32"/>
      <w:szCs w:val="32"/>
    </w:rPr>
  </w:style>
  <w:style w:type="paragraph" w:styleId="774">
    <w:name w:val="Heading 3"/>
    <w:basedOn w:val="771"/>
    <w:next w:val="771"/>
    <w:uiPriority w:val="9"/>
    <w:qFormat/>
    <w:pPr>
      <w:ind w:left="220"/>
      <w:outlineLvl w:val="2"/>
    </w:pPr>
    <w:rPr>
      <w:rFonts w:ascii="仿宋" w:hAnsi="仿宋" w:eastAsia="仿宋" w:cs="仿宋"/>
      <w:b/>
      <w:bCs/>
      <w:sz w:val="28"/>
      <w:szCs w:val="28"/>
    </w:rPr>
  </w:style>
  <w:style w:type="paragraph" w:styleId="775">
    <w:name w:val="Heading 4"/>
    <w:basedOn w:val="771"/>
    <w:next w:val="771"/>
    <w:uiPriority w:val="0"/>
    <w:qFormat/>
    <w:pPr>
      <w:keepLines/>
      <w:keepNext/>
      <w:spacing w:before="120" w:after="120"/>
      <w:outlineLvl w:val="3"/>
    </w:pPr>
    <w:rPr>
      <w:rFonts w:ascii="Arial" w:hAnsi="Arial" w:eastAsia="黑体"/>
      <w:b/>
      <w:sz w:val="20"/>
    </w:rPr>
  </w:style>
  <w:style w:type="paragraph" w:styleId="776">
    <w:name w:val="Heading 5"/>
    <w:basedOn w:val="771"/>
    <w:next w:val="771"/>
    <w:link w:val="832"/>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33"/>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35"/>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36"/>
    <w:uiPriority w:val="9"/>
    <w:unhideWhenUsed/>
    <w:qFormat/>
    <w:pPr>
      <w:keepLines/>
      <w:keepNext/>
      <w:spacing w:before="320" w:after="200"/>
      <w:outlineLvl w:val="8"/>
    </w:pPr>
    <w:rPr>
      <w:rFonts w:ascii="Arial" w:hAnsi="Arial" w:eastAsia="Arial" w:cs="Arial"/>
      <w:i/>
      <w:iCs/>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Normal Indent"/>
    <w:basedOn w:val="771"/>
    <w:uiPriority w:val="0"/>
    <w:qFormat/>
    <w:pPr>
      <w:ind w:firstLine="420"/>
      <w:jc w:val="left"/>
    </w:pPr>
    <w:rPr>
      <w:rFonts w:eastAsia="楷体_GB2312"/>
      <w:sz w:val="24"/>
    </w:rPr>
  </w:style>
  <w:style w:type="paragraph" w:styleId="784">
    <w:name w:val="toc 7"/>
    <w:basedOn w:val="771"/>
    <w:next w:val="771"/>
    <w:uiPriority w:val="39"/>
    <w:unhideWhenUsed/>
    <w:qFormat/>
    <w:pPr>
      <w:ind w:left="1701"/>
      <w:spacing w:after="57"/>
    </w:pPr>
  </w:style>
  <w:style w:type="paragraph" w:styleId="785">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annotation text"/>
    <w:basedOn w:val="771"/>
    <w:uiPriority w:val="0"/>
    <w:qFormat/>
    <w:pPr>
      <w:jc w:val="left"/>
    </w:pPr>
  </w:style>
  <w:style w:type="paragraph" w:styleId="787">
    <w:name w:val="Body Text"/>
    <w:basedOn w:val="771"/>
    <w:uiPriority w:val="0"/>
    <w:qFormat/>
    <w:pPr>
      <w:spacing w:after="120"/>
    </w:pPr>
  </w:style>
  <w:style w:type="paragraph" w:styleId="788">
    <w:name w:val="Body Text Indent"/>
    <w:basedOn w:val="771"/>
    <w:next w:val="789"/>
    <w:uiPriority w:val="99"/>
    <w:unhideWhenUsed/>
    <w:qFormat/>
    <w:pPr>
      <w:ind w:left="420"/>
      <w:spacing w:after="120"/>
    </w:pPr>
    <w:rPr>
      <w:szCs w:val="24"/>
    </w:rPr>
  </w:style>
  <w:style w:type="paragraph" w:styleId="789">
    <w:name w:val="envelope return"/>
    <w:basedOn w:val="771"/>
    <w:uiPriority w:val="99"/>
    <w:unhideWhenUsed/>
    <w:qFormat/>
    <w:rPr>
      <w:rFonts w:ascii="Arial" w:hAnsi="Arial"/>
    </w:rPr>
  </w:style>
  <w:style w:type="paragraph" w:styleId="790">
    <w:name w:val="index 4"/>
    <w:basedOn w:val="771"/>
    <w:next w:val="771"/>
    <w:uiPriority w:val="99"/>
    <w:unhideWhenUsed/>
    <w:qFormat/>
    <w:pPr>
      <w:ind w:left="600"/>
    </w:pPr>
  </w:style>
  <w:style w:type="paragraph" w:styleId="791">
    <w:name w:val="toc 5"/>
    <w:basedOn w:val="771"/>
    <w:next w:val="771"/>
    <w:uiPriority w:val="39"/>
    <w:unhideWhenUsed/>
    <w:qFormat/>
    <w:pPr>
      <w:ind w:left="1134"/>
      <w:spacing w:after="57"/>
    </w:pPr>
  </w:style>
  <w:style w:type="paragraph" w:styleId="792">
    <w:name w:val="toc 3"/>
    <w:basedOn w:val="771"/>
    <w:next w:val="771"/>
    <w:uiPriority w:val="0"/>
    <w:qFormat/>
    <w:pPr>
      <w:ind w:left="840"/>
    </w:pPr>
  </w:style>
  <w:style w:type="paragraph" w:styleId="793">
    <w:name w:val="Plain Text"/>
    <w:basedOn w:val="771"/>
    <w:uiPriority w:val="99"/>
    <w:qFormat/>
    <w:rPr>
      <w:rFonts w:ascii="宋体" w:hAnsi="Courier New"/>
      <w:sz w:val="20"/>
      <w:szCs w:val="21"/>
    </w:rPr>
  </w:style>
  <w:style w:type="paragraph" w:styleId="794">
    <w:name w:val="toc 8"/>
    <w:basedOn w:val="771"/>
    <w:next w:val="771"/>
    <w:uiPriority w:val="39"/>
    <w:unhideWhenUsed/>
    <w:qFormat/>
    <w:pPr>
      <w:ind w:left="1984"/>
      <w:spacing w:after="57"/>
    </w:pPr>
  </w:style>
  <w:style w:type="paragraph" w:styleId="795">
    <w:name w:val="Body Text Indent 2"/>
    <w:basedOn w:val="771"/>
    <w:uiPriority w:val="0"/>
    <w:semiHidden/>
    <w:unhideWhenUsed/>
    <w:qFormat/>
    <w:pPr>
      <w:ind w:firstLine="560"/>
      <w:spacing w:line="500" w:lineRule="exact"/>
    </w:pPr>
    <w:rPr>
      <w:rFonts w:eastAsia="仿宋_GB2312"/>
      <w:sz w:val="28"/>
    </w:rPr>
  </w:style>
  <w:style w:type="paragraph" w:styleId="796">
    <w:name w:val="endnote text"/>
    <w:basedOn w:val="771"/>
    <w:link w:val="973"/>
    <w:uiPriority w:val="99"/>
    <w:semiHidden/>
    <w:unhideWhenUsed/>
    <w:qFormat/>
    <w:rPr>
      <w:sz w:val="20"/>
    </w:rPr>
  </w:style>
  <w:style w:type="paragraph" w:styleId="797">
    <w:name w:val="Footer"/>
    <w:basedOn w:val="771"/>
    <w:uiPriority w:val="0"/>
    <w:qFormat/>
    <w:pPr>
      <w:jc w:val="left"/>
      <w:tabs>
        <w:tab w:val="center" w:pos="4153" w:leader="none"/>
        <w:tab w:val="right" w:pos="8306" w:leader="none"/>
      </w:tabs>
    </w:pPr>
    <w:rPr>
      <w:sz w:val="18"/>
      <w:szCs w:val="18"/>
    </w:rPr>
  </w:style>
  <w:style w:type="paragraph" w:styleId="798">
    <w:name w:val="Header"/>
    <w:basedOn w:val="771"/>
    <w:link w:val="978"/>
    <w:uiPriority w:val="0"/>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71"/>
    <w:next w:val="771"/>
    <w:uiPriority w:val="0"/>
    <w:qFormat/>
    <w:pPr>
      <w:jc w:val="left"/>
    </w:pPr>
    <w:rPr>
      <w:rFonts w:eastAsia="楷体_GB2312"/>
      <w:sz w:val="24"/>
    </w:rPr>
  </w:style>
  <w:style w:type="paragraph" w:styleId="800">
    <w:name w:val="toc 4"/>
    <w:basedOn w:val="771"/>
    <w:next w:val="771"/>
    <w:uiPriority w:val="39"/>
    <w:unhideWhenUsed/>
    <w:qFormat/>
    <w:pPr>
      <w:ind w:left="850"/>
      <w:spacing w:after="57"/>
    </w:pPr>
  </w:style>
  <w:style w:type="paragraph" w:styleId="801">
    <w:name w:val="Subtitle"/>
    <w:basedOn w:val="771"/>
    <w:next w:val="771"/>
    <w:link w:val="839"/>
    <w:uiPriority w:val="11"/>
    <w:qFormat/>
    <w:pPr>
      <w:spacing w:before="200" w:after="200"/>
    </w:pPr>
    <w:rPr>
      <w:sz w:val="24"/>
      <w:szCs w:val="24"/>
    </w:rPr>
  </w:style>
  <w:style w:type="paragraph" w:styleId="802">
    <w:name w:val="footnote text"/>
    <w:basedOn w:val="771"/>
    <w:link w:val="972"/>
    <w:uiPriority w:val="99"/>
    <w:semiHidden/>
    <w:unhideWhenUsed/>
    <w:qFormat/>
    <w:pPr>
      <w:spacing w:after="40"/>
    </w:pPr>
    <w:rPr>
      <w:sz w:val="18"/>
    </w:rPr>
  </w:style>
  <w:style w:type="paragraph" w:styleId="803">
    <w:name w:val="toc 6"/>
    <w:basedOn w:val="771"/>
    <w:next w:val="771"/>
    <w:uiPriority w:val="0"/>
    <w:qFormat/>
    <w:pPr>
      <w:ind w:left="1050"/>
      <w:jc w:val="left"/>
    </w:pPr>
    <w:rPr>
      <w:sz w:val="18"/>
    </w:rPr>
  </w:style>
  <w:style w:type="paragraph" w:styleId="804">
    <w:name w:val="Body Text Indent 3"/>
    <w:basedOn w:val="771"/>
    <w:uiPriority w:val="0"/>
    <w:qFormat/>
    <w:pPr>
      <w:ind w:firstLine="539"/>
      <w:spacing w:line="520" w:lineRule="exact"/>
    </w:pPr>
    <w:rPr>
      <w:rFonts w:ascii="宋体"/>
      <w:b/>
      <w:spacing w:val="6"/>
      <w:sz w:val="28"/>
    </w:rPr>
  </w:style>
  <w:style w:type="paragraph" w:styleId="805">
    <w:name w:val="table of figures"/>
    <w:basedOn w:val="771"/>
    <w:next w:val="771"/>
    <w:uiPriority w:val="99"/>
    <w:unhideWhenUsed/>
    <w:qFormat/>
  </w:style>
  <w:style w:type="paragraph" w:styleId="806">
    <w:name w:val="toc 2"/>
    <w:basedOn w:val="771"/>
    <w:next w:val="771"/>
    <w:uiPriority w:val="39"/>
    <w:unhideWhenUsed/>
    <w:qFormat/>
    <w:pPr>
      <w:ind w:left="283"/>
      <w:spacing w:after="57"/>
    </w:pPr>
  </w:style>
  <w:style w:type="paragraph" w:styleId="807">
    <w:name w:val="toc 9"/>
    <w:basedOn w:val="771"/>
    <w:next w:val="771"/>
    <w:uiPriority w:val="39"/>
    <w:unhideWhenUsed/>
    <w:qFormat/>
    <w:pPr>
      <w:ind w:left="2268"/>
      <w:spacing w:after="57"/>
    </w:pPr>
  </w:style>
  <w:style w:type="paragraph" w:styleId="808">
    <w:name w:val="Normal (Web)"/>
    <w:basedOn w:val="771"/>
    <w:uiPriority w:val="99"/>
    <w:semiHidden/>
    <w:qFormat/>
    <w:pPr>
      <w:jc w:val="left"/>
      <w:spacing w:before="100" w:beforeAutospacing="1" w:after="100" w:afterAutospacing="1"/>
      <w:widowControl/>
    </w:pPr>
    <w:rPr>
      <w:rFonts w:ascii="宋体" w:hAnsi="宋体" w:cs="宋体"/>
      <w:sz w:val="24"/>
      <w:szCs w:val="24"/>
    </w:rPr>
  </w:style>
  <w:style w:type="paragraph" w:styleId="809">
    <w:name w:val="Title"/>
    <w:basedOn w:val="771"/>
    <w:next w:val="771"/>
    <w:link w:val="838"/>
    <w:uiPriority w:val="10"/>
    <w:qFormat/>
    <w:pPr>
      <w:contextualSpacing/>
      <w:spacing w:before="300" w:after="200"/>
    </w:pPr>
    <w:rPr>
      <w:sz w:val="48"/>
      <w:szCs w:val="48"/>
    </w:rPr>
  </w:style>
  <w:style w:type="paragraph" w:styleId="810">
    <w:name w:val="Body Text First Indent"/>
    <w:basedOn w:val="787"/>
    <w:uiPriority w:val="0"/>
    <w:qFormat/>
    <w:pPr>
      <w:ind w:firstLine="482"/>
      <w:spacing w:line="360" w:lineRule="auto"/>
    </w:pPr>
    <w:rPr>
      <w:b/>
      <w:sz w:val="24"/>
    </w:rPr>
  </w:style>
  <w:style w:type="paragraph" w:styleId="811">
    <w:name w:val="Body Text First Indent 2"/>
    <w:basedOn w:val="788"/>
    <w:next w:val="771"/>
    <w:uiPriority w:val="99"/>
    <w:unhideWhenUsed/>
    <w:qFormat/>
    <w:pPr>
      <w:ind w:firstLine="200"/>
    </w:pPr>
  </w:style>
  <w:style w:type="table" w:styleId="812">
    <w:name w:val="Table Grid"/>
    <w:basedOn w:val="782"/>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basedOn w:val="781"/>
    <w:uiPriority w:val="22"/>
    <w:qFormat/>
    <w:rPr>
      <w:b/>
      <w:bCs/>
    </w:rPr>
  </w:style>
  <w:style w:type="character" w:styleId="814">
    <w:name w:val="endnote reference"/>
    <w:basedOn w:val="781"/>
    <w:uiPriority w:val="99"/>
    <w:semiHidden/>
    <w:unhideWhenUsed/>
    <w:qFormat/>
    <w:rPr>
      <w:vertAlign w:val="superscript"/>
    </w:rPr>
  </w:style>
  <w:style w:type="character" w:styleId="815">
    <w:name w:val="page number"/>
    <w:uiPriority w:val="0"/>
    <w:qFormat/>
  </w:style>
  <w:style w:type="character" w:styleId="816">
    <w:name w:val="FollowedHyperlink"/>
    <w:uiPriority w:val="0"/>
    <w:qFormat/>
    <w:rPr>
      <w:color w:val="771caa"/>
      <w:u w:val="none"/>
    </w:rPr>
  </w:style>
  <w:style w:type="character" w:styleId="817">
    <w:name w:val="Emphasis"/>
    <w:basedOn w:val="781"/>
    <w:uiPriority w:val="0"/>
    <w:qFormat/>
    <w:rPr>
      <w:color w:val="f73131"/>
    </w:rPr>
  </w:style>
  <w:style w:type="character" w:styleId="818">
    <w:name w:val="Hyperlink"/>
    <w:uiPriority w:val="0"/>
    <w:qFormat/>
    <w:rPr>
      <w:color w:val="333333"/>
      <w:u w:val="none"/>
    </w:rPr>
  </w:style>
  <w:style w:type="character" w:styleId="819">
    <w:name w:val="HTML Cite"/>
    <w:uiPriority w:val="0"/>
    <w:qFormat/>
    <w:rPr>
      <w:color w:val="008000"/>
    </w:rPr>
  </w:style>
  <w:style w:type="character" w:styleId="820">
    <w:name w:val="footnote reference"/>
    <w:basedOn w:val="781"/>
    <w:uiPriority w:val="99"/>
    <w:unhideWhenUsed/>
    <w:qFormat/>
    <w:rPr>
      <w:vertAlign w:val="superscript"/>
    </w:rPr>
  </w:style>
  <w:style w:type="paragraph" w:styleId="821" w:customStyle="1">
    <w:name w:val="正文首行缩进1"/>
    <w:basedOn w:val="822"/>
    <w:uiPriority w:val="0"/>
    <w:qFormat/>
    <w:pPr>
      <w:ind w:firstLine="420"/>
      <w:spacing w:after="120"/>
    </w:pPr>
    <w:rPr>
      <w:rFonts w:ascii="Times New Roman" w:eastAsia="宋体"/>
      <w:szCs w:val="24"/>
    </w:rPr>
  </w:style>
  <w:style w:type="paragraph" w:styleId="822" w:customStyle="1">
    <w:name w:val="正文文本1"/>
    <w:basedOn w:val="823"/>
    <w:next w:val="771"/>
    <w:uiPriority w:val="99"/>
    <w:qFormat/>
    <w:rPr>
      <w:rFonts w:ascii="??_GB2312" w:hAnsi="??_GB2312"/>
      <w:sz w:val="28"/>
      <w:szCs w:val="28"/>
    </w:rPr>
  </w:style>
  <w:style w:type="paragraph" w:styleId="823" w:customStyle="1">
    <w:name w:val="正文11"/>
    <w:next w:val="822"/>
    <w:uiPriority w:val="99"/>
    <w:qFormat/>
    <w:pPr>
      <w:jc w:val="both"/>
      <w:widowControl w:val="off"/>
    </w:pPr>
    <w:rPr>
      <w:rFonts w:ascii="Calibri" w:hAnsi="Calibri" w:eastAsia="宋体" w:cs="Times New Roman"/>
      <w:sz w:val="21"/>
      <w:szCs w:val="21"/>
      <w:lang w:val="en-US" w:eastAsia="zh-CN" w:bidi="ar-SA"/>
    </w:rPr>
  </w:style>
  <w:style w:type="paragraph" w:styleId="824" w:customStyle="1">
    <w:name w:val="首行缩进"/>
    <w:basedOn w:val="771"/>
    <w:uiPriority w:val="0"/>
    <w:qFormat/>
    <w:pPr>
      <w:ind w:firstLine="480"/>
      <w:spacing w:line="360" w:lineRule="auto"/>
    </w:pPr>
    <w:rPr>
      <w:rFonts w:ascii="宋体"/>
      <w:sz w:val="24"/>
      <w:szCs w:val="20"/>
    </w:rPr>
  </w:style>
  <w:style w:type="paragraph" w:styleId="825" w:customStyle="1">
    <w:name w:val="正文1"/>
    <w:basedOn w:val="826"/>
    <w:next w:val="771"/>
    <w:uiPriority w:val="0"/>
    <w:qFormat/>
    <w:pPr>
      <w:ind w:firstLine="361"/>
      <w:spacing w:line="360" w:lineRule="auto"/>
      <w:tabs>
        <w:tab w:val="left" w:pos="1110" w:leader="none"/>
      </w:tabs>
    </w:pPr>
    <w:rPr>
      <w:szCs w:val="24"/>
    </w:rPr>
  </w:style>
  <w:style w:type="paragraph" w:styleId="826" w:customStyle="1">
    <w:name w:val="样式1"/>
    <w:basedOn w:val="771"/>
    <w:uiPriority w:val="0"/>
    <w:qFormat/>
    <w:pPr>
      <w:ind w:left="432" w:firstLine="288"/>
      <w:tabs>
        <w:tab w:val="left" w:pos="1110" w:leader="none"/>
      </w:tabs>
    </w:pPr>
    <w:rPr>
      <w:rFonts w:ascii="宋体" w:hAnsi="宋体"/>
      <w:szCs w:val="21"/>
    </w:rPr>
  </w:style>
  <w:style w:type="paragraph" w:styleId="827"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828" w:customStyle="1">
    <w:name w:val="Heading 1 Char"/>
    <w:basedOn w:val="781"/>
    <w:uiPriority w:val="9"/>
    <w:qFormat/>
    <w:rPr>
      <w:rFonts w:ascii="Arial" w:hAnsi="Arial" w:eastAsia="Arial" w:cs="Arial"/>
      <w:sz w:val="40"/>
      <w:szCs w:val="40"/>
    </w:rPr>
  </w:style>
  <w:style w:type="character" w:styleId="829" w:customStyle="1">
    <w:name w:val="Heading 2 Char"/>
    <w:basedOn w:val="781"/>
    <w:uiPriority w:val="9"/>
    <w:qFormat/>
    <w:rPr>
      <w:rFonts w:ascii="Arial" w:hAnsi="Arial" w:eastAsia="Arial" w:cs="Arial"/>
      <w:sz w:val="34"/>
    </w:rPr>
  </w:style>
  <w:style w:type="character" w:styleId="830" w:customStyle="1">
    <w:name w:val="Heading 3 Char"/>
    <w:basedOn w:val="781"/>
    <w:uiPriority w:val="9"/>
    <w:qFormat/>
    <w:rPr>
      <w:rFonts w:ascii="Arial" w:hAnsi="Arial" w:eastAsia="Arial" w:cs="Arial"/>
      <w:sz w:val="30"/>
      <w:szCs w:val="30"/>
    </w:rPr>
  </w:style>
  <w:style w:type="character" w:styleId="831" w:customStyle="1">
    <w:name w:val="Heading 4 Char"/>
    <w:basedOn w:val="781"/>
    <w:uiPriority w:val="9"/>
    <w:qFormat/>
    <w:rPr>
      <w:rFonts w:ascii="Arial" w:hAnsi="Arial" w:eastAsia="Arial" w:cs="Arial"/>
      <w:b/>
      <w:bCs/>
      <w:sz w:val="26"/>
      <w:szCs w:val="26"/>
    </w:rPr>
  </w:style>
  <w:style w:type="character" w:styleId="832" w:customStyle="1">
    <w:name w:val="标题 5 Char"/>
    <w:basedOn w:val="781"/>
    <w:link w:val="776"/>
    <w:uiPriority w:val="9"/>
    <w:qFormat/>
    <w:rPr>
      <w:rFonts w:ascii="Arial" w:hAnsi="Arial" w:eastAsia="Arial" w:cs="Arial"/>
      <w:b/>
      <w:bCs/>
      <w:sz w:val="24"/>
      <w:szCs w:val="24"/>
    </w:rPr>
  </w:style>
  <w:style w:type="character" w:styleId="833" w:customStyle="1">
    <w:name w:val="标题 6 Char"/>
    <w:basedOn w:val="781"/>
    <w:link w:val="777"/>
    <w:uiPriority w:val="9"/>
    <w:qFormat/>
    <w:rPr>
      <w:rFonts w:ascii="Arial" w:hAnsi="Arial" w:eastAsia="Arial" w:cs="Arial"/>
      <w:b/>
      <w:bCs/>
      <w:sz w:val="22"/>
      <w:szCs w:val="22"/>
    </w:rPr>
  </w:style>
  <w:style w:type="character" w:styleId="834" w:customStyle="1">
    <w:name w:val="标题 7 Char"/>
    <w:basedOn w:val="781"/>
    <w:link w:val="778"/>
    <w:uiPriority w:val="9"/>
    <w:qFormat/>
    <w:rPr>
      <w:rFonts w:ascii="Arial" w:hAnsi="Arial" w:eastAsia="Arial" w:cs="Arial"/>
      <w:b/>
      <w:bCs/>
      <w:i/>
      <w:iCs/>
      <w:sz w:val="22"/>
      <w:szCs w:val="22"/>
    </w:rPr>
  </w:style>
  <w:style w:type="character" w:styleId="835" w:customStyle="1">
    <w:name w:val="标题 8 Char"/>
    <w:basedOn w:val="781"/>
    <w:link w:val="779"/>
    <w:uiPriority w:val="9"/>
    <w:qFormat/>
    <w:rPr>
      <w:rFonts w:ascii="Arial" w:hAnsi="Arial" w:eastAsia="Arial" w:cs="Arial"/>
      <w:i/>
      <w:iCs/>
      <w:sz w:val="22"/>
      <w:szCs w:val="22"/>
    </w:rPr>
  </w:style>
  <w:style w:type="character" w:styleId="836" w:customStyle="1">
    <w:name w:val="标题 9 Char"/>
    <w:basedOn w:val="781"/>
    <w:link w:val="780"/>
    <w:uiPriority w:val="9"/>
    <w:qFormat/>
    <w:rPr>
      <w:rFonts w:ascii="Arial" w:hAnsi="Arial" w:eastAsia="Arial" w:cs="Arial"/>
      <w:i/>
      <w:iCs/>
      <w:sz w:val="21"/>
      <w:szCs w:val="21"/>
    </w:rPr>
  </w:style>
  <w:style w:type="paragraph" w:styleId="837">
    <w:name w:val="No Spacing"/>
    <w:uiPriority w:val="1"/>
    <w:qFormat/>
    <w:rPr>
      <w:rFonts w:ascii="Times New Roman" w:hAnsi="Times New Roman" w:eastAsia="宋体" w:cs="Times New Roman"/>
      <w:lang w:val="en-US" w:eastAsia="zh-CN" w:bidi="ar-SA"/>
    </w:rPr>
  </w:style>
  <w:style w:type="character" w:styleId="838" w:customStyle="1">
    <w:name w:val="标题 Char"/>
    <w:basedOn w:val="781"/>
    <w:link w:val="809"/>
    <w:uiPriority w:val="10"/>
    <w:qFormat/>
    <w:rPr>
      <w:sz w:val="48"/>
      <w:szCs w:val="48"/>
    </w:rPr>
  </w:style>
  <w:style w:type="character" w:styleId="839" w:customStyle="1">
    <w:name w:val="副标题 Char"/>
    <w:basedOn w:val="781"/>
    <w:link w:val="801"/>
    <w:uiPriority w:val="11"/>
    <w:qFormat/>
    <w:rPr>
      <w:sz w:val="24"/>
      <w:szCs w:val="24"/>
    </w:rPr>
  </w:style>
  <w:style w:type="paragraph" w:styleId="840">
    <w:name w:val="Quote"/>
    <w:basedOn w:val="771"/>
    <w:next w:val="771"/>
    <w:link w:val="841"/>
    <w:uiPriority w:val="29"/>
    <w:qFormat/>
    <w:pPr>
      <w:ind w:left="720" w:right="720"/>
    </w:pPr>
    <w:rPr>
      <w:i/>
    </w:rPr>
  </w:style>
  <w:style w:type="character" w:styleId="841" w:customStyle="1">
    <w:name w:val="引用 Char"/>
    <w:link w:val="840"/>
    <w:uiPriority w:val="29"/>
    <w:qFormat/>
    <w:rPr>
      <w:i/>
    </w:rPr>
  </w:style>
  <w:style w:type="paragraph" w:styleId="842">
    <w:name w:val="Intense Quote"/>
    <w:basedOn w:val="771"/>
    <w:next w:val="771"/>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Char"/>
    <w:link w:val="842"/>
    <w:uiPriority w:val="30"/>
    <w:qFormat/>
    <w:rPr>
      <w:i/>
    </w:rPr>
  </w:style>
  <w:style w:type="character" w:styleId="844" w:customStyle="1">
    <w:name w:val="Header Char"/>
    <w:basedOn w:val="781"/>
    <w:uiPriority w:val="99"/>
    <w:qFormat/>
  </w:style>
  <w:style w:type="character" w:styleId="845" w:customStyle="1">
    <w:name w:val="Footer Char"/>
    <w:basedOn w:val="781"/>
    <w:uiPriority w:val="99"/>
    <w:qFormat/>
  </w:style>
  <w:style w:type="character" w:styleId="846" w:customStyle="1">
    <w:name w:val="Caption Char"/>
    <w:uiPriority w:val="99"/>
    <w:qFormat/>
  </w:style>
  <w:style w:type="table" w:styleId="847" w:customStyle="1">
    <w:name w:val="Table Grid Light"/>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basedOn w:val="7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7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7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7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7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7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basedOn w:val="7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7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7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7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7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7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basedOn w:val="7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7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7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7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7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7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7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basedOn w:val="78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basedOn w:val="78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basedOn w:val="78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basedOn w:val="78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basedOn w:val="78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basedOn w:val="78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w:basedOn w:val="7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basedOn w:val="78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basedOn w:val="7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basedOn w:val="78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basedOn w:val="7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basedOn w:val="78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basedOn w:val="78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w:basedOn w:val="7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basedOn w:val="78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basedOn w:val="78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basedOn w:val="78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basedOn w:val="78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basedOn w:val="78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basedOn w:val="78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basedOn w:val="78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basedOn w:val="78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8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8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8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8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8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List Table 2"/>
    <w:basedOn w:val="7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basedOn w:val="78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basedOn w:val="78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basedOn w:val="78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basedOn w:val="78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basedOn w:val="78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basedOn w:val="78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basedOn w:val="78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basedOn w:val="7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8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8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8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basedOn w:val="78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basedOn w:val="78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basedOn w:val="78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basedOn w:val="78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basedOn w:val="78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basedOn w:val="78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w:basedOn w:val="7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basedOn w:val="78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8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8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8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8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8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basedOn w:val="78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basedOn w:val="78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9" w:customStyle="1">
    <w:name w:val="List Table 6 Colorful - Accent 2"/>
    <w:basedOn w:val="78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0" w:customStyle="1">
    <w:name w:val="List Table 6 Colorful - Accent 3"/>
    <w:basedOn w:val="78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1" w:customStyle="1">
    <w:name w:val="List Table 6 Colorful - Accent 4"/>
    <w:basedOn w:val="78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2" w:customStyle="1">
    <w:name w:val="List Table 6 Colorful - Accent 5"/>
    <w:basedOn w:val="78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3" w:customStyle="1">
    <w:name w:val="List Table 6 Colorful - Accent 6"/>
    <w:basedOn w:val="78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4" w:customStyle="1">
    <w:name w:val="List Table 7 Colorful"/>
    <w:basedOn w:val="78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basedOn w:val="78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8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8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8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8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8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basedOn w:val="7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basedOn w:val="78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basedOn w:val="78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basedOn w:val="78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basedOn w:val="78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basedOn w:val="78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basedOn w:val="78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basedOn w:val="7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basedOn w:val="7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basedOn w:val="7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basedOn w:val="7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basedOn w:val="7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basedOn w:val="7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basedOn w:val="7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Char"/>
    <w:link w:val="802"/>
    <w:uiPriority w:val="99"/>
    <w:qFormat/>
    <w:rPr>
      <w:sz w:val="18"/>
    </w:rPr>
  </w:style>
  <w:style w:type="character" w:styleId="973" w:customStyle="1">
    <w:name w:val="尾注文本 Char"/>
    <w:link w:val="796"/>
    <w:uiPriority w:val="99"/>
    <w:qFormat/>
    <w:rPr>
      <w:sz w:val="20"/>
    </w:rPr>
  </w:style>
  <w:style w:type="paragraph" w:styleId="974" w:customStyle="1">
    <w:name w:val="TOC 标题1"/>
    <w:uiPriority w:val="39"/>
    <w:unhideWhenUsed/>
    <w:qFormat/>
    <w:rPr>
      <w:rFonts w:ascii="Times New Roman" w:hAnsi="Times New Roman" w:eastAsia="宋体" w:cs="Times New Roman"/>
      <w:lang w:val="en-US" w:eastAsia="zh-CN" w:bidi="ar-SA"/>
    </w:rPr>
  </w:style>
  <w:style w:type="paragraph" w:styleId="975" w:customStyle="1">
    <w:name w:val="无间隔1"/>
    <w:uiPriority w:val="99"/>
    <w:qFormat/>
    <w:pPr>
      <w:spacing w:line="300" w:lineRule="auto"/>
      <w:widowControl w:val="off"/>
    </w:pPr>
    <w:rPr>
      <w:rFonts w:ascii="Times New Roman" w:hAnsi="Times New Roman" w:eastAsia="华文仿宋" w:cs="Times New Roman"/>
      <w:sz w:val="24"/>
      <w:szCs w:val="21"/>
      <w:lang w:val="en-US" w:eastAsia="zh-CN" w:bidi="ar-SA"/>
    </w:rPr>
  </w:style>
  <w:style w:type="paragraph" w:styleId="976" w:customStyle="1">
    <w:name w:val="正文首行缩进 21"/>
    <w:basedOn w:val="788"/>
    <w:uiPriority w:val="99"/>
    <w:unhideWhenUsed/>
    <w:qFormat/>
    <w:pPr>
      <w:ind w:firstLine="200"/>
    </w:pPr>
  </w:style>
  <w:style w:type="paragraph" w:styleId="977" w:customStyle="1">
    <w:name w:val="表格文字"/>
    <w:basedOn w:val="771"/>
    <w:next w:val="787"/>
    <w:uiPriority w:val="0"/>
    <w:qFormat/>
    <w:pPr>
      <w:jc w:val="left"/>
      <w:spacing w:line="420" w:lineRule="atLeast"/>
      <w:widowControl/>
    </w:pPr>
    <w:rPr>
      <w:szCs w:val="24"/>
    </w:rPr>
  </w:style>
  <w:style w:type="character" w:styleId="978" w:customStyle="1">
    <w:name w:val="页眉 Char"/>
    <w:link w:val="798"/>
    <w:uiPriority w:val="0"/>
    <w:qFormat/>
    <w:rPr>
      <w:rFonts w:ascii="Times New Roman" w:hAnsi="Times New Roman"/>
      <w:sz w:val="18"/>
      <w:szCs w:val="18"/>
    </w:rPr>
  </w:style>
  <w:style w:type="paragraph" w:styleId="979">
    <w:name w:val="List Paragraph"/>
    <w:basedOn w:val="771"/>
    <w:uiPriority w:val="34"/>
    <w:qFormat/>
    <w:pPr>
      <w:ind w:firstLine="420"/>
    </w:pPr>
    <w:rPr>
      <w:szCs w:val="22"/>
    </w:rPr>
  </w:style>
  <w:style w:type="paragraph" w:styleId="980" w:customStyle="1">
    <w:name w:val="正文缩进2格"/>
    <w:basedOn w:val="771"/>
    <w:uiPriority w:val="0"/>
    <w:qFormat/>
    <w:pPr>
      <w:ind w:firstLine="639"/>
      <w:spacing w:line="600" w:lineRule="exact"/>
    </w:pPr>
    <w:rPr>
      <w:rFonts w:ascii="仿宋_GB2312" w:hAnsi="宋体" w:eastAsia="仿宋_GB2312"/>
      <w:sz w:val="31"/>
      <w:szCs w:val="28"/>
    </w:rPr>
  </w:style>
  <w:style w:type="paragraph" w:styleId="981" w:customStyle="1">
    <w:name w:val="Table Paragraph"/>
    <w:basedOn w:val="771"/>
    <w:uiPriority w:val="1"/>
    <w:qFormat/>
    <w:pPr>
      <w:ind w:left="107"/>
      <w:spacing w:before="31"/>
    </w:pPr>
    <w:rPr>
      <w:rFonts w:ascii="微软雅黑" w:hAnsi="微软雅黑" w:eastAsia="微软雅黑" w:cs="微软雅黑"/>
    </w:rPr>
  </w:style>
  <w:style w:type="table" w:styleId="982" w:customStyle="1">
    <w:name w:val="Table Normal"/>
    <w:uiPriority w:val="2"/>
    <w:unhideWhenUsed/>
    <w:qFormat/>
    <w:tblPr>
      <w:tblCellMar>
        <w:left w:w="0" w:type="dxa"/>
        <w:top w:w="0" w:type="dxa"/>
        <w:right w:w="0" w:type="dxa"/>
        <w:bottom w:w="0" w:type="dxa"/>
      </w:tblCellMar>
    </w:tblPr>
  </w:style>
  <w:style w:type="paragraph" w:styleId="983" w:customStyle="1">
    <w:name w:val="普通正文"/>
    <w:basedOn w:val="771"/>
    <w:uiPriority w:val="99"/>
    <w:qFormat/>
    <w:pPr>
      <w:ind w:firstLine="480"/>
      <w:jc w:val="left"/>
      <w:spacing w:before="120" w:after="120" w:line="360" w:lineRule="auto"/>
    </w:pPr>
    <w:rPr>
      <w:rFonts w:ascii="Arial" w:hAnsi="Arial" w:cs="Arial"/>
      <w:sz w:val="24"/>
      <w:szCs w:val="24"/>
    </w:rPr>
  </w:style>
  <w:style w:type="character" w:styleId="984"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985" w:customStyle="1">
    <w:name w:val="font61"/>
    <w:uiPriority w:val="0"/>
    <w:qFormat/>
    <w:rPr>
      <w:rFonts w:hint="default" w:ascii="方正仿宋_GBK" w:hAnsi="方正仿宋_GBK" w:eastAsia="方正仿宋_GBK" w:cs="方正仿宋_GBK"/>
      <w:color w:val="000000"/>
      <w:sz w:val="22"/>
      <w:szCs w:val="22"/>
      <w:u w:val="none"/>
    </w:rPr>
  </w:style>
  <w:style w:type="character" w:styleId="986" w:customStyle="1">
    <w:name w:val="font71"/>
    <w:uiPriority w:val="0"/>
    <w:qFormat/>
    <w:rPr>
      <w:rFonts w:hint="default" w:ascii="Arial" w:hAnsi="Arial" w:cs="Arial"/>
      <w:color w:val="000000"/>
      <w:sz w:val="22"/>
      <w:szCs w:val="22"/>
      <w:u w:val="none"/>
    </w:rPr>
  </w:style>
  <w:style w:type="character" w:styleId="987" w:customStyle="1">
    <w:name w:val="font21"/>
    <w:uiPriority w:val="0"/>
    <w:qFormat/>
    <w:rPr>
      <w:rFonts w:hint="eastAsia" w:ascii="等线" w:hAnsi="等线" w:eastAsia="等线" w:cs="等线"/>
      <w:color w:val="000000"/>
      <w:sz w:val="22"/>
      <w:szCs w:val="22"/>
      <w:u w:val="none"/>
    </w:rPr>
  </w:style>
  <w:style w:type="character" w:styleId="988" w:customStyle="1">
    <w:name w:val="font31"/>
    <w:uiPriority w:val="0"/>
    <w:qFormat/>
    <w:rPr>
      <w:rFonts w:hint="default" w:ascii="方正仿宋_GBK" w:hAnsi="方正仿宋_GBK" w:eastAsia="方正仿宋_GBK" w:cs="方正仿宋_GBK"/>
      <w:color w:val="000000"/>
      <w:sz w:val="22"/>
      <w:szCs w:val="22"/>
      <w:u w:val="none"/>
    </w:rPr>
  </w:style>
  <w:style w:type="character" w:styleId="989" w:customStyle="1">
    <w:name w:val="font122"/>
    <w:uiPriority w:val="0"/>
    <w:qFormat/>
    <w:rPr>
      <w:rFonts w:hint="eastAsia" w:ascii="等线" w:hAnsi="等线" w:eastAsia="等线" w:cs="等线"/>
      <w:color w:val="000000"/>
      <w:sz w:val="22"/>
      <w:szCs w:val="22"/>
      <w:u w:val="none"/>
    </w:rPr>
  </w:style>
  <w:style w:type="character" w:styleId="990" w:customStyle="1">
    <w:name w:val="font51"/>
    <w:uiPriority w:val="0"/>
    <w:qFormat/>
    <w:rPr>
      <w:rFonts w:hint="default" w:ascii="Arial" w:hAnsi="Arial" w:cs="Arial"/>
      <w:b/>
      <w:bCs/>
      <w:color w:val="000000"/>
      <w:sz w:val="22"/>
      <w:szCs w:val="22"/>
      <w:u w:val="none"/>
    </w:rPr>
  </w:style>
  <w:style w:type="paragraph" w:styleId="991" w:customStyle="1">
    <w:name w:val="ZX-正文"/>
    <w:uiPriority w:val="0"/>
    <w:qFormat/>
    <w:pPr>
      <w:ind w:firstLine="480"/>
    </w:pPr>
    <w:rPr>
      <w:rFonts w:ascii="Trebuchet MS" w:hAnsi="FuturaA Bk BT" w:eastAsia="宋体" w:cs="Times New Roman"/>
      <w:sz w:val="24"/>
      <w:lang w:val="en-US" w:eastAsia="zh-CN" w:bidi="ar-SA"/>
    </w:rPr>
  </w:style>
  <w:style w:type="character" w:styleId="992" w:customStyle="1">
    <w:name w:val="c-icon"/>
    <w:uiPriority w:val="0"/>
    <w:qFormat/>
  </w:style>
  <w:style w:type="character" w:styleId="993" w:customStyle="1">
    <w:name w:val="ec_d20_recomm_link"/>
    <w:uiPriority w:val="0"/>
    <w:qFormat/>
    <w:rPr>
      <w:shd w:val="clear" w:color="auto" w:fill="f5f5f6"/>
    </w:rPr>
  </w:style>
  <w:style w:type="character" w:styleId="994" w:customStyle="1">
    <w:name w:val="hover28"/>
    <w:uiPriority w:val="0"/>
    <w:qFormat/>
    <w:rPr>
      <w:color w:val="315efb"/>
    </w:rPr>
  </w:style>
  <w:style w:type="character" w:styleId="995" w:customStyle="1">
    <w:name w:val="hover29"/>
    <w:uiPriority w:val="0"/>
    <w:qFormat/>
  </w:style>
  <w:style w:type="character" w:styleId="996" w:customStyle="1">
    <w:name w:val="c-icon32"/>
    <w:uiPriority w:val="0"/>
    <w:qFormat/>
  </w:style>
  <w:style w:type="paragraph" w:styleId="997" w:customStyle="1">
    <w:name w:val="正文自设"/>
    <w:basedOn w:val="783"/>
    <w:uiPriority w:val="0"/>
    <w:qFormat/>
    <w:pPr>
      <w:ind w:firstLine="502"/>
      <w:spacing w:line="350" w:lineRule="exact"/>
    </w:pPr>
    <w:rPr>
      <w:rFonts w:ascii="宋体" w:hAnsi="宋体"/>
      <w:b/>
      <w:bCs/>
      <w:sz w:val="25"/>
      <w:szCs w:val="25"/>
    </w:rPr>
  </w:style>
  <w:style w:type="character" w:styleId="998" w:customStyle="1">
    <w:name w:val="NormalCharacter"/>
    <w:uiPriority w:val="0"/>
    <w:qFormat/>
  </w:style>
  <w:style w:type="paragraph" w:styleId="999" w:customStyle="1">
    <w:name w:val="文档正文"/>
    <w:basedOn w:val="771"/>
    <w:uiPriority w:val="0"/>
    <w:qFormat/>
    <w:pPr>
      <w:ind w:firstLine="567"/>
      <w:spacing w:line="312" w:lineRule="atLeast"/>
    </w:pPr>
    <w:rPr>
      <w:rFonts w:ascii="长城仿宋" w:eastAsia="长城仿宋"/>
      <w:sz w:val="28"/>
    </w:rPr>
  </w:style>
  <w:style w:type="paragraph" w:styleId="1000" w:customStyle="1">
    <w:name w:val="普通(网站) Char Char"/>
    <w:basedOn w:val="771"/>
    <w:uiPriority w:val="0"/>
    <w:qFormat/>
    <w:pPr>
      <w:jc w:val="left"/>
      <w:spacing w:before="100" w:beforeAutospacing="1" w:after="100" w:afterAutospacing="1"/>
      <w:widowControl/>
    </w:pPr>
    <w:rPr>
      <w:rFonts w:hint="eastAsia" w:ascii="宋体" w:hAnsi="宋体"/>
      <w:sz w:val="24"/>
      <w:szCs w:val="24"/>
    </w:rPr>
  </w:style>
  <w:style w:type="paragraph" w:styleId="1001" w:customStyle="1">
    <w:name w:val="章正文"/>
    <w:basedOn w:val="771"/>
    <w:uiPriority w:val="0"/>
    <w:qFormat/>
    <w:pPr>
      <w:ind w:firstLine="480"/>
      <w:spacing w:after="120" w:line="300" w:lineRule="auto"/>
    </w:pPr>
    <w:rPr>
      <w:rFonts w:ascii="Helvetica" w:hAnsi="Helvetica"/>
      <w:sz w:val="24"/>
    </w:rPr>
  </w:style>
  <w:style w:type="paragraph" w:styleId="1002" w:customStyle="1">
    <w:name w:val="标题 5（有编号）（绿盟科技）"/>
    <w:basedOn w:val="771"/>
    <w:next w:val="1003"/>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03"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04" w:customStyle="1">
    <w:name w:val="msonormalcxspmiddle"/>
    <w:basedOn w:val="771"/>
    <w:uiPriority w:val="0"/>
    <w:qFormat/>
    <w:pPr>
      <w:jc w:val="left"/>
      <w:spacing w:before="100" w:beforeAutospacing="1" w:after="100" w:afterAutospacing="1"/>
      <w:widowControl/>
    </w:pPr>
    <w:rPr>
      <w:rFonts w:ascii="宋体" w:hAnsi="宋体" w:cs="宋体"/>
      <w:sz w:val="24"/>
      <w:szCs w:val="24"/>
    </w:rPr>
  </w:style>
  <w:style w:type="paragraph" w:styleId="1005" w:customStyle="1">
    <w:name w:val="段"/>
    <w:next w:val="77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06" w:customStyle="1">
    <w:name w:val="正文 A"/>
    <w:next w:val="1005"/>
    <w:uiPriority w:val="99"/>
    <w:qFormat/>
    <w:pPr>
      <w:jc w:val="both"/>
      <w:widowControl w:val="off"/>
    </w:pPr>
    <w:rPr>
      <w:rFonts w:ascii="Times New Roman" w:hAnsi="Times New Roman" w:eastAsia="宋体" w:cs="Times New Roman"/>
      <w:color w:val="000000"/>
      <w:sz w:val="21"/>
      <w:szCs w:val="21"/>
      <w:lang w:val="en-US" w:eastAsia="zh-CN" w:bidi="ar-SA"/>
    </w:rPr>
  </w:style>
  <w:style w:type="paragraph" w:styleId="1007" w:customStyle="1">
    <w:name w:val="Body text|1"/>
    <w:basedOn w:val="771"/>
    <w:uiPriority w:val="0"/>
    <w:qFormat/>
    <w:pPr>
      <w:ind w:firstLine="400"/>
      <w:spacing w:line="374" w:lineRule="auto"/>
    </w:pPr>
    <w:rPr>
      <w:rFonts w:ascii="宋体" w:hAnsi="宋体" w:cs="宋体"/>
      <w:sz w:val="22"/>
      <w:szCs w:val="22"/>
      <w:lang w:val="zh-TW" w:eastAsia="zh-TW" w:bidi="zh-TW"/>
    </w:rPr>
  </w:style>
  <w:style w:type="paragraph" w:styleId="1008" w:customStyle="1">
    <w:name w:val="正文缩进1"/>
    <w:basedOn w:val="771"/>
    <w:next w:val="1009"/>
    <w:uiPriority w:val="0"/>
    <w:qFormat/>
    <w:pPr>
      <w:ind w:firstLine="420"/>
      <w:jc w:val="left"/>
    </w:pPr>
    <w:rPr>
      <w:rFonts w:ascii="宋体" w:hAnsi="Calibri"/>
      <w:sz w:val="24"/>
      <w:szCs w:val="22"/>
    </w:rPr>
  </w:style>
  <w:style w:type="paragraph" w:styleId="1009" w:customStyle="1">
    <w:name w:val="List Paragraph1"/>
    <w:basedOn w:val="771"/>
    <w:next w:val="1010"/>
    <w:uiPriority w:val="0"/>
    <w:qFormat/>
    <w:pPr>
      <w:ind w:firstLine="420"/>
    </w:pPr>
    <w:rPr>
      <w:rFonts w:hAnsi="宋体" w:cs="宋体"/>
      <w:szCs w:val="20"/>
    </w:rPr>
  </w:style>
  <w:style w:type="paragraph" w:styleId="1010" w:customStyle="1">
    <w:name w:val="Char Char Char Char"/>
    <w:basedOn w:val="771"/>
    <w:uiPriority w:val="0"/>
    <w:qFormat/>
    <w:rPr>
      <w:rFonts w:ascii="Tahoma" w:hAnsi="Tahoma"/>
      <w:sz w:val="24"/>
      <w:szCs w:val="20"/>
    </w:rPr>
  </w:style>
  <w:style w:type="paragraph" w:styleId="1011" w:customStyle="1">
    <w:name w:val="正文文本11"/>
    <w:basedOn w:val="771"/>
    <w:uiPriority w:val="99"/>
    <w:qFormat/>
    <w:rPr>
      <w:rFonts w:ascii="楷体_GB2312" w:hAnsi="Arial" w:eastAsia="楷体_GB2312"/>
      <w:sz w:val="28"/>
    </w:rPr>
  </w:style>
  <w:style w:type="paragraph" w:styleId="101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3" w:customStyle="1">
    <w:name w:val="标题 21"/>
    <w:basedOn w:val="771"/>
    <w:next w:val="771"/>
    <w:uiPriority w:val="0"/>
    <w:qFormat/>
    <w:pPr>
      <w:jc w:val="center"/>
      <w:keepLines/>
      <w:keepNext/>
      <w:spacing w:before="260" w:after="260" w:line="416" w:lineRule="auto"/>
      <w:outlineLvl w:val="1"/>
    </w:pPr>
    <w:rPr>
      <w:rFonts w:ascii="Arial" w:hAnsi="Arial" w:eastAsia="幼圆" w:cs="Arial"/>
      <w:b/>
      <w:bCs/>
      <w:sz w:val="44"/>
      <w:szCs w:val="44"/>
    </w:rPr>
  </w:style>
  <w:style w:type="table" w:styleId="1014" w:customStyle="1">
    <w:name w:val="网格型61"/>
    <w:basedOn w:val="7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15" w:customStyle="1">
    <w:name w:val="正文首行缩进2"/>
    <w:basedOn w:val="1016"/>
    <w:uiPriority w:val="0"/>
    <w:qFormat/>
    <w:pPr>
      <w:ind w:firstLine="200"/>
      <w:spacing w:line="360" w:lineRule="auto"/>
    </w:pPr>
    <w:rPr>
      <w:rFonts w:ascii="仿宋_GB2312" w:hAnsi="Times New Roman" w:eastAsia="仿宋_GB2312"/>
      <w:sz w:val="30"/>
      <w:szCs w:val="30"/>
    </w:rPr>
  </w:style>
  <w:style w:type="paragraph" w:styleId="1016" w:customStyle="1">
    <w:name w:val="正文文本2"/>
    <w:basedOn w:val="771"/>
    <w:next w:val="771"/>
    <w:uiPriority w:val="0"/>
    <w:qFormat/>
    <w:rPr>
      <w:rFonts w:ascii="楷体_GB2312" w:hAnsi="Arial" w:eastAsia="楷体_GB2312"/>
      <w:sz w:val="28"/>
      <w:szCs w:val="28"/>
    </w:rPr>
  </w:style>
  <w:style w:type="paragraph" w:styleId="1017" w:customStyle="1">
    <w:name w:val="索引 11"/>
    <w:basedOn w:val="771"/>
    <w:next w:val="771"/>
    <w:uiPriority w:val="0"/>
    <w:qFormat/>
    <w:pPr>
      <w:spacing w:line="360" w:lineRule="auto"/>
    </w:pPr>
    <w:rPr>
      <w:rFonts w:ascii="仿宋_GB2312" w:eastAsia="仿宋_GB2312"/>
      <w:sz w:val="24"/>
      <w:szCs w:val="20"/>
    </w:rPr>
  </w:style>
  <w:style w:type="paragraph" w:styleId="1018" w:customStyle="1">
    <w:name w:val="纯文本1"/>
    <w:basedOn w:val="771"/>
    <w:uiPriority w:val="0"/>
    <w:qFormat/>
    <w:rPr>
      <w:rFonts w:ascii="宋体" w:hAnsi="Courier New" w:eastAsiaTheme="minorEastAsia" w:cstheme="minorBidi"/>
      <w:szCs w:val="22"/>
    </w:rPr>
  </w:style>
  <w:style w:type="paragraph" w:styleId="1019" w:customStyle="1">
    <w:name w:val="Char"/>
    <w:basedOn w:val="771"/>
    <w:uiPriority w:val="0"/>
    <w:qFormat/>
    <w:pPr>
      <w:jc w:val="left"/>
      <w:tabs>
        <w:tab w:val="left" w:pos="360" w:leader="none"/>
      </w:tabs>
    </w:pPr>
    <w:rPr>
      <w:sz w:val="24"/>
    </w:rPr>
  </w:style>
  <w:style w:type="paragraph" w:styleId="1020" w:customStyle="1">
    <w:name w:val="列出段落1"/>
    <w:basedOn w:val="771"/>
    <w:uiPriority w:val="0"/>
    <w:qFormat/>
    <w:pPr>
      <w:ind w:firstLine="420"/>
    </w:pPr>
    <w:rPr>
      <w:rFonts w:ascii="Calibri" w:hAnsi="Calibri"/>
      <w:szCs w:val="22"/>
    </w:rPr>
  </w:style>
  <w:style w:type="paragraph" w:styleId="1021" w:customStyle="1">
    <w:name w:val="表格"/>
    <w:basedOn w:val="771"/>
    <w:next w:val="771"/>
    <w:uiPriority w:val="0"/>
    <w:qFormat/>
    <w:pPr>
      <w:jc w:val="center"/>
      <w:widowControl/>
    </w:pPr>
    <w:rPr>
      <w:rFonts w:ascii="宋体" w:hAnsi="宋体" w:cs="Arial"/>
      <w:szCs w:val="21"/>
    </w:rPr>
  </w:style>
  <w:style w:type="paragraph" w:styleId="1022" w:customStyle="1">
    <w:name w:val="页脚11"/>
    <w:basedOn w:val="771"/>
    <w:uiPriority w:val="99"/>
    <w:qFormat/>
    <w:pPr>
      <w:jc w:val="left"/>
      <w:tabs>
        <w:tab w:val="center" w:pos="4153" w:leader="none"/>
        <w:tab w:val="right" w:pos="8306" w:leader="none"/>
      </w:tabs>
    </w:pPr>
    <w:rPr>
      <w:sz w:val="18"/>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description>$$CSb1@aYCkTyEEKQAm4B4IImol_eqdTpFgTwjlmq9xdy9WqumokHbsTd38Z34HuznlVu1@HMY6xggmza5nz5lHAVfaLziJHfzJKVjok6uvlZGTO5W7UJfLvsQo8K7b=SC$$</dc:description>
  <cp:lastModifiedBy>姜海燕</cp:lastModifiedBy>
  <cp:revision>26</cp:revision>
  <dcterms:created xsi:type="dcterms:W3CDTF">2022-10-24T06:54:00Z</dcterms:created>
  <dcterms:modified xsi:type="dcterms:W3CDTF">2026-07-21T05:44:54Z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9AE6717F01B143428D1E04597DB612A2_13</vt:lpwstr>
  </property>
  <property fmtid="{D5CDD505-2E9C-101B-9397-08002B2CF9AE}" pid="4" name="KSOTemplateDocerSaveRecord">
    <vt:lpwstr>eyJoZGlkIjoiYjBmYzc4YTE3ZTRhNDk1NDkxZGNlOGVhY2IxZWE3M2EiLCJ1c2VySWQiOiIxMDc5MDkyOTU1In0=</vt:lpwstr>
  </property>
</Properties>
</file>