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jc w:val="center"/>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84"/>
          <w:highlight w:val="none"/>
        </w:rPr>
      </w:r>
      <w:r>
        <w:rPr>
          <w:rFonts w:ascii="SimSun" w:hAnsi="SimSun" w:eastAsia="SimSun" w:cs="SimSun"/>
          <w:b/>
          <w:color w:val="000000"/>
          <w:sz w:val="84"/>
          <w:highlight w:val="none"/>
        </w:rPr>
      </w:r>
      <w:r/>
    </w:p>
    <w:p>
      <w:pPr>
        <w:ind w:left="0" w:right="0" w:firstLine="0"/>
        <w:jc w:val="center"/>
        <w:spacing w:before="120" w:after="120" w:line="85" w:lineRule="atLeast"/>
        <w:rPr>
          <w:rFonts w:ascii="SimSun" w:hAnsi="SimSun" w:eastAsia="SimSun" w:cs="SimSun"/>
          <w:b/>
          <w:bCs/>
          <w:color w:val="000000"/>
          <w:sz w:val="84"/>
          <w:szCs w:val="84"/>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84"/>
          <w:highlight w:val="none"/>
        </w:rPr>
      </w:r>
      <w:r>
        <w:rPr>
          <w:rFonts w:ascii="SimSun" w:hAnsi="SimSun" w:eastAsia="SimSun" w:cs="SimSun"/>
          <w:b/>
          <w:color w:val="000000"/>
          <w:sz w:val="84"/>
          <w:highlight w:val="none"/>
        </w:rPr>
      </w:r>
      <w:r/>
    </w:p>
    <w:p>
      <w:pPr>
        <w:ind w:left="0" w:right="0" w:firstLine="0"/>
        <w:jc w:val="center"/>
        <w:spacing w:before="120" w:after="120" w:line="85" w:lineRule="atLeast"/>
        <w:rPr>
          <w:rFonts w:ascii="SimSun" w:hAnsi="SimSun" w:eastAsia="SimSun" w:cs="SimSun"/>
          <w:b/>
          <w:bCs/>
          <w:color w:val="000000"/>
          <w:sz w:val="84"/>
          <w:szCs w:val="84"/>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84"/>
        </w:rPr>
        <w:t xml:space="preserve">竞争性磋商文件</w:t>
      </w:r>
      <w:r/>
    </w:p>
    <w:p>
      <w:pPr>
        <w:ind w:left="0" w:right="0" w:firstLine="0"/>
        <w:jc w:val="center"/>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项目名称：海安市城南实验小学操场维修改造工程</w:t>
      </w:r>
      <w:r/>
    </w:p>
    <w:p>
      <w:pPr>
        <w:ind w:left="0" w:right="0" w:firstLine="0"/>
        <w:jc w:val="center"/>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项目编号：JSZC-320685-LNHX-C2026-0002</w:t>
      </w:r>
      <w:r/>
    </w:p>
    <w:p>
      <w:pPr>
        <w:ind w:left="0" w:right="0" w:firstLine="1470"/>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rPr>
          <w:rFonts w:ascii="SimSun" w:hAnsi="SimSun" w:eastAsia="SimSun" w:cs="SimSun"/>
          <w:b/>
          <w:color w:val="000000"/>
          <w:sz w:val="30"/>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highlight w:val="none"/>
        </w:rPr>
      </w:r>
      <w:r>
        <w:rPr>
          <w:rFonts w:ascii="SimSun" w:hAnsi="SimSun" w:eastAsia="SimSun" w:cs="SimSun"/>
          <w:b/>
          <w:color w:val="000000"/>
          <w:sz w:val="32"/>
          <w:highlight w:val="none"/>
        </w:rPr>
      </w:r>
      <w:r/>
    </w:p>
    <w:p>
      <w:pPr>
        <w:ind w:left="0" w:right="0" w:firstLine="0"/>
        <w:jc w:val="center"/>
        <w:spacing w:before="120" w:after="120" w:line="85" w:lineRule="atLeast"/>
        <w:rPr>
          <w:rFonts w:ascii="SimSun" w:hAnsi="SimSun" w:eastAsia="SimSun" w:cs="SimSun"/>
          <w:b/>
          <w:bCs/>
          <w:color w:val="000000"/>
          <w:sz w:val="32"/>
          <w:szCs w:val="32"/>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highlight w:val="none"/>
        </w:rPr>
      </w:r>
      <w:r>
        <w:rPr>
          <w:rFonts w:ascii="SimSun" w:hAnsi="SimSun" w:eastAsia="SimSun" w:cs="SimSun"/>
          <w:b/>
          <w:color w:val="000000"/>
          <w:sz w:val="32"/>
          <w:highlight w:val="none"/>
        </w:rPr>
      </w:r>
      <w:r/>
    </w:p>
    <w:p>
      <w:pPr>
        <w:ind w:left="0" w:right="0" w:firstLine="0"/>
        <w:jc w:val="center"/>
        <w:spacing w:before="120" w:after="120" w:line="85" w:lineRule="atLeast"/>
        <w:rPr>
          <w:rFonts w:ascii="SimSun" w:hAnsi="SimSun" w:eastAsia="SimSun" w:cs="SimSun"/>
          <w:b/>
          <w:bCs/>
          <w:color w:val="000000"/>
          <w:sz w:val="32"/>
          <w:szCs w:val="32"/>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highlight w:val="none"/>
        </w:rPr>
      </w:r>
      <w:r>
        <w:rPr>
          <w:rFonts w:ascii="SimSun" w:hAnsi="SimSun" w:eastAsia="SimSun" w:cs="SimSun"/>
          <w:b/>
          <w:color w:val="000000"/>
          <w:sz w:val="32"/>
          <w:highlight w:val="none"/>
        </w:rPr>
      </w:r>
      <w:r/>
    </w:p>
    <w:p>
      <w:pPr>
        <w:ind w:left="0" w:right="0" w:firstLine="0"/>
        <w:jc w:val="center"/>
        <w:spacing w:before="120" w:after="120" w:line="85" w:lineRule="atLeast"/>
        <w:rPr>
          <w:rFonts w:ascii="SimSun" w:hAnsi="SimSun" w:eastAsia="SimSun" w:cs="SimSun"/>
          <w:b/>
          <w:bCs/>
          <w:color w:val="000000"/>
          <w:sz w:val="32"/>
          <w:szCs w:val="32"/>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highlight w:val="none"/>
        </w:rPr>
      </w:r>
      <w:r>
        <w:rPr>
          <w:rFonts w:ascii="SimSun" w:hAnsi="SimSun" w:eastAsia="SimSun" w:cs="SimSun"/>
          <w:b/>
          <w:color w:val="000000"/>
          <w:sz w:val="32"/>
          <w:highlight w:val="none"/>
        </w:rPr>
      </w:r>
      <w:r/>
    </w:p>
    <w:p>
      <w:pPr>
        <w:ind w:left="0" w:right="0" w:firstLine="0"/>
        <w:jc w:val="center"/>
        <w:spacing w:before="120" w:after="120" w:line="85" w:lineRule="atLeast"/>
        <w:rPr>
          <w:rFonts w:ascii="SimSun" w:hAnsi="SimSun" w:eastAsia="SimSun" w:cs="SimSun"/>
          <w:b/>
          <w:bCs/>
          <w:color w:val="000000"/>
          <w:sz w:val="32"/>
          <w:szCs w:val="32"/>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highlight w:val="none"/>
        </w:rPr>
      </w:r>
      <w:r>
        <w:rPr>
          <w:rFonts w:ascii="SimSun" w:hAnsi="SimSun" w:eastAsia="SimSun" w:cs="SimSun"/>
          <w:b/>
          <w:color w:val="000000"/>
          <w:sz w:val="32"/>
          <w:highlight w:val="none"/>
        </w:rPr>
      </w:r>
      <w:r/>
    </w:p>
    <w:p>
      <w:pPr>
        <w:ind w:left="0" w:right="0" w:firstLine="0"/>
        <w:jc w:val="center"/>
        <w:spacing w:before="120" w:after="120" w:line="85" w:lineRule="atLeast"/>
        <w:rPr>
          <w:rFonts w:ascii="SimSun" w:hAnsi="SimSun" w:eastAsia="SimSun" w:cs="SimSun"/>
          <w:b/>
          <w:bCs/>
          <w:color w:val="000000"/>
          <w:sz w:val="32"/>
          <w:szCs w:val="32"/>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highlight w:val="none"/>
        </w:rPr>
      </w:r>
      <w:r>
        <w:rPr>
          <w:rFonts w:ascii="SimSun" w:hAnsi="SimSun" w:eastAsia="SimSun" w:cs="SimSun"/>
          <w:b/>
          <w:color w:val="000000"/>
          <w:sz w:val="32"/>
          <w:highlight w:val="none"/>
        </w:rPr>
      </w:r>
      <w:r/>
    </w:p>
    <w:p>
      <w:pPr>
        <w:ind w:left="0" w:right="0" w:firstLine="0"/>
        <w:jc w:val="center"/>
        <w:spacing w:before="120" w:after="120" w:line="85" w:lineRule="atLeast"/>
        <w:rPr>
          <w:rFonts w:ascii="SimSun" w:hAnsi="SimSun" w:eastAsia="SimSun" w:cs="SimSun"/>
          <w:b/>
          <w:bCs/>
          <w:color w:val="000000"/>
          <w:sz w:val="32"/>
          <w:szCs w:val="32"/>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海安市城南实验小学</w:t>
      </w:r>
      <w:r/>
    </w:p>
    <w:p>
      <w:pPr>
        <w:ind w:left="0" w:right="0" w:firstLine="0"/>
        <w:jc w:val="center"/>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2026年07月</w:t>
      </w:r>
      <w:r/>
    </w:p>
    <w:p>
      <w:pPr>
        <w:ind w:left="0" w:right="0" w:firstLine="0"/>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0"/>
        </w:rPr>
        <w:t xml:space="preserve">总目录</w:t>
      </w:r>
      <w:r/>
    </w:p>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numPr>
          <w:ilvl w:val="0"/>
          <w:numId w:val="22"/>
        </w:numPr>
        <w:jc w:val="both"/>
        <w:spacing w:before="0" w:after="0" w:line="113" w:lineRule="atLeast"/>
        <w:tabs>
          <w:tab w:val="left" w:pos="14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磋商邀请</w:t>
      </w:r>
      <w:r/>
    </w:p>
    <w:p>
      <w:pPr>
        <w:numPr>
          <w:ilvl w:val="0"/>
          <w:numId w:val="22"/>
        </w:numPr>
        <w:jc w:val="both"/>
        <w:spacing w:before="0" w:after="0" w:line="113" w:lineRule="atLeast"/>
        <w:tabs>
          <w:tab w:val="left" w:pos="14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供应商须知 </w:t>
      </w:r>
      <w:r/>
    </w:p>
    <w:p>
      <w:pPr>
        <w:numPr>
          <w:ilvl w:val="0"/>
          <w:numId w:val="22"/>
        </w:numPr>
        <w:jc w:val="both"/>
        <w:spacing w:before="0" w:after="0" w:line="113" w:lineRule="atLeast"/>
        <w:tabs>
          <w:tab w:val="left" w:pos="14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采购需求</w:t>
      </w:r>
      <w:r/>
    </w:p>
    <w:p>
      <w:pPr>
        <w:numPr>
          <w:ilvl w:val="0"/>
          <w:numId w:val="22"/>
        </w:numPr>
        <w:jc w:val="both"/>
        <w:spacing w:before="0" w:after="0" w:line="113" w:lineRule="atLeast"/>
        <w:tabs>
          <w:tab w:val="left" w:pos="14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评审方法与评审标准</w:t>
      </w:r>
      <w:r/>
    </w:p>
    <w:p>
      <w:pPr>
        <w:numPr>
          <w:ilvl w:val="0"/>
          <w:numId w:val="22"/>
        </w:numPr>
        <w:jc w:val="both"/>
        <w:spacing w:before="0" w:after="0" w:line="113" w:lineRule="atLeast"/>
        <w:tabs>
          <w:tab w:val="left" w:pos="14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响应文件格式</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rPr>
          <w:rFonts w:ascii="SimSun" w:hAnsi="SimSun" w:eastAsia="SimSun" w:cs="SimSun"/>
          <w:color w:val="000000"/>
          <w:sz w:val="21"/>
          <w:szCs w:val="2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
    </w:p>
    <w:p>
      <w:pPr>
        <w:ind w:left="0" w:right="0" w:firstLine="0"/>
        <w:jc w:val="both"/>
        <w:spacing w:before="0" w:after="0"/>
        <w:pBdr>
          <w:top w:val="none" w:color="000000" w:sz="4" w:space="0"/>
          <w:left w:val="none" w:color="000000" w:sz="4" w:space="0"/>
          <w:bottom w:val="none" w:color="000000" w:sz="4" w:space="0"/>
          <w:right w:val="none" w:color="000000" w:sz="4" w:space="0"/>
        </w:pBdr>
      </w:pPr>
      <w:r/>
      <w:r/>
    </w:p>
    <w:p>
      <w:pPr>
        <w:ind w:left="0" w:right="0" w:firstLine="0"/>
        <w:jc w:val="both"/>
        <w:spacing w:before="0" w:after="0"/>
        <w:pBdr>
          <w:top w:val="none" w:color="000000" w:sz="4" w:space="0"/>
          <w:left w:val="none" w:color="000000" w:sz="4" w:space="0"/>
          <w:bottom w:val="none" w:color="000000" w:sz="4" w:space="0"/>
          <w:right w:val="none" w:color="000000" w:sz="4" w:space="0"/>
        </w:pBdr>
      </w:pPr>
      <w:r/>
      <w:r/>
    </w:p>
    <w:p>
      <w:pPr>
        <w:ind w:left="0" w:right="0" w:firstLine="0"/>
        <w:jc w:val="both"/>
        <w:spacing w:before="0" w:after="0"/>
        <w:pBdr>
          <w:top w:val="none" w:color="000000" w:sz="4" w:space="0"/>
          <w:left w:val="none" w:color="000000" w:sz="4" w:space="0"/>
          <w:bottom w:val="none" w:color="000000" w:sz="4" w:space="0"/>
          <w:right w:val="none" w:color="000000" w:sz="4" w:space="0"/>
        </w:pBdr>
      </w:pPr>
      <w:r/>
      <w:r/>
    </w:p>
    <w:p>
      <w:pPr>
        <w:ind w:left="0" w:right="0" w:firstLine="0"/>
        <w:jc w:val="both"/>
        <w:spacing w:before="0" w:after="0"/>
        <w:pBdr>
          <w:top w:val="none" w:color="000000" w:sz="4" w:space="0"/>
          <w:left w:val="none" w:color="000000" w:sz="4" w:space="0"/>
          <w:bottom w:val="none" w:color="000000" w:sz="4" w:space="0"/>
          <w:right w:val="none" w:color="000000" w:sz="4" w:space="0"/>
        </w:pBdr>
      </w:pPr>
      <w:r/>
      <w:r/>
    </w:p>
    <w:p>
      <w:pPr>
        <w:ind w:left="0" w:right="0" w:firstLine="0"/>
        <w:jc w:val="both"/>
        <w:spacing w:before="0" w:after="0"/>
        <w:pBdr>
          <w:top w:val="none" w:color="000000" w:sz="4" w:space="0"/>
          <w:left w:val="none" w:color="000000" w:sz="4" w:space="0"/>
          <w:bottom w:val="none" w:color="000000" w:sz="4" w:space="0"/>
          <w:right w:val="none" w:color="000000" w:sz="4" w:space="0"/>
        </w:pBdr>
      </w:pPr>
      <w:r/>
      <w:r/>
    </w:p>
    <w:p>
      <w:pPr>
        <w:ind w:left="0" w:right="0" w:firstLine="0"/>
        <w:jc w:val="both"/>
        <w:spacing w:before="0" w:after="0"/>
        <w:pBdr>
          <w:top w:val="none" w:color="000000" w:sz="4" w:space="0"/>
          <w:left w:val="none" w:color="000000" w:sz="4" w:space="0"/>
          <w:bottom w:val="none" w:color="000000" w:sz="4" w:space="0"/>
          <w:right w:val="none" w:color="000000" w:sz="4" w:space="0"/>
        </w:pBdr>
      </w:pPr>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r>
      <w:r>
        <w:rPr>
          <w:rFonts w:ascii="SimSun" w:hAnsi="SimSun" w:eastAsia="SimSun" w:cs="SimSun"/>
          <w:color w:val="000000"/>
          <w:sz w:val="21"/>
          <w:highlight w:val="none"/>
        </w:rPr>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第一章磋商邀请</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受</w:t>
      </w:r>
      <w:r>
        <w:rPr>
          <w:rFonts w:ascii="SimSun" w:hAnsi="SimSun" w:eastAsia="SimSun" w:cs="SimSun"/>
          <w:color w:val="000000"/>
          <w:sz w:val="24"/>
          <w:u w:val="single"/>
        </w:rPr>
        <w:t xml:space="preserve">海安市城南实验小学</w:t>
      </w:r>
      <w:r>
        <w:rPr>
          <w:rFonts w:ascii="SimSun" w:hAnsi="SimSun" w:eastAsia="SimSun" w:cs="SimSun"/>
          <w:color w:val="000000"/>
          <w:sz w:val="24"/>
        </w:rPr>
        <w:t xml:space="preserve">的委托，</w:t>
      </w:r>
      <w:r>
        <w:rPr>
          <w:rFonts w:ascii="SimSun" w:hAnsi="SimSun" w:eastAsia="SimSun" w:cs="SimSun"/>
          <w:color w:val="000000"/>
          <w:sz w:val="24"/>
          <w:u w:val="single"/>
        </w:rPr>
        <w:t xml:space="preserve">辽宁恒信工程造价咨询有限公司</w:t>
      </w:r>
      <w:r>
        <w:rPr>
          <w:rFonts w:ascii="SimSun" w:hAnsi="SimSun" w:eastAsia="SimSun" w:cs="SimSun"/>
          <w:color w:val="000000"/>
          <w:sz w:val="24"/>
        </w:rPr>
        <w:t xml:space="preserve">就</w:t>
      </w:r>
      <w:r>
        <w:rPr>
          <w:rFonts w:ascii="SimSun" w:hAnsi="SimSun" w:eastAsia="SimSun" w:cs="SimSun"/>
          <w:color w:val="000000"/>
          <w:sz w:val="24"/>
          <w:u w:val="single"/>
        </w:rPr>
        <w:t xml:space="preserve">海安市城南实验小学操场维修改造工程(</w:t>
      </w:r>
      <w:r>
        <w:rPr>
          <w:rFonts w:ascii="SimSun" w:hAnsi="SimSun" w:eastAsia="SimSun" w:cs="SimSun"/>
          <w:color w:val="000000"/>
          <w:sz w:val="24"/>
          <w:szCs w:val="24"/>
          <w:u w:val="single"/>
        </w:rPr>
        <w:t xml:space="preserve">JSZC-320685-LNHX-C2026-0002</w:t>
      </w:r>
      <w:r>
        <w:rPr>
          <w:rFonts w:ascii="SimSun" w:hAnsi="SimSun" w:eastAsia="SimSun" w:cs="SimSun"/>
          <w:color w:val="000000"/>
          <w:sz w:val="24"/>
          <w:u w:val="single"/>
        </w:rPr>
        <w:t xml:space="preserve">)</w:t>
      </w:r>
      <w:r>
        <w:rPr>
          <w:rFonts w:ascii="SimSun" w:hAnsi="SimSun" w:eastAsia="SimSun" w:cs="SimSun"/>
          <w:color w:val="000000"/>
          <w:sz w:val="24"/>
        </w:rPr>
        <w:t xml:space="preserve">项目进行竞争性磋商采购，欢迎符合条件的供应商参加磋商。</w:t>
      </w:r>
      <w:r/>
    </w:p>
    <w:p>
      <w:pPr>
        <w:ind w:left="0" w:right="0" w:firstLine="480"/>
        <w:jc w:val="both"/>
        <w:spacing w:before="0" w:after="0" w:line="559" w:lineRule="atLeast"/>
        <w:pBdr>
          <w:top w:val="single" w:color="000000" w:sz="4" w:space="0"/>
          <w:left w:val="single" w:color="000000" w:sz="4" w:space="0"/>
          <w:bottom w:val="single" w:color="000000" w:sz="4" w:space="0"/>
          <w:right w:val="single" w:color="000000" w:sz="4" w:space="0"/>
        </w:pBdr>
      </w:pPr>
      <w:r>
        <w:rPr>
          <w:rFonts w:ascii="SimSun" w:hAnsi="SimSun" w:eastAsia="SimSun" w:cs="SimSun"/>
          <w:color w:val="000000"/>
          <w:sz w:val="24"/>
        </w:rPr>
        <w:t xml:space="preserve">项目概况</w:t>
      </w:r>
      <w:r/>
    </w:p>
    <w:p>
      <w:pPr>
        <w:ind w:left="0" w:right="0" w:firstLine="480"/>
        <w:jc w:val="both"/>
        <w:spacing w:before="0" w:after="0" w:line="559" w:lineRule="atLeast"/>
        <w:pBdr>
          <w:top w:val="single" w:color="000000" w:sz="4" w:space="0"/>
          <w:left w:val="single" w:color="000000" w:sz="4" w:space="0"/>
          <w:bottom w:val="single" w:color="000000" w:sz="4" w:space="0"/>
          <w:right w:val="single" w:color="000000" w:sz="4" w:space="0"/>
        </w:pBdr>
      </w:pPr>
      <w:r>
        <w:rPr>
          <w:rFonts w:ascii="SimSun" w:hAnsi="SimSun" w:eastAsia="SimSun" w:cs="SimSun"/>
          <w:color w:val="000000"/>
          <w:sz w:val="24"/>
          <w:u w:val="single"/>
        </w:rPr>
        <w:t xml:space="preserve">海安市城南实验小学操场维修改造工程</w:t>
      </w:r>
      <w:r>
        <w:rPr>
          <w:rFonts w:ascii="SimSun" w:hAnsi="SimSun" w:eastAsia="SimSun" w:cs="SimSun"/>
          <w:color w:val="000000"/>
          <w:sz w:val="24"/>
        </w:rPr>
        <w:t xml:space="preserve">竞争性磋商项目的潜在供应商可在</w:t>
      </w:r>
      <w:r>
        <w:rPr>
          <w:rFonts w:ascii="SimSun" w:hAnsi="SimSun" w:eastAsia="SimSun" w:cs="SimSun"/>
          <w:color w:val="000000"/>
          <w:sz w:val="24"/>
          <w:u w:val="single"/>
        </w:rPr>
        <w:t xml:space="preserve">“江苏政府采购网”自行免费下载</w:t>
      </w:r>
      <w:r>
        <w:rPr>
          <w:rFonts w:ascii="SimSun" w:hAnsi="SimSun" w:eastAsia="SimSun" w:cs="SimSun"/>
          <w:color w:val="000000"/>
          <w:sz w:val="24"/>
        </w:rPr>
        <w:t xml:space="preserve">磋商文件，并于</w:t>
      </w:r>
      <w:r>
        <w:rPr>
          <w:rFonts w:ascii="SimSun" w:hAnsi="SimSun" w:eastAsia="SimSun" w:cs="SimSun"/>
          <w:color w:val="000000"/>
          <w:sz w:val="24"/>
          <w:u w:val="single"/>
        </w:rPr>
        <w:t xml:space="preserve">2026年08月11日09点00分（</w:t>
      </w:r>
      <w:r>
        <w:rPr>
          <w:rFonts w:ascii="SimSun" w:hAnsi="SimSun" w:eastAsia="SimSun" w:cs="SimSun"/>
          <w:color w:val="000000"/>
          <w:sz w:val="24"/>
        </w:rPr>
        <w:t xml:space="preserve">北京时间）前递交响应文件。</w:t>
      </w:r>
      <w:r/>
    </w:p>
    <w:p>
      <w:pPr>
        <w:ind w:left="0" w:right="0" w:firstLine="498"/>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一、项目基本情况</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1.项目编号：JSZC-320685-LNHX-C2026-0002 </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2.项目名称：海安市城南实验小学操场维修改造工程</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3.项目类型：工程类</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4.项目行业：建筑业</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5.预算金额：350万元</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6.最高限价：3437564.00元，报价超过最高限价的将作为无效响应处理。</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7.采购需求：详细内容见本采购文件第三章，请仔细研究。</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8.合同履行期限：详见磋商文件。</w:t>
      </w:r>
      <w:r/>
    </w:p>
    <w:p>
      <w:pPr>
        <w:ind w:left="0" w:right="0" w:firstLine="498"/>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二、申请人的资格要求：</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（一）通用资格要求</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1.满足《中华人民共和国政府采购法》第二十二条规定。（格式见附件）</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在“信用中国”网站（www.creditchina.gov.cn）查询，无被列入失信被执行人、重大税收违法案件当事人名单、政府采购严重失信行为记录名单及其他不符合《中华人民共和国政府采购法》第二十二条规定条件的信用记录。（格式见附件）</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落实政府采购政策需满足的资格要求：本项目为专门面向中小微企业采购项目，残疾人福利性单位、监狱和戒毒企业（简称监狱企业）视同小型、微型企业。须按照财库〔2020〕46号文要求提供中小企业声明函，或提供《残疾人福利性单位声明函》，或提供由省级以上监狱管理局、戒毒管理局(含新疆生产建设兵团)出具的属于监狱企业的证明文件。（格式见附件）</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4.本项目不接受联合体投标。</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5.本项目不接受进口产品投标。</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6.本项目不接受分包。</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（二）本项目的特定资格要求</w:t>
      </w:r>
      <w:r/>
    </w:p>
    <w:p>
      <w:pPr>
        <w:ind w:left="0" w:right="0" w:firstLine="480"/>
        <w:jc w:val="both"/>
        <w:spacing w:before="0" w:after="0" w:line="5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1.供应商须具备建设行政主管部门颁发的建筑工程施工总承包二级及以上资质或市政公用工程施工总承包二级及以上资质，同时具备有效的企业安全生产许可证。</w:t>
      </w:r>
      <w:r/>
    </w:p>
    <w:p>
      <w:pPr>
        <w:ind w:left="0" w:right="0" w:firstLine="480"/>
        <w:jc w:val="both"/>
        <w:spacing w:before="0" w:after="0" w:line="5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2.供应商拟派项目负责人须具备建筑工程二级及以上或市政公用工程专业二级及以上注册建造师证书，同时具备建设行政主管部门颁发的有效的安全生产考核合格证书（B证），且必须满足下列条件：</w:t>
      </w:r>
      <w:r/>
    </w:p>
    <w:p>
      <w:pPr>
        <w:ind w:left="0" w:right="0" w:firstLine="480"/>
        <w:jc w:val="both"/>
        <w:spacing w:before="0" w:after="0" w:line="5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（1）项目负责人不得同时在两个或者两个以上单位受聘或者执业。</w:t>
      </w:r>
      <w:r/>
    </w:p>
    <w:p>
      <w:pPr>
        <w:ind w:left="0" w:right="0" w:firstLine="480"/>
        <w:jc w:val="both"/>
        <w:spacing w:before="0" w:after="0" w:line="5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项目负责人是非变更后无在建工程，或项目负责人是变更后无在建工程（必须原合同工期已满且变更备案之日已满6个月），或因非承包方原因致使工程项目停工或因故不能按期开工、且已办理了项目负责人解锁手续，或项目负责人有在建工程，但该在建工程与本次招标的工程属于同一工程项目、同一项目批文、同一施工地点分段发包或分期施工的情况且总的工程规模在项目负责人执业范围之内。</w:t>
      </w:r>
      <w:r/>
    </w:p>
    <w:p>
      <w:pPr>
        <w:ind w:left="0" w:right="0" w:firstLine="480"/>
        <w:jc w:val="both"/>
        <w:spacing w:before="0" w:after="0" w:line="5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提醒：根据《住房和城乡建设部办公厅关于全面实行一级建造师电子注册证书的通知》(建办市〔2021〕40号)的规定，自2022 年1月1日起，一级建造师统一使用电子证书，纸质注册证书作废。若供应商拟派项目负责人为一级建造师，则须提供符合建办市〔2021〕40号文件要求的电子注册证书，否则资格审查不予通过，其风险由供应商自行承担。</w:t>
      </w:r>
      <w:r/>
    </w:p>
    <w:p>
      <w:pPr>
        <w:ind w:left="0" w:right="0" w:firstLine="480"/>
        <w:jc w:val="both"/>
        <w:spacing w:before="0" w:after="0" w:line="5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拟派项目负责人为二级建造师的，必须提供按照《江苏省住房和城乡建设厅关于我省二级建造师、二级造价工程师、二级注册建筑师、二级注册结构工程师注册证书电子证照换发的公告》(〔2023〕第26号)文件要求换新的注册证书电子证照，否则资格审查不予通过，其风险由供应商自行承担。</w:t>
      </w:r>
      <w:r/>
    </w:p>
    <w:p>
      <w:pPr>
        <w:ind w:left="0" w:right="0" w:firstLine="480"/>
        <w:jc w:val="both"/>
        <w:spacing w:before="0" w:after="0" w:line="5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根据江苏省住房和城乡建设厅《关于建筑业企业资质动态监管不合格企业参加招投标相关事宜的复函》（苏建函建管〔2019〕233号）的规定，江苏省内的供应商某项被核查为不达标的资质，不得参加该资质的招投标、合同备案等经营活动。</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如为省外企业，按照《建筑业企业资质管理规定》第二十八条要求，取得建筑业企业资质证书的企业，应当保持企业注册执业人员满足相应建筑业企业资质标准要求的条件。企业注册执业人员达标情况，施工总承包特级及一级资质、专业承包一级资质所需的注册建造师按“标准”考核，其他资质所需的注册执业人员暂时按“标准”中同类别最低等级资质的要求考核。注册执业人员以全国建筑市场监管公共服务平台中的注册人员数量进行认定。江苏省外的供应商某项被评标委员会认定为企业注册执业人员不达标的资质，不得参加该资质的招投标、合同备案等经营活动。</w:t>
      </w:r>
      <w:r/>
    </w:p>
    <w:p>
      <w:pPr>
        <w:ind w:left="0" w:right="0" w:firstLine="498"/>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三、获取磋商文件</w:t>
      </w:r>
      <w:r/>
    </w:p>
    <w:p>
      <w:pPr>
        <w:ind w:left="0" w:right="0" w:firstLine="54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1.时间：2026年07月31日至2026年08月11日（提供期限自本公告发布之日起不得少于5个工作日）。</w:t>
      </w:r>
      <w:r/>
    </w:p>
    <w:p>
      <w:pPr>
        <w:ind w:left="0" w:right="0" w:firstLine="54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2.方式：在“江苏政府采购网”自行免费下载磋商文件。</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3.获取方式：本项目采用网上注册登记方式。</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3.1潜在供应商访问电子招标响应交易平台的网络地址和方法：</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政府采购网—资料下载中《江苏省政府采购管理交易系统（苏采云）供应商操作手册》。</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3.2潜在供应商访问“苏采云”系统的网络地址和方法：“苏采云”系统的网址：http://jszfcg.jsczt.cn/。</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3.3“CA数字证书”的获取：</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需办理CA锁，“苏采云”系统目前仅支持政务CA、方正签章，省内各地区办理的用于“苏采云”平台的政务CA、方正签章全省通用。“CA数字证书”的办理方法详见江苏政府采购网—资料下载中《江苏省政府采购数字证书（供应商）CA及电子签章办理指南》。</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3.4采购文件（后缀名为“.kedt”）、供应商操作手册及政府采购客户端工具可通过“苏采云”系统--已报名项目--报名详情页面内相应链接进行下载。</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3.5招标代理机构（采购代理机构）将数据电文形式的采购文件加载至“苏采云”系统，供潜在供应商下载或者查阅。</w:t>
      </w:r>
      <w:r/>
    </w:p>
    <w:p>
      <w:pPr>
        <w:ind w:left="0" w:right="0" w:firstLine="54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3.6请潜在供应商提前安装相应的控件（详见《江苏省政府采购管理交易系统（苏采云）供应商操作手册》）并使用谷歌浏览器登录“苏采云”系统参与不见面开评标。</w:t>
      </w:r>
      <w:r/>
    </w:p>
    <w:p>
      <w:pPr>
        <w:ind w:left="0" w:right="0" w:firstLine="498"/>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四、提交响应文件截止时间</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rPr>
          <w:rFonts w:ascii="SimSun" w:hAnsi="SimSun" w:eastAsia="SimSun" w:cs="SimSun"/>
          <w:color w:val="000000"/>
          <w:sz w:val="24"/>
          <w:u w:val="single"/>
        </w:rPr>
        <w:t xml:space="preserve">2026年08月11日09点00分</w:t>
      </w:r>
      <w:r>
        <w:rPr>
          <w:rFonts w:ascii="SimSun" w:hAnsi="SimSun" w:eastAsia="SimSun" w:cs="SimSun"/>
          <w:color w:val="000000"/>
          <w:sz w:val="24"/>
        </w:rPr>
        <w:t xml:space="preserve">（北京时间）。（自磋商文件开始发出之日起至供应商提交响应文件截止之日止，不得少于10日。）</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2.地点：“苏采云”政府采购交易系统网上开标大厅。</w:t>
      </w:r>
      <w:r/>
    </w:p>
    <w:p>
      <w:pPr>
        <w:ind w:left="0" w:right="0" w:firstLine="482"/>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注：各供应商请关注开标大厅交流区，在开标结束后，请勿离开开标大厅，待资格审查完毕，磋商小组发出报价指令后须在15分钟内完成系统报价。</w:t>
      </w:r>
      <w:r>
        <w:rPr>
          <w:rFonts w:ascii="SimSun" w:hAnsi="SimSun" w:eastAsia="SimSun" w:cs="SimSun"/>
          <w:color w:val="000000"/>
          <w:sz w:val="24"/>
        </w:rPr>
        <w:t xml:space="preserve">供应商未在磋商小组规定的时间内在苏采云系统中提交最后报价的视为放弃磋商，其响应文件按无效响应处理。</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响应文件的解密：开标当天各供应商及时登录不见面开标大厅，响应文件递交截止时间后，采购人将在系统内公布响应供应商名单，然后通过开标会议区发出响应文件解密的指令，供应商在开标室按规定时间自行实施远程解密，</w:t>
      </w:r>
      <w:r>
        <w:rPr>
          <w:rFonts w:ascii="SimSun" w:hAnsi="SimSun" w:eastAsia="SimSun" w:cs="SimSun"/>
          <w:b/>
          <w:color w:val="000000"/>
          <w:sz w:val="24"/>
        </w:rPr>
        <w:t xml:space="preserve">供应商解密限定在开标后30分钟之内完成</w:t>
      </w:r>
      <w:r>
        <w:rPr>
          <w:rFonts w:ascii="SimSun" w:hAnsi="SimSun" w:eastAsia="SimSun" w:cs="SimSun"/>
          <w:color w:val="000000"/>
          <w:sz w:val="24"/>
        </w:rPr>
        <w:t xml:space="preserve">。</w:t>
      </w:r>
      <w:r>
        <w:rPr>
          <w:rFonts w:ascii="SimSun" w:hAnsi="SimSun" w:eastAsia="SimSun" w:cs="SimSun"/>
          <w:color w:val="000000"/>
          <w:sz w:val="24"/>
          <w:u w:val="single"/>
        </w:rPr>
        <w:t xml:space="preserve">因供应商网络与电源不稳定、未按操作手册要求配置软硬件、解密锁发生故障或用错、故意不在要求时限内完成解密等自身原因，导致响应文件在规定时间内未能解密、解密失败或解密超时，视为供应商撤销其响应文件，系统内响应文件将被退回</w:t>
      </w:r>
      <w:r>
        <w:rPr>
          <w:rFonts w:ascii="SimSun" w:hAnsi="SimSun" w:eastAsia="SimSun" w:cs="SimSun"/>
          <w:color w:val="000000"/>
          <w:sz w:val="24"/>
        </w:rPr>
        <w:t xml:space="preserve">；因采购人原因或网上招投标平台发生故障，导致无法按时完成响应文件解密或开、评标工作无法进行的，可根据实际情况相应延迟解密时间或调整开、评标时间。</w:t>
      </w:r>
      <w:r/>
    </w:p>
    <w:p>
      <w:pPr>
        <w:ind w:left="0" w:right="0" w:firstLine="498"/>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五、公告期限</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磋商公告及磋商文件公告期限为自本公告发布之日起3个工作日。</w:t>
      </w:r>
      <w:r/>
    </w:p>
    <w:p>
      <w:pPr>
        <w:ind w:left="0" w:right="0" w:firstLine="498"/>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六、其他补充事宜</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1、投标保证金：免收</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2、项目开标活动模式：不见面远程开标模式，供应商在各自地点通过“苏采云”政府采购交易系统参加磋商活动。</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3、项目演示、样品、答辩等（如有请描述）：无</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对项目需求部分（供应商资格要求、项目需求、商务技术评分标准）的询问、质疑由采购人负责答复；对项目磋商文件其它部分的询问请向磋商文件制作人或项目磋商经办人提出；对在“电子交易平台”操作阶段的询问请向交易系统软件维护人员提出。</w:t>
      </w:r>
      <w:r/>
    </w:p>
    <w:p>
      <w:pPr>
        <w:ind w:left="0" w:right="0" w:firstLine="480"/>
        <w:jc w:val="left"/>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 根据省财政厅《关于更换全省政府采购交易系统C A数字证书和电子签章的通知》（苏财购〔2023〕101号），“苏采云”政府采购交易系统（以下简称苏采云系统）的CA数字证书、电子签章已更换为江苏省电子政务证书认证中心C A和方正国际软件（北京）有限公司电子签章。如果供应商通过苏采云系统参与政府采购项目，需要更换CA数字证书和电子签章。具体办理指南和操作手册见链接：http://www.ccgp-jiangsu.gov.cn/jiangsu/zlxz/ee/ee3a4bc5a3454aa2b0d931223</w:t>
      </w:r>
      <w:r>
        <w:rPr>
          <w:rFonts w:ascii="SimSun" w:hAnsi="SimSun" w:eastAsia="SimSun" w:cs="SimSun"/>
          <w:color w:val="000000"/>
          <w:sz w:val="24"/>
        </w:rPr>
        <w:t xml:space="preserve">0633ce9.html。（CA两种渠道办理：1、选择就近所在地市自行办理；2、联系江苏意源科技有限公司线上提交申请表 朱工 0513-59001215）</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rPr>
          <w:rFonts w:ascii="SimSun" w:hAnsi="SimSun" w:eastAsia="SimSun" w:cs="SimSun"/>
          <w:color w:val="000000"/>
          <w:sz w:val="21"/>
        </w:rPr>
        <w:t xml:space="preserve"> </w:t>
      </w:r>
      <w:r>
        <w:rPr>
          <w:rFonts w:ascii="SimSun" w:hAnsi="SimSun" w:eastAsia="SimSun" w:cs="SimSun"/>
          <w:color w:val="000000"/>
          <w:sz w:val="24"/>
        </w:rPr>
        <w:t xml:space="preserve">供应商应依照规定提交各类声明函、承诺函，不再同时提供原件备查或提供有关部门出具的相关证明文件。但成交供应商应做好提交声明函、承诺函相应原件的核查准备；核查后发现虚假或违背承诺的，依照相关法律法规规定处理。</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 有关本次磋商的事项若存在变动或修改，敬请及时关注采购人在“江苏政府采购网”发布的更正公告。</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w:t>
      </w:r>
      <w:r>
        <w:rPr>
          <w:rFonts w:ascii="SimSun" w:hAnsi="SimSun" w:eastAsia="SimSun" w:cs="SimSun"/>
          <w:color w:val="000000"/>
          <w:sz w:val="21"/>
        </w:rPr>
        <w:t xml:space="preserve"> </w:t>
      </w:r>
      <w:r>
        <w:rPr>
          <w:rFonts w:ascii="SimSun" w:hAnsi="SimSun" w:eastAsia="SimSun" w:cs="SimSun"/>
          <w:color w:val="000000"/>
          <w:sz w:val="24"/>
        </w:rPr>
        <w:t xml:space="preserve">成交供应商须提供一份纸质版响应文件正本至采购人处。</w:t>
      </w:r>
      <w:r/>
    </w:p>
    <w:p>
      <w:pPr>
        <w:ind w:left="0" w:right="0" w:firstLine="498"/>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七、本次磋商联系方式</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1.采购人信息</w:t>
      </w:r>
      <w:r/>
    </w:p>
    <w:p>
      <w:pPr>
        <w:ind w:left="1079" w:right="0" w:hanging="30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  称：海安市城南实验小学 </w:t>
      </w:r>
      <w:r/>
    </w:p>
    <w:p>
      <w:pPr>
        <w:ind w:left="1079" w:right="0" w:hanging="30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  址：海安市高庄路99号 </w:t>
      </w:r>
      <w:r/>
    </w:p>
    <w:p>
      <w:pPr>
        <w:ind w:left="1079" w:right="0" w:hanging="30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联系人：李思群</w:t>
      </w:r>
      <w:r/>
    </w:p>
    <w:p>
      <w:pPr>
        <w:ind w:left="1079" w:right="0" w:hanging="30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联系方式：13813797665 </w:t>
      </w:r>
      <w:r/>
    </w:p>
    <w:p>
      <w:pPr>
        <w:ind w:left="0" w:right="0" w:firstLine="72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2.代理机构信息</w:t>
      </w:r>
      <w:r/>
    </w:p>
    <w:p>
      <w:pPr>
        <w:ind w:left="0" w:right="0" w:firstLine="72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  称：辽宁恒信工程造价咨询有限公司</w:t>
      </w:r>
      <w:r/>
    </w:p>
    <w:p>
      <w:pPr>
        <w:ind w:left="0" w:right="0" w:firstLine="72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地址：海安市海安镇东大街2号7幢1048室</w:t>
      </w:r>
      <w:r/>
    </w:p>
    <w:p>
      <w:pPr>
        <w:ind w:left="0" w:right="0" w:firstLine="72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联系人：吉羽彤</w:t>
      </w:r>
      <w:r/>
    </w:p>
    <w:p>
      <w:pPr>
        <w:ind w:left="0" w:right="0" w:firstLine="72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联系方式：18862757933</w:t>
      </w:r>
      <w:r/>
    </w:p>
    <w:p>
      <w:pPr>
        <w:ind w:left="0" w:right="0" w:firstLine="72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3.项目联系方式</w:t>
      </w:r>
      <w:r/>
    </w:p>
    <w:p>
      <w:pPr>
        <w:ind w:left="0" w:right="0" w:firstLine="72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磋商文件制作人:吉羽彤 18862757933</w:t>
      </w:r>
      <w:r/>
    </w:p>
    <w:p>
      <w:pPr>
        <w:ind w:left="0" w:right="0" w:firstLine="72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项目磋商经办人：李思群13813797665</w:t>
      </w:r>
      <w:r/>
    </w:p>
    <w:p>
      <w:pPr>
        <w:ind w:left="0" w:right="0" w:firstLine="72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交易系统软件维护人员：0519-86722801、0513-59001950</w:t>
      </w:r>
      <w:r/>
    </w:p>
    <w:p>
      <w:pPr>
        <w:ind w:left="0" w:right="0" w:firstLine="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559" w:lineRule="atLeast"/>
        <w:rPr>
          <w:rFonts w:ascii="SimSun" w:hAnsi="SimSun" w:eastAsia="SimSun" w:cs="SimSun"/>
          <w:color w:val="000000"/>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r>
      <w:r>
        <w:rPr>
          <w:rFonts w:ascii="SimSun" w:hAnsi="SimSun" w:eastAsia="SimSun" w:cs="SimSun"/>
          <w:color w:val="000000"/>
          <w:sz w:val="24"/>
          <w:highlight w:val="none"/>
        </w:rPr>
      </w:r>
      <w:r/>
    </w:p>
    <w:p>
      <w:pPr>
        <w:ind w:left="0" w:right="0" w:firstLine="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第二章 </w:t>
      </w:r>
      <w:r>
        <w:rPr>
          <w:rFonts w:ascii="SimSun" w:hAnsi="SimSun" w:eastAsia="SimSun" w:cs="SimSun"/>
          <w:b/>
          <w:color w:val="000000"/>
          <w:sz w:val="44"/>
        </w:rPr>
        <w:t xml:space="preserve">供应商须知</w:t>
      </w:r>
      <w:r/>
    </w:p>
    <w:p>
      <w:pPr>
        <w:ind w:left="0" w:right="0" w:firstLine="321"/>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一、总则</w:t>
      </w:r>
      <w:r/>
    </w:p>
    <w:p>
      <w:pPr>
        <w:ind w:left="0" w:right="0" w:firstLine="42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1、采购方式</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 本次政府采购活动采取竞争性磋商(以下简称磋商)方式，本磋商文件仅适用于磋商公告中所述项目。</w:t>
      </w:r>
      <w:r/>
    </w:p>
    <w:p>
      <w:pPr>
        <w:ind w:left="0" w:right="0" w:firstLine="42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2、合格的供应商</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2.1满足磋商公告中供应商资格要求的规定。</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 满足本磋商文件实质性要求和条件的规定。</w:t>
      </w:r>
      <w:r/>
    </w:p>
    <w:p>
      <w:pPr>
        <w:ind w:left="0" w:right="0" w:firstLine="42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3、适用法律</w:t>
      </w:r>
      <w:r/>
    </w:p>
    <w:p>
      <w:pPr>
        <w:ind w:left="0" w:right="0" w:firstLine="42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 本次磋商及由此产生的合同受中华人民共和国有关的法律法规制约和保护。</w:t>
      </w:r>
      <w:r/>
    </w:p>
    <w:p>
      <w:pPr>
        <w:ind w:left="0" w:right="0" w:firstLine="42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4、磋商费用</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4.1供应商应自行承担所有与参加本次磋商有关的费用，无论磋商过程中的做法和结果如何，采购人在任何情况下均无义务和责任承担这些费用。</w:t>
      </w:r>
      <w:r/>
    </w:p>
    <w:p>
      <w:pPr>
        <w:ind w:left="0" w:right="0" w:firstLine="301"/>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5、</w:t>
      </w:r>
      <w:r>
        <w:rPr>
          <w:rFonts w:ascii="SimSun" w:hAnsi="SimSun" w:eastAsia="SimSun" w:cs="SimSun"/>
          <w:color w:val="000000"/>
          <w:sz w:val="28"/>
        </w:rPr>
        <w:t xml:space="preserve">磋商文件的约束力</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5.1供应商一旦参加本项目采购活动，即被认为接受了本磋商文件的规定和约束。</w:t>
      </w:r>
      <w:r/>
    </w:p>
    <w:p>
      <w:pPr>
        <w:ind w:left="0" w:right="0" w:firstLine="321"/>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二、磋商文件</w:t>
      </w:r>
      <w:r/>
    </w:p>
    <w:p>
      <w:pPr>
        <w:ind w:left="0" w:right="0" w:firstLine="42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6、磋商文件构成</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6.1磋商文件由以下部分组成：</w:t>
      </w:r>
      <w:r/>
    </w:p>
    <w:p>
      <w:pPr>
        <w:ind w:left="0" w:right="0" w:firstLine="36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（1）磋商邀请</w:t>
      </w:r>
      <w:r/>
    </w:p>
    <w:p>
      <w:pPr>
        <w:ind w:left="0" w:right="0" w:firstLine="36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（2）供应商须知</w:t>
      </w:r>
      <w:r/>
    </w:p>
    <w:p>
      <w:pPr>
        <w:ind w:left="0" w:right="0" w:firstLine="36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（3）采购需求</w:t>
      </w:r>
      <w:r/>
    </w:p>
    <w:p>
      <w:pPr>
        <w:ind w:left="0" w:right="0" w:firstLine="36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（4）评审方法与评审标准</w:t>
      </w:r>
      <w:r/>
    </w:p>
    <w:p>
      <w:pPr>
        <w:ind w:left="0" w:right="0" w:firstLine="36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（5）响应文件格式</w:t>
      </w:r>
      <w:r/>
    </w:p>
    <w:p>
      <w:pPr>
        <w:ind w:left="0" w:right="0" w:firstLine="36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（6）附件（如有）</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请仔细检查磋商文件是否齐全，如有缺漏请立即与采购人联系解决。</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6.2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ind w:left="0" w:right="0" w:firstLine="562"/>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7、磋商文件的澄清</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 任何要求对磋商文件进行澄清的供应商，应在磋商截止期5日前按磋商公告中的通讯地址，以书面形式通知采购人。</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7.2采购人视情组织答疑会。</w:t>
      </w:r>
      <w:r/>
    </w:p>
    <w:p>
      <w:pPr>
        <w:ind w:left="0" w:right="0" w:firstLine="562"/>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8、磋商文件的澄清和修改</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8.1 在响应文件提交截止时间前，采购人可以对磋商文件进行澄清和修改,</w:t>
      </w:r>
      <w:r>
        <w:rPr>
          <w:rFonts w:ascii="SimSun" w:hAnsi="SimSun" w:eastAsia="SimSun" w:cs="SimSun"/>
          <w:color w:val="000000"/>
          <w:sz w:val="21"/>
        </w:rPr>
        <w:t xml:space="preserve"> </w:t>
      </w:r>
      <w:r>
        <w:rPr>
          <w:rFonts w:ascii="SimSun" w:hAnsi="SimSun" w:eastAsia="SimSun" w:cs="SimSun"/>
          <w:color w:val="000000"/>
          <w:sz w:val="24"/>
        </w:rPr>
        <w:t xml:space="preserve">澄清或者修改的内容作为磋商文件的组成部分。澄清或者修改的内容可能影响响应文件编制的，采购人将在提交首次响应文件截止时间至少5日前，在“江苏政府采购网”上发布书面更正公告形式通知所有获取磋商文件的供应商,</w:t>
      </w:r>
      <w:r>
        <w:rPr>
          <w:rFonts w:ascii="SimSun" w:hAnsi="SimSun" w:eastAsia="SimSun" w:cs="SimSun"/>
          <w:color w:val="000000"/>
          <w:sz w:val="21"/>
        </w:rPr>
        <w:t xml:space="preserve"> </w:t>
      </w:r>
      <w:r>
        <w:rPr>
          <w:rFonts w:ascii="SimSun" w:hAnsi="SimSun" w:eastAsia="SimSun" w:cs="SimSun"/>
          <w:color w:val="000000"/>
          <w:sz w:val="24"/>
        </w:rPr>
        <w:t xml:space="preserve">更正公告内容将作为磋商文件的组成部分，并对供应商具有约束力。不足5日的，采购人将顺延提交首次响应文件截止时间。</w:t>
      </w:r>
      <w:r/>
    </w:p>
    <w:p>
      <w:pPr>
        <w:ind w:left="0" w:right="0" w:firstLine="482"/>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三、响应文件的编制</w:t>
      </w:r>
      <w:r/>
    </w:p>
    <w:p>
      <w:pPr>
        <w:ind w:left="0" w:right="0" w:firstLine="562"/>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9、响应文件的语言及度量衡单位</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9.1供应商提交的响应文件以及供应商与采购人就有关磋商的所有来往通知、函件和文件均应使用</w:t>
      </w:r>
      <w:r>
        <w:rPr>
          <w:rFonts w:ascii="SimSun" w:hAnsi="SimSun" w:eastAsia="SimSun" w:cs="SimSun"/>
          <w:b/>
          <w:color w:val="000000"/>
          <w:sz w:val="24"/>
        </w:rPr>
        <w:t xml:space="preserve">简体中文</w:t>
      </w:r>
      <w:r>
        <w:rPr>
          <w:rFonts w:ascii="SimSun" w:hAnsi="SimSun" w:eastAsia="SimSun" w:cs="SimSun"/>
          <w:color w:val="000000"/>
          <w:sz w:val="24"/>
        </w:rPr>
        <w:t xml:space="preserve">。</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9.2 除技术性能另有规定外，响应文件所使用的度量衡单位，均须采用国家法定计量单位。</w:t>
      </w:r>
      <w:r/>
    </w:p>
    <w:p>
      <w:pPr>
        <w:ind w:left="0" w:right="0" w:firstLine="422"/>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10、响应文件构成</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10.1供应商编写的响应文件应包括资格证明文件、符合性证明文件、分项报价表、技术要求响应及偏离表、商务要求响应及偏离表、其他证明文件、磋商响应函等部分。</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10.2 如标书制作工具中格式和内容与“江苏政府采购网”发布的磋商文件不一致，请以“江苏政府采购网”发布的磋商文件为准。</w:t>
      </w:r>
      <w:r/>
    </w:p>
    <w:p>
      <w:pPr>
        <w:ind w:left="0" w:right="0" w:firstLine="562"/>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11、证明磋商响应标的符合磋商文件规定的文件</w:t>
      </w:r>
      <w:r/>
    </w:p>
    <w:p>
      <w:pPr>
        <w:ind w:left="0" w:right="0" w:firstLine="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11.1供应商应按照磋商文件要求提交证明文件，证明其及磋商响应标的符合磋商文件规定。</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11.2磋商文件对证明文件无明确形式要求的，证明文件可以以文字资料、图纸和数据等形式提交。</w:t>
      </w:r>
      <w:r/>
    </w:p>
    <w:p>
      <w:pPr>
        <w:ind w:left="0" w:right="0" w:firstLine="562"/>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12、分项报价表</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12.1供应商应按照磋商文件规定格式填报分项报价表。</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12.2磋商货币。响应文件中的单价和总价无特殊规定的采用人民币报价，以元为单位标注。磋商文件中另有规定的按规定执行。</w:t>
      </w:r>
      <w:r/>
    </w:p>
    <w:p>
      <w:pPr>
        <w:ind w:left="0" w:right="0" w:firstLine="562"/>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13、技术要求响应及偏离表、商务要求响应及偏离表</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13.1供应商需对磋商文件中的技术要求与商务要求逐项作出响应或偏离，并说明原因。</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13.2供应商可在响应文件中提供认为需要的其他技术文件或说明。</w:t>
      </w:r>
      <w:r/>
    </w:p>
    <w:p>
      <w:pPr>
        <w:ind w:left="0" w:right="0" w:firstLine="562"/>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14、服务承诺、培训计划、人员安排及其他</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14.1供应商需根据磋商文件要求提供有关售后服务的管理制度，售后服务机构的分布情况，售后服务人员的数量、素质、技术水平及售后服务的反应能力等。</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14.2供应商需根据磋商文件要求提供培训计划。</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14.3供应商需根据磋商文件要求提供磋商响应标的的主要组成部分、功能设计、实现思路及关键技术等。</w:t>
      </w:r>
      <w:r/>
    </w:p>
    <w:p>
      <w:pPr>
        <w:ind w:left="0" w:right="0" w:firstLine="562"/>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15、磋商响应函</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15.1供应商应按照磋商文件中提供的格式完整、正确填写磋商响应函。</w:t>
      </w:r>
      <w:r/>
    </w:p>
    <w:p>
      <w:pPr>
        <w:ind w:left="0" w:right="0" w:firstLine="562"/>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16、磋商有效期</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16.1磋商有效期为采购人规定的提交响应文件截止之日后</w:t>
      </w:r>
      <w:r>
        <w:rPr>
          <w:rFonts w:ascii="SimSun" w:hAnsi="SimSun" w:eastAsia="SimSun" w:cs="SimSun"/>
          <w:b/>
          <w:color w:val="000000"/>
          <w:sz w:val="24"/>
          <w:u w:val="single"/>
        </w:rPr>
        <w:t xml:space="preserve">六十（60）天</w:t>
      </w:r>
      <w:r>
        <w:rPr>
          <w:rFonts w:ascii="SimSun" w:hAnsi="SimSun" w:eastAsia="SimSun" w:cs="SimSun"/>
          <w:color w:val="000000"/>
          <w:sz w:val="24"/>
        </w:rPr>
        <w:t xml:space="preserve">。磋商有效期比规定短的将被视为非实质性响应磋商文件而予以拒绝。</w:t>
      </w:r>
      <w:r/>
    </w:p>
    <w:p>
      <w:pPr>
        <w:ind w:left="0" w:right="0" w:firstLine="562"/>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17、磋商有效期的延长</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17.1在特殊情况下，采购人于原磋商有效期满之前，可向供应商提出延长磋商有效期的要求。这种要求与答复均应采用书面形式。供应商可以拒绝采购人的这一要求而放弃磋商，同意延长磋商有效期的供应商既不能要求也不允许修改其响应文件。受磋商有效期约束的所有权利与义务均延长至新的有效期。</w:t>
      </w:r>
      <w:r/>
    </w:p>
    <w:p>
      <w:pPr>
        <w:ind w:left="0" w:right="0" w:firstLine="643"/>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四、响应文件的递交</w:t>
      </w:r>
      <w:r/>
    </w:p>
    <w:p>
      <w:pPr>
        <w:ind w:left="0" w:right="0" w:firstLine="562"/>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18、电子磋商响应文件的递交</w:t>
      </w:r>
      <w:r/>
    </w:p>
    <w:p>
      <w:pPr>
        <w:ind w:left="0" w:right="0" w:firstLine="60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18.1供应商应当按照《操作手册》规定，在提交响应文件截止时间前制作并上传电子响应文件。</w:t>
      </w:r>
      <w:r/>
    </w:p>
    <w:p>
      <w:pPr>
        <w:ind w:left="0" w:right="0" w:firstLine="562"/>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19、提交响应文件截止时间</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19.1</w:t>
      </w:r>
      <w:r>
        <w:rPr>
          <w:rFonts w:ascii="SimSun" w:hAnsi="SimSun" w:eastAsia="SimSun" w:cs="SimSun"/>
          <w:b/>
          <w:color w:val="000000"/>
          <w:sz w:val="24"/>
          <w:u w:val="single"/>
        </w:rPr>
        <w:t xml:space="preserve">供应商上传电子响应文件的时间不得迟于磋商公告中规定的提交响应文件截止时间。</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供应商应充分考虑到网络环境、网络带宽等风险因素，如因供应商自身原因造成的电子响应文件上传不成功的按照本磋商文件第二章第26.3.2条规定做无效响应处理。</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19.2 采购人可以按照规定，通过修改磋商文件酌情延长提交响应文件截止日期，在此情况下，供应商的所有权利和义务以及供应商受制的截止日期均应以延长后新的截止日期为准。</w:t>
      </w:r>
      <w:r/>
    </w:p>
    <w:p>
      <w:pPr>
        <w:ind w:left="0" w:right="0" w:firstLine="562"/>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20、响应文件的拒收</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20.1 采购人拒绝接收在其规定的提交响应文件截止时间后上传的任何电子响应文件。</w:t>
      </w:r>
      <w:r/>
    </w:p>
    <w:p>
      <w:pPr>
        <w:ind w:left="0" w:right="0" w:firstLine="562"/>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21、响应文件的撤回和修改</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21.1响应文件的撤回</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21.1.1 电子响应文件的撤回</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供应商可在提交响应文件截止时间前，撤回其电子响应文件，具体操作方法见《操作手册》。</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21.1.2供应商撤回电子响应文件，则认为其不再参与本项目磋商活动。</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21.2响应文件的修改</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供应商可在提交响应文件截止时间前，对其电子响应文件进行修改，具体操作方法见《操作手册》。</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21.3 在提交响应文件截止时间之后，供应商不得对其电子响应文件作任何修改。</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21.4 在提交响应文件截止时间至磋商文件中规定的磋商有效期满之间的这段时间内，供应商不得撤回其响应文件。</w:t>
      </w:r>
      <w:r/>
    </w:p>
    <w:p>
      <w:pPr>
        <w:ind w:left="0" w:right="0" w:firstLine="482"/>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五、响应文件的解密与评审</w:t>
      </w:r>
      <w:r/>
    </w:p>
    <w:p>
      <w:pPr>
        <w:ind w:left="0" w:right="0" w:firstLine="562"/>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22、响应文件解密</w:t>
      </w:r>
      <w:r/>
    </w:p>
    <w:p>
      <w:pPr>
        <w:ind w:left="0" w:right="0" w:firstLine="36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22.1供应商应当按照《操作手册》规定，在苏采云系统规定的时间内对磋商响应文件进行解密。</w:t>
      </w:r>
      <w:r/>
    </w:p>
    <w:p>
      <w:pPr>
        <w:ind w:left="0" w:right="0" w:firstLine="562"/>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23、磋商小组</w:t>
      </w:r>
      <w:r/>
    </w:p>
    <w:p>
      <w:pPr>
        <w:ind w:left="0" w:right="0" w:firstLine="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rPr>
          <w:rFonts w:ascii="SimSun" w:hAnsi="SimSun" w:eastAsia="SimSun" w:cs="SimSun"/>
          <w:color w:val="000000"/>
          <w:sz w:val="24"/>
        </w:rPr>
        <w:t xml:space="preserve"> 23.1采购人将组织磋商小组对响应文件进行评审。磋商小组由采购人代表和有关技术、经济等方面的专家组成，且人员构成符合政府采购有关规定。</w:t>
      </w:r>
      <w:r/>
    </w:p>
    <w:p>
      <w:pPr>
        <w:ind w:left="0" w:right="0" w:firstLine="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rPr>
          <w:rFonts w:ascii="SimSun" w:hAnsi="SimSun" w:eastAsia="SimSun" w:cs="SimSun"/>
          <w:color w:val="000000"/>
          <w:sz w:val="24"/>
        </w:rPr>
        <w:t xml:space="preserve"> 23.2磋商小组独立工作，负责评审所有响应文件并确定成交侯选人。</w:t>
      </w:r>
      <w:r/>
    </w:p>
    <w:p>
      <w:pPr>
        <w:ind w:left="0" w:right="0" w:firstLine="562"/>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24、评审过程的保密与公正</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24.1磋商小组、采购人和采购人工作人员、相关监督人员等与评审工作有关的人员，对评审情况以及在评审过程中获悉的国家秘密、商业秘密负有保密责任。</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24.2在评审过程中，供应商不得以任何行为影响磋商评审过程，否则其响应文件将被作为无效响应文件。</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24.3在项目评审期间，采购人将设专门人员与供应商联系。</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24.4 采购人和磋商小组不向未成交的供应商解释未成交原因，也不公布评审过程中的相关细节。</w:t>
      </w:r>
      <w:r/>
    </w:p>
    <w:p>
      <w:pPr>
        <w:ind w:left="0" w:right="0" w:firstLine="562"/>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25、评审过程中的的澄清</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磋商小组并非对每个供应商都作澄清要求。</w:t>
      </w:r>
      <w:r/>
    </w:p>
    <w:p>
      <w:pPr>
        <w:ind w:left="0" w:right="0" w:firstLine="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25.2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ind w:left="0" w:right="0" w:firstLine="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25.3 接到磋商小组澄清、说明和更正要求的供应商如未按规定做出澄清、说明和 更正，其风险由供应商自行承担。</w:t>
      </w:r>
      <w:r/>
    </w:p>
    <w:p>
      <w:pPr>
        <w:ind w:left="0" w:right="0" w:firstLine="562"/>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26、对响应文件的审查</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26.1响应文件审查分为资格审查和符合性审查。</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26.1.1 资格审查：由采购人依据法律法规和磋商文件的规定，对响应文件中的资格证明文件进行审查，以确定供应商是否具备参加磋商的资格。</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采购人在进行资格审查的同时，将在“信用中国”网站（www.creditchina.gov.cn）查询供应商的信用记录，以确定供应商是否具备磋商资格,查询结果留存并归档。</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left="0" w:right="0" w:firstLine="480"/>
        <w:jc w:val="left"/>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26.1.2 符合性审查：依据磋商文件的规定，由磋商小组从响应文件的有效性、完整性和对磋商文件的响应程度进行审查，以确定是否对磋商文件的实质性要求作出响应。</w:t>
      </w:r>
      <w:r/>
    </w:p>
    <w:p>
      <w:pPr>
        <w:ind w:left="0" w:right="0" w:firstLine="480"/>
        <w:jc w:val="left"/>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26.1.3 未通过资格审查或符合性审查的供应商，磋商小组将在苏采云系统中告知未通过资格审查或符合性审查的原因，评审结束后，磋商小组将不再告知未通过资格审查或符合性审查的原因。</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26.2在详细评审之前，磋商小组将首先审查每份响应文件是否实质性响应了磋商文件的要求。实质性响应的响应文件应该是与磋商文件要求的条款、条件和规格相符，没有重大偏离或保留。</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所谓重大偏离或保留是指与磋商文件规定的实质性要求存在负偏离，或者在实质上与磋商文件不一致，而且限制了合同中买方和采购人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26.3未实质性响应磋商文件的情形</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26.3.1供应商在苏采云系统规定的时间内未成功解密电子响应文件的。</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26.3.2供应商未按照磋商文件要求上传电子响应文件的。</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26.3.3同一供应商提交两个（含两个）以上不同的响应文件或者最后报价的。</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26.3.4供应商不具备磋商文件中规定资格要求的。</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26.3.5供应商的最后报价超过了采购预算。</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26.3.6不符合磋商文件中规定的实质性要求和条件的。</w:t>
      </w:r>
      <w:r/>
    </w:p>
    <w:p>
      <w:pPr>
        <w:ind w:left="0" w:right="0" w:firstLine="480"/>
        <w:jc w:val="left"/>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26.3.7供应商被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left="0" w:right="0" w:firstLine="480"/>
        <w:jc w:val="left"/>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26.3.8  响应文件含有采购人不能接受的附加条件的。</w:t>
      </w:r>
      <w:r/>
    </w:p>
    <w:p>
      <w:pPr>
        <w:ind w:left="0" w:right="0" w:firstLine="480"/>
        <w:jc w:val="left"/>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26.3.9 本项目采购产品被财政部、国家发改委、生态环境部等列入“节能产品品目清单”、“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26.3.10响应文件未按照磋商文件要求加盖CA电子公章的。</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26.4未实质性响应磋商文件的响应文件按无效响应处理。</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26.5如果响应文件实质上没有响应磋商文件的要求，磋商小组将予以拒绝，供应商不得通过修改或撤销不合要求的偏离或保留而使其成为实质性响应的文件。</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26.6磋商小组将对确定为实质性响应的文件进行进一步审核，看其是否有计算上或累加上的算术错误，修正错误的原则如下：</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（1）响应文件中报价总表内容与响应文件中相应内容不一致的，以报价总表为准。</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（2）大写金额和小写金额不一致的，以大写金额为准。</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（3）单价金额小数点或者百分比有明显错位的，以报价总表的总价为准，并修改单价。</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（4）总价金额与按单价汇总金额不一致的，以单价金额计算结果为准。</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同时出现两种以上错误的，按照前款规定的顺序修正。</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26.7供应商在项目评审全过程中应保持通讯畅通，并安排专人与采购人及磋商小组联系。</w:t>
      </w:r>
      <w:r/>
    </w:p>
    <w:p>
      <w:pPr>
        <w:ind w:left="0" w:right="0" w:firstLine="562"/>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27、磋商程序及评审方法和评审标准</w:t>
      </w:r>
      <w:r/>
    </w:p>
    <w:p>
      <w:pPr>
        <w:ind w:left="0" w:right="0" w:firstLine="477"/>
        <w:spacing w:before="0" w:after="0" w:line="51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27.1磋商程序</w:t>
      </w:r>
      <w:r/>
    </w:p>
    <w:p>
      <w:pPr>
        <w:ind w:left="0" w:right="0" w:firstLine="477"/>
        <w:spacing w:before="0" w:after="0" w:line="51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27.1.1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ind w:left="0" w:right="0" w:firstLine="477"/>
        <w:spacing w:before="0" w:after="0" w:line="51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left="0" w:right="0" w:firstLine="477"/>
        <w:spacing w:before="0" w:after="0" w:line="51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27.1.2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p>
    <w:p>
      <w:pPr>
        <w:ind w:left="0" w:right="0" w:firstLine="477"/>
        <w:spacing w:before="0" w:after="0" w:line="51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p>
    <w:p>
      <w:pPr>
        <w:ind w:left="0" w:right="0" w:firstLine="480"/>
        <w:spacing w:before="0" w:after="0" w:line="51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最后报价是供应商响应文件的有效组成部分。符合《政府采购竞争性磋商采购方式理暂行办法》第三条第一款第四项及《财政部关于竞争性磋商采购方式管理暂行办法有关问题的补充通知》（财库[2015]124号）规定情形的，提交最后报价的供应商可以为2家。</w:t>
      </w:r>
      <w:r/>
    </w:p>
    <w:p>
      <w:pPr>
        <w:ind w:left="0" w:right="0" w:firstLine="477"/>
        <w:spacing w:before="0" w:after="0" w:line="51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27.1.3供应商未在磋商小组规定的时间内在苏采云系统中提交最后报价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r/>
    </w:p>
    <w:p>
      <w:pPr>
        <w:ind w:left="0" w:right="0" w:firstLine="477"/>
        <w:spacing w:before="0" w:after="0" w:line="51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27.2 评审方法和评审标准</w:t>
      </w:r>
      <w:r/>
    </w:p>
    <w:p>
      <w:pPr>
        <w:ind w:left="0" w:right="0" w:firstLine="477"/>
        <w:spacing w:before="0" w:after="0" w:line="51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27.2.1评审方法。经磋商确定最终采购需求和提交最后报价的供应商后，由磋商小组采用综合评分法对提交最后报价的供应商的响应文件和最后报价进行综合评分。</w:t>
      </w:r>
      <w:r/>
    </w:p>
    <w:p>
      <w:pPr>
        <w:ind w:left="0" w:right="0" w:firstLine="477"/>
        <w:spacing w:before="0" w:after="0" w:line="51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left="0" w:right="0" w:firstLine="477"/>
        <w:spacing w:before="0" w:after="0" w:line="51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27.2.2评审标准</w:t>
      </w:r>
      <w:r/>
    </w:p>
    <w:p>
      <w:pPr>
        <w:ind w:left="0" w:right="0" w:firstLine="477"/>
        <w:spacing w:before="0" w:after="0" w:line="51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见本磋商文件第四章规定。</w:t>
      </w:r>
      <w:r/>
    </w:p>
    <w:p>
      <w:pPr>
        <w:ind w:left="0" w:right="0" w:firstLine="477"/>
        <w:spacing w:before="0" w:after="0" w:line="51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27.3采购活动终止的情况</w:t>
      </w:r>
      <w:r/>
    </w:p>
    <w:p>
      <w:pPr>
        <w:ind w:left="0" w:right="0" w:firstLine="360"/>
        <w:spacing w:before="0" w:after="0" w:line="51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出现下列情形之一的，本次竞争性磋商采购活动将被终止：</w:t>
      </w:r>
      <w:r/>
    </w:p>
    <w:p>
      <w:pPr>
        <w:ind w:left="0" w:right="0" w:firstLine="360"/>
        <w:spacing w:before="0" w:after="0" w:line="51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27.3.1因情况变化，不再符合规定的竞争性磋商采购方式适用情形的。</w:t>
      </w:r>
      <w:r/>
    </w:p>
    <w:p>
      <w:pPr>
        <w:ind w:left="0" w:right="0" w:firstLine="360"/>
        <w:spacing w:before="0" w:after="0" w:line="51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27.3.2出现影响采购公正的违法、违规行为的。</w:t>
      </w:r>
      <w:r/>
    </w:p>
    <w:p>
      <w:pPr>
        <w:ind w:left="0" w:right="0" w:firstLine="360"/>
        <w:spacing w:before="0" w:after="0" w:line="51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27.3.3除本磋商文件第二章第27.1.2条第三款规定的情形外，在采购过程中符合要求的供应商或者最后报价未超过采购预算的供应商不足3家的。</w:t>
      </w:r>
      <w:r/>
    </w:p>
    <w:p>
      <w:pPr>
        <w:ind w:left="0" w:right="0" w:firstLine="360"/>
        <w:spacing w:before="0" w:after="0" w:line="51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27.3.4在苏采云系统规定时间内成功解密电子响应文件的供应商不足3家的。</w:t>
      </w:r>
      <w:r/>
    </w:p>
    <w:p>
      <w:pPr>
        <w:ind w:left="0" w:firstLine="0"/>
        <w:spacing w:before="0" w:after="0" w:line="51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六</w:t>
      </w:r>
      <w:r>
        <w:rPr>
          <w:rFonts w:ascii="SimSun" w:hAnsi="SimSun" w:eastAsia="SimSun" w:cs="SimSun"/>
          <w:b/>
          <w:color w:val="000000"/>
          <w:sz w:val="32"/>
        </w:rPr>
        <w:t xml:space="preserve">、</w:t>
      </w:r>
      <w:r>
        <w:rPr>
          <w:rFonts w:ascii="SimSun" w:hAnsi="SimSun" w:eastAsia="SimSun" w:cs="SimSun"/>
          <w:b/>
          <w:color w:val="000000"/>
          <w:sz w:val="32"/>
        </w:rPr>
        <w:t xml:space="preserve">成交</w:t>
      </w:r>
      <w:r/>
    </w:p>
    <w:p>
      <w:pPr>
        <w:ind w:left="0" w:firstLine="0"/>
        <w:spacing w:before="0" w:after="0" w:line="51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28</w:t>
      </w:r>
      <w:r>
        <w:rPr>
          <w:rFonts w:ascii="SimSun" w:hAnsi="SimSun" w:eastAsia="SimSun" w:cs="SimSun"/>
          <w:b/>
          <w:color w:val="000000"/>
          <w:sz w:val="30"/>
        </w:rPr>
        <w:t xml:space="preserve">、</w:t>
      </w:r>
      <w:r>
        <w:rPr>
          <w:rFonts w:ascii="SimSun" w:hAnsi="SimSun" w:eastAsia="SimSun" w:cs="SimSun"/>
          <w:b/>
          <w:color w:val="000000"/>
          <w:sz w:val="30"/>
        </w:rPr>
        <w:t xml:space="preserve">确定成交单位</w:t>
      </w:r>
      <w:r/>
    </w:p>
    <w:p>
      <w:pPr>
        <w:ind w:left="0" w:right="0" w:firstLine="480"/>
        <w:spacing w:before="0" w:after="0" w:line="51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28.1磋商小组根据综合评分情况，按照评审得分由高到低顺序推荐3名成交候选供应商，并编写评审报告。符合本磋商文件第二章第27.1.2条情形的，可以推荐2名成交候选供应商。评审得分相同的，按照最后报价由低到高的顺序推荐。评审得分且最后报价相同的，按照技术指标优劣顺序推荐。</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其他同品牌同型号供应商不作为成交候选人。</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28.2采购人应根据磋商小组推荐的成交候选供应商确定成交供应商。采购人确定成交供应商后，将在“江苏政府采购网”发布成交结果公告，公告期限为1个工作日。</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28.3若有充分证据证明，成交供应商出现下列情况之一的，一经查实，将被取消成交资格：</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28.3.1提供虚假材料谋取成交的。</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28.3.2与评审专家、采购人、其他供应商或者采购人工作人员恶意串通的。</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28.3.3向评审专家、采购人或采购人工作人员行贿或者提供其他不正当利益的。</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28.3.4恶意竞争，最后报价明显低于其自身合理成本且又无法提供证明的。</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28.3.5不满足本磋商文件规定的实质性要求，但在评审过程中又未被磋商小组发现的。</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28.3.6成交后无正当理由拒不与采购人签订政府采购合同或者未按照磋商文件确定的事项签订政府采购合同的。</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28.3.7将政府采购合同转包的。</w:t>
      </w:r>
      <w:r/>
    </w:p>
    <w:p>
      <w:pPr>
        <w:ind w:left="0" w:right="0" w:firstLine="602"/>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29、质疑处理</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29.1 提出质疑的供应商应当是参与所质疑项目采购活动的供应商。潜在供应商依法获取其可质疑的采购文件的，可以对采购文件提出质疑。</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29.2供应商认为采购文件、采购过程和采购结果使自己的权益受到损害的，可以在知道或应知其权益受到损害之日起七个工作日内，以书面形式根据下述29.4条款的规定向采购人提出质疑。上述应知其权益受到损害之日，是指：</w:t>
      </w:r>
      <w:r/>
    </w:p>
    <w:p>
      <w:pPr>
        <w:ind w:left="0" w:right="0" w:firstLine="480"/>
        <w:jc w:val="left"/>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29.2.1对可以质疑的采购文件提出质疑的，为收到采购文件之日或者采购文件公告期限届满之日。</w:t>
        <w:br/>
        <w:t xml:space="preserve">29.2.2对采购过程提出质疑的，为各采购程序环节结束之日。</w:t>
        <w:br/>
        <w:t xml:space="preserve">29.2.3对成交结果提出质疑的，为成交结果公告期限届满之日。</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供应商应当在法定质疑期内一次性提出针对同一采购程序环节的质疑。供应商如在法定期限内对同一采购程序环节提出多次质疑的，采购人将只对供应商第一次质疑作出答复。</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29.3质疑函必须按照本磋商文件中《质疑函范本》要求的格式和内容进行填写。供应商如组成联合体参加磋商，则《质疑函范本》中要求签字、盖章、加盖公章之处，联合体各方均须按要求签字、盖章、加盖公章。</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29.4 采购人负责供应商质疑答复。供应商（含潜在供应商）对采购方式、采购文件中采购需求、供应商资格条件、评审方法和评审标准、合同文本及资格审查结果的询问、质疑请向采购人提出，由采购人负责答复。关于评审方面的质疑，采购人可以组织原评审委员会协助答复质疑。</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采购人只接收以纸质原件形式送达的质疑,建议供应商尽量通过邮寄方式提交质疑（采购人不接受未填写快递运单的快件）。</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采购人质疑接收人及联系方式见本磋商文件第一章。</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29.5 以下情形的质疑不予受理</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29.5.1 内容不符合《政府采购质疑和投诉办法》第十二条规定的质疑。</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29.5.2 超出政府采购法定期限的质疑。</w:t>
      </w:r>
      <w:r/>
    </w:p>
    <w:p>
      <w:pPr>
        <w:ind w:left="0" w:right="0" w:firstLine="480"/>
        <w:jc w:val="left"/>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29.5.3 以传真、电子邮件等方式递交的非原件形式的质疑。</w:t>
      </w:r>
      <w:r/>
    </w:p>
    <w:p>
      <w:pPr>
        <w:ind w:left="0" w:right="0" w:firstLine="480"/>
        <w:jc w:val="left"/>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29.5.4 未参加磋商活动的供应商或在磋商活动中自身权益未受到损害的供应商所提出的质疑。</w:t>
      </w:r>
      <w:r/>
    </w:p>
    <w:p>
      <w:pPr>
        <w:ind w:left="0" w:right="0" w:firstLine="480"/>
        <w:jc w:val="left"/>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29.5.5供应商组成联合体参加磋商，联合体中任何一方或多方未按要求签字、盖章、加盖公章的质疑。</w:t>
      </w:r>
      <w:r/>
    </w:p>
    <w:p>
      <w:pPr>
        <w:ind w:left="0" w:right="0" w:firstLine="468"/>
        <w:jc w:val="left"/>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29.6  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r/>
    </w:p>
    <w:p>
      <w:pPr>
        <w:ind w:left="0" w:right="0" w:firstLine="602"/>
        <w:jc w:val="left"/>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30、成交通知书</w:t>
      </w:r>
      <w:r/>
    </w:p>
    <w:p>
      <w:pPr>
        <w:ind w:left="0" w:right="0" w:firstLine="600"/>
        <w:jc w:val="left"/>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30.1成交结果确定后，采购人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p>
    <w:p>
      <w:pPr>
        <w:ind w:left="0" w:right="0" w:firstLine="600"/>
        <w:jc w:val="left"/>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30.2成交通知书将是合同的一个组成部分。对采购人和成交供应商均具有法律效力。成交通知书发出后，采购人改变成交结果的，或者成交供应商放弃成交项目的，应当依法承担法律责任。</w:t>
      </w:r>
      <w:r/>
    </w:p>
    <w:p>
      <w:pPr>
        <w:ind w:left="0" w:right="0" w:firstLine="0"/>
        <w:jc w:val="left"/>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七、授予合同</w:t>
      </w:r>
      <w:r/>
    </w:p>
    <w:p>
      <w:pPr>
        <w:ind w:left="0" w:right="0" w:firstLine="602"/>
        <w:jc w:val="left"/>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31. 签订合同</w:t>
      </w:r>
      <w:r/>
    </w:p>
    <w:p>
      <w:pPr>
        <w:ind w:left="0" w:right="0" w:firstLine="600"/>
        <w:jc w:val="left"/>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31.l成交供应商应当在成交通知书发出之日起三十日内，按照磋商文件确定的事项与采购人签订政府采购合同。</w:t>
      </w:r>
      <w:r/>
    </w:p>
    <w:p>
      <w:pPr>
        <w:ind w:left="0" w:right="0" w:firstLine="600"/>
        <w:jc w:val="left"/>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31.2磋商文件、成交供应商的响应文件及磋商过程中有关澄清、承诺文件均应作为合同附件。</w:t>
      </w:r>
      <w:r/>
    </w:p>
    <w:p>
      <w:pPr>
        <w:ind w:left="0" w:right="0" w:firstLine="600"/>
        <w:jc w:val="left"/>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31.3 签订合同后，</w:t>
      </w:r>
      <w:r>
        <w:rPr>
          <w:rFonts w:ascii="SimSun" w:hAnsi="SimSun" w:eastAsia="SimSun" w:cs="SimSun"/>
          <w:b/>
          <w:color w:val="000000"/>
          <w:sz w:val="24"/>
          <w:u w:val="single"/>
        </w:rPr>
        <w:t xml:space="preserve">成交供应商不得将合同标的进行转包</w:t>
      </w:r>
      <w:r>
        <w:rPr>
          <w:rFonts w:ascii="SimSun" w:hAnsi="SimSun" w:eastAsia="SimSun" w:cs="SimSun"/>
          <w:color w:val="000000"/>
          <w:sz w:val="24"/>
        </w:rPr>
        <w:t xml:space="preserve">。未经采购人同意，成交供应商也不得采用分包形式履行合同,否则采购人有权终止合同。转包或分包造成采购人损失的，成交供应商应承担相应赔偿责任。</w:t>
      </w:r>
      <w:r/>
    </w:p>
    <w:p>
      <w:pPr>
        <w:ind w:left="0" w:right="0" w:firstLine="602"/>
        <w:jc w:val="left"/>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32、标的物的追加</w:t>
      </w:r>
      <w:r/>
    </w:p>
    <w:p>
      <w:pPr>
        <w:ind w:left="0" w:right="0" w:firstLine="480"/>
        <w:jc w:val="left"/>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r/>
    </w:p>
    <w:p>
      <w:pPr>
        <w:ind w:left="0" w:right="0" w:firstLine="602"/>
        <w:jc w:val="left"/>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33、政府采购履约资金扶持政策</w:t>
      </w:r>
      <w:r/>
    </w:p>
    <w:p>
      <w:pPr>
        <w:ind w:left="0" w:right="0" w:firstLine="555"/>
        <w:jc w:val="left"/>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成交供应商可凭政府采购合同办理融资贷款，详情请见江苏政府采购网“政采贷”专栏。</w:t>
      </w:r>
      <w:r/>
    </w:p>
    <w:p>
      <w:pPr>
        <w:ind w:left="0" w:right="0" w:firstLine="880"/>
        <w:jc w:val="left"/>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第三章 采购需求</w:t>
      </w:r>
      <w:r/>
    </w:p>
    <w:p>
      <w:pPr>
        <w:ind w:left="0" w:right="0" w:firstLine="480"/>
        <w:jc w:val="left"/>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项目属性：工程类项目</w:t>
      </w:r>
      <w:r/>
    </w:p>
    <w:p>
      <w:pPr>
        <w:ind w:left="0" w:right="0" w:firstLine="480"/>
        <w:jc w:val="left"/>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采购需求包括拟采购的标的及其需要满足的技术、商务要求。</w:t>
      </w:r>
      <w:r/>
    </w:p>
    <w:p>
      <w:pPr>
        <w:ind w:left="0" w:right="0" w:firstLine="480"/>
        <w:jc w:val="left"/>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（一）技术要求是指对采购标的功能和质量要求，包括性能、材料、结构、外观、安全，或者服务内容和标准等。</w:t>
      </w:r>
      <w:r/>
    </w:p>
    <w:p>
      <w:pPr>
        <w:ind w:left="0" w:right="0" w:firstLine="480"/>
        <w:jc w:val="left"/>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（二）商务要求是指取得采购标的的时间、地点、财务和服务要求，包括交付（实施）的时间（期限）和地点（范围），付款条件（进度和方法），包装和运输，售后服务，保险等。</w:t>
      </w:r>
      <w:r/>
    </w:p>
    <w:p>
      <w:pPr>
        <w:ind w:left="0" w:right="0" w:firstLine="480"/>
        <w:jc w:val="left"/>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其内容包含但不限于以下内容：</w:t>
      </w:r>
      <w:r/>
    </w:p>
    <w:p>
      <w:pPr>
        <w:numPr>
          <w:ilvl w:val="0"/>
          <w:numId w:val="26"/>
        </w:numPr>
        <w:jc w:val="left"/>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采购标的需实现的功能或者目标，以及为落实政府采购政策需满足的要求</w:t>
      </w:r>
      <w:r/>
    </w:p>
    <w:p>
      <w:pPr>
        <w:ind w:left="0" w:right="0" w:firstLine="0"/>
        <w:jc w:val="left"/>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海安市城南实验小学操场维修改造工程项目，施工内容包含但不限于：</w:t>
      </w:r>
      <w:r/>
    </w:p>
    <w:p>
      <w:pPr>
        <w:numPr>
          <w:ilvl w:val="0"/>
          <w:numId w:val="27"/>
        </w:numPr>
        <w:jc w:val="left"/>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拆除原塑胶跑道（除操场内部2个半圆）、足球场、草坪面层至混凝土基层，对原砼基层进行清洗、打磨、平整处理，如存在砼基层起沙、凹凸不平的情形，须采用固化剂找平处理，如存在砼基层开裂的情形，须切缝，并用固化剂灌缝，灌缝处采用网格布加固；操场内部2个半圆修复，现有面层打磨平整；篮球场对现状表层进行打磨平整、清洗干净；所有的排水沟需清理并疏通，盖板、排水修复，供应商踏勘现场，自行深化，自主考虑报价，包含切缝、施工范围内的零星拆除、排水清淤修复、可回收材料放置合规地点、垃圾清运至校外合规地点、运距自行考虑等一切费用；</w:t>
      </w:r>
      <w:r/>
    </w:p>
    <w:p>
      <w:pPr>
        <w:numPr>
          <w:ilvl w:val="0"/>
          <w:numId w:val="27"/>
        </w:numPr>
        <w:jc w:val="left"/>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基础需重新修补的地块，需根据图纸做法结合现场实际情况施工，如果旧基层平整度、强度都达标，仅局部修补即可，供应商踏勘现场，自行深化，自主考虑报价；</w:t>
      </w:r>
      <w:r/>
    </w:p>
    <w:p>
      <w:pPr>
        <w:numPr>
          <w:ilvl w:val="0"/>
          <w:numId w:val="27"/>
        </w:numPr>
        <w:jc w:val="left"/>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橡胶面层、草坪、篮球场硅PU，业主要求：①所有材料一次性进场，提供材料配比，堆放于业主指定地点并做好防水防潮；②所有材料满足环保要求，提供环保检测报告，质量和环保符合《中小学合成材料面层运动场地》GB34246-2018等要求；③根据业主要求，所有材料和工程质量检测，需在建设单位（监理单位）的监督下进行抽样送检，送由国家田协的认可的运动场检测单位检测，送检合格的由业主支付，送检不合格的由中标单位负责至合格达标为止，业主只支付一次费用；</w:t>
      </w:r>
      <w:r/>
    </w:p>
    <w:p>
      <w:pPr>
        <w:numPr>
          <w:ilvl w:val="0"/>
          <w:numId w:val="27"/>
        </w:numPr>
        <w:jc w:val="left"/>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新建扩声系统：报价应包含新设备的供货、安装、调试，以及旧设备的拆除、搬运至招标人指定场内堆放点的全部费用，由供应商自主考虑报价；系统安装调试后需出具调试报告及试运行报告。供应商须在拆除后将旧设备整齐归置到业主指定的地方，并负责清理现场；拆除后的旧设备归业主所有，由业主自行处置；</w:t>
      </w:r>
      <w:r/>
    </w:p>
    <w:p>
      <w:pPr>
        <w:numPr>
          <w:ilvl w:val="0"/>
          <w:numId w:val="27"/>
        </w:numPr>
        <w:jc w:val="left"/>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本项目为后期智能跑道预留管道。凡预埋管道需过路或机动车经过的需加镀锌钢管保护，拆除的路面需按原有标准恢复，供应商根据现场情况自主考虑报价。</w:t>
      </w:r>
      <w:r/>
    </w:p>
    <w:p>
      <w:pPr>
        <w:numPr>
          <w:ilvl w:val="0"/>
          <w:numId w:val="27"/>
        </w:numPr>
        <w:jc w:val="left"/>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其余未提及的零星修补，配合开孔开槽、拆除等造成的损坏修复工作、施工完成后全面保洁等由供应商踏勘现场，自主深化，满足设计及业主要求，自主报价，包含垃圾清运至指定地点、运距自行考虑等。</w:t>
      </w:r>
      <w:r/>
    </w:p>
    <w:p>
      <w:pPr>
        <w:numPr>
          <w:ilvl w:val="0"/>
          <w:numId w:val="27"/>
        </w:numPr>
        <w:jc w:val="left"/>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所有施工产生的建筑垃圾需要清理干净，并运出到校外合规地点，供应商需自行勘察现场，自行考虑报价；</w:t>
      </w:r>
      <w:r/>
    </w:p>
    <w:p>
      <w:pPr>
        <w:ind w:left="0" w:right="0" w:firstLine="0"/>
        <w:jc w:val="left"/>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二、采购标的需执行的国家相关标准、行业标准、地方标准或者其他标准、规范：</w:t>
      </w:r>
      <w:r/>
    </w:p>
    <w:p>
      <w:pPr>
        <w:ind w:left="0" w:right="0" w:firstLine="480"/>
        <w:jc w:val="left"/>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工程采用的计价规范：</w:t>
      </w:r>
      <w:r/>
    </w:p>
    <w:p>
      <w:pPr>
        <w:numPr>
          <w:ilvl w:val="0"/>
          <w:numId w:val="28"/>
        </w:numPr>
        <w:jc w:val="left"/>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建设工程工程量清单计价标准》GB/T50500-2024及配套的国家工程量计算标准；《江苏省建筑与装饰工程消耗量》（2026）；《江苏省市政工程消耗量》（2026）；《江苏省通用安装工程消耗量》（2026）；《江苏省建设工程费用参考（2026）》；《江苏建设工程施工机具台班费用参考表》（2026）；江苏省住建厅《关于实施2024版计价及计算标准有关事宜的公告》；省、市造价管理部门有关现行计价文件；现场踏勘情况，采购文件等；。</w:t>
      </w:r>
      <w:r/>
    </w:p>
    <w:p>
      <w:pPr>
        <w:ind w:left="0" w:right="0" w:firstLine="480"/>
        <w:jc w:val="left"/>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人工费、机械台班费按参考《江苏省建设工程费用参考(2026)》，参考《江苏建设工程施工机具台班费用参考表》(2026)；材料费按《南通建设工程造价信息》2026年第6期指导价（含税指导价）调整，造价信息未列的按市场现行价；规费：依据新标准，社会保险费和住房公积金已分别计入人工费和管理费，不再单列；安全生产措施费:按规定单独列项，费率按《江苏省建设工程费用参考(2026)》；措施费：根据新标准，措施项目清单的完整性及准确性均由承包人承担，投标单位投标报价时综合考虑所有措施费用。</w:t>
      </w:r>
      <w:r/>
    </w:p>
    <w:p>
      <w:pPr>
        <w:ind w:left="0" w:right="0" w:firstLine="480"/>
        <w:jc w:val="left"/>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（3）本工程计税方式采用一般计税。  </w:t>
      </w:r>
      <w:r/>
    </w:p>
    <w:p>
      <w:pPr>
        <w:ind w:left="0" w:right="0" w:firstLine="0"/>
        <w:jc w:val="left"/>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三、采购标的需满足的质量、安全、技术规格、物理特性等要求：</w:t>
      </w:r>
      <w:r/>
    </w:p>
    <w:p>
      <w:pPr>
        <w:ind w:left="0" w:right="0" w:firstLine="480"/>
        <w:jc w:val="left"/>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符合国家现行相关法律法规和行业标准，以及本项目采购文件要求。</w:t>
      </w:r>
      <w:r/>
    </w:p>
    <w:p>
      <w:pPr>
        <w:ind w:left="0" w:right="0" w:firstLine="482"/>
        <w:jc w:val="left"/>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四、采购标的的数量、采购项目交付或者实施的时间和地点：</w:t>
      </w:r>
      <w:r>
        <w:rPr>
          <w:rFonts w:ascii="SimSun" w:hAnsi="SimSun" w:eastAsia="SimSun" w:cs="SimSun"/>
          <w:color w:val="000000"/>
          <w:sz w:val="24"/>
        </w:rPr>
        <w:t xml:space="preserve"> </w:t>
      </w:r>
      <w:r/>
    </w:p>
    <w:p>
      <w:pPr>
        <w:ind w:left="0" w:right="0" w:firstLine="480"/>
        <w:jc w:val="left"/>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4.1采购需求清单：详见工程量清单和图纸。</w:t>
      </w:r>
      <w:r/>
    </w:p>
    <w:p>
      <w:pPr>
        <w:ind w:left="0" w:right="0" w:firstLine="480"/>
        <w:jc w:val="left"/>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项目实施时间：合同签订后40天内全部完工并通过采购人验收（计划开工时间暂定为2026年8月20日，计划竣工时间为2026年9月29日，具体由采购方在合同中明确。但任何条件下，须确保2026年8月31日前完成跑道面层摊铺施工）。</w:t>
      </w:r>
      <w:r/>
    </w:p>
    <w:p>
      <w:pPr>
        <w:ind w:left="0" w:right="0" w:firstLine="480"/>
        <w:jc w:val="left"/>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4.3交付地点：海安市城南实验小学。</w:t>
      </w:r>
      <w:r/>
    </w:p>
    <w:p>
      <w:pPr>
        <w:ind w:left="0" w:right="0" w:firstLine="482"/>
        <w:jc w:val="left"/>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五、采购标的需满足的服务标准、期限、效率等要求：</w:t>
      </w:r>
      <w:r>
        <w:rPr>
          <w:rFonts w:ascii="SimSun" w:hAnsi="SimSun" w:eastAsia="SimSun" w:cs="SimSun"/>
          <w:color w:val="000000"/>
          <w:sz w:val="24"/>
        </w:rPr>
        <w:t xml:space="preserve"> </w:t>
      </w:r>
      <w:r/>
    </w:p>
    <w:p>
      <w:pPr>
        <w:ind w:left="0" w:right="0" w:firstLine="480"/>
        <w:jc w:val="left"/>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本工程质量保修期3年，质量保修期自工程竣工验收合格之日起计算。缺陷责任期2年。</w:t>
      </w:r>
      <w:r/>
    </w:p>
    <w:p>
      <w:pPr>
        <w:ind w:left="0" w:right="0" w:firstLine="0"/>
        <w:jc w:val="left"/>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六、采购标的的验收标准：</w:t>
      </w:r>
      <w:r/>
    </w:p>
    <w:p>
      <w:pPr>
        <w:ind w:left="0" w:right="0" w:firstLine="480"/>
        <w:jc w:val="left"/>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采购人按合同约定积极配合成交供应商履约，约定需要验收的阶段，采购人及时组织相关专业技术人员验收，并出具验收报告。</w:t>
      </w:r>
      <w:r/>
    </w:p>
    <w:p>
      <w:pPr>
        <w:ind w:left="0" w:right="0" w:firstLine="0"/>
        <w:jc w:val="left"/>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七、采购标的的其他技术、服务等要求：</w:t>
      </w:r>
      <w:r/>
    </w:p>
    <w:p>
      <w:pPr>
        <w:ind w:left="0" w:right="0" w:firstLine="480"/>
        <w:jc w:val="left"/>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响应报价应包括采购文件所确定的招标范围内相应工程量清单、图纸及相关资料及规范、规定等全部内容，达到采购文件所确定的工期、质量要求，以及为完成上述内容所必须的附属工程、临时工程、机械设备、材料、劳务、机械、成品保护、垂直运输、脚手架搭设使用、与各工种间的协调配合工作、验收、安全措施、技术措施、供应商所应考虑到的各种因素、风险及所需的全部费用。</w:t>
      </w:r>
      <w:r/>
    </w:p>
    <w:p>
      <w:pPr>
        <w:ind w:left="0" w:right="0" w:firstLine="480"/>
        <w:jc w:val="left"/>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采购文件后附的工程量清单表是磋商响应供应商响应报价的共同基础。采购人提供的工程量清单，磋商响应供应商应结合采购文件、合同条款、商务技术响应文件和要求与图纸一起阅读理解，除设计变更外，采购人在工程量清单中未列明或项目特征描述不全，但磋商响应供应商为满足采购人和设计图纸的要求而必须完成的工作，磋商响应供应商应计入工程量清单相应子目中，工程结算时采购人不为此类项目另外支付。</w:t>
      </w:r>
      <w:r/>
    </w:p>
    <w:p>
      <w:pPr>
        <w:ind w:left="0" w:right="0" w:firstLine="480"/>
        <w:jc w:val="left"/>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3.响应报价编制要求</w:t>
      </w:r>
      <w:r/>
    </w:p>
    <w:p>
      <w:pPr>
        <w:ind w:left="0" w:right="0" w:firstLine="480"/>
        <w:jc w:val="left"/>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响应报价应根据采购文件所确定的招标范围、工程量清单和图纸有关要求、施工现场实际情况及拟定的施工方案或施工组织设计，依据企业定额和市场价格信息，实行自主报价，并最大限度地满足采购文件的要求，但不得低于成本。供应商在报价时应充分考虑市场风险和施工过程中可能发生的费用，中标后将不再另行结算支付。供应商所报设备价、材料价如低于同期的省、市、县的造价信息或低于同期的市场价格信息，视为对采购人的优惠。响应文件中所报设备、材料其标准、等级、规格不得低于清单的要求。成交人应根据清单确定的标准、等级、规格组织施工。</w:t>
      </w:r>
      <w:r/>
    </w:p>
    <w:p>
      <w:pPr>
        <w:ind w:left="0" w:right="0" w:firstLine="480"/>
        <w:jc w:val="left"/>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磋商响应供应商不得擅自改动采购人提供的工程量清单上的内容。若对提供的工程量清单内容有疑义，请将书面疑问材料在规定的时间和方法向采购人提出，其中清单内容的书面疑问材料经采购人组织核实确认后提供最终工程量清单，磋商响应供应商在响应报价时，不得增减清单工程量。</w:t>
      </w:r>
      <w:r/>
    </w:p>
    <w:p>
      <w:pPr>
        <w:ind w:left="0" w:right="0" w:firstLine="480"/>
        <w:jc w:val="left"/>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3.3临时设施费、赶工措施费、夜间施工费、雨季施工费、已完工程及设备保护费由各磋商响应供应商自行报价，该类措施项目费一次性包定，结算时一律不作调整。</w:t>
      </w:r>
      <w:r/>
    </w:p>
    <w:p>
      <w:pPr>
        <w:ind w:left="0" w:right="0" w:firstLine="480"/>
        <w:jc w:val="left"/>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在实际施工中，发包人可以无条件要求施工单位更换不符合要求的产品，购进的材料设备与提供的样品不一致时，由承包人无条件退货，如因使用不符合国家标准及各项指标的材料，由此引起的相关费用由承包人承担，结算时一律不作调整。</w:t>
      </w:r>
      <w:r/>
    </w:p>
    <w:p>
      <w:pPr>
        <w:ind w:left="0" w:right="0" w:firstLine="480"/>
        <w:jc w:val="left"/>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3.5若磋商响应供应商在响应报价时擅自改变采购文件及清单内容，评审时未被发现，实际施工时均按采购文件及清单内容执行，结算时不予调整。</w:t>
      </w:r>
      <w:r/>
    </w:p>
    <w:p>
      <w:pPr>
        <w:ind w:left="0" w:right="0" w:firstLine="480"/>
        <w:jc w:val="left"/>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3.6磋商响应供应商确定响应报价，同时应考虑合同中包含的风险、责任等各项费用。</w:t>
      </w:r>
      <w:r/>
    </w:p>
    <w:p>
      <w:pPr>
        <w:ind w:left="0" w:right="0" w:firstLine="480"/>
        <w:jc w:val="left"/>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3.7磋商响应供应商工地踏勘应充分了解工地位置情况，道路、储存空间、装卸限制及任何其他足以影响报价的情况，任何忽视或误解工地情况而导致的索赔及工期延长申请将不被批准。</w:t>
      </w:r>
      <w:r/>
    </w:p>
    <w:p>
      <w:pPr>
        <w:ind w:left="0" w:right="0" w:firstLine="480"/>
        <w:jc w:val="left"/>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3.8成交单位不得拒绝完成采购人在施工地点范围内变更或要求增加和减少的工程内容。</w:t>
      </w:r>
      <w:r/>
    </w:p>
    <w:p>
      <w:pPr>
        <w:ind w:left="0" w:right="0" w:firstLine="480"/>
        <w:jc w:val="left"/>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3.9本工程所有乙供材料均由承包人在确保质量的前提下自行采购，材料价格按照中档及以上的质量自行市场询价进行报价。发包人对材料的质量有认定权（如发包人对承包人采购的材料认定为不合格的，承包人必须重新采购，直至合格为止），施工时承包人需提供样品供采购人选择，涉及到的价格不再调整。</w:t>
      </w:r>
      <w:r/>
    </w:p>
    <w:p>
      <w:pPr>
        <w:ind w:left="0" w:right="0" w:firstLine="480"/>
        <w:jc w:val="left"/>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3.11成交供应商在施工过程中必须收集齐全所有隐蔽项目影像视频资料以供后期审计使用，在送审结算资料必须一并提交。签证资料如施工过程中发生的拆除等必须附有详细影像彩色照片，所摄照片必须有可参照性。如影像资料未能反映签证、清单或采购文件列明的工作内容，则结算时该项内容不予认可。</w:t>
      </w:r>
      <w:r/>
    </w:p>
    <w:p>
      <w:pPr>
        <w:ind w:left="0" w:right="0" w:firstLine="480"/>
        <w:jc w:val="left"/>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3.12 成交供应商在须安全文明施工，运输、施工、安装工程中不得损坏学校一切设施设备，承担一切安全责任所有重型车辆不得进入教学区施工区域，原材料、垃圾运输必须用小型车辆接驳，如损坏学校道路及其它设施，须负责恢复原样，造成损失的须承担经济赔偿责任和法律责任。</w:t>
      </w:r>
      <w:r/>
    </w:p>
    <w:p>
      <w:pPr>
        <w:ind w:left="0" w:right="0" w:firstLine="480"/>
        <w:jc w:val="left"/>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4.工程报价方式：综合单价报价方式。报价书中的工程数量乘以综合单价必须等于合价。</w:t>
      </w:r>
      <w:r/>
    </w:p>
    <w:p>
      <w:pPr>
        <w:ind w:left="0" w:right="0" w:firstLine="480"/>
        <w:jc w:val="left"/>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5.供应商中标后应根据国家、省、市、工程所在地政府及相关部门的规定缴纳有关费用，该费用已包含在报价中，采购人不另行给付，费用缴纳的标准供应商可向有关部门查询。</w:t>
      </w:r>
      <w:r/>
    </w:p>
    <w:p>
      <w:pPr>
        <w:ind w:left="0" w:right="0" w:firstLine="480"/>
        <w:jc w:val="left"/>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6.现场踏勘：</w:t>
      </w:r>
      <w:r/>
    </w:p>
    <w:p>
      <w:pPr>
        <w:ind w:left="0" w:right="0" w:firstLine="480"/>
        <w:jc w:val="left"/>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供应商在投标前应认真熟读采购文件和清单、图纸等相关资料，并认真踏勘现场，充分考虑所需确保工程质量、安全等的措施及费用，相关费用包含在响应报价中，结算时不予调整。中标后和签订合同时及施工过程中，供应商均不得以不了解现场情况为由，提出任何形式增加工程造价的要求。</w:t>
      </w:r>
      <w:r/>
    </w:p>
    <w:p>
      <w:pPr>
        <w:ind w:left="0" w:right="0" w:firstLine="480"/>
        <w:jc w:val="left"/>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6.2供应商自行踏勘现场，应认真对现场环境进行踏勘，对施工现场情况和影响施工的因素以及困难条件（场地狭小、人流密集、临近海安市扬尘监控点等），相关费用综合考虑到响应报价中，结算时不调整。中标后和签订合同时及施工过程中，供应商均不得以不了解现场情况为由，提出任何形式增加工程造价的要求。施工时因场地问题引起的成本费用增加，均由供应商自行承担，结算时不予调整。</w:t>
      </w:r>
      <w:r/>
    </w:p>
    <w:p>
      <w:pPr>
        <w:ind w:left="0" w:right="0" w:firstLine="480"/>
        <w:jc w:val="left"/>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6.3供应商在投标前应认真踏勘施工现场，充分考虑各种困难因素，并据此制定符合相关部门要求的安全防护措施、文明施工措施，施工场地周边需设硬质封闭围挡，搭设要求按照相应安全规范文件、采购人和文明施工等要求，确保工程施工和附近居民生活互不干扰，以防发生意外伤害，否则一切后果由供应商自负，供应商为实施上述措施所发生的费用已包含在响应报价中，不得向采购人提出增加费用的要求。施工期间要做好对现有场地及设施的保护，如有损坏，需及时修复。相关费用已列入清单，自行考虑，除场地外，结算时不调整。</w:t>
      </w:r>
      <w:r/>
    </w:p>
    <w:p>
      <w:pPr>
        <w:ind w:left="0" w:right="0" w:firstLine="480"/>
        <w:jc w:val="left"/>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6.4施工单位自行考察施工现场情况，充分考虑场地及场地周边情况、地形地貌、交通情况、交通运输条件、地质条件、当地风俗习惯等对工程施工（含大型机械进出场）的影响，并充分考虑工程实施范围内外的单位个人和其他可能出现阻挠的情况，若发生机械台班停置费、二次机械进退场费、材料二次搬运、人员窝工、处理周边群众纠纷等费用和损失，由供应商自行考虑，并列入响应报价，工程竣工结算时不做调整。</w:t>
      </w:r>
      <w:r/>
    </w:p>
    <w:p>
      <w:pPr>
        <w:ind w:left="0" w:right="0" w:firstLine="480"/>
        <w:jc w:val="left"/>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6.5本工程周边有建筑物、构筑物、地下管网、道路、绿化等，施工过程中须做好成品保护和安全防护，如有破坏按原样修复到位，相关费用供应商在响应报价中综合考虑，结算时不调整。</w:t>
      </w:r>
      <w:r/>
    </w:p>
    <w:p>
      <w:pPr>
        <w:ind w:left="0" w:right="0" w:firstLine="480"/>
        <w:jc w:val="left"/>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6.6水电接入：供应商应认真踏勘现场，与采购人做好对接，明确临时用水和临时用电的接入点，自行套表计量，引入到所需的作业地点，相关费用在响应报价中自行考虑，结算时不予调整。了解使用单位现有变压器可提供的电压、功率和容量，如不能满足工程施工需求，请供应商在投标时自行考虑相关措施和费用，结算时不予调整。</w:t>
      </w:r>
      <w:r/>
    </w:p>
    <w:p>
      <w:pPr>
        <w:ind w:left="0" w:right="0" w:firstLine="480"/>
        <w:jc w:val="left"/>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6.7供应商踏勘施工区域周边水、电、燃气、排污等线路，施工过程应避免对已有设施设备的破坏，若发生对周边相关构筑物、设施损坏的，承包人必须负责更换或修复，直至得到发包人的认可，期间涉及的所有费用由磋商响应供应商承担，采购人不再另行支付该项费用，结算时一律不作调整。</w:t>
      </w:r>
      <w:r/>
    </w:p>
    <w:p>
      <w:pPr>
        <w:ind w:left="0" w:right="0" w:firstLine="480"/>
        <w:jc w:val="left"/>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7.现场文明管理：</w:t>
      </w:r>
      <w:r/>
    </w:p>
    <w:p>
      <w:pPr>
        <w:ind w:left="0" w:right="0" w:firstLine="480"/>
        <w:jc w:val="left"/>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遵照安全监督窗口要求，严格执行海扬尘办〔2022〕1号文《关于推进海安市各类工地扬尘污染防治设施配备标准的通知》的要求和《市政府办公室印发关于进一步强化源头治理持续改善大气环境质量实施方案的通知》海政办发〔2021〕164号的要求。施工过程符合安全文明生产的规定，按要求设置标准化围挡，管理用房、防尘降噪措施，以上工作需满足相关要求。</w:t>
      </w:r>
      <w:r/>
    </w:p>
    <w:p>
      <w:pPr>
        <w:ind w:left="0" w:right="0" w:firstLine="480"/>
        <w:jc w:val="left"/>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7.2施工过程中扬尘污染防治须满足江苏省、南通市扬尘污染防治检查标准，且满足海扬尘办〔2022〕1号《关于推进海安市各类工地扬尘污染防治设施配备标准的通知》的要求。做好防尘降噪及安全生产工作。</w:t>
      </w:r>
      <w:r/>
    </w:p>
    <w:p>
      <w:pPr>
        <w:ind w:left="0" w:right="0" w:firstLine="480"/>
        <w:jc w:val="left"/>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7.3特别提醒：供应商严格按照相关管理文件和市扬尘办管理要求执行，在本工程施工期间采取有效的扬尘防控措施，相关费用自行考虑，结算时不调整。</w:t>
      </w:r>
      <w:r/>
    </w:p>
    <w:p>
      <w:pPr>
        <w:ind w:left="0" w:right="0" w:firstLine="480"/>
        <w:jc w:val="left"/>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以上所有费用供应商在响应报价中自行考虑，结算时不调整。</w:t>
      </w:r>
      <w:r/>
    </w:p>
    <w:p>
      <w:pPr>
        <w:ind w:left="0" w:right="0" w:firstLine="480"/>
        <w:jc w:val="left"/>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8.施工过程要求：</w:t>
      </w:r>
      <w:r/>
    </w:p>
    <w:p>
      <w:pPr>
        <w:ind w:left="0" w:right="0" w:firstLine="480"/>
        <w:jc w:val="left"/>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8.1本工程施工过程中产生的建筑垃圾运至具备建筑垃圾处置资质的企业处置，且不得掺杂其他垃圾，运距自行考虑，相关费用由各供应商在报价时自行考虑，竣工结算不做调整。</w:t>
      </w:r>
      <w:r/>
    </w:p>
    <w:p>
      <w:pPr>
        <w:ind w:left="0" w:right="0" w:firstLine="480"/>
        <w:jc w:val="left"/>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8.2承包人须在工程竣工前拆除现场所有临时设施，包括所有的机械设备、硬化场地后的场地拆除以及完工后建筑垃圾全部清运出场，运至城管部门允许的堆放地，运距自行考虑，相关费用各供应商在报价时自行考虑，竣工结算不做调整。清理标准及清理结果应得到采购人、监理单位认可，否则，如发生相关费用由采购人、监理单位在工程结算价款中扣除。</w:t>
      </w:r>
      <w:r/>
    </w:p>
    <w:p>
      <w:pPr>
        <w:ind w:left="0" w:right="0" w:firstLine="480"/>
        <w:jc w:val="left"/>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8.3供应商中标后应根据国家、省、市、工程所在地政府及相关部门的规定缴纳有关费用，该费用已包含在报价中，采购人不另行给付，费用缴纳的标准供应商可向有关部门查询。</w:t>
      </w:r>
      <w:r/>
    </w:p>
    <w:p>
      <w:pPr>
        <w:ind w:left="0" w:right="0" w:firstLine="480"/>
        <w:jc w:val="left"/>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8.4工程施工期间涉及环保、消防、城市卫生、市政、居委会、派出所等相关部门收取的费用，以及夜间文明施工、保护周边地下管线和架空线的安全的费用等，供应商均应综合考虑在响应报价中，竣工结算时一律不作调整。</w:t>
      </w:r>
      <w:r/>
    </w:p>
    <w:p>
      <w:pPr>
        <w:ind w:left="0" w:right="0" w:firstLine="480"/>
        <w:jc w:val="left"/>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9.其他说明：</w:t>
      </w:r>
      <w:r/>
    </w:p>
    <w:p>
      <w:pPr>
        <w:ind w:left="0" w:right="0" w:firstLine="480"/>
        <w:jc w:val="left"/>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9.1中标单位在施工过程中积极开展垃圾分类工作，根据《海安县城区生活垃圾分类实施方案》（海政办发〔2017〕100号）和《关于推进全县党政机关等公共机构生活垃圾分类工作的通知》（海公节能办〔2018〕4号）文件要求，做好生活垃圾分类工作。设置工地食堂的要规范管理、集中准确投放餐厨废弃物，主动配合天楹公司集中收运。</w:t>
      </w:r>
      <w:r/>
    </w:p>
    <w:p>
      <w:pPr>
        <w:ind w:left="0" w:right="0" w:firstLine="480"/>
        <w:jc w:val="left"/>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9.2农民工实名制管理（包含对承包人分包或承包人与采购人共同发包的专业分包单位的农民工管理）：本工程按《关于在全县工程建设领域实施农民工实名制管理的通知》（海建〔2017〕175号）、《海安市工程建设领域保障农民工工资支付实施办法》（海政规〔2020〕7号）等文件要求实施农民工实名管理。承包人应按月及时足额支付工人工资。供应商在响应报价中综合考虑由此可能增加的相应费用，结算时不予调整。</w:t>
      </w:r>
      <w:r/>
    </w:p>
    <w:p>
      <w:pPr>
        <w:ind w:left="0" w:right="0" w:firstLine="480"/>
        <w:jc w:val="left"/>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9.3工程审计：本工程执行《海安市政府办公室关于印发海安市政府投资工程决（结）算审计操作管理办法的通知》（海政办发〔2018〕193号）。</w:t>
      </w:r>
      <w:r/>
    </w:p>
    <w:p>
      <w:pPr>
        <w:ind w:left="0" w:right="0" w:firstLine="480"/>
        <w:jc w:val="left"/>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9.4本工程执行《关于印发海安市政府投资项目工程变更责任追究办法的通知》（海财建〔2025〕3号）和《关于印发海安市政府投资项目工程变更管理办法的通知》（海财建〔2025〕2号）。</w:t>
      </w:r>
      <w:r/>
    </w:p>
    <w:p>
      <w:pPr>
        <w:ind w:left="0" w:right="0" w:firstLine="480"/>
        <w:jc w:val="left"/>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9.5本工程执行《南通市城乡建设局关于把环境保护纳入合同管理的通知》（通建工〔2018〕97号），承包人在响应报价时需要考虑相应费用，在施工中和工程结算时不予调整。</w:t>
      </w:r>
      <w:r/>
    </w:p>
    <w:p>
      <w:pPr>
        <w:ind w:left="0" w:right="0" w:firstLine="480"/>
        <w:jc w:val="left"/>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9.6本工程施工过程中如需其他单位配合（或配合其他单位），所需费用由供应商自行综合考虑在报价中，结算时不调整。</w:t>
      </w:r>
      <w:r/>
    </w:p>
    <w:p>
      <w:pPr>
        <w:ind w:left="0" w:right="0" w:firstLine="480"/>
        <w:jc w:val="left"/>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9.7供应商根据需要结合施工图、施工技术方案、现场实际情况等，对技术措施项目（包括成品保护、垂直运输费、材料二次搬运等）综合考虑后自行报价，结算时不做调整。</w:t>
      </w:r>
      <w:r/>
    </w:p>
    <w:p>
      <w:pPr>
        <w:ind w:left="0" w:right="0" w:firstLine="480"/>
        <w:jc w:val="left"/>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9.8施工期间和竣工移交时的保洁工作及费用，供应商在报价时须综合考虑在响应报价中，结算时不做调整。</w:t>
      </w:r>
      <w:r/>
    </w:p>
    <w:p>
      <w:pPr>
        <w:ind w:left="0" w:right="0" w:firstLine="480"/>
        <w:jc w:val="left"/>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9.9因供应商原因造成工期延误，逾期竣工违约金的计算方法为：若因供应商原因造成本工程未能在规定的时间内通过竣工验收，供应商每延迟竣工一天，须按合同总造价的万分之五向采购人支付违约金。因未能在规定时间内竣工验收而由此造成的一切损失由供应商承担。因供应商自身的原因，未能兑现其投标时承诺条件或工程质量较差，或其工期进度严重脱节时，采购人有权解除合同，并且以完成的有效工程量只按50%计量结算。</w:t>
      </w:r>
      <w:r/>
    </w:p>
    <w:p>
      <w:pPr>
        <w:ind w:left="0" w:right="0" w:firstLine="0"/>
        <w:jc w:val="left"/>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八、（1）非单一产品采购项目，采购标的中的核心产品：</w:t>
      </w:r>
      <w:r/>
    </w:p>
    <w:p>
      <w:pPr>
        <w:ind w:left="0" w:right="0" w:firstLine="480"/>
        <w:jc w:val="left"/>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海安市城南实验小学操场维修改造工程项目</w:t>
      </w:r>
      <w:r/>
    </w:p>
    <w:p>
      <w:pPr>
        <w:ind w:left="0" w:firstLine="0"/>
        <w:jc w:val="left"/>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r>
      <w:r>
        <w:rPr>
          <w:rFonts w:ascii="SimSun" w:hAnsi="SimSun" w:eastAsia="SimSun" w:cs="SimSun"/>
          <w:b/>
          <w:color w:val="000000"/>
          <w:sz w:val="24"/>
        </w:rPr>
        <w:t xml:space="preserve">    （2）</w:t>
      </w:r>
      <w:r>
        <w:rPr>
          <w:rFonts w:ascii="SimSun" w:hAnsi="SimSun" w:eastAsia="SimSun" w:cs="SimSun"/>
          <w:b/>
          <w:color w:val="000000"/>
          <w:sz w:val="24"/>
        </w:rPr>
        <w:t xml:space="preserve">本项目的主要标的：</w:t>
      </w:r>
      <w:r/>
    </w:p>
    <w:p>
      <w:pPr>
        <w:ind w:left="0" w:right="0" w:firstLine="480"/>
        <w:jc w:val="left"/>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海安市城南实验小学操场维修改造工程项目</w:t>
      </w:r>
      <w:r/>
    </w:p>
    <w:p>
      <w:pPr>
        <w:ind w:left="0" w:right="0" w:firstLine="0"/>
        <w:jc w:val="left"/>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九、付款方式：</w:t>
      </w:r>
      <w:r/>
    </w:p>
    <w:p>
      <w:pPr>
        <w:ind w:left="0" w:right="0" w:firstLine="480"/>
        <w:jc w:val="left"/>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程施工全部完成、竣工验收合格，且完整送审资料提交齐全并被审核单位正式接收后，支付至合同总价的70%；项目审核工作全部结束，出具正式审核结果后，工程款支付至审定结算总价的97%；项目缺陷责任期满，经采购人核查无任何质量问题，一次性付清剩余全部尾款。</w:t>
      </w:r>
      <w:r/>
    </w:p>
    <w:p>
      <w:pPr>
        <w:ind w:left="0" w:right="0" w:firstLine="0"/>
        <w:jc w:val="left"/>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十、履约保证金：</w:t>
      </w:r>
      <w:r/>
    </w:p>
    <w:p>
      <w:pPr>
        <w:ind w:left="0" w:right="0" w:firstLine="480"/>
        <w:jc w:val="left"/>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本项目免收履约保证金。</w:t>
      </w:r>
      <w:r/>
    </w:p>
    <w:p>
      <w:pPr>
        <w:ind w:left="0" w:right="0" w:firstLine="0"/>
        <w:jc w:val="left"/>
        <w:spacing w:before="0" w:after="0" w:line="559" w:lineRule="atLeast"/>
        <w:rPr>
          <w:rFonts w:ascii="SimSun" w:hAnsi="SimSun" w:eastAsia="SimSun" w:cs="SimSun"/>
          <w:b/>
          <w:bCs/>
          <w:color w:val="000000"/>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十一、合同条款（详见附件）</w:t>
      </w:r>
      <w:r/>
    </w:p>
    <w:p>
      <w:pPr>
        <w:ind w:left="0" w:right="0" w:firstLine="0"/>
        <w:jc w:val="left"/>
        <w:spacing w:before="0" w:after="0" w:line="559" w:lineRule="atLeast"/>
        <w:pBdr>
          <w:top w:val="none" w:color="000000" w:sz="4" w:space="0"/>
          <w:left w:val="none" w:color="000000" w:sz="4" w:space="0"/>
          <w:bottom w:val="none" w:color="000000" w:sz="4" w:space="0"/>
          <w:right w:val="none" w:color="000000" w:sz="4" w:space="0"/>
        </w:pBdr>
      </w:pPr>
      <w:r/>
      <w:r/>
    </w:p>
    <w:p>
      <w:pPr>
        <w:ind w:left="0" w:right="0" w:firstLine="0"/>
        <w:jc w:val="left"/>
        <w:spacing w:before="0" w:after="0" w:line="559" w:lineRule="atLeast"/>
        <w:pBdr>
          <w:top w:val="none" w:color="000000" w:sz="4" w:space="0"/>
          <w:left w:val="none" w:color="000000" w:sz="4" w:space="0"/>
          <w:bottom w:val="none" w:color="000000" w:sz="4" w:space="0"/>
          <w:right w:val="none" w:color="000000" w:sz="4" w:space="0"/>
        </w:pBdr>
      </w:pPr>
      <w:r/>
      <w:r/>
    </w:p>
    <w:p>
      <w:pPr>
        <w:ind w:left="0" w:right="0" w:firstLine="0"/>
        <w:jc w:val="left"/>
        <w:spacing w:before="0" w:after="0" w:line="559" w:lineRule="atLeast"/>
        <w:pBdr>
          <w:top w:val="none" w:color="000000" w:sz="4" w:space="0"/>
          <w:left w:val="none" w:color="000000" w:sz="4" w:space="0"/>
          <w:bottom w:val="none" w:color="000000" w:sz="4" w:space="0"/>
          <w:right w:val="none" w:color="000000" w:sz="4" w:space="0"/>
        </w:pBdr>
      </w:pPr>
      <w:r/>
      <w:r/>
    </w:p>
    <w:p>
      <w:pPr>
        <w:ind w:left="0" w:right="0" w:firstLine="0"/>
        <w:jc w:val="left"/>
        <w:spacing w:before="0" w:after="0" w:line="559" w:lineRule="atLeast"/>
        <w:pBdr>
          <w:top w:val="none" w:color="000000" w:sz="4" w:space="0"/>
          <w:left w:val="none" w:color="000000" w:sz="4" w:space="0"/>
          <w:bottom w:val="none" w:color="000000" w:sz="4" w:space="0"/>
          <w:right w:val="none" w:color="000000" w:sz="4" w:space="0"/>
        </w:pBdr>
      </w:pPr>
      <w:r/>
      <w:r/>
    </w:p>
    <w:p>
      <w:pPr>
        <w:ind w:left="0" w:right="0" w:firstLine="0"/>
        <w:jc w:val="left"/>
        <w:spacing w:before="0" w:after="0" w:line="559" w:lineRule="atLeast"/>
        <w:pBdr>
          <w:top w:val="none" w:color="000000" w:sz="4" w:space="0"/>
          <w:left w:val="none" w:color="000000" w:sz="4" w:space="0"/>
          <w:bottom w:val="none" w:color="000000" w:sz="4" w:space="0"/>
          <w:right w:val="none" w:color="000000" w:sz="4" w:space="0"/>
        </w:pBdr>
      </w:pPr>
      <w:r/>
      <w:r/>
    </w:p>
    <w:p>
      <w:pPr>
        <w:ind w:left="0" w:right="0" w:firstLine="0"/>
        <w:jc w:val="left"/>
        <w:spacing w:before="0" w:after="0" w:line="559" w:lineRule="atLeast"/>
        <w:pBdr>
          <w:top w:val="none" w:color="000000" w:sz="4" w:space="0"/>
          <w:left w:val="none" w:color="000000" w:sz="4" w:space="0"/>
          <w:bottom w:val="none" w:color="000000" w:sz="4" w:space="0"/>
          <w:right w:val="none" w:color="000000" w:sz="4" w:space="0"/>
        </w:pBdr>
      </w:pPr>
      <w:r/>
      <w:r/>
    </w:p>
    <w:p>
      <w:pPr>
        <w:ind w:left="0" w:right="0" w:firstLine="0"/>
        <w:jc w:val="left"/>
        <w:spacing w:before="0" w:after="0" w:line="559" w:lineRule="atLeast"/>
        <w:pBdr>
          <w:top w:val="none" w:color="000000" w:sz="4" w:space="0"/>
          <w:left w:val="none" w:color="000000" w:sz="4" w:space="0"/>
          <w:bottom w:val="none" w:color="000000" w:sz="4" w:space="0"/>
          <w:right w:val="none" w:color="000000" w:sz="4" w:space="0"/>
        </w:pBdr>
      </w:pPr>
      <w:r/>
      <w:r/>
    </w:p>
    <w:p>
      <w:pPr>
        <w:ind w:left="0" w:right="0" w:firstLine="0"/>
        <w:jc w:val="left"/>
        <w:spacing w:before="0" w:after="0" w:line="559" w:lineRule="atLeast"/>
        <w:pBdr>
          <w:top w:val="none" w:color="000000" w:sz="4" w:space="0"/>
          <w:left w:val="none" w:color="000000" w:sz="4" w:space="0"/>
          <w:bottom w:val="none" w:color="000000" w:sz="4" w:space="0"/>
          <w:right w:val="none" w:color="000000" w:sz="4" w:space="0"/>
        </w:pBdr>
      </w:pPr>
      <w:r/>
      <w:r/>
    </w:p>
    <w:p>
      <w:pPr>
        <w:ind w:left="0" w:right="0" w:firstLine="0"/>
        <w:jc w:val="left"/>
        <w:spacing w:before="0" w:after="0" w:line="559" w:lineRule="atLeast"/>
        <w:pBdr>
          <w:top w:val="none" w:color="000000" w:sz="4" w:space="0"/>
          <w:left w:val="none" w:color="000000" w:sz="4" w:space="0"/>
          <w:bottom w:val="none" w:color="000000" w:sz="4" w:space="0"/>
          <w:right w:val="none" w:color="000000" w:sz="4" w:space="0"/>
        </w:pBdr>
      </w:pPr>
      <w:r/>
      <w:r/>
    </w:p>
    <w:p>
      <w:pPr>
        <w:ind w:left="0" w:right="0" w:firstLine="0"/>
        <w:jc w:val="left"/>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r>
      <w:r>
        <w:rPr>
          <w:rFonts w:ascii="SimSun" w:hAnsi="SimSun" w:eastAsia="SimSun" w:cs="SimSun"/>
          <w:b/>
          <w:color w:val="000000"/>
          <w:sz w:val="24"/>
          <w:highlight w:val="none"/>
        </w:rPr>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88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bCs/>
          <w:color w:val="000000"/>
          <w:sz w:val="44"/>
        </w:rPr>
        <w:t xml:space="preserve">第四章</w:t>
      </w:r>
      <w:r>
        <w:rPr>
          <w:rFonts w:ascii="SimSun" w:hAnsi="SimSun" w:eastAsia="SimSun" w:cs="SimSun"/>
          <w:color w:val="000000"/>
          <w:sz w:val="44"/>
        </w:rPr>
        <w:t xml:space="preserve"> </w:t>
      </w:r>
      <w:r>
        <w:rPr>
          <w:rFonts w:ascii="SimSun" w:hAnsi="SimSun" w:eastAsia="SimSun" w:cs="SimSun"/>
          <w:b/>
          <w:color w:val="000000"/>
          <w:sz w:val="44"/>
        </w:rPr>
        <w:t xml:space="preserve">评审方法与评审标准</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评委在认真审阅响应文件的基础上，根据各响应文件的响应程度独立评判，不得统一打分。</w:t>
      </w:r>
      <w:r/>
    </w:p>
    <w:p>
      <w:pPr>
        <w:ind w:left="0" w:right="0" w:firstLine="482"/>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（一）采购人（代表）对供应商资格进行审查。</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供应商资格不合格的，其响应文件判定为无效响应文件。</w:t>
      </w:r>
      <w:r/>
    </w:p>
    <w:p>
      <w:pPr>
        <w:ind w:left="0" w:right="0" w:firstLine="482"/>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（二）磋商小组对符合资格供应商的响应文件进行符合性审查。</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未通过符合性审查的响应文件，将被判为不满足磋商文件实质性要求。 </w:t>
      </w:r>
      <w:r/>
    </w:p>
    <w:p>
      <w:pPr>
        <w:ind w:left="0" w:right="0" w:firstLine="482"/>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（三）商务技术分：70分</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各供应商得分为磋商小组成员评分的算术平均分，分值保留小数点后两位。</w:t>
      </w:r>
      <w:r/>
    </w:p>
    <w:tbl>
      <w:tblPr>
        <w:tblStyle w:val="80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434"/>
        <w:gridCol w:w="862"/>
        <w:gridCol w:w="6058"/>
      </w:tblGrid>
      <w:tr>
        <w:trPr>
          <w:trHeight w:val="737"/>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2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评审因素</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分值</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0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评审标准</w:t>
            </w:r>
            <w:r/>
          </w:p>
        </w:tc>
      </w:tr>
      <w:tr>
        <w:trPr>
          <w:trHeight w:val="1403"/>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业绩</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05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响应供应商提供承接与本项目类似业绩，响应文件中提供中标通知书、合同、竣工验收证明（须同时具备，否则不计算业绩），每份得2分，本项最高得4分，最低得0分。提供业绩项目开具给甲方发票作为佐证材料，不提供不得分。</w:t>
            </w:r>
            <w:r/>
          </w:p>
        </w:tc>
      </w:tr>
      <w:tr>
        <w:trPr>
          <w:trHeight w:val="667"/>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产品质量</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05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塑胶跑道满足新国标GB/T43564-2023《中小学合成材料面层田径场地》、球场主材满足GB/T43565-2023《中小学合成材料面层篮球场地》、人造草坪满足GB/T43566-2023《中小学合成材料面层足球场地》的，提供对应完整检测报告，有1个得2分，最多得6分。</w:t>
            </w:r>
            <w:r/>
          </w:p>
          <w:p>
            <w:pPr>
              <w:ind w:left="0" w:right="0" w:firstLine="0"/>
              <w:spacing w:before="0" w:after="0"/>
              <w:rPr>
                <w:color w:val="ff0000"/>
              </w:rPr>
              <w:pBdr>
                <w:top w:val="none" w:color="000000" w:sz="4" w:space="0"/>
                <w:left w:val="none" w:color="000000" w:sz="4" w:space="0"/>
                <w:bottom w:val="none" w:color="000000" w:sz="4" w:space="0"/>
                <w:right w:val="none" w:color="000000" w:sz="4" w:space="0"/>
              </w:pBdr>
            </w:pPr>
            <w:r>
              <w:rPr>
                <w:rFonts w:ascii="SimSun" w:hAnsi="SimSun" w:eastAsia="SimSun" w:cs="SimSun"/>
                <w:color w:val="ff0000"/>
                <w:sz w:val="22"/>
              </w:rPr>
              <w:t xml:space="preserve">注：按照以上要求提供国家级质量监督检验机构出具的检测报告并加盖供应商公章，否则对应项不得分。</w:t>
            </w:r>
            <w:r>
              <w:rPr>
                <w:color w:val="ff0000"/>
              </w:rP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434"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施工设计组织</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62"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51</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05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1.施工总体实施方案、技术措施（10分）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响应供应商根据丰富的施工经验及施工能力证明等，针对本项目编制项目实施方案，包括：①现场施工总部署；②场地围挡；③学生隔离施工；④各分部项工程的施工组织设计；⑤季节性错峰施工专项方案；以上每项内容逐条阐述。</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上述5个方面每一项内容得2分，每有一项内容不完整或有缺陷的该项内容不得分，本项最高得10分。未提供不得分。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注：内容不完整或有缺陷是指：非专门针对本项目或内容不全面与实际需求明显不符、内容不清晰或交叉混乱、明显套用其他项目方案、有明显的规范性或常识性错误、存在明显的无关的事项、凭空编造，明显存在不可能实现的夸大情形、明显抄袭网上资料、仅有纲要且未展开阐述、内容前后矛盾、涉及的规范及标准错误等任意一种情形。</w:t>
            </w:r>
            <w:r/>
          </w:p>
        </w:tc>
      </w:tr>
      <w:tr>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05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2.施工技术、工艺及工程项目实施的重点、难点和解决方案（9分）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包括：①关键施工技术的应用；②施工工艺的应用；③工程项目实施的重点、难点和解决方案。以上每项内容逐条阐述。</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上述3个方面每一项内容得3分，每有一项内容不完整或有缺陷的该项内容不得分，本项最高得9分。未提供不得分。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注：内容不完整或有缺陷是指：非专门针对本项目或内容不全面与实际需求明显不符、内容不清晰或交叉混乱、明显套用其他项目方案、有明显的规范性或常识性错误、存在明显的无关的事项、凭空编造，明显存在不可能实现的夸大情形、明显抄袭网上资料、仅有纲要且未展开阐述、内容前后矛盾、涉及的规范及标准错误等任意一种情形。</w:t>
            </w:r>
            <w:r/>
          </w:p>
        </w:tc>
      </w:tr>
      <w:tr>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05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3.施工质量保证措施（10分）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①原材料质量保证措施；②分部分项工程专项质量管控措施；③施工过程管控措施；④试验与检测措施；⑤质量通病预防措施。以上每项内容逐条阐述。</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上述5个方面每一项内容得2分，每有一项内容不完整或有缺陷的该项内容不得分，本项最高得10分。未提供不得分。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注：内容不完整或有缺陷是指：非专门针对本项目或内容不全面与实际需求明显不符、内容不清晰或交叉混乱、明显套用其他项目方案、有明显的规范性或常识性错误、存在明显的无关的事项、凭空编造，明显存在不可能实现的夸大情形、明显抄袭网上资料、仅有纲要且未展开阐述、内容前后矛盾、涉及的规范及标准错误等任意一种情形。</w:t>
            </w:r>
            <w:r/>
          </w:p>
        </w:tc>
      </w:tr>
      <w:tr>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05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4.安全文明施工及环境保护措施（8分）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根据供应商提供的安全文明施工、环保及应急预案进行评审内容包括①扬尘降噪；②消防防护；③机械安全；④学生隔离安全管控措施等。</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每项2分，共计8分。每有一项缺项的扣1分，每有一项内容不完整或有缺陷的扣0.5分，扣完为止，未提供不得分。没有内容不得分。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注：内容不完整或有缺陷是指：非专门针对本项目或内容不全面与实际需求明显不符、内容不清晰或交叉混乱、明显套用其他项目方案、有明显的规范性或常识性错误、存在明显的无关的事项、凭空编造，明显存在不可能实现的夸大情形、明显抄袭网上资料、仅有纲要且未展开阐述、内容前后矛盾、涉及的规范及标准错误等任意一种情形。</w:t>
            </w:r>
            <w:r/>
          </w:p>
        </w:tc>
      </w:tr>
      <w:tr>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05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5.施工进度计划和各阶段进度的保证措施（10分）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包括：①总工期排布；②分段施工日历；③材料投入配备计划；④施工人员排班明细；⑤施工过程协调、沟通保障措施。以上每项内容逐条阐述。</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上述5个方面每一项内容得2分，每有一项内容不完整或有缺陷的该项内容不得分，本项最高得10分。未提供不得分。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注：内容不完整或有缺陷是指：非专门针对本项目或内容不全面与实际需求明显不符、内容不清晰或交叉混乱、明显套用其他项目方案、有明显的规范性或常识性错误、存在明显的无关的事项、凭空编造，明显存在不可能实现的夸大情形、明显抄袭网上资料、仅有纲要且未展开阐述、内容前后矛盾、涉及的规范及标准错误等任意一种情形。</w:t>
            </w:r>
            <w:r/>
          </w:p>
        </w:tc>
      </w:tr>
      <w:tr>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05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6.紧急情况的处理措施、应急预案（4分）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包括：①雨天停工；②材料管控；③突发破损；④施工安全事故应急处置流程。以上每项内容逐条阐述。</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上述4个方面每一项内容得1分，每有一项内容不完整或有缺陷的该项内容不得分，本项最高得4分。未提供不得分。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注：内容不完整或有缺陷是指：非专门针对本项目或内容不全面与实际需求明显不符、内容不清晰或交叉混乱、明显套用其他项目方案、有明显的规范性或常识性错误、存在明显的无关的事项、凭空编造，明显存在不可能实现的夸大情形、明显抄袭网上资料、仅有纲要且未展开阐述、内容前后矛盾、涉及的规范及标准错误等任意一种情形。</w:t>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售后服务</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9</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05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响应供应商针对本项目提供售后服务方案，包括</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①售后服务内容、质保期3年，缺陷责任期2年。提供承诺书原件（格式自拟，加盖公章）扫描件得2分，质保期每增加一年，加一分，最多加2分。未按要求提供或未提供证明材料的该项均不得分；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②服务保障体系1分；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③售后服务人员的技术水平及现场服务措施1分；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④日常维护保养1分；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⑤备品备件清单及管理1分；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⑥质保期满后的服务内容及收费标准1分。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本项共计9分，②-⑥项缺项的扣1分，内容不完整的扣0.5分，扣完为止，未提供不得分。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注：内容不完整或有缺陷是指：非专门针对本项目或内容不全面与实际需求明显不符、内容不清晰或交叉混乱、明显套用其他项目方案、有明显的规范性或常识性错误、存在明显的无关的事项、凭空编造，明显存在不可能实现的夸大情形、明显抄袭网上资料、仅有纲要且未展开阐述、内容前后矛盾、涉及的规范及标准错误等任意一种情形。</w:t>
            </w:r>
            <w:r/>
          </w:p>
        </w:tc>
      </w:tr>
    </w:tbl>
    <w:p>
      <w:pPr>
        <w:ind w:left="0" w:right="0" w:firstLine="482"/>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（四）价格分：30分</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价格分统一采用低价优先法计算，即满足磋商文件要求且最后报价最低的供应商的价格为磋商基准价，其价格分为满分。其他供应商的价格分统一按照下列公式计算：</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磋商报价得分=（磋商基准价/最后磋商报价）×价格权值×100</w:t>
      </w:r>
      <w:r/>
    </w:p>
    <w:p>
      <w:pPr>
        <w:ind w:left="0" w:right="0" w:firstLine="439"/>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出现下列情形之一的，评标委员会应当启动异常低价投标审查程序：</w:t>
      </w:r>
      <w:r/>
    </w:p>
    <w:p>
      <w:pPr>
        <w:ind w:left="0" w:right="0" w:firstLine="439"/>
        <w:spacing w:before="240" w:after="240" w:line="55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1</w:t>
      </w:r>
      <w:r>
        <w:rPr>
          <w:rFonts w:ascii="SimSun" w:hAnsi="SimSun" w:eastAsia="SimSun" w:cs="SimSun"/>
          <w:color w:val="000000"/>
          <w:sz w:val="24"/>
        </w:rPr>
        <w:t xml:space="preserve">、投标（响应）报价低于全部通过符合性审查投标人投标（响应）报价平均值</w:t>
      </w:r>
      <w:r>
        <w:rPr>
          <w:rFonts w:ascii="Arial" w:hAnsi="Arial" w:eastAsia="Arial" w:cs="Arial"/>
          <w:color w:val="000000"/>
          <w:sz w:val="24"/>
        </w:rPr>
        <w:t xml:space="preserve">50%</w:t>
      </w:r>
      <w:r>
        <w:rPr>
          <w:rFonts w:ascii="SimSun" w:hAnsi="SimSun" w:eastAsia="SimSun" w:cs="SimSun"/>
          <w:color w:val="000000"/>
          <w:sz w:val="24"/>
        </w:rPr>
        <w:t xml:space="preserve">的，即投标（响应）报价</w:t>
      </w:r>
      <w:r>
        <w:rPr>
          <w:rFonts w:ascii="Arial" w:hAnsi="Arial" w:eastAsia="Arial" w:cs="Arial"/>
          <w:color w:val="000000"/>
          <w:sz w:val="24"/>
        </w:rPr>
        <w:t xml:space="preserve">&lt;</w:t>
      </w:r>
      <w:r>
        <w:rPr>
          <w:rFonts w:ascii="SimSun" w:hAnsi="SimSun" w:eastAsia="SimSun" w:cs="SimSun"/>
          <w:color w:val="000000"/>
          <w:sz w:val="24"/>
        </w:rPr>
        <w:t xml:space="preserve">全部通过符合性审查投标人投标（响应）报价平均值×</w:t>
      </w:r>
      <w:r>
        <w:rPr>
          <w:rFonts w:ascii="Arial" w:hAnsi="Arial" w:eastAsia="Arial" w:cs="Arial"/>
          <w:color w:val="000000"/>
          <w:sz w:val="24"/>
        </w:rPr>
        <w:t xml:space="preserve">50%</w:t>
      </w:r>
      <w:r>
        <w:rPr>
          <w:rFonts w:ascii="SimSun" w:hAnsi="SimSun" w:eastAsia="SimSun" w:cs="SimSun"/>
          <w:color w:val="000000"/>
          <w:sz w:val="24"/>
        </w:rPr>
        <w:t xml:space="preserve">；</w:t>
      </w:r>
      <w:r/>
    </w:p>
    <w:p>
      <w:pPr>
        <w:ind w:left="0" w:right="0" w:firstLine="439"/>
        <w:spacing w:before="240" w:after="240" w:line="55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2</w:t>
      </w:r>
      <w:r>
        <w:rPr>
          <w:rFonts w:ascii="SimSun" w:hAnsi="SimSun" w:eastAsia="SimSun" w:cs="SimSun"/>
          <w:color w:val="000000"/>
          <w:sz w:val="24"/>
        </w:rPr>
        <w:t xml:space="preserve">、投标（响应）报价低于通过符合性审查的次低报价投标人投标（响应）报价</w:t>
      </w:r>
      <w:r>
        <w:rPr>
          <w:rFonts w:ascii="Arial" w:hAnsi="Arial" w:eastAsia="Arial" w:cs="Arial"/>
          <w:color w:val="000000"/>
          <w:sz w:val="24"/>
        </w:rPr>
        <w:t xml:space="preserve">50%</w:t>
      </w:r>
      <w:r>
        <w:rPr>
          <w:rFonts w:ascii="SimSun" w:hAnsi="SimSun" w:eastAsia="SimSun" w:cs="SimSun"/>
          <w:color w:val="000000"/>
          <w:sz w:val="24"/>
        </w:rPr>
        <w:t xml:space="preserve">的，即投标（响应）报价</w:t>
      </w:r>
      <w:r>
        <w:rPr>
          <w:rFonts w:ascii="Arial" w:hAnsi="Arial" w:eastAsia="Arial" w:cs="Arial"/>
          <w:color w:val="000000"/>
          <w:sz w:val="24"/>
        </w:rPr>
        <w:t xml:space="preserve">&lt;</w:t>
      </w:r>
      <w:r>
        <w:rPr>
          <w:rFonts w:ascii="SimSun" w:hAnsi="SimSun" w:eastAsia="SimSun" w:cs="SimSun"/>
          <w:color w:val="000000"/>
          <w:sz w:val="24"/>
        </w:rPr>
        <w:t xml:space="preserve">通过符合性审查的次低报价投标人投标（响应）报价×</w:t>
      </w:r>
      <w:r>
        <w:rPr>
          <w:rFonts w:ascii="Arial" w:hAnsi="Arial" w:eastAsia="Arial" w:cs="Arial"/>
          <w:color w:val="000000"/>
          <w:sz w:val="24"/>
        </w:rPr>
        <w:t xml:space="preserve">50%</w:t>
      </w:r>
      <w:r>
        <w:rPr>
          <w:rFonts w:ascii="SimSun" w:hAnsi="SimSun" w:eastAsia="SimSun" w:cs="SimSun"/>
          <w:color w:val="000000"/>
          <w:sz w:val="24"/>
        </w:rPr>
        <w:t xml:space="preserve">；</w:t>
      </w:r>
      <w:r/>
    </w:p>
    <w:p>
      <w:pPr>
        <w:ind w:left="0" w:right="0" w:firstLine="439"/>
        <w:spacing w:before="240" w:after="240" w:line="55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3</w:t>
      </w:r>
      <w:r>
        <w:rPr>
          <w:rFonts w:ascii="SimSun" w:hAnsi="SimSun" w:eastAsia="SimSun" w:cs="SimSun"/>
          <w:color w:val="000000"/>
          <w:sz w:val="24"/>
        </w:rPr>
        <w:t xml:space="preserve">、投标（响应）报价低于采购项目最高限价</w:t>
      </w:r>
      <w:r>
        <w:rPr>
          <w:rFonts w:ascii="Arial" w:hAnsi="Arial" w:eastAsia="Arial" w:cs="Arial"/>
          <w:color w:val="000000"/>
          <w:sz w:val="24"/>
        </w:rPr>
        <w:t xml:space="preserve">45%</w:t>
      </w:r>
      <w:r>
        <w:rPr>
          <w:rFonts w:ascii="SimSun" w:hAnsi="SimSun" w:eastAsia="SimSun" w:cs="SimSun"/>
          <w:color w:val="000000"/>
          <w:sz w:val="24"/>
        </w:rPr>
        <w:t xml:space="preserve">的，即投标（响应）报价</w:t>
      </w:r>
      <w:r>
        <w:rPr>
          <w:rFonts w:ascii="Arial" w:hAnsi="Arial" w:eastAsia="Arial" w:cs="Arial"/>
          <w:color w:val="000000"/>
          <w:sz w:val="24"/>
        </w:rPr>
        <w:t xml:space="preserve">&lt;</w:t>
      </w:r>
      <w:r>
        <w:rPr>
          <w:rFonts w:ascii="SimSun" w:hAnsi="SimSun" w:eastAsia="SimSun" w:cs="SimSun"/>
          <w:color w:val="000000"/>
          <w:sz w:val="24"/>
        </w:rPr>
        <w:t xml:space="preserve">采购项目最高限价×</w:t>
      </w:r>
      <w:r>
        <w:rPr>
          <w:rFonts w:ascii="Arial" w:hAnsi="Arial" w:eastAsia="Arial" w:cs="Arial"/>
          <w:color w:val="000000"/>
          <w:sz w:val="24"/>
        </w:rPr>
        <w:t xml:space="preserve">45%</w:t>
      </w:r>
      <w:r>
        <w:rPr>
          <w:rFonts w:ascii="SimSun" w:hAnsi="SimSun" w:eastAsia="SimSun" w:cs="SimSun"/>
          <w:color w:val="000000"/>
          <w:sz w:val="24"/>
        </w:rPr>
        <w:t xml:space="preserve">；</w:t>
      </w:r>
      <w:r/>
    </w:p>
    <w:p>
      <w:pPr>
        <w:ind w:left="0" w:right="0" w:firstLine="439"/>
        <w:spacing w:before="0" w:after="0" w:line="55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4</w:t>
      </w:r>
      <w:r>
        <w:rPr>
          <w:rFonts w:ascii="SimSun" w:hAnsi="SimSun" w:eastAsia="SimSun" w:cs="SimSun"/>
          <w:color w:val="000000"/>
          <w:sz w:val="24"/>
        </w:rPr>
        <w:t xml:space="preserve">、评审委员会基于专业判断，认为投标人报价过低，有可能影响产品质量或者不能诚信履约的其他情形。</w:t>
      </w:r>
      <w:r/>
    </w:p>
    <w:p>
      <w:pPr>
        <w:ind w:left="0" w:right="0" w:firstLine="439"/>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启动异常低价投标审查后，评标委员会将通过苏采云系统要求相关投标人在合理的时间内（一般不少于</w:t>
      </w:r>
      <w:r>
        <w:rPr>
          <w:rFonts w:ascii="Arial" w:hAnsi="Arial" w:eastAsia="Arial" w:cs="Arial"/>
          <w:color w:val="000000"/>
          <w:sz w:val="24"/>
        </w:rPr>
        <w:t xml:space="preserve">30</w:t>
      </w:r>
      <w:r>
        <w:rPr>
          <w:rFonts w:ascii="SimSun" w:hAnsi="SimSun" w:eastAsia="SimSun" w:cs="SimSun"/>
          <w:color w:val="000000"/>
          <w:sz w:val="24"/>
        </w:rPr>
        <w:t xml:space="preserve">分钟），提供项目具体成本测算等与报价合理性相关的书面说明及相关证明材料，对投标价格作出解释，由评标委员会结合同类产品在主要电商平台的价格、该行业当地薪资水平等情况，依据专业经验对投标人报价合理性进行判断。</w:t>
      </w:r>
      <w:r/>
    </w:p>
    <w:p>
      <w:pPr>
        <w:ind w:left="0" w:right="0" w:firstLine="439"/>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投标投标人不提供书面说明、证明材料，或者提供的书面说明、证明材料不能证明其报价合理性的，评标委员会应当将其作为无效投标处理。审查相关情况应当在评审报告中进行记录。</w:t>
      </w:r>
      <w:r/>
    </w:p>
    <w:p>
      <w:pPr>
        <w:ind w:left="0" w:right="0" w:firstLine="482"/>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（五）政府采购政策功能落实</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本项目为专门面向中小微企业采购项目，不再执行价格评审优惠的扶持政策。</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第五章响应文件格式</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响应文件</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108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 目 名 称：</w:t>
      </w:r>
      <w:r>
        <w:rPr>
          <w:rFonts w:ascii="SimSun" w:hAnsi="SimSun" w:eastAsia="SimSun" w:cs="SimSun"/>
          <w:b/>
          <w:color w:val="000000"/>
          <w:sz w:val="36"/>
          <w:u w:val="single"/>
        </w:rPr>
        <w:t xml:space="preserve">               </w:t>
      </w:r>
      <w:r/>
    </w:p>
    <w:p>
      <w:pPr>
        <w:ind w:left="0" w:right="0" w:firstLine="108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 目 编 号：</w:t>
      </w:r>
      <w:r>
        <w:rPr>
          <w:rFonts w:ascii="SimSun" w:hAnsi="SimSun" w:eastAsia="SimSun" w:cs="SimSun"/>
          <w:b/>
          <w:color w:val="000000"/>
          <w:sz w:val="36"/>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供应商名称 ：</w:t>
      </w:r>
      <w:r>
        <w:rPr>
          <w:rFonts w:ascii="SimSun" w:hAnsi="SimSun" w:eastAsia="SimSun" w:cs="SimSun"/>
          <w:b/>
          <w:color w:val="000000"/>
          <w:sz w:val="36"/>
          <w:u w:val="single"/>
        </w:rPr>
        <w:t xml:space="preserve">（加盖CA电子公章）</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日期 ：</w:t>
      </w:r>
      <w:r>
        <w:rPr>
          <w:rFonts w:ascii="SimSun" w:hAnsi="SimSun" w:eastAsia="SimSun" w:cs="SimSun"/>
          <w:b/>
          <w:color w:val="000000"/>
          <w:sz w:val="36"/>
          <w:u w:val="single"/>
        </w:rPr>
        <w:t xml:space="preserve">               </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u w:val="single"/>
        </w:rPr>
        <w:t xml:space="preserve"> </w:t>
      </w:r>
      <w:r/>
    </w:p>
    <w:p>
      <w:pPr>
        <w:ind w:left="0" w:right="0" w:firstLine="0"/>
        <w:jc w:val="both"/>
        <w:spacing w:before="0" w:after="0"/>
        <w:rPr>
          <w:rFonts w:ascii="SimSun" w:hAnsi="SimSun" w:eastAsia="SimSun" w:cs="SimSun"/>
          <w:b/>
          <w:bCs/>
          <w:color w:val="000000"/>
          <w:sz w:val="36"/>
          <w:szCs w:val="36"/>
          <w:highlight w:val="none"/>
          <w:u w:val="singl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
    </w:p>
    <w:p>
      <w:pPr>
        <w:ind w:left="0" w:right="0" w:firstLine="0"/>
        <w:jc w:val="both"/>
        <w:spacing w:before="0" w:after="0"/>
        <w:pBdr>
          <w:top w:val="none" w:color="000000" w:sz="4" w:space="0"/>
          <w:left w:val="none" w:color="000000" w:sz="4" w:space="0"/>
          <w:bottom w:val="none" w:color="000000" w:sz="4" w:space="0"/>
          <w:right w:val="none" w:color="000000" w:sz="4" w:space="0"/>
        </w:pBdr>
      </w:pPr>
      <w:r/>
      <w:r/>
    </w:p>
    <w:p>
      <w:pPr>
        <w:ind w:left="0" w:right="0" w:firstLine="0"/>
        <w:jc w:val="both"/>
        <w:spacing w:before="0" w:after="0"/>
        <w:pBdr>
          <w:top w:val="none" w:color="000000" w:sz="4" w:space="0"/>
          <w:left w:val="none" w:color="000000" w:sz="4" w:space="0"/>
          <w:bottom w:val="none" w:color="000000" w:sz="4" w:space="0"/>
          <w:right w:val="none" w:color="000000" w:sz="4" w:space="0"/>
        </w:pBdr>
      </w:pPr>
      <w:r/>
      <w:r/>
    </w:p>
    <w:p>
      <w:pPr>
        <w:ind w:left="0" w:right="0" w:firstLine="0"/>
        <w:jc w:val="both"/>
        <w:spacing w:before="0" w:after="0"/>
        <w:pBdr>
          <w:top w:val="none" w:color="000000" w:sz="4" w:space="0"/>
          <w:left w:val="none" w:color="000000" w:sz="4" w:space="0"/>
          <w:bottom w:val="none" w:color="000000" w:sz="4" w:space="0"/>
          <w:right w:val="none" w:color="000000" w:sz="4" w:space="0"/>
        </w:pBdr>
      </w:pPr>
      <w:r/>
      <w:r/>
    </w:p>
    <w:p>
      <w:pPr>
        <w:ind w:left="0" w:right="0" w:firstLine="0"/>
        <w:jc w:val="both"/>
        <w:spacing w:before="0" w:after="0"/>
        <w:pBdr>
          <w:top w:val="none" w:color="000000" w:sz="4" w:space="0"/>
          <w:left w:val="none" w:color="000000" w:sz="4" w:space="0"/>
          <w:bottom w:val="none" w:color="000000" w:sz="4" w:space="0"/>
          <w:right w:val="none" w:color="000000" w:sz="4" w:space="0"/>
        </w:pBdr>
      </w:pPr>
      <w:r/>
      <w:r/>
    </w:p>
    <w:p>
      <w:pPr>
        <w:ind w:left="0" w:right="0" w:firstLine="0"/>
        <w:jc w:val="both"/>
        <w:spacing w:before="0" w:after="0"/>
        <w:pBdr>
          <w:top w:val="none" w:color="000000" w:sz="4" w:space="0"/>
          <w:left w:val="none" w:color="000000" w:sz="4" w:space="0"/>
          <w:bottom w:val="none" w:color="000000" w:sz="4" w:space="0"/>
          <w:right w:val="none" w:color="000000" w:sz="4" w:space="0"/>
        </w:pBdr>
      </w:pPr>
      <w:r/>
      <w:r/>
    </w:p>
    <w:p>
      <w:pPr>
        <w:ind w:left="0" w:right="0" w:firstLine="0"/>
        <w:jc w:val="both"/>
        <w:spacing w:before="0" w:after="0"/>
        <w:pBdr>
          <w:top w:val="none" w:color="000000" w:sz="4" w:space="0"/>
          <w:left w:val="none" w:color="000000" w:sz="4" w:space="0"/>
          <w:bottom w:val="none" w:color="000000" w:sz="4" w:space="0"/>
          <w:right w:val="none" w:color="000000" w:sz="4" w:space="0"/>
        </w:pBdr>
      </w:pPr>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highlight w:val="none"/>
          <w:u w:val="single"/>
        </w:rPr>
      </w:r>
      <w:r>
        <w:rPr>
          <w:rFonts w:ascii="SimSun" w:hAnsi="SimSun" w:eastAsia="SimSun" w:cs="SimSun"/>
          <w:b/>
          <w:color w:val="000000"/>
          <w:sz w:val="36"/>
          <w:highlight w:val="none"/>
          <w:u w:val="single"/>
        </w:rPr>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响应文件目录</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482" w:right="0" w:firstLine="0"/>
        <w:jc w:val="both"/>
        <w:spacing w:before="0" w:after="0" w:line="7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一、资格审查证明材料</w:t>
      </w:r>
      <w:r/>
    </w:p>
    <w:p>
      <w:pPr>
        <w:ind w:left="482" w:right="0" w:firstLine="0"/>
        <w:jc w:val="both"/>
        <w:spacing w:before="0" w:after="0" w:line="7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二、商务、技术标</w:t>
      </w:r>
      <w:r/>
    </w:p>
    <w:p>
      <w:pPr>
        <w:ind w:left="482" w:right="0" w:firstLine="0"/>
        <w:jc w:val="both"/>
        <w:spacing w:before="0" w:after="0" w:line="7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三、价格标</w:t>
      </w:r>
      <w:r/>
    </w:p>
    <w:p>
      <w:pPr>
        <w:ind w:left="482" w:right="0" w:firstLine="0"/>
        <w:jc w:val="both"/>
        <w:spacing w:before="0" w:after="0" w:line="7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四、其他资料（如有）</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一、资格审查证明材料</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1.供应商符合《政府采购法》第二十二条规定条件的承诺函（格式见附件）；</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2.法定代表人身份证明书（格式见附件）；</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3.法人授权书（格式见附件）；</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4.采购公告中“二、申请人的资格要求”提供相应的佐证材料；</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5.其它需要提交的资格审查证明材料。</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本项目为专门面向中小微企业采购项目，须按照财库〔2020〕46号文要求提供中小企业声明函，或提供《残疾人福利性单位声明函》，或提供由省级以上监狱管理局、戒毒管理局(含新疆生产建设兵团)出具的属于监狱企业的证明文件（格式见附件）</w:t>
      </w:r>
      <w:r/>
    </w:p>
    <w:p>
      <w:pPr>
        <w:ind w:left="0" w:right="0" w:firstLine="64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二、符合性审查内容</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1.报价总表（格式见附件）；</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2.分项报价明细表（已标价的工程量清单）（格式见附件）。</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3.磋商响应函（格式见附件）</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4.商务部分正负偏离表；（格式见附件）</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5.技术部分正负偏离表；（格式见附件）</w:t>
      </w:r>
      <w:r/>
    </w:p>
    <w:p>
      <w:pPr>
        <w:ind w:left="0" w:right="0" w:firstLine="64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三、商务、技术标文件</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1.商务、技术评分标准中须提供的相关得分佐证材料；</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2.供应商认为需要提交的其他商务、技术材料。</w:t>
      </w:r>
      <w:r/>
    </w:p>
    <w:p>
      <w:pPr>
        <w:ind w:left="0" w:right="0" w:firstLine="64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u w:val="single"/>
        </w:rPr>
        <w:t xml:space="preserve"> </w:t>
      </w:r>
      <w:r/>
    </w:p>
    <w:p>
      <w:pPr>
        <w:ind w:left="0" w:right="0" w:firstLine="64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u w:val="single"/>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附件1</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供应商符合《政府采购法》第二十二条规定条件的声明函</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rPr>
          <w:rFonts w:ascii="SimSun" w:hAnsi="SimSun" w:eastAsia="SimSun" w:cs="SimSun"/>
          <w:b/>
          <w:color w:val="000000"/>
          <w:sz w:val="44"/>
        </w:rPr>
        <w:t xml:space="preserve">   </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我单位参加</w:t>
      </w:r>
      <w:r>
        <w:rPr>
          <w:rFonts w:ascii="SimSun" w:hAnsi="SimSun" w:eastAsia="SimSun" w:cs="SimSun"/>
          <w:color w:val="000000"/>
          <w:sz w:val="24"/>
          <w:u w:val="single"/>
        </w:rPr>
        <w:t xml:space="preserve">________________ _</w:t>
      </w:r>
      <w:r>
        <w:rPr>
          <w:rFonts w:ascii="SimSun" w:hAnsi="SimSun" w:eastAsia="SimSun" w:cs="SimSun"/>
          <w:color w:val="000000"/>
          <w:sz w:val="24"/>
        </w:rPr>
        <w:t xml:space="preserve">（项目名称），</w:t>
      </w:r>
      <w:r>
        <w:rPr>
          <w:rFonts w:ascii="SimSun" w:hAnsi="SimSun" w:eastAsia="SimSun" w:cs="SimSun"/>
          <w:color w:val="000000"/>
          <w:sz w:val="24"/>
          <w:u w:val="single"/>
        </w:rPr>
        <w:t xml:space="preserve">_______ __________</w:t>
      </w:r>
      <w:r>
        <w:rPr>
          <w:rFonts w:ascii="SimSun" w:hAnsi="SimSun" w:eastAsia="SimSun" w:cs="SimSun"/>
          <w:color w:val="000000"/>
          <w:sz w:val="24"/>
        </w:rPr>
        <w:t xml:space="preserve">（项目编号）采购活动。针对《中华人民共和国政府采购法》第二十二条规定做出如下声明：</w:t>
      </w:r>
      <w:r/>
    </w:p>
    <w:p>
      <w:pPr>
        <w:ind w:left="0" w:right="0" w:firstLine="482"/>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1.我单位具有独立承担民事责任的能力；</w:t>
      </w:r>
      <w:r/>
    </w:p>
    <w:p>
      <w:pPr>
        <w:ind w:left="0" w:right="0" w:firstLine="482"/>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2.我单位具有良好的商业信誉和健全的财务会计制度；</w:t>
      </w:r>
      <w:r/>
    </w:p>
    <w:p>
      <w:pPr>
        <w:ind w:left="0" w:right="0" w:firstLine="482"/>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3.我单位具有履行合同所必需的设备和专业技术能力；</w:t>
      </w:r>
      <w:r/>
    </w:p>
    <w:p>
      <w:pPr>
        <w:ind w:left="0" w:right="0" w:firstLine="482"/>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4.我单位有依法缴纳税收和社会保障资金的良好记录；</w:t>
      </w:r>
      <w:r/>
    </w:p>
    <w:p>
      <w:pPr>
        <w:ind w:left="0" w:right="0" w:firstLine="482"/>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p>
    <w:p>
      <w:pPr>
        <w:ind w:left="0" w:right="0" w:firstLine="482"/>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6.我单位满足法律、行政法规规定的其他条件。</w:t>
      </w:r>
      <w:r/>
    </w:p>
    <w:p>
      <w:pPr>
        <w:ind w:left="0" w:right="0" w:firstLine="482"/>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承诺人名称（公章）：</w:t>
      </w:r>
      <w:r/>
    </w:p>
    <w:p>
      <w:pPr>
        <w:ind w:left="0" w:right="0" w:firstLine="0"/>
        <w:jc w:val="right"/>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right"/>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日期：</w:t>
      </w:r>
      <w:r>
        <w:rPr>
          <w:rFonts w:ascii="SimSun" w:hAnsi="SimSun" w:eastAsia="SimSun" w:cs="SimSun"/>
          <w:color w:val="000000"/>
          <w:sz w:val="24"/>
          <w:u w:val="single"/>
        </w:rPr>
        <w:t xml:space="preserve">______</w:t>
      </w:r>
      <w:r>
        <w:rPr>
          <w:rFonts w:ascii="SimSun" w:hAnsi="SimSun" w:eastAsia="SimSun" w:cs="SimSun"/>
          <w:color w:val="000000"/>
          <w:sz w:val="24"/>
        </w:rPr>
        <w:t xml:space="preserve">年</w:t>
      </w:r>
      <w:r>
        <w:rPr>
          <w:rFonts w:ascii="SimSun" w:hAnsi="SimSun" w:eastAsia="SimSun" w:cs="SimSun"/>
          <w:color w:val="000000"/>
          <w:sz w:val="24"/>
          <w:u w:val="single"/>
        </w:rPr>
        <w:t xml:space="preserve">    </w:t>
      </w:r>
      <w:r>
        <w:rPr>
          <w:rFonts w:ascii="SimSun" w:hAnsi="SimSun" w:eastAsia="SimSun" w:cs="SimSun"/>
          <w:color w:val="000000"/>
          <w:sz w:val="24"/>
        </w:rPr>
        <w:t xml:space="preserve">月</w:t>
      </w:r>
      <w:r>
        <w:rPr>
          <w:rFonts w:ascii="SimSun" w:hAnsi="SimSun" w:eastAsia="SimSun" w:cs="SimSun"/>
          <w:color w:val="000000"/>
          <w:sz w:val="24"/>
          <w:u w:val="single"/>
        </w:rPr>
        <w:t xml:space="preserve">    </w:t>
      </w:r>
      <w:r>
        <w:rPr>
          <w:rFonts w:ascii="SimSun" w:hAnsi="SimSun" w:eastAsia="SimSun" w:cs="SimSun"/>
          <w:color w:val="000000"/>
          <w:sz w:val="24"/>
        </w:rPr>
        <w:t xml:space="preserve">日</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附件2</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法定代表人身份证明</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rPr>
          <w:rFonts w:ascii="SimSun" w:hAnsi="SimSun" w:eastAsia="SimSun" w:cs="SimSun"/>
          <w:color w:val="000000"/>
          <w:sz w:val="24"/>
        </w:rPr>
        <w:t xml:space="preserve">先生/女士： 现任我单位</w:t>
      </w:r>
      <w:r>
        <w:rPr>
          <w:rFonts w:ascii="SimSun" w:hAnsi="SimSun" w:eastAsia="SimSun" w:cs="SimSun"/>
          <w:color w:val="000000"/>
          <w:sz w:val="24"/>
          <w:u w:val="single"/>
        </w:rPr>
        <w:t xml:space="preserve">        </w:t>
      </w:r>
      <w:r>
        <w:rPr>
          <w:rFonts w:ascii="SimSun" w:hAnsi="SimSun" w:eastAsia="SimSun" w:cs="SimSun"/>
          <w:color w:val="000000"/>
          <w:sz w:val="24"/>
        </w:rPr>
        <w:t xml:space="preserve">职务，为法定代表人，特此证明。</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身份证号码：</w:t>
      </w:r>
      <w:r>
        <w:rPr>
          <w:rFonts w:ascii="SimSun" w:hAnsi="SimSun" w:eastAsia="SimSun" w:cs="SimSun"/>
          <w:color w:val="000000"/>
          <w:sz w:val="24"/>
          <w:u w:val="single"/>
        </w:rPr>
        <w:t xml:space="preserve">                                               </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注：提供法定代表人的身份证复印件盖公章</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附件3</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法人授权书</w:t>
      </w:r>
      <w:r/>
    </w:p>
    <w:p>
      <w:pPr>
        <w:ind w:left="0" w:right="0" w:firstLine="480"/>
        <w:jc w:val="both"/>
        <w:spacing w:before="0" w:after="0"/>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本授权书声明：____________（供应商名称）授权________________（被授权人的姓名）为我方就JSZC-</w:t>
      </w:r>
      <w:r>
        <w:rPr>
          <w:rFonts w:ascii="SimSun" w:hAnsi="SimSun" w:eastAsia="SimSun" w:cs="SimSun"/>
          <w:color w:val="000000"/>
          <w:sz w:val="24"/>
          <w:u w:val="single"/>
        </w:rPr>
        <w:t xml:space="preserve">        </w:t>
      </w:r>
      <w:r>
        <w:rPr>
          <w:rFonts w:ascii="SimSun" w:hAnsi="SimSun" w:eastAsia="SimSun" w:cs="SimSun"/>
          <w:color w:val="000000"/>
          <w:sz w:val="24"/>
        </w:rPr>
        <w:t xml:space="preserve">号项目采购活动的合法代理人，以本单位名义全权处理一切与该项目采购有关的事务。</w:t>
      </w:r>
      <w:r/>
    </w:p>
    <w:p>
      <w:pPr>
        <w:ind w:left="0" w:right="0" w:firstLine="480"/>
        <w:jc w:val="both"/>
        <w:spacing w:before="0" w:after="0"/>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本授权书于______年____月____日起生效，特此声明。</w:t>
      </w:r>
      <w:r/>
    </w:p>
    <w:p>
      <w:pPr>
        <w:ind w:left="0" w:right="0" w:firstLine="0"/>
        <w:jc w:val="both"/>
        <w:spacing w:before="0" w:after="0"/>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被授权人身份证号码：</w:t>
      </w:r>
      <w:r>
        <w:rPr>
          <w:rFonts w:ascii="SimSun" w:hAnsi="SimSun" w:eastAsia="SimSun" w:cs="SimSun"/>
          <w:color w:val="000000"/>
          <w:sz w:val="24"/>
          <w:u w:val="single"/>
        </w:rPr>
        <w:t xml:space="preserve">                              </w:t>
      </w:r>
      <w:r/>
    </w:p>
    <w:p>
      <w:pPr>
        <w:ind w:left="0" w:right="0" w:firstLine="0"/>
        <w:jc w:val="both"/>
        <w:spacing w:before="0" w:after="0"/>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被授权人联系电话：（手机）</w:t>
      </w:r>
      <w:r>
        <w:rPr>
          <w:rFonts w:ascii="SimSun" w:hAnsi="SimSun" w:eastAsia="SimSun" w:cs="SimSun"/>
          <w:color w:val="000000"/>
          <w:sz w:val="24"/>
          <w:u w:val="single"/>
        </w:rPr>
        <w:t xml:space="preserve">                          </w:t>
      </w:r>
      <w:r/>
    </w:p>
    <w:p>
      <w:pPr>
        <w:ind w:left="0" w:right="0" w:firstLine="1200"/>
        <w:jc w:val="both"/>
        <w:spacing w:before="0" w:after="0"/>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授权单位名称：</w:t>
      </w:r>
      <w:r>
        <w:rPr>
          <w:rFonts w:ascii="SimSun" w:hAnsi="SimSun" w:eastAsia="SimSun" w:cs="SimSun"/>
          <w:color w:val="000000"/>
          <w:sz w:val="24"/>
          <w:u w:val="single"/>
        </w:rPr>
        <w:t xml:space="preserve">（加盖CA电子公章）</w:t>
      </w:r>
      <w:r/>
    </w:p>
    <w:p>
      <w:pPr>
        <w:ind w:left="0" w:right="0" w:firstLine="480"/>
        <w:jc w:val="both"/>
        <w:spacing w:before="0" w:after="0"/>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单位地址：</w:t>
      </w:r>
      <w:r>
        <w:rPr>
          <w:rFonts w:ascii="SimSun" w:hAnsi="SimSun" w:eastAsia="SimSun" w:cs="SimSun"/>
          <w:color w:val="000000"/>
          <w:sz w:val="24"/>
          <w:u w:val="single"/>
        </w:rPr>
        <w:t xml:space="preserve">                                         </w:t>
      </w:r>
      <w:r/>
    </w:p>
    <w:p>
      <w:pPr>
        <w:ind w:left="0" w:right="0" w:firstLine="480"/>
        <w:jc w:val="both"/>
        <w:spacing w:before="0" w:after="0"/>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日期：</w:t>
      </w:r>
      <w:r>
        <w:rPr>
          <w:rFonts w:ascii="SimSun" w:hAnsi="SimSun" w:eastAsia="SimSun" w:cs="SimSun"/>
          <w:color w:val="000000"/>
          <w:sz w:val="24"/>
          <w:u w:val="single"/>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附件4</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磋商响应函</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致：海安市城南实验小学</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根据贵方的JSZC-</w:t>
      </w:r>
      <w:r>
        <w:rPr>
          <w:rFonts w:ascii="SimSun" w:hAnsi="SimSun" w:eastAsia="SimSun" w:cs="SimSun"/>
          <w:b/>
          <w:color w:val="000000"/>
          <w:sz w:val="36"/>
          <w:u w:val="single"/>
        </w:rPr>
        <w:t xml:space="preserve">    </w:t>
      </w:r>
      <w:r>
        <w:rPr>
          <w:rFonts w:ascii="SimSun" w:hAnsi="SimSun" w:eastAsia="SimSun" w:cs="SimSun"/>
          <w:color w:val="000000"/>
          <w:sz w:val="24"/>
        </w:rPr>
        <w:t xml:space="preserve">号磋商文件，正式授权下述签字人______(姓名)代表我方______________（供应商的名称），全权处理本次项目磋商的有关事宜。</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据此函，__________签字人兹宣布同意如下：</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1.按磋商文件规定的各项要求，向买方提供所需货物、服务（包含与货物相关的服务及与服务相关的货物）。</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2.我们完全理解贵方不一定将合同授予最低报价的供应商。</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3.我们已详细审核全部磋商文件及其有效补充文件，我们知道必须放弃提出含糊不清或误解问题的权利。</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4.我们同意从规定的开标日期起遵循本响应文件，并在规定的磋商有效期期满之前均具有约束力。</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5.同意向贵方提供贵方可能另外要求的与磋商有关的任何证据或资料，并保证我方已提供和将要提供的文件是真实的、准确的。</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6.一旦我方成交,我方将根据磋商文件的规定，严格履行合同的责任和义务,并保证在磋商文件规定的时间完成项目，交付买方验收、使用。</w:t>
      </w:r>
      <w:r/>
    </w:p>
    <w:p>
      <w:pPr>
        <w:ind w:left="425"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7.我方与本磋商有关的正式通讯地址为：</w:t>
      </w:r>
      <w:r/>
    </w:p>
    <w:p>
      <w:pPr>
        <w:ind w:left="42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r>
      <w:r/>
    </w:p>
    <w:p>
      <w:pPr>
        <w:ind w:left="42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邮编：</w:t>
      </w:r>
      <w:r/>
    </w:p>
    <w:p>
      <w:pPr>
        <w:ind w:left="42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电话：</w:t>
      </w:r>
      <w:r/>
    </w:p>
    <w:p>
      <w:pPr>
        <w:ind w:left="42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传真：</w:t>
      </w:r>
      <w:r/>
    </w:p>
    <w:p>
      <w:pPr>
        <w:ind w:left="42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供应商开户行：</w:t>
      </w:r>
      <w:r/>
    </w:p>
    <w:p>
      <w:pPr>
        <w:ind w:left="42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账号： </w:t>
      </w:r>
      <w:r/>
    </w:p>
    <w:p>
      <w:pPr>
        <w:ind w:left="42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日期：________年____月____日</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420" w:right="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420" w:right="0" w:firstLine="240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响应供应商全称(盖公章)：</w:t>
      </w:r>
      <w:r/>
    </w:p>
    <w:p>
      <w:pPr>
        <w:ind w:left="420" w:right="0" w:firstLine="240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法定代表人（签字或盖章）：</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附件5</w:t>
      </w:r>
      <w:r/>
    </w:p>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商务部分正负偏离表</w:t>
      </w:r>
      <w:r/>
    </w:p>
    <w:p>
      <w:pPr>
        <w:ind w:left="0" w:right="0" w:firstLine="56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（由供应商据实填写，表格不够自行添加）</w:t>
      </w:r>
      <w:r/>
    </w:p>
    <w:tbl>
      <w:tblPr>
        <w:tblStyle w:val="80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52"/>
        <w:gridCol w:w="2350"/>
        <w:gridCol w:w="2050"/>
        <w:gridCol w:w="2650"/>
        <w:gridCol w:w="1452"/>
      </w:tblGrid>
      <w:tr>
        <w:trPr>
          <w:trHeight w:val="994"/>
        </w:trPr>
        <w:tc>
          <w:tcPr>
            <w:tcBorders>
              <w:top w:val="single" w:color="000000" w:sz="12" w:space="0"/>
              <w:left w:val="single" w:color="000000" w:sz="12" w:space="0"/>
              <w:bottom w:val="single" w:color="000000" w:sz="8" w:space="0"/>
              <w:right w:val="single" w:color="000000" w:sz="8" w:space="0"/>
            </w:tcBorders>
            <w:tcMar>
              <w:left w:w="108" w:type="dxa"/>
              <w:top w:w="0" w:type="dxa"/>
              <w:right w:w="108" w:type="dxa"/>
              <w:bottom w:w="0" w:type="dxa"/>
            </w:tcMar>
            <w:tcW w:w="852" w:type="dxa"/>
            <w:vAlign w:val="center"/>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12" w:space="0"/>
              <w:left w:val="none" w:color="000000" w:sz="4" w:space="0"/>
              <w:bottom w:val="single" w:color="000000" w:sz="8" w:space="0"/>
              <w:right w:val="single" w:color="000000" w:sz="8" w:space="0"/>
            </w:tcBorders>
            <w:tcMar>
              <w:left w:w="108" w:type="dxa"/>
              <w:top w:w="0" w:type="dxa"/>
              <w:right w:w="108" w:type="dxa"/>
              <w:bottom w:w="0" w:type="dxa"/>
            </w:tcMar>
            <w:tcW w:w="2350" w:type="dxa"/>
            <w:vAlign w:val="center"/>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货物或服务名称</w:t>
            </w:r>
            <w:r/>
          </w:p>
        </w:tc>
        <w:tc>
          <w:tcPr>
            <w:tcBorders>
              <w:top w:val="single" w:color="000000" w:sz="12"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磋商文件要求的商务条款</w:t>
            </w:r>
            <w:r/>
          </w:p>
        </w:tc>
        <w:tc>
          <w:tcPr>
            <w:tcBorders>
              <w:top w:val="single" w:color="000000" w:sz="12" w:space="0"/>
              <w:left w:val="none" w:color="000000" w:sz="4" w:space="0"/>
              <w:bottom w:val="single" w:color="000000" w:sz="8" w:space="0"/>
              <w:right w:val="single" w:color="000000" w:sz="8" w:space="0"/>
            </w:tcBorders>
            <w:tcMar>
              <w:left w:w="108" w:type="dxa"/>
              <w:top w:w="0" w:type="dxa"/>
              <w:right w:w="108" w:type="dxa"/>
              <w:bottom w:w="0" w:type="dxa"/>
            </w:tcMar>
            <w:tcW w:w="2650" w:type="dxa"/>
            <w:vAlign w:val="center"/>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响应文件响应情况</w:t>
            </w:r>
            <w:r/>
          </w:p>
        </w:tc>
        <w:tc>
          <w:tcPr>
            <w:tcBorders>
              <w:top w:val="single" w:color="000000" w:sz="12" w:space="0"/>
              <w:left w:val="none" w:color="000000" w:sz="4" w:space="0"/>
              <w:bottom w:val="single" w:color="000000" w:sz="8" w:space="0"/>
              <w:right w:val="single" w:color="000000" w:sz="12" w:space="0"/>
            </w:tcBorders>
            <w:tcMar>
              <w:left w:w="108" w:type="dxa"/>
              <w:top w:w="0" w:type="dxa"/>
              <w:right w:w="108" w:type="dxa"/>
              <w:bottom w:w="0" w:type="dxa"/>
            </w:tcMar>
            <w:tcW w:w="1452" w:type="dxa"/>
            <w:vAlign w:val="top"/>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偏离说明</w:t>
            </w:r>
            <w:r/>
          </w:p>
        </w:tc>
      </w:tr>
      <w:tr>
        <w:trPr>
          <w:trHeight w:val="414"/>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852" w:type="dxa"/>
            <w:vAlign w:val="top"/>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50" w:type="dxa"/>
            <w:vAlign w:val="center"/>
            <w:textDirection w:val="lrTb"/>
            <w:noWrap w:val="false"/>
          </w:tcPr>
          <w:p>
            <w:pPr>
              <w:ind w:left="0" w:right="0" w:firstLine="0"/>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50" w:type="dxa"/>
            <w:vAlign w:val="center"/>
            <w:textDirection w:val="lrTb"/>
            <w:noWrap w:val="false"/>
          </w:tcPr>
          <w:p>
            <w:pPr>
              <w:ind w:left="0" w:right="0" w:firstLine="0"/>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1452" w:type="dxa"/>
            <w:vAlign w:val="top"/>
            <w:textDirection w:val="lrTb"/>
            <w:noWrap w:val="false"/>
          </w:tcPr>
          <w:p>
            <w:pPr>
              <w:ind w:left="0" w:right="0" w:firstLine="0"/>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48"/>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852" w:type="dxa"/>
            <w:vAlign w:val="top"/>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50" w:type="dxa"/>
            <w:vAlign w:val="center"/>
            <w:textDirection w:val="lrTb"/>
            <w:noWrap w:val="false"/>
          </w:tcPr>
          <w:p>
            <w:pPr>
              <w:ind w:left="0" w:right="0" w:firstLine="0"/>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50" w:type="dxa"/>
            <w:vAlign w:val="center"/>
            <w:textDirection w:val="lrTb"/>
            <w:noWrap w:val="false"/>
          </w:tcPr>
          <w:p>
            <w:pPr>
              <w:ind w:left="0" w:right="0" w:firstLine="0"/>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1452" w:type="dxa"/>
            <w:vAlign w:val="top"/>
            <w:textDirection w:val="lrTb"/>
            <w:noWrap w:val="false"/>
          </w:tcPr>
          <w:p>
            <w:pPr>
              <w:ind w:left="0" w:right="0" w:firstLine="0"/>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00"/>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852" w:type="dxa"/>
            <w:vAlign w:val="top"/>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50" w:type="dxa"/>
            <w:vAlign w:val="center"/>
            <w:textDirection w:val="lrTb"/>
            <w:noWrap w:val="false"/>
          </w:tcPr>
          <w:p>
            <w:pPr>
              <w:ind w:left="0" w:right="0" w:firstLine="0"/>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50" w:type="dxa"/>
            <w:vAlign w:val="center"/>
            <w:textDirection w:val="lrTb"/>
            <w:noWrap w:val="false"/>
          </w:tcPr>
          <w:p>
            <w:pPr>
              <w:ind w:left="0" w:right="0" w:firstLine="0"/>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1452" w:type="dxa"/>
            <w:vAlign w:val="top"/>
            <w:textDirection w:val="lrTb"/>
            <w:noWrap w:val="false"/>
          </w:tcPr>
          <w:p>
            <w:pPr>
              <w:ind w:left="0" w:right="0" w:firstLine="0"/>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19"/>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852" w:type="dxa"/>
            <w:vAlign w:val="top"/>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50" w:type="dxa"/>
            <w:vAlign w:val="center"/>
            <w:textDirection w:val="lrTb"/>
            <w:noWrap w:val="false"/>
          </w:tcPr>
          <w:p>
            <w:pPr>
              <w:ind w:left="0" w:right="0" w:firstLine="0"/>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50" w:type="dxa"/>
            <w:vAlign w:val="center"/>
            <w:textDirection w:val="lrTb"/>
            <w:noWrap w:val="false"/>
          </w:tcPr>
          <w:p>
            <w:pPr>
              <w:ind w:left="0" w:right="0" w:firstLine="0"/>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1452" w:type="dxa"/>
            <w:vAlign w:val="top"/>
            <w:textDirection w:val="lrTb"/>
            <w:noWrap w:val="false"/>
          </w:tcPr>
          <w:p>
            <w:pPr>
              <w:ind w:left="0" w:right="0" w:firstLine="0"/>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1.供应商提交的响应文件中与磋商文件第三部分“项目需求”中的商务部分的要求，应逐条填列在偏离表中。</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rPr>
          <w:rFonts w:ascii="SimSun" w:hAnsi="SimSun" w:eastAsia="SimSun" w:cs="SimSun"/>
          <w:color w:val="000000"/>
          <w:sz w:val="21"/>
        </w:rPr>
        <w:t xml:space="preserve"> </w:t>
      </w:r>
      <w:r>
        <w:rPr>
          <w:rFonts w:ascii="SimSun" w:hAnsi="SimSun" w:eastAsia="SimSun" w:cs="SimSun"/>
          <w:color w:val="000000"/>
          <w:sz w:val="24"/>
        </w:rPr>
        <w:t xml:space="preserve">“偏离说明”一栏选择“正偏离”、“无偏离”、“负偏离”进行填写。正偏离、无偏离的确认和负偏离的是否响应采购文件，由磋商小组认定。</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3.供应商如果虚假响应，将被暂停参加采购人组织政府采购活动。</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4.供应商若提供其他增值服务，可以在表中自行据实填写。</w:t>
      </w:r>
      <w:r/>
    </w:p>
    <w:p>
      <w:pPr>
        <w:ind w:left="0" w:right="0" w:firstLine="54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附件6</w:t>
      </w:r>
      <w:r/>
    </w:p>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技术部分正负偏离表</w:t>
      </w:r>
      <w:r/>
    </w:p>
    <w:p>
      <w:pPr>
        <w:ind w:left="0" w:right="0" w:firstLine="56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（由供应商据实填写，表格不够自行添加）</w:t>
      </w:r>
      <w:r/>
    </w:p>
    <w:tbl>
      <w:tblPr>
        <w:tblStyle w:val="80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52"/>
        <w:gridCol w:w="2350"/>
        <w:gridCol w:w="2050"/>
        <w:gridCol w:w="2650"/>
        <w:gridCol w:w="1452"/>
      </w:tblGrid>
      <w:tr>
        <w:trPr>
          <w:trHeight w:val="994"/>
        </w:trPr>
        <w:tc>
          <w:tcPr>
            <w:tcBorders>
              <w:top w:val="single" w:color="000000" w:sz="12" w:space="0"/>
              <w:left w:val="single" w:color="000000" w:sz="12" w:space="0"/>
              <w:bottom w:val="single" w:color="000000" w:sz="8" w:space="0"/>
              <w:right w:val="single" w:color="000000" w:sz="8" w:space="0"/>
            </w:tcBorders>
            <w:tcMar>
              <w:left w:w="108" w:type="dxa"/>
              <w:top w:w="0" w:type="dxa"/>
              <w:right w:w="108" w:type="dxa"/>
              <w:bottom w:w="0" w:type="dxa"/>
            </w:tcMar>
            <w:tcW w:w="852" w:type="dxa"/>
            <w:vAlign w:val="center"/>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12" w:space="0"/>
              <w:left w:val="none" w:color="000000" w:sz="4" w:space="0"/>
              <w:bottom w:val="single" w:color="000000" w:sz="8" w:space="0"/>
              <w:right w:val="single" w:color="000000" w:sz="8" w:space="0"/>
            </w:tcBorders>
            <w:tcMar>
              <w:left w:w="108" w:type="dxa"/>
              <w:top w:w="0" w:type="dxa"/>
              <w:right w:w="108" w:type="dxa"/>
              <w:bottom w:w="0" w:type="dxa"/>
            </w:tcMar>
            <w:tcW w:w="2350" w:type="dxa"/>
            <w:vAlign w:val="center"/>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货物或服务名称</w:t>
            </w:r>
            <w:r/>
          </w:p>
        </w:tc>
        <w:tc>
          <w:tcPr>
            <w:tcBorders>
              <w:top w:val="single" w:color="000000" w:sz="12"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磋商文件要求的技术要求</w:t>
            </w:r>
            <w:r/>
          </w:p>
        </w:tc>
        <w:tc>
          <w:tcPr>
            <w:tcBorders>
              <w:top w:val="single" w:color="000000" w:sz="12" w:space="0"/>
              <w:left w:val="none" w:color="000000" w:sz="4" w:space="0"/>
              <w:bottom w:val="single" w:color="000000" w:sz="8" w:space="0"/>
              <w:right w:val="single" w:color="000000" w:sz="8" w:space="0"/>
            </w:tcBorders>
            <w:tcMar>
              <w:left w:w="108" w:type="dxa"/>
              <w:top w:w="0" w:type="dxa"/>
              <w:right w:w="108" w:type="dxa"/>
              <w:bottom w:w="0" w:type="dxa"/>
            </w:tcMar>
            <w:tcW w:w="2650" w:type="dxa"/>
            <w:vAlign w:val="center"/>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响应文件响应情况</w:t>
            </w:r>
            <w:r/>
          </w:p>
        </w:tc>
        <w:tc>
          <w:tcPr>
            <w:tcBorders>
              <w:top w:val="single" w:color="000000" w:sz="12" w:space="0"/>
              <w:left w:val="none" w:color="000000" w:sz="4" w:space="0"/>
              <w:bottom w:val="single" w:color="000000" w:sz="8" w:space="0"/>
              <w:right w:val="single" w:color="000000" w:sz="12" w:space="0"/>
            </w:tcBorders>
            <w:tcMar>
              <w:left w:w="108" w:type="dxa"/>
              <w:top w:w="0" w:type="dxa"/>
              <w:right w:w="108" w:type="dxa"/>
              <w:bottom w:w="0" w:type="dxa"/>
            </w:tcMar>
            <w:tcW w:w="1452" w:type="dxa"/>
            <w:vAlign w:val="top"/>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偏离说明</w:t>
            </w:r>
            <w:r/>
          </w:p>
        </w:tc>
      </w:tr>
      <w:tr>
        <w:trPr>
          <w:trHeight w:val="414"/>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852" w:type="dxa"/>
            <w:vAlign w:val="top"/>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50" w:type="dxa"/>
            <w:vAlign w:val="center"/>
            <w:textDirection w:val="lrTb"/>
            <w:noWrap w:val="false"/>
          </w:tcPr>
          <w:p>
            <w:pPr>
              <w:ind w:left="0" w:right="0" w:firstLine="0"/>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50" w:type="dxa"/>
            <w:vAlign w:val="center"/>
            <w:textDirection w:val="lrTb"/>
            <w:noWrap w:val="false"/>
          </w:tcPr>
          <w:p>
            <w:pPr>
              <w:ind w:left="0" w:right="0" w:firstLine="0"/>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1452" w:type="dxa"/>
            <w:vAlign w:val="top"/>
            <w:textDirection w:val="lrTb"/>
            <w:noWrap w:val="false"/>
          </w:tcPr>
          <w:p>
            <w:pPr>
              <w:ind w:left="0" w:right="0" w:firstLine="0"/>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48"/>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852" w:type="dxa"/>
            <w:vAlign w:val="top"/>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50" w:type="dxa"/>
            <w:vAlign w:val="center"/>
            <w:textDirection w:val="lrTb"/>
            <w:noWrap w:val="false"/>
          </w:tcPr>
          <w:p>
            <w:pPr>
              <w:ind w:left="0" w:right="0" w:firstLine="0"/>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50" w:type="dxa"/>
            <w:vAlign w:val="center"/>
            <w:textDirection w:val="lrTb"/>
            <w:noWrap w:val="false"/>
          </w:tcPr>
          <w:p>
            <w:pPr>
              <w:ind w:left="0" w:right="0" w:firstLine="0"/>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1452" w:type="dxa"/>
            <w:vAlign w:val="top"/>
            <w:textDirection w:val="lrTb"/>
            <w:noWrap w:val="false"/>
          </w:tcPr>
          <w:p>
            <w:pPr>
              <w:ind w:left="0" w:right="0" w:firstLine="0"/>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00"/>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852" w:type="dxa"/>
            <w:vAlign w:val="top"/>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50" w:type="dxa"/>
            <w:vAlign w:val="center"/>
            <w:textDirection w:val="lrTb"/>
            <w:noWrap w:val="false"/>
          </w:tcPr>
          <w:p>
            <w:pPr>
              <w:ind w:left="0" w:right="0" w:firstLine="0"/>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50" w:type="dxa"/>
            <w:vAlign w:val="center"/>
            <w:textDirection w:val="lrTb"/>
            <w:noWrap w:val="false"/>
          </w:tcPr>
          <w:p>
            <w:pPr>
              <w:ind w:left="0" w:right="0" w:firstLine="0"/>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1452" w:type="dxa"/>
            <w:vAlign w:val="top"/>
            <w:textDirection w:val="lrTb"/>
            <w:noWrap w:val="false"/>
          </w:tcPr>
          <w:p>
            <w:pPr>
              <w:ind w:left="0" w:right="0" w:firstLine="0"/>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19"/>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852" w:type="dxa"/>
            <w:vAlign w:val="top"/>
            <w:textDirection w:val="lrTb"/>
            <w:noWrap w:val="false"/>
          </w:tcPr>
          <w:p>
            <w:pPr>
              <w:ind w:left="0" w:right="0" w:firstLine="0"/>
              <w:jc w:val="center"/>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50" w:type="dxa"/>
            <w:vAlign w:val="center"/>
            <w:textDirection w:val="lrTb"/>
            <w:noWrap w:val="false"/>
          </w:tcPr>
          <w:p>
            <w:pPr>
              <w:ind w:left="0" w:right="0" w:firstLine="0"/>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50" w:type="dxa"/>
            <w:vAlign w:val="center"/>
            <w:textDirection w:val="lrTb"/>
            <w:noWrap w:val="false"/>
          </w:tcPr>
          <w:p>
            <w:pPr>
              <w:ind w:left="0" w:right="0" w:firstLine="0"/>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50" w:type="dxa"/>
            <w:vAlign w:val="center"/>
            <w:textDirection w:val="lrTb"/>
            <w:noWrap w:val="false"/>
          </w:tcPr>
          <w:p>
            <w:pPr>
              <w:ind w:left="0" w:right="0" w:firstLine="0"/>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1452" w:type="dxa"/>
            <w:vAlign w:val="top"/>
            <w:textDirection w:val="lrTb"/>
            <w:noWrap w:val="false"/>
          </w:tcPr>
          <w:p>
            <w:pPr>
              <w:ind w:left="0" w:right="0" w:firstLine="0"/>
              <w:spacing w:before="0" w:after="0" w:line="3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1.供应商提交的响应文件中与磋商文件第三部分“项目需求”中的技术部分的要求，应逐条填列在偏离表中。</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rPr>
          <w:rFonts w:ascii="SimSun" w:hAnsi="SimSun" w:eastAsia="SimSun" w:cs="SimSun"/>
          <w:color w:val="000000"/>
          <w:sz w:val="21"/>
        </w:rPr>
        <w:t xml:space="preserve"> </w:t>
      </w:r>
      <w:r>
        <w:rPr>
          <w:rFonts w:ascii="SimSun" w:hAnsi="SimSun" w:eastAsia="SimSun" w:cs="SimSun"/>
          <w:color w:val="000000"/>
          <w:sz w:val="24"/>
        </w:rPr>
        <w:t xml:space="preserve">“偏离说明”一栏选择“正偏离”、“无偏离”、“负偏离”进行填写。正偏离、无偏离的确认和负偏离的是否响应采购文件，由磋商小组认定。</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3.供应商如果虚假响应，将被暂停参加采购人组织政府采购活动。</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4.供应商若提供其他增值服务，可以在表中自行据实填写。</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附件7</w:t>
      </w:r>
      <w:r/>
    </w:p>
    <w:p>
      <w:pPr>
        <w:ind w:left="0" w:right="0" w:firstLine="0"/>
        <w:jc w:val="center"/>
        <w:spacing w:before="100" w:after="10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报价总表</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供应商全称（加盖公章）：</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项目名称：</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项目编号：</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分包号：</w:t>
      </w:r>
      <w:r/>
    </w:p>
    <w:tbl>
      <w:tblPr>
        <w:tblStyle w:val="80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3917"/>
        <w:gridCol w:w="4346"/>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917" w:type="dxa"/>
            <w:vAlign w:val="top"/>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磋商货物、服务名称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346" w:type="dxa"/>
            <w:vAlign w:val="top"/>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磋商总报价</w:t>
            </w:r>
            <w:r/>
          </w:p>
        </w:tc>
      </w:tr>
      <w:tr>
        <w:trPr>
          <w:trHeight w:val="109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917" w:type="dxa"/>
            <w:vAlign w:val="top"/>
            <w:textDirection w:val="lrTb"/>
            <w:noWrap w:val="false"/>
          </w:tcPr>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46" w:type="dxa"/>
            <w:vAlign w:val="top"/>
            <w:textDirection w:val="lrTb"/>
            <w:noWrap w:val="false"/>
          </w:tcPr>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大写：</w:t>
              <w:br/>
              <w:t xml:space="preserve">小写：元（人民币）</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917" w:type="dxa"/>
            <w:vAlign w:val="top"/>
            <w:textDirection w:val="lrTb"/>
            <w:noWrap w:val="false"/>
          </w:tcPr>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主要货物、服务制造商及产地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46" w:type="dxa"/>
            <w:vAlign w:val="top"/>
            <w:textDirection w:val="lrTb"/>
            <w:noWrap w:val="false"/>
          </w:tcPr>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8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917" w:type="dxa"/>
            <w:vAlign w:val="top"/>
            <w:textDirection w:val="lrTb"/>
            <w:noWrap w:val="false"/>
          </w:tcPr>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核心产品品牌（如有）</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46" w:type="dxa"/>
            <w:vAlign w:val="top"/>
            <w:textDirection w:val="lrTb"/>
            <w:noWrap w:val="false"/>
          </w:tcPr>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日期：</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填写说明：</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1、报价总表必须加盖供应商公章（复印件无效）。</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highlight w:val="none"/>
        </w:rPr>
      </w:r>
      <w:r>
        <w:rPr>
          <w:rFonts w:ascii="SimSun" w:hAnsi="SimSun" w:eastAsia="SimSun" w:cs="SimSun"/>
          <w:b/>
          <w:color w:val="000000"/>
          <w:sz w:val="28"/>
          <w:highlight w:val="none"/>
        </w:rPr>
      </w:r>
      <w:r/>
    </w:p>
    <w:p>
      <w:pPr>
        <w:ind w:left="0" w:right="0" w:firstLine="0"/>
        <w:spacing w:before="0" w:after="0" w:line="71" w:lineRule="atLeast"/>
        <w:rPr>
          <w:rFonts w:ascii="SimSun" w:hAnsi="SimSun" w:eastAsia="SimSun" w:cs="SimSun"/>
          <w:b/>
          <w:bCs/>
          <w:color w:val="000000"/>
          <w:sz w:val="28"/>
          <w:szCs w:val="28"/>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highlight w:val="none"/>
        </w:rPr>
      </w:r>
      <w:r>
        <w:rPr>
          <w:rFonts w:ascii="SimSun" w:hAnsi="SimSun" w:eastAsia="SimSun" w:cs="SimSun"/>
          <w:b/>
          <w:color w:val="000000"/>
          <w:sz w:val="28"/>
          <w:highlight w:val="none"/>
        </w:rPr>
      </w:r>
      <w:r/>
    </w:p>
    <w:p>
      <w:pPr>
        <w:ind w:left="0" w:right="0" w:firstLine="0"/>
        <w:spacing w:before="0" w:after="0" w:line="71" w:lineRule="atLeast"/>
        <w:rPr>
          <w:rFonts w:ascii="SimSun" w:hAnsi="SimSun" w:eastAsia="SimSun" w:cs="SimSun"/>
          <w:b/>
          <w:bCs/>
          <w:color w:val="000000"/>
          <w:sz w:val="28"/>
          <w:szCs w:val="28"/>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highlight w:val="none"/>
        </w:rPr>
      </w:r>
      <w:r>
        <w:rPr>
          <w:rFonts w:ascii="SimSun" w:hAnsi="SimSun" w:eastAsia="SimSun" w:cs="SimSun"/>
          <w:b/>
          <w:color w:val="000000"/>
          <w:sz w:val="28"/>
          <w:highlight w:val="none"/>
        </w:rPr>
      </w:r>
      <w:r/>
    </w:p>
    <w:p>
      <w:pPr>
        <w:ind w:left="0" w:right="0" w:firstLine="0"/>
        <w:spacing w:before="0" w:after="0" w:line="71" w:lineRule="atLeast"/>
        <w:rPr>
          <w:rFonts w:ascii="SimSun" w:hAnsi="SimSun" w:eastAsia="SimSun" w:cs="SimSun"/>
          <w:b/>
          <w:bCs/>
          <w:color w:val="000000"/>
          <w:sz w:val="28"/>
          <w:szCs w:val="28"/>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highlight w:val="none"/>
        </w:rPr>
      </w:r>
      <w:r>
        <w:rPr>
          <w:rFonts w:ascii="SimSun" w:hAnsi="SimSun" w:eastAsia="SimSun" w:cs="SimSun"/>
          <w:b/>
          <w:color w:val="000000"/>
          <w:sz w:val="28"/>
          <w:highlight w:val="none"/>
        </w:rPr>
      </w:r>
      <w:r/>
    </w:p>
    <w:p>
      <w:pPr>
        <w:ind w:left="0" w:right="0" w:firstLine="0"/>
        <w:spacing w:before="0" w:after="0" w:line="71" w:lineRule="atLeast"/>
        <w:rPr>
          <w:rFonts w:ascii="SimSun" w:hAnsi="SimSun" w:eastAsia="SimSun" w:cs="SimSun"/>
          <w:b/>
          <w:bCs/>
          <w:color w:val="000000"/>
          <w:sz w:val="28"/>
          <w:szCs w:val="28"/>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附件8</w:t>
      </w:r>
      <w:r/>
    </w:p>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分项报价明细表（已标价的工程量清单）</w:t>
      </w:r>
      <w:r/>
    </w:p>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highlight w:val="none"/>
        </w:rPr>
      </w:r>
      <w:r>
        <w:rPr>
          <w:rFonts w:ascii="SimSun" w:hAnsi="SimSun" w:eastAsia="SimSun" w:cs="SimSun"/>
          <w:b/>
          <w:color w:val="000000"/>
          <w:sz w:val="28"/>
          <w:highlight w:val="none"/>
        </w:rPr>
      </w:r>
      <w:r/>
    </w:p>
    <w:p>
      <w:pPr>
        <w:ind w:left="0" w:right="0" w:firstLine="0"/>
        <w:spacing w:before="0" w:after="0" w:line="71" w:lineRule="atLeast"/>
        <w:rPr>
          <w:rFonts w:ascii="SimSun" w:hAnsi="SimSun" w:eastAsia="SimSun" w:cs="SimSun"/>
          <w:b/>
          <w:bCs/>
          <w:color w:val="000000"/>
          <w:sz w:val="28"/>
          <w:szCs w:val="28"/>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highlight w:val="none"/>
        </w:rPr>
      </w:r>
      <w:r>
        <w:rPr>
          <w:rFonts w:ascii="SimSun" w:hAnsi="SimSun" w:eastAsia="SimSun" w:cs="SimSun"/>
          <w:b/>
          <w:color w:val="000000"/>
          <w:sz w:val="28"/>
          <w:highlight w:val="none"/>
        </w:rPr>
      </w:r>
      <w:r/>
    </w:p>
    <w:p>
      <w:pPr>
        <w:ind w:left="0" w:right="0" w:firstLine="0"/>
        <w:spacing w:before="0" w:after="0" w:line="71" w:lineRule="atLeast"/>
        <w:rPr>
          <w:rFonts w:ascii="SimSun" w:hAnsi="SimSun" w:eastAsia="SimSun" w:cs="SimSun"/>
          <w:b/>
          <w:bCs/>
          <w:color w:val="000000"/>
          <w:sz w:val="28"/>
          <w:szCs w:val="28"/>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highlight w:val="none"/>
        </w:rPr>
      </w:r>
      <w:r>
        <w:rPr>
          <w:rFonts w:ascii="SimSun" w:hAnsi="SimSun" w:eastAsia="SimSun" w:cs="SimSun"/>
          <w:b/>
          <w:color w:val="000000"/>
          <w:sz w:val="28"/>
          <w:highlight w:val="none"/>
        </w:rPr>
      </w:r>
      <w:r/>
    </w:p>
    <w:p>
      <w:pPr>
        <w:ind w:left="0" w:right="0" w:firstLine="0"/>
        <w:spacing w:before="0" w:after="0" w:line="71" w:lineRule="atLeast"/>
        <w:rPr>
          <w:rFonts w:ascii="SimSun" w:hAnsi="SimSun" w:eastAsia="SimSun" w:cs="SimSun"/>
          <w:b/>
          <w:bCs/>
          <w:color w:val="000000"/>
          <w:sz w:val="28"/>
          <w:szCs w:val="28"/>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highlight w:val="none"/>
        </w:rPr>
      </w:r>
      <w:r>
        <w:rPr>
          <w:rFonts w:ascii="SimSun" w:hAnsi="SimSun" w:eastAsia="SimSun" w:cs="SimSun"/>
          <w:b/>
          <w:color w:val="000000"/>
          <w:sz w:val="28"/>
          <w:highlight w:val="none"/>
        </w:rPr>
      </w:r>
      <w:r/>
    </w:p>
    <w:p>
      <w:pPr>
        <w:ind w:left="0" w:right="0" w:firstLine="0"/>
        <w:spacing w:before="0" w:after="0" w:line="71" w:lineRule="atLeast"/>
        <w:rPr>
          <w:rFonts w:ascii="SimSun" w:hAnsi="SimSun" w:eastAsia="SimSun" w:cs="SimSun"/>
          <w:b/>
          <w:bCs/>
          <w:color w:val="000000"/>
          <w:sz w:val="28"/>
          <w:szCs w:val="28"/>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highlight w:val="none"/>
        </w:rPr>
      </w:r>
      <w:r>
        <w:rPr>
          <w:rFonts w:ascii="SimSun" w:hAnsi="SimSun" w:eastAsia="SimSun" w:cs="SimSun"/>
          <w:b/>
          <w:color w:val="000000"/>
          <w:sz w:val="28"/>
          <w:highlight w:val="none"/>
        </w:rPr>
      </w:r>
      <w:r/>
    </w:p>
    <w:p>
      <w:pPr>
        <w:ind w:left="0" w:right="0" w:firstLine="0"/>
        <w:spacing w:before="0" w:after="0" w:line="71" w:lineRule="atLeast"/>
        <w:rPr>
          <w:rFonts w:ascii="SimSun" w:hAnsi="SimSun" w:eastAsia="SimSun" w:cs="SimSun"/>
          <w:b/>
          <w:bCs/>
          <w:color w:val="000000"/>
          <w:sz w:val="28"/>
          <w:szCs w:val="28"/>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highlight w:val="none"/>
        </w:rPr>
      </w:r>
      <w:r>
        <w:rPr>
          <w:rFonts w:ascii="SimSun" w:hAnsi="SimSun" w:eastAsia="SimSun" w:cs="SimSun"/>
          <w:b/>
          <w:color w:val="000000"/>
          <w:sz w:val="28"/>
          <w:highlight w:val="none"/>
        </w:rPr>
      </w:r>
      <w:r/>
    </w:p>
    <w:p>
      <w:pPr>
        <w:ind w:left="0" w:right="0" w:firstLine="0"/>
        <w:spacing w:before="0" w:after="0" w:line="71" w:lineRule="atLeast"/>
        <w:rPr>
          <w:rFonts w:ascii="SimSun" w:hAnsi="SimSun" w:eastAsia="SimSun" w:cs="SimSun"/>
          <w:b/>
          <w:bCs/>
          <w:color w:val="000000"/>
          <w:sz w:val="28"/>
          <w:szCs w:val="28"/>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附件9</w:t>
      </w:r>
      <w:r/>
    </w:p>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中小企业声明函（工程）</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本公司（联合体）郑重声明，根据《政府采购促进中小企业发展管理办法》（财库﹝2020﹞46 号）的规定，本公司（联合体）参加</w:t>
      </w:r>
      <w:r>
        <w:rPr>
          <w:rFonts w:ascii="SimSun" w:hAnsi="SimSun" w:eastAsia="SimSun" w:cs="SimSun"/>
          <w:color w:val="000000"/>
          <w:sz w:val="28"/>
          <w:u w:val="single"/>
        </w:rPr>
        <w:t xml:space="preserve">（单位名称）</w:t>
      </w:r>
      <w:r>
        <w:rPr>
          <w:rFonts w:ascii="SimSun" w:hAnsi="SimSun" w:eastAsia="SimSun" w:cs="SimSun"/>
          <w:color w:val="000000"/>
          <w:sz w:val="28"/>
        </w:rPr>
        <w:t xml:space="preserve">的</w:t>
      </w:r>
      <w:r>
        <w:rPr>
          <w:rFonts w:ascii="SimSun" w:hAnsi="SimSun" w:eastAsia="SimSun" w:cs="SimSun"/>
          <w:color w:val="000000"/>
          <w:sz w:val="28"/>
          <w:u w:val="single"/>
        </w:rPr>
        <w:t xml:space="preserve">（项目名称）</w:t>
      </w:r>
      <w:r>
        <w:rPr>
          <w:rFonts w:ascii="SimSun" w:hAnsi="SimSun" w:eastAsia="SimSun" w:cs="SimSun"/>
          <w:color w:val="000000"/>
          <w:sz w:val="28"/>
        </w:rPr>
        <w:t xml:space="preserve">采购活动，工程的施工单位全部为符合政策要求的中小企业（或者：服务全部由符合政策要求的中小企业承接）。相关企业（含联合 体中的中小企业、签订分包意向协议的中小企业）的具体情况如下：</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w:t>
      </w:r>
      <w:r>
        <w:rPr>
          <w:rFonts w:ascii="SimSun" w:hAnsi="SimSun" w:eastAsia="SimSun" w:cs="SimSun"/>
          <w:color w:val="000000"/>
          <w:sz w:val="28"/>
          <w:u w:val="single"/>
        </w:rPr>
        <w:t xml:space="preserve">（标的名称）</w:t>
      </w:r>
      <w:r>
        <w:rPr>
          <w:rFonts w:ascii="SimSun" w:hAnsi="SimSun" w:eastAsia="SimSun" w:cs="SimSun"/>
          <w:color w:val="000000"/>
          <w:sz w:val="28"/>
        </w:rPr>
        <w:t xml:space="preserve">，属于（</w:t>
      </w:r>
      <w:r>
        <w:rPr>
          <w:rFonts w:ascii="SimSun" w:hAnsi="SimSun" w:eastAsia="SimSun" w:cs="SimSun"/>
          <w:color w:val="000000"/>
          <w:sz w:val="28"/>
          <w:u w:val="single"/>
        </w:rPr>
        <w:t xml:space="preserve">采购文件中明确的所属行业）</w:t>
      </w:r>
      <w:r>
        <w:rPr>
          <w:rFonts w:ascii="SimSun" w:hAnsi="SimSun" w:eastAsia="SimSun" w:cs="SimSun"/>
          <w:color w:val="000000"/>
          <w:sz w:val="28"/>
        </w:rPr>
        <w:t xml:space="preserve">；承建（承接）企业为</w:t>
      </w:r>
      <w:r>
        <w:rPr>
          <w:rFonts w:ascii="SimSun" w:hAnsi="SimSun" w:eastAsia="SimSun" w:cs="SimSun"/>
          <w:color w:val="000000"/>
          <w:sz w:val="28"/>
          <w:u w:val="single"/>
        </w:rPr>
        <w:t xml:space="preserve">（企业名称）</w:t>
      </w:r>
      <w:r>
        <w:rPr>
          <w:rFonts w:ascii="SimSun" w:hAnsi="SimSun" w:eastAsia="SimSun" w:cs="SimSun"/>
          <w:color w:val="000000"/>
          <w:sz w:val="28"/>
        </w:rPr>
        <w:t xml:space="preserve">，从业人员</w:t>
      </w:r>
      <w:r>
        <w:rPr>
          <w:rFonts w:ascii="SimSun" w:hAnsi="SimSun" w:eastAsia="SimSun" w:cs="SimSun"/>
          <w:color w:val="000000"/>
          <w:sz w:val="28"/>
          <w:u w:val="single"/>
        </w:rPr>
        <w:t xml:space="preserve"> </w:t>
        <w:tab/>
      </w:r>
      <w:r>
        <w:rPr>
          <w:rFonts w:ascii="SimSun" w:hAnsi="SimSun" w:eastAsia="SimSun" w:cs="SimSun"/>
          <w:color w:val="000000"/>
          <w:sz w:val="28"/>
        </w:rPr>
        <w:t xml:space="preserve">人，营业收入为</w:t>
      </w:r>
      <w:r>
        <w:rPr>
          <w:rFonts w:ascii="SimSun" w:hAnsi="SimSun" w:eastAsia="SimSun" w:cs="SimSun"/>
          <w:color w:val="000000"/>
          <w:sz w:val="28"/>
          <w:u w:val="single"/>
        </w:rPr>
        <w:t xml:space="preserve"> </w:t>
        <w:tab/>
      </w:r>
      <w:r>
        <w:rPr>
          <w:rFonts w:ascii="SimSun" w:hAnsi="SimSun" w:eastAsia="SimSun" w:cs="SimSun"/>
          <w:color w:val="000000"/>
          <w:sz w:val="28"/>
        </w:rPr>
        <w:t xml:space="preserve">万元，资产总额为</w:t>
      </w:r>
      <w:r>
        <w:rPr>
          <w:rFonts w:ascii="SimSun" w:hAnsi="SimSun" w:eastAsia="SimSun" w:cs="SimSun"/>
          <w:color w:val="000000"/>
          <w:sz w:val="28"/>
          <w:u w:val="single"/>
        </w:rPr>
        <w:t xml:space="preserve"> </w:t>
        <w:tab/>
      </w:r>
      <w:r>
        <w:rPr>
          <w:rFonts w:ascii="SimSun" w:hAnsi="SimSun" w:eastAsia="SimSun" w:cs="SimSun"/>
          <w:color w:val="000000"/>
          <w:sz w:val="28"/>
        </w:rPr>
        <w:t xml:space="preserve">万元，属于</w:t>
      </w:r>
      <w:r>
        <w:rPr>
          <w:rFonts w:ascii="SimSun" w:hAnsi="SimSun" w:eastAsia="SimSun" w:cs="SimSun"/>
          <w:color w:val="000000"/>
          <w:sz w:val="28"/>
          <w:u w:val="single"/>
        </w:rPr>
        <w:t xml:space="preserve">（中型企业、小型企业、微型企业）</w:t>
      </w:r>
      <w:r>
        <w:rPr>
          <w:rFonts w:ascii="SimSun" w:hAnsi="SimSun" w:eastAsia="SimSun" w:cs="SimSun"/>
          <w:color w:val="000000"/>
          <w:sz w:val="28"/>
        </w:rPr>
        <w:t xml:space="preserve">；</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w:t>
      </w:r>
      <w:r>
        <w:rPr>
          <w:rFonts w:ascii="SimSun" w:hAnsi="SimSun" w:eastAsia="SimSun" w:cs="SimSun"/>
          <w:color w:val="000000"/>
          <w:sz w:val="28"/>
          <w:u w:val="single"/>
        </w:rPr>
        <w:t xml:space="preserve">（标的名称）</w:t>
      </w:r>
      <w:r>
        <w:rPr>
          <w:rFonts w:ascii="SimSun" w:hAnsi="SimSun" w:eastAsia="SimSun" w:cs="SimSun"/>
          <w:color w:val="000000"/>
          <w:sz w:val="28"/>
        </w:rPr>
        <w:t xml:space="preserve">，属于（</w:t>
      </w:r>
      <w:r>
        <w:rPr>
          <w:rFonts w:ascii="SimSun" w:hAnsi="SimSun" w:eastAsia="SimSun" w:cs="SimSun"/>
          <w:color w:val="000000"/>
          <w:sz w:val="28"/>
          <w:u w:val="single"/>
        </w:rPr>
        <w:t xml:space="preserve">采购文件中明确的所属行业）</w:t>
      </w:r>
      <w:r>
        <w:rPr>
          <w:rFonts w:ascii="SimSun" w:hAnsi="SimSun" w:eastAsia="SimSun" w:cs="SimSun"/>
          <w:color w:val="000000"/>
          <w:sz w:val="28"/>
        </w:rPr>
        <w:t xml:space="preserve">；承建（承接）企业为</w:t>
      </w:r>
      <w:r>
        <w:rPr>
          <w:rFonts w:ascii="SimSun" w:hAnsi="SimSun" w:eastAsia="SimSun" w:cs="SimSun"/>
          <w:color w:val="000000"/>
          <w:sz w:val="28"/>
          <w:u w:val="single"/>
        </w:rPr>
        <w:t xml:space="preserve">（企业名称）</w:t>
      </w:r>
      <w:r>
        <w:rPr>
          <w:rFonts w:ascii="SimSun" w:hAnsi="SimSun" w:eastAsia="SimSun" w:cs="SimSun"/>
          <w:color w:val="000000"/>
          <w:sz w:val="28"/>
        </w:rPr>
        <w:t xml:space="preserve">，从业人员</w:t>
      </w:r>
      <w:r>
        <w:rPr>
          <w:rFonts w:ascii="SimSun" w:hAnsi="SimSun" w:eastAsia="SimSun" w:cs="SimSun"/>
          <w:color w:val="000000"/>
          <w:sz w:val="28"/>
          <w:u w:val="single"/>
        </w:rPr>
        <w:t xml:space="preserve"> </w:t>
        <w:tab/>
      </w:r>
      <w:r>
        <w:rPr>
          <w:rFonts w:ascii="SimSun" w:hAnsi="SimSun" w:eastAsia="SimSun" w:cs="SimSun"/>
          <w:color w:val="000000"/>
          <w:sz w:val="28"/>
        </w:rPr>
        <w:t xml:space="preserve">人，营业收入为</w:t>
      </w:r>
      <w:r>
        <w:rPr>
          <w:rFonts w:ascii="SimSun" w:hAnsi="SimSun" w:eastAsia="SimSun" w:cs="SimSun"/>
          <w:color w:val="000000"/>
          <w:sz w:val="28"/>
          <w:u w:val="single"/>
        </w:rPr>
        <w:t xml:space="preserve"> </w:t>
        <w:tab/>
      </w:r>
      <w:r>
        <w:rPr>
          <w:rFonts w:ascii="SimSun" w:hAnsi="SimSun" w:eastAsia="SimSun" w:cs="SimSun"/>
          <w:color w:val="000000"/>
          <w:sz w:val="28"/>
        </w:rPr>
        <w:t xml:space="preserve">万元，资产总额为</w:t>
      </w:r>
      <w:r>
        <w:rPr>
          <w:rFonts w:ascii="SimSun" w:hAnsi="SimSun" w:eastAsia="SimSun" w:cs="SimSun"/>
          <w:color w:val="000000"/>
          <w:sz w:val="28"/>
          <w:u w:val="single"/>
        </w:rPr>
        <w:t xml:space="preserve"> </w:t>
        <w:tab/>
      </w:r>
      <w:r>
        <w:rPr>
          <w:rFonts w:ascii="SimSun" w:hAnsi="SimSun" w:eastAsia="SimSun" w:cs="SimSun"/>
          <w:color w:val="000000"/>
          <w:sz w:val="28"/>
        </w:rPr>
        <w:t xml:space="preserve">万元，属于</w:t>
      </w:r>
      <w:r>
        <w:rPr>
          <w:rFonts w:ascii="SimSun" w:hAnsi="SimSun" w:eastAsia="SimSun" w:cs="SimSun"/>
          <w:color w:val="000000"/>
          <w:sz w:val="28"/>
          <w:u w:val="single"/>
        </w:rPr>
        <w:t xml:space="preserve">（中型企业、小型企业、微型企业）</w:t>
      </w:r>
      <w:r>
        <w:rPr>
          <w:rFonts w:ascii="SimSun" w:hAnsi="SimSun" w:eastAsia="SimSun" w:cs="SimSun"/>
          <w:color w:val="000000"/>
          <w:sz w:val="28"/>
        </w:rPr>
        <w:t xml:space="preserve">；</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以上企业，不属于大企业的分支机构，不存在控股股东为大企业的情形，也不存在与大企业的负责人为同一人的情形。</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本企业对上述声明内容的真实性负责。如有虚假，将依法承担相应责任。</w:t>
      </w:r>
      <w:r/>
    </w:p>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注：1.本项目属性为“工程”，请按本表填写。</w:t>
      </w:r>
      <w:r/>
    </w:p>
    <w:p>
      <w:pPr>
        <w:ind w:left="0" w:right="0" w:firstLine="42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2.从业人员、营业收入、资产总额填报上一年度数据，无上一年度数据的新成立企业可不填报。</w:t>
      </w:r>
      <w:r/>
    </w:p>
    <w:p>
      <w:pPr>
        <w:ind w:left="0" w:right="0" w:firstLine="42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中标供应商的《中小企业声明函》将随中标公告进行公示。供应商按照本办法规定提供声明函内容不实的，属于提供虚假材料谋取中标、成交，依照《中华人民共和国政府采购法》等国家有关规定追究相应责任。</w:t>
      </w:r>
      <w:r/>
    </w:p>
    <w:p>
      <w:pPr>
        <w:ind w:left="0" w:right="0" w:firstLine="490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企业名称（盖章）：</w:t>
      </w:r>
      <w:r/>
    </w:p>
    <w:p>
      <w:pPr>
        <w:ind w:left="0" w:right="0" w:firstLine="490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日期：</w:t>
      </w:r>
      <w:r/>
    </w:p>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highlight w:val="none"/>
        </w:rPr>
      </w:r>
      <w:r>
        <w:rPr>
          <w:rFonts w:ascii="SimSun" w:hAnsi="SimSun" w:eastAsia="SimSun" w:cs="SimSun"/>
          <w:color w:val="000000"/>
          <w:sz w:val="32"/>
          <w:highlight w:val="none"/>
        </w:rPr>
      </w:r>
      <w:r/>
    </w:p>
    <w:p>
      <w:pPr>
        <w:ind w:left="0" w:right="0" w:firstLine="0"/>
        <w:jc w:val="both"/>
        <w:spacing w:before="0" w:after="0" w:line="71" w:lineRule="atLeast"/>
        <w:rPr>
          <w:rFonts w:ascii="SimSun" w:hAnsi="SimSun" w:eastAsia="SimSun" w:cs="SimSun"/>
          <w:color w:val="000000"/>
          <w:sz w:val="32"/>
          <w:szCs w:val="32"/>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highlight w:val="none"/>
        </w:rPr>
      </w:r>
      <w:r>
        <w:rPr>
          <w:rFonts w:ascii="SimSun" w:hAnsi="SimSun" w:eastAsia="SimSun" w:cs="SimSun"/>
          <w:color w:val="000000"/>
          <w:sz w:val="32"/>
          <w:highlight w:val="none"/>
        </w:rPr>
      </w:r>
      <w:r/>
    </w:p>
    <w:p>
      <w:pPr>
        <w:ind w:left="0" w:right="0" w:firstLine="0"/>
        <w:jc w:val="both"/>
        <w:spacing w:before="0" w:after="0" w:line="71" w:lineRule="atLeast"/>
        <w:rPr>
          <w:rFonts w:ascii="SimSun" w:hAnsi="SimSun" w:eastAsia="SimSun" w:cs="SimSun"/>
          <w:color w:val="000000"/>
          <w:sz w:val="32"/>
          <w:szCs w:val="32"/>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highlight w:val="none"/>
        </w:rPr>
      </w:r>
      <w:r>
        <w:rPr>
          <w:rFonts w:ascii="SimSun" w:hAnsi="SimSun" w:eastAsia="SimSun" w:cs="SimSun"/>
          <w:color w:val="000000"/>
          <w:sz w:val="32"/>
          <w:highlight w:val="none"/>
        </w:rPr>
      </w:r>
      <w:r/>
    </w:p>
    <w:p>
      <w:pPr>
        <w:ind w:left="0" w:right="0" w:firstLine="0"/>
        <w:jc w:val="both"/>
        <w:spacing w:before="0" w:after="0" w:line="71" w:lineRule="atLeast"/>
        <w:rPr>
          <w:rFonts w:ascii="SimSun" w:hAnsi="SimSun" w:eastAsia="SimSun" w:cs="SimSun"/>
          <w:color w:val="000000"/>
          <w:sz w:val="32"/>
          <w:szCs w:val="32"/>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highlight w:val="none"/>
        </w:rPr>
      </w:r>
      <w:r>
        <w:rPr>
          <w:rFonts w:ascii="SimSun" w:hAnsi="SimSun" w:eastAsia="SimSun" w:cs="SimSun"/>
          <w:color w:val="000000"/>
          <w:sz w:val="32"/>
          <w:highlight w:val="none"/>
        </w:rPr>
      </w:r>
      <w:r/>
    </w:p>
    <w:p>
      <w:pPr>
        <w:ind w:left="0" w:right="0" w:firstLine="0"/>
        <w:jc w:val="both"/>
        <w:spacing w:before="0" w:after="0" w:line="71" w:lineRule="atLeast"/>
        <w:rPr>
          <w:rFonts w:ascii="SimSun" w:hAnsi="SimSun" w:eastAsia="SimSun" w:cs="SimSun"/>
          <w:color w:val="000000"/>
          <w:sz w:val="32"/>
          <w:szCs w:val="32"/>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highlight w:val="none"/>
        </w:rPr>
      </w:r>
      <w:r>
        <w:rPr>
          <w:rFonts w:ascii="SimSun" w:hAnsi="SimSun" w:eastAsia="SimSun" w:cs="SimSun"/>
          <w:color w:val="000000"/>
          <w:sz w:val="32"/>
          <w:highlight w:val="none"/>
        </w:rPr>
      </w:r>
      <w:r/>
    </w:p>
    <w:p>
      <w:pPr>
        <w:ind w:left="0" w:right="0" w:firstLine="0"/>
        <w:jc w:val="both"/>
        <w:spacing w:before="0" w:after="0" w:line="71" w:lineRule="atLeast"/>
        <w:rPr>
          <w:rFonts w:ascii="SimSun" w:hAnsi="SimSun" w:eastAsia="SimSun" w:cs="SimSun"/>
          <w:color w:val="000000"/>
          <w:sz w:val="32"/>
          <w:szCs w:val="32"/>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highlight w:val="none"/>
        </w:rPr>
      </w:r>
      <w:r>
        <w:rPr>
          <w:rFonts w:ascii="SimSun" w:hAnsi="SimSun" w:eastAsia="SimSun" w:cs="SimSun"/>
          <w:color w:val="000000"/>
          <w:sz w:val="32"/>
          <w:highlight w:val="none"/>
        </w:rPr>
      </w:r>
      <w:r/>
    </w:p>
    <w:p>
      <w:pPr>
        <w:ind w:left="0" w:right="0" w:firstLine="0"/>
        <w:jc w:val="both"/>
        <w:spacing w:before="0" w:after="0" w:line="71" w:lineRule="atLeast"/>
        <w:rPr>
          <w:rFonts w:ascii="SimSun" w:hAnsi="SimSun" w:eastAsia="SimSun" w:cs="SimSun"/>
          <w:color w:val="000000"/>
          <w:sz w:val="32"/>
          <w:szCs w:val="32"/>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highlight w:val="none"/>
        </w:rPr>
      </w:r>
      <w:r>
        <w:rPr>
          <w:rFonts w:ascii="SimSun" w:hAnsi="SimSun" w:eastAsia="SimSun" w:cs="SimSun"/>
          <w:color w:val="000000"/>
          <w:sz w:val="32"/>
          <w:highlight w:val="none"/>
        </w:rPr>
      </w:r>
      <w:r/>
    </w:p>
    <w:p>
      <w:pPr>
        <w:ind w:left="0" w:right="0" w:firstLine="0"/>
        <w:jc w:val="both"/>
        <w:spacing w:before="0" w:after="0" w:line="71" w:lineRule="atLeast"/>
        <w:rPr>
          <w:rFonts w:ascii="SimSun" w:hAnsi="SimSun" w:eastAsia="SimSun" w:cs="SimSun"/>
          <w:color w:val="000000"/>
          <w:sz w:val="32"/>
          <w:szCs w:val="32"/>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highlight w:val="none"/>
        </w:rPr>
      </w:r>
      <w:r>
        <w:rPr>
          <w:rFonts w:ascii="SimSun" w:hAnsi="SimSun" w:eastAsia="SimSun" w:cs="SimSun"/>
          <w:color w:val="000000"/>
          <w:sz w:val="32"/>
          <w:highlight w:val="none"/>
        </w:rPr>
      </w:r>
      <w:r/>
    </w:p>
    <w:p>
      <w:pPr>
        <w:ind w:left="0" w:right="0" w:firstLine="0"/>
        <w:jc w:val="both"/>
        <w:spacing w:before="0" w:after="0" w:line="71" w:lineRule="atLeast"/>
        <w:rPr>
          <w:rFonts w:ascii="SimSun" w:hAnsi="SimSun" w:eastAsia="SimSun" w:cs="SimSun"/>
          <w:color w:val="000000"/>
          <w:sz w:val="32"/>
          <w:szCs w:val="32"/>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highlight w:val="none"/>
        </w:rPr>
      </w:r>
      <w:r>
        <w:rPr>
          <w:rFonts w:ascii="SimSun" w:hAnsi="SimSun" w:eastAsia="SimSun" w:cs="SimSun"/>
          <w:color w:val="000000"/>
          <w:sz w:val="32"/>
          <w:highlight w:val="none"/>
        </w:rPr>
      </w:r>
      <w:r/>
    </w:p>
    <w:p>
      <w:pPr>
        <w:ind w:left="0" w:right="0" w:firstLine="0"/>
        <w:jc w:val="both"/>
        <w:spacing w:before="0" w:after="0" w:line="71" w:lineRule="atLeast"/>
        <w:rPr>
          <w:rFonts w:ascii="SimSun" w:hAnsi="SimSun" w:eastAsia="SimSun" w:cs="SimSun"/>
          <w:color w:val="000000"/>
          <w:sz w:val="32"/>
          <w:szCs w:val="32"/>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附件10</w:t>
      </w:r>
      <w:r/>
    </w:p>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残疾人福利性单位声明函</w:t>
      </w:r>
      <w:r/>
    </w:p>
    <w:p>
      <w:pPr>
        <w:ind w:left="0" w:right="0" w:firstLine="560"/>
        <w:jc w:val="both"/>
        <w:spacing w:before="0" w:after="0" w:line="58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本单位郑重声明，根据《财政部 民政部 中国残疾人联合会关于促进残疾人就业政府采购政策的通知》（财库〔2017〕141号）的规定，本单位为符合条件的残疾人福利性单位，且本单位参加______单位的项目编号为______的</w:t>
      </w:r>
      <w:r>
        <w:rPr>
          <w:rFonts w:ascii="SimSun" w:hAnsi="SimSun" w:eastAsia="SimSun" w:cs="SimSun"/>
          <w:color w:val="000000"/>
          <w:sz w:val="28"/>
          <w:u w:val="single"/>
        </w:rPr>
        <w:t xml:space="preserve">       </w:t>
      </w:r>
      <w:r>
        <w:rPr>
          <w:rFonts w:ascii="SimSun" w:hAnsi="SimSun" w:eastAsia="SimSun" w:cs="SimSun"/>
          <w:color w:val="000000"/>
          <w:sz w:val="28"/>
        </w:rPr>
        <w:t xml:space="preserve">项目采购活动提供本单位制造的货物（由本单位承担工程/提供服务），或者提供其他残疾人福利性单位制造的货物（不包括使用非残疾人福利性单位注册商标的货物）。</w:t>
      </w:r>
      <w:r/>
    </w:p>
    <w:p>
      <w:pPr>
        <w:ind w:left="0" w:right="0" w:firstLine="560"/>
        <w:jc w:val="both"/>
        <w:spacing w:before="0" w:after="0" w:line="58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本单位对上述声明的真实性负责。如有虚假，将依法承担相应责任。</w:t>
      </w:r>
      <w:r/>
    </w:p>
    <w:p>
      <w:pPr>
        <w:ind w:left="0" w:right="0" w:firstLine="560"/>
        <w:jc w:val="both"/>
        <w:spacing w:before="0" w:after="0" w:line="58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560"/>
        <w:jc w:val="both"/>
        <w:spacing w:before="0" w:after="0" w:line="58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560"/>
        <w:jc w:val="both"/>
        <w:spacing w:before="0" w:after="0" w:line="58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560"/>
        <w:jc w:val="both"/>
        <w:spacing w:before="0" w:after="0" w:line="58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注：1、供应商如不提供此声明函，价格将不做相应扣除。</w:t>
      </w:r>
      <w:r/>
    </w:p>
    <w:p>
      <w:pPr>
        <w:ind w:left="0" w:right="0" w:firstLine="560"/>
        <w:jc w:val="both"/>
        <w:spacing w:before="0" w:after="0" w:line="58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成交供应商为残疾人福利单位的，此声明函将随中标结果同时公告，接受社会监督。供应商按照本办法规定提供声明函内容不实的，属于提供虚假材料谋取中标、成交，依照《中华人民共和国政府采购法》等国家有关规定追究相应责任。</w:t>
      </w:r>
      <w:r/>
    </w:p>
    <w:p>
      <w:pPr>
        <w:ind w:left="0" w:right="0" w:firstLine="584"/>
        <w:jc w:val="both"/>
        <w:spacing w:before="0" w:after="0" w:line="58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8"/>
        </w:rPr>
        <w:t xml:space="preserve"> </w:t>
      </w:r>
      <w:r/>
    </w:p>
    <w:p>
      <w:pPr>
        <w:ind w:left="0" w:right="1560" w:firstLine="584"/>
        <w:jc w:val="center"/>
        <w:spacing w:before="0" w:after="0" w:line="587" w:lineRule="atLeast"/>
        <w:tabs>
          <w:tab w:val="left" w:pos="48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8"/>
        </w:rPr>
        <w:t xml:space="preserve">             </w:t>
      </w:r>
      <w:r>
        <w:rPr>
          <w:rFonts w:ascii="SimSun" w:hAnsi="SimSun" w:eastAsia="SimSun" w:cs="SimSun"/>
          <w:color w:val="000000"/>
          <w:sz w:val="28"/>
        </w:rPr>
        <w:t xml:space="preserve">           供应商全称（盖章）：</w:t>
      </w:r>
      <w:r/>
    </w:p>
    <w:p>
      <w:pPr>
        <w:ind w:left="0" w:right="1560" w:firstLine="560"/>
        <w:jc w:val="center"/>
        <w:spacing w:before="0" w:after="0" w:line="587" w:lineRule="atLeast"/>
        <w:tabs>
          <w:tab w:val="left" w:pos="48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日期：</w:t>
      </w:r>
      <w:r/>
    </w:p>
    <w:p>
      <w:pPr>
        <w:ind w:left="0" w:right="0" w:firstLine="24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24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24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附件11</w:t>
      </w:r>
      <w:r/>
    </w:p>
    <w:p>
      <w:pPr>
        <w:ind w:left="0" w:right="0" w:firstLine="0"/>
        <w:jc w:val="center"/>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监狱和戒毒企业证明材料</w:t>
      </w:r>
      <w:r/>
    </w:p>
    <w:p>
      <w:pPr>
        <w:ind w:left="0" w:right="0" w:firstLine="495"/>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498"/>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（格式自拟）</w:t>
      </w:r>
      <w:r/>
    </w:p>
    <w:p>
      <w:pPr>
        <w:ind w:left="0" w:right="0" w:firstLine="495"/>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66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根据《财政部司法部关于政府采购支持监狱企业发展有关问题的通知》（财库〔2014〕68号），监狱企业参加政府采购活动时，应当提供由省级以上监狱管理局、戒毒管理局（含新疆生产建设兵团）出具的，供应商属于监狱企业的证明文件。</w:t>
      </w:r>
      <w:r/>
    </w:p>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注：1、供应商如不提供此声明函，价格将不做相应扣除。</w:t>
      </w:r>
      <w:r/>
    </w:p>
    <w:p>
      <w:pPr>
        <w:ind w:left="0" w:right="0" w:firstLine="56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2、成交供应商为监狱企业的，此声明函将随成交结果同时公告，</w:t>
      </w:r>
      <w:r/>
    </w:p>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接受社会监督。供应商按照本办法规定提供声明函内容不实的，属于</w:t>
      </w:r>
      <w:r/>
    </w:p>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提供虚假材料谋取中标、成交，依照《中华人民共和国政府采购法》</w:t>
      </w:r>
      <w:r/>
    </w:p>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等国家有关规定追究相应责任。</w:t>
      </w:r>
      <w:r/>
    </w:p>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36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 </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highlight w:val="none"/>
        </w:rPr>
      </w:r>
      <w:r>
        <w:rPr>
          <w:rFonts w:ascii="SimSun" w:hAnsi="SimSun" w:eastAsia="SimSun" w:cs="SimSun"/>
          <w:color w:val="000000"/>
          <w:sz w:val="32"/>
          <w:highlight w:val="none"/>
        </w:rPr>
      </w:r>
      <w:r/>
    </w:p>
    <w:p>
      <w:pPr>
        <w:ind w:left="0" w:right="0" w:firstLine="0"/>
        <w:jc w:val="both"/>
        <w:spacing w:before="0" w:after="0" w:line="519" w:lineRule="atLeast"/>
        <w:rPr>
          <w:rFonts w:ascii="SimSun" w:hAnsi="SimSun" w:eastAsia="SimSun" w:cs="SimSun"/>
          <w:color w:val="000000"/>
          <w:sz w:val="32"/>
          <w:szCs w:val="32"/>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highlight w:val="none"/>
        </w:rPr>
      </w:r>
      <w:r>
        <w:rPr>
          <w:rFonts w:ascii="SimSun" w:hAnsi="SimSun" w:eastAsia="SimSun" w:cs="SimSun"/>
          <w:color w:val="000000"/>
          <w:sz w:val="32"/>
          <w:highlight w:val="none"/>
        </w:rPr>
      </w:r>
      <w:r/>
    </w:p>
    <w:p>
      <w:pPr>
        <w:ind w:left="0" w:right="0" w:firstLine="0"/>
        <w:jc w:val="both"/>
        <w:spacing w:before="0" w:after="0" w:line="519" w:lineRule="atLeast"/>
        <w:rPr>
          <w:rFonts w:ascii="SimSun" w:hAnsi="SimSun" w:eastAsia="SimSun" w:cs="SimSun"/>
          <w:color w:val="000000"/>
          <w:sz w:val="32"/>
          <w:szCs w:val="32"/>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附件12</w:t>
      </w:r>
      <w:r/>
    </w:p>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质疑函范本</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一、质疑供应商基本信息</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质疑供应商：</w:t>
      </w:r>
      <w:r>
        <w:rPr>
          <w:rFonts w:ascii="SimSun" w:hAnsi="SimSun" w:eastAsia="SimSun" w:cs="SimSun"/>
          <w:color w:val="000000"/>
          <w:sz w:val="24"/>
          <w:u w:val="single"/>
        </w:rPr>
        <w:t xml:space="preserve">                                                              </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r>
      <w:r>
        <w:rPr>
          <w:rFonts w:ascii="SimSun" w:hAnsi="SimSun" w:eastAsia="SimSun" w:cs="SimSun"/>
          <w:color w:val="000000"/>
          <w:sz w:val="24"/>
          <w:u w:val="single"/>
        </w:rPr>
        <w:t xml:space="preserve">                             </w:t>
      </w:r>
      <w:r>
        <w:rPr>
          <w:rFonts w:ascii="SimSun" w:hAnsi="SimSun" w:eastAsia="SimSun" w:cs="SimSun"/>
          <w:color w:val="000000"/>
          <w:sz w:val="24"/>
        </w:rPr>
        <w:t xml:space="preserve">邮编：</w:t>
      </w:r>
      <w:r>
        <w:rPr>
          <w:rFonts w:ascii="SimSun" w:hAnsi="SimSun" w:eastAsia="SimSun" w:cs="SimSun"/>
          <w:color w:val="000000"/>
          <w:sz w:val="24"/>
          <w:u w:val="single"/>
        </w:rPr>
        <w:t xml:space="preserve">                                    </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w:t>
      </w:r>
      <w:r>
        <w:rPr>
          <w:rFonts w:ascii="SimSun" w:hAnsi="SimSun" w:eastAsia="SimSun" w:cs="SimSun"/>
          <w:color w:val="000000"/>
          <w:sz w:val="24"/>
          <w:u w:val="single"/>
        </w:rPr>
        <w:t xml:space="preserve">                      </w:t>
      </w:r>
      <w:r>
        <w:rPr>
          <w:rFonts w:ascii="SimSun" w:hAnsi="SimSun" w:eastAsia="SimSun" w:cs="SimSun"/>
          <w:color w:val="000000"/>
          <w:sz w:val="24"/>
        </w:rPr>
        <w:t xml:space="preserve">联系电话：</w:t>
      </w:r>
      <w:r>
        <w:rPr>
          <w:rFonts w:ascii="SimSun" w:hAnsi="SimSun" w:eastAsia="SimSun" w:cs="SimSun"/>
          <w:color w:val="000000"/>
          <w:sz w:val="24"/>
          <w:u w:val="single"/>
        </w:rPr>
        <w:t xml:space="preserve">                                       </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授权代表：</w:t>
      </w:r>
      <w:r>
        <w:rPr>
          <w:rFonts w:ascii="SimSun" w:hAnsi="SimSun" w:eastAsia="SimSun" w:cs="SimSun"/>
          <w:color w:val="000000"/>
          <w:sz w:val="24"/>
          <w:u w:val="single"/>
        </w:rPr>
        <w:t xml:space="preserve">                                                                 </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w:t>
      </w:r>
      <w:r>
        <w:rPr>
          <w:rFonts w:ascii="SimSun" w:hAnsi="SimSun" w:eastAsia="SimSun" w:cs="SimSun"/>
          <w:color w:val="000000"/>
          <w:sz w:val="24"/>
          <w:u w:val="single"/>
        </w:rPr>
        <w:t xml:space="preserve">                                                                </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 </w:t>
      </w:r>
      <w:r>
        <w:rPr>
          <w:rFonts w:ascii="SimSun" w:hAnsi="SimSun" w:eastAsia="SimSun" w:cs="SimSun"/>
          <w:color w:val="000000"/>
          <w:sz w:val="24"/>
          <w:u w:val="single"/>
        </w:rPr>
        <w:t xml:space="preserve">                        </w:t>
      </w:r>
      <w:r>
        <w:rPr>
          <w:rFonts w:ascii="SimSun" w:hAnsi="SimSun" w:eastAsia="SimSun" w:cs="SimSun"/>
          <w:color w:val="000000"/>
          <w:sz w:val="24"/>
        </w:rPr>
        <w:t xml:space="preserve">邮编：</w:t>
      </w:r>
      <w:r>
        <w:rPr>
          <w:rFonts w:ascii="SimSun" w:hAnsi="SimSun" w:eastAsia="SimSun" w:cs="SimSun"/>
          <w:color w:val="000000"/>
          <w:sz w:val="24"/>
          <w:u w:val="single"/>
        </w:rPr>
        <w:t xml:space="preserve">                                     </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二、质疑项目基本情况</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质疑项目的名称：</w:t>
      </w:r>
      <w:r>
        <w:rPr>
          <w:rFonts w:ascii="SimSun" w:hAnsi="SimSun" w:eastAsia="SimSun" w:cs="SimSun"/>
          <w:color w:val="000000"/>
          <w:sz w:val="24"/>
          <w:u w:val="single"/>
        </w:rPr>
        <w:t xml:space="preserve">                                                          </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质疑项目的编号：</w:t>
      </w:r>
      <w:r>
        <w:rPr>
          <w:rFonts w:ascii="SimSun" w:hAnsi="SimSun" w:eastAsia="SimSun" w:cs="SimSun"/>
          <w:color w:val="000000"/>
          <w:sz w:val="24"/>
          <w:u w:val="single"/>
        </w:rPr>
        <w:t xml:space="preserve">                         </w:t>
      </w:r>
      <w:r>
        <w:rPr>
          <w:rFonts w:ascii="SimSun" w:hAnsi="SimSun" w:eastAsia="SimSun" w:cs="SimSun"/>
          <w:color w:val="000000"/>
          <w:sz w:val="24"/>
        </w:rPr>
        <w:t xml:space="preserve">包号：</w:t>
      </w:r>
      <w:r>
        <w:rPr>
          <w:rFonts w:ascii="SimSun" w:hAnsi="SimSun" w:eastAsia="SimSun" w:cs="SimSun"/>
          <w:color w:val="000000"/>
          <w:sz w:val="24"/>
          <w:u w:val="single"/>
        </w:rPr>
        <w:t xml:space="preserve">                           </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采购人名称：</w:t>
      </w:r>
      <w:r>
        <w:rPr>
          <w:rFonts w:ascii="SimSun" w:hAnsi="SimSun" w:eastAsia="SimSun" w:cs="SimSun"/>
          <w:color w:val="000000"/>
          <w:sz w:val="24"/>
          <w:u w:val="single"/>
        </w:rPr>
        <w:t xml:space="preserve">                                                              </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采购文件获取日期：</w:t>
      </w:r>
      <w:r>
        <w:rPr>
          <w:rFonts w:ascii="SimSun" w:hAnsi="SimSun" w:eastAsia="SimSun" w:cs="SimSun"/>
          <w:color w:val="000000"/>
          <w:sz w:val="24"/>
          <w:u w:val="single"/>
        </w:rPr>
        <w:t xml:space="preserve">                                                        </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三、质疑事项具体内容</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质疑事项1：</w:t>
      </w:r>
      <w:r>
        <w:rPr>
          <w:rFonts w:ascii="SimSun" w:hAnsi="SimSun" w:eastAsia="SimSun" w:cs="SimSun"/>
          <w:color w:val="000000"/>
          <w:sz w:val="24"/>
          <w:u w:val="single"/>
        </w:rPr>
        <w:t xml:space="preserve">                                                              </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事实依据：</w:t>
      </w:r>
      <w:r>
        <w:rPr>
          <w:rFonts w:ascii="SimSun" w:hAnsi="SimSun" w:eastAsia="SimSun" w:cs="SimSun"/>
          <w:color w:val="000000"/>
          <w:sz w:val="24"/>
          <w:u w:val="single"/>
        </w:rPr>
        <w:t xml:space="preserve">                                                                </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法律依据：</w:t>
      </w:r>
      <w:r>
        <w:rPr>
          <w:rFonts w:ascii="SimSun" w:hAnsi="SimSun" w:eastAsia="SimSun" w:cs="SimSun"/>
          <w:color w:val="000000"/>
          <w:sz w:val="24"/>
          <w:u w:val="single"/>
        </w:rPr>
        <w:t xml:space="preserve">                                                                 </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质疑事项2</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四、与质疑事项相关的质疑请求</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请求：</w:t>
      </w:r>
      <w:r>
        <w:rPr>
          <w:rFonts w:ascii="SimSun" w:hAnsi="SimSun" w:eastAsia="SimSun" w:cs="SimSun"/>
          <w:color w:val="000000"/>
          <w:sz w:val="24"/>
          <w:u w:val="single"/>
        </w:rPr>
        <w:t xml:space="preserve">                                                                     </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签字(签章)：                   公章：                      </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质疑函制作说明：</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1.供应商提出质疑时，应提交质疑函和必要的证明材料。</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3.质疑供应商若对项目的某一分包进行质疑，质疑函中应列明具体分包号。</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4.质疑函的质疑事项应具体、明确，并有必要的事实依据和法律依据。</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5.质疑函的质疑请求应与质疑事项相关。</w:t>
      </w:r>
      <w:r/>
    </w:p>
    <w:p>
      <w:pPr>
        <w:ind w:left="0" w:right="0" w:firstLine="48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6.质疑供应商为自然人的，质疑函应由本人签字；质疑供应商为法人或者其他组织的，质疑函应由法定代表人、主要负责人，或者其授权代表签字或者盖章，并加盖公章。</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附件13</w:t>
      </w:r>
      <w:r/>
    </w:p>
    <w:p>
      <w:pPr>
        <w:ind w:left="0" w:right="0" w:firstLine="0"/>
        <w:jc w:val="center"/>
        <w:spacing w:before="0" w:after="0" w:line="5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办理政采贷和履约保函（保险）告知函</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各政府采购供应商：</w:t>
      </w:r>
      <w:r/>
    </w:p>
    <w:p>
      <w:pPr>
        <w:ind w:left="0" w:right="0" w:firstLine="64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欢迎贵公司参与南通市政府采购活动！</w:t>
      </w:r>
      <w:r/>
    </w:p>
    <w:p>
      <w:pPr>
        <w:ind w:left="0" w:right="0" w:firstLine="64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政府采购线上合同信用融资和履约保函（保险）是支持企业发展，针对参与政府采购活动的企业融资难、现金流不足等问题推出的一项服务举措。</w:t>
      </w:r>
      <w:r/>
    </w:p>
    <w:p>
      <w:pPr>
        <w:ind w:left="0" w:right="0" w:firstLine="640"/>
        <w:jc w:val="both"/>
        <w:spacing w:before="0" w:after="0" w:line="5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贵公司若成为本次政府采购项目的中标（成交）供应商，可自愿选择履约保函（保险）形式替代履约保证金，也可持政府采购合同在线向金融机构申请无抵押无担保贷款。第三方机构将根据《转发关于在全省政府采购领域推行电子履约保函（保险）的通知》（通财购〔2023〕57号）和《关于深入开展南通市政府采购线上合同信用融资业务的通知》（通财购〔2022〕68号），按照双方自愿的原则提供便捷、优惠的服务。</w:t>
      </w:r>
      <w:r/>
    </w:p>
    <w:p>
      <w:pPr>
        <w:ind w:left="0" w:right="0" w:firstLine="56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r/>
      <w:r/>
    </w:p>
    <w:sectPr>
      <w:footerReference w:type="default" r:id="rId9"/>
      <w:footerReference w:type="first" r:id="rId10"/>
      <w:footnotePr/>
      <w:endnotePr/>
      <w:type w:val="nextPage"/>
      <w:pgSz w:w="11906" w:h="16838" w:orient="portrait"/>
      <w:pgMar w:top="1418" w:right="1588" w:bottom="1418" w:left="1365" w:header="851" w:footer="907"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Sun">
    <w:panose1 w:val="02010600030101010101"/>
  </w:font>
  <w:font w:name="Symbol">
    <w:panose1 w:val="05050102010706020507"/>
  </w:font>
  <w:font w:name="Wingdings">
    <w:panose1 w:val="05000000000000000000"/>
  </w:font>
  <w:font w:name="等线">
    <w:panose1 w:val="02010600030101010101"/>
  </w:font>
  <w:font w:name="方正黑体_GBK">
    <w:panose1 w:val="020B0503020202020204"/>
  </w:font>
  <w:font w:name="Tahoma">
    <w:panose1 w:val="020B0604030504040204"/>
  </w:font>
  <w:font w:name="Calibri">
    <w:panose1 w:val="020F050202020403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3"/>
      <w:jc w:val="center"/>
      <w:tabs>
        <w:tab w:val="center" w:pos="4153" w:leader="none"/>
        <w:tab w:val="right" w:pos="8306" w:leader="none"/>
      </w:tabs>
      <w:rPr>
        <w:rFonts w:hint="eastAsia"/>
        <w:b/>
        <w:i/>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posOffset>2785110</wp:posOffset>
              </wp:positionH>
              <wp:positionV relativeFrom="paragraph">
                <wp:posOffset>0</wp:posOffset>
              </wp:positionV>
              <wp:extent cx="166370" cy="131445"/>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66370" cy="131445"/>
                      </a:xfrm>
                      <a:prstGeom prst="rect">
                        <a:avLst/>
                      </a:prstGeom>
                      <a:noFill/>
                      <a:ln>
                        <a:noFill/>
                      </a:ln>
                    </wps:spPr>
                    <wps:txbx>
                      <w:txbxContent>
                        <w:p>
                          <w:pPr>
                            <w:pStyle w:val="993"/>
                            <w:tabs>
                              <w:tab w:val="clear" w:pos="4153" w:leader="none"/>
                              <w:tab w:val="clear" w:pos="8306" w:leader="none"/>
                            </w:tabs>
                          </w:pPr>
                          <w:r>
                            <w:fldChar w:fldCharType="begin"/>
                          </w:r>
                          <w:r>
                            <w:instrText xml:space="preserve"> PAGE  \* MERGEFORMAT </w:instrText>
                          </w:r>
                          <w:r>
                            <w:fldChar w:fldCharType="separate"/>
                          </w:r>
                          <w:r>
                            <w:t xml:space="preserve">１</w:t>
                          </w:r>
                          <w:r>
                            <w:fldChar w:fldCharType="end"/>
                          </w:r>
                          <w:r/>
                        </w:p>
                        <w:p>
                          <w:pPr>
                            <w:pStyle w:val="946"/>
                          </w:pPr>
                          <w:r/>
                          <w:r/>
                        </w:p>
                      </w:txbxContent>
                    </wps:txbx>
                    <wps:bodyPr wrap="square" lIns="0" tIns="0" rIns="0" bIns="0" upright="1"/>
                  </wps:wsp>
                </a:graphicData>
              </a:graphic>
            </wp:anchor>
          </w:drawing>
        </mc:Choice>
        <mc:Fallback>
          <w:pict>
            <v:shape id="shape 0" o:spid="_x0000_s0" o:spt="202" type="#_x0000_t202" style="position:absolute;z-index:524288;o:allowoverlap:true;o:allowincell:true;mso-position-horizontal-relative:margin;margin-left:219.3pt;mso-position-horizontal:absolute;mso-position-vertical-relative:text;margin-top:0.0pt;mso-position-vertical:absolute;width:13.1pt;height:10.3pt;mso-wrap-distance-left:9.0pt;mso-wrap-distance-top:0.0pt;mso-wrap-distance-right:9.0pt;mso-wrap-distance-bottom:0.0pt;visibility:visible;" filled="f" stroked="f">
              <v:textbox inset="0,0,0,0">
                <w:txbxContent>
                  <w:p>
                    <w:pPr>
                      <w:pStyle w:val="993"/>
                      <w:tabs>
                        <w:tab w:val="clear" w:pos="4153" w:leader="none"/>
                        <w:tab w:val="clear" w:pos="8306" w:leader="none"/>
                      </w:tabs>
                    </w:pPr>
                    <w:r>
                      <w:fldChar w:fldCharType="begin"/>
                    </w:r>
                    <w:r>
                      <w:instrText xml:space="preserve"> PAGE  \* MERGEFORMAT </w:instrText>
                    </w:r>
                    <w:r>
                      <w:fldChar w:fldCharType="separate"/>
                    </w:r>
                    <w:r>
                      <w:t xml:space="preserve">１</w:t>
                    </w:r>
                    <w:r>
                      <w:fldChar w:fldCharType="end"/>
                    </w:r>
                    <w:r/>
                  </w:p>
                  <w:p>
                    <w:pPr>
                      <w:pStyle w:val="946"/>
                    </w:pPr>
                    <w:r/>
                    <w:r/>
                  </w:p>
                </w:txbxContent>
              </v:textbox>
            </v:shape>
          </w:pict>
        </mc:Fallback>
      </mc:AlternateConten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3"/>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93"/>
                            <w:tabs>
                              <w:tab w:val="clear" w:pos="4153" w:leader="none"/>
                              <w:tab w:val="clear" w:pos="8306" w:leader="none"/>
                            </w:tabs>
                          </w:pPr>
                          <w:r>
                            <w:fldChar w:fldCharType="begin"/>
                          </w:r>
                          <w:r>
                            <w:instrText xml:space="preserve"> PAGE  \* MERGEFORMAT </w:instrText>
                          </w:r>
                          <w:r>
                            <w:fldChar w:fldCharType="separate"/>
                          </w:r>
                          <w:r>
                            <w:t xml:space="preserve">0</w:t>
                          </w:r>
                          <w:r>
                            <w:fldChar w:fldCharType="end"/>
                          </w:r>
                          <w:r/>
                        </w:p>
                        <w:p>
                          <w:pPr>
                            <w:pStyle w:val="946"/>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93"/>
                      <w:tabs>
                        <w:tab w:val="clear" w:pos="4153" w:leader="none"/>
                        <w:tab w:val="clear" w:pos="8306" w:leader="none"/>
                      </w:tabs>
                    </w:pPr>
                    <w:r>
                      <w:fldChar w:fldCharType="begin"/>
                    </w:r>
                    <w:r>
                      <w:instrText xml:space="preserve"> PAGE  \* MERGEFORMAT </w:instrText>
                    </w:r>
                    <w:r>
                      <w:fldChar w:fldCharType="separate"/>
                    </w:r>
                    <w:r>
                      <w:t xml:space="preserve">0</w:t>
                    </w:r>
                    <w:r>
                      <w:fldChar w:fldCharType="end"/>
                    </w:r>
                    <w:r/>
                  </w:p>
                  <w:p>
                    <w:pPr>
                      <w:pStyle w:val="946"/>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nothing"/>
      <w:lvlText w:val="（%1）"/>
      <w:lvlJc w:val="left"/>
      <w:pPr>
        <w:pStyle w:val="946"/>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8"/>
      <w:numFmt w:val="decimal"/>
      <w:isLgl w:val="false"/>
      <w:suff w:val="nothing"/>
      <w:lvlText w:val="%1、"/>
      <w:lvlJc w:val="left"/>
      <w:pPr>
        <w:pStyle w:val="946"/>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pStyle w:val="946"/>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pStyle w:val="946"/>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pStyle w:val="946"/>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upperLetter"/>
      <w:pStyle w:val="1024"/>
      <w:isLgl w:val="false"/>
      <w:suff w:val="tab"/>
      <w:lvlText w:val="附录%1."/>
      <w:lvlJc w:val="left"/>
      <w:pPr>
        <w:pStyle w:val="946"/>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2"/>
      <w:numFmt w:val="chineseCounting"/>
      <w:isLgl w:val="false"/>
      <w:suff w:val="space"/>
      <w:lvlText w:val="第%1章"/>
      <w:lvlJc w:val="left"/>
      <w:pPr>
        <w:pStyle w:val="946"/>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pStyle w:val="1041"/>
      <w:isLgl w:val="false"/>
      <w:suff w:val="tab"/>
      <w:lvlText w:val="%1."/>
      <w:lvlJc w:val="left"/>
      <w:pPr>
        <w:pStyle w:val="946"/>
        <w:ind w:left="709" w:hanging="709"/>
        <w:tabs>
          <w:tab w:val="num" w:pos="709" w:leader="none"/>
        </w:tabs>
      </w:pPr>
      <w:rPr>
        <w:rFonts w:hint="eastAsia"/>
      </w:rPr>
    </w:lvl>
    <w:lvl w:ilvl="1">
      <w:start w:val="1"/>
      <w:numFmt w:val="decimal"/>
      <w:isLgl w:val="false"/>
      <w:suff w:val="tab"/>
      <w:lvlText w:val="%1.%2"/>
      <w:lvlJc w:val="left"/>
      <w:pPr>
        <w:pStyle w:val="946"/>
        <w:ind w:left="709" w:hanging="709"/>
        <w:tabs>
          <w:tab w:val="num" w:pos="709" w:leader="none"/>
        </w:tabs>
      </w:pPr>
      <w:rPr>
        <w:rFonts w:hint="eastAsia"/>
      </w:rPr>
    </w:lvl>
    <w:lvl w:ilvl="2">
      <w:start w:val="1"/>
      <w:numFmt w:val="decimal"/>
      <w:isLgl w:val="false"/>
      <w:suff w:val="tab"/>
      <w:lvlText w:val="%1.%2.%3."/>
      <w:lvlJc w:val="left"/>
      <w:pPr>
        <w:pStyle w:val="946"/>
        <w:ind w:left="425" w:hanging="425"/>
        <w:tabs>
          <w:tab w:val="num" w:pos="425" w:leader="none"/>
        </w:tabs>
      </w:pPr>
      <w:rPr>
        <w:rFonts w:hint="eastAsia"/>
      </w:rPr>
    </w:lvl>
    <w:lvl w:ilvl="3">
      <w:start w:val="1"/>
      <w:numFmt w:val="decimal"/>
      <w:isLgl w:val="false"/>
      <w:suff w:val="tab"/>
      <w:lvlText w:val="%1.%2.%3.%4."/>
      <w:lvlJc w:val="left"/>
      <w:pPr>
        <w:pStyle w:val="946"/>
        <w:ind w:left="851" w:hanging="851"/>
        <w:tabs>
          <w:tab w:val="num" w:pos="851" w:leader="none"/>
        </w:tabs>
      </w:pPr>
      <w:rPr>
        <w:rFonts w:hint="eastAsia"/>
      </w:rPr>
    </w:lvl>
    <w:lvl w:ilvl="4">
      <w:start w:val="1"/>
      <w:numFmt w:val="decimal"/>
      <w:isLgl w:val="false"/>
      <w:suff w:val="tab"/>
      <w:lvlText w:val="%1.%2.%3.%4.%5."/>
      <w:lvlJc w:val="left"/>
      <w:pPr>
        <w:pStyle w:val="946"/>
        <w:ind w:left="992" w:hanging="992"/>
        <w:tabs>
          <w:tab w:val="num" w:pos="992" w:leader="none"/>
        </w:tabs>
      </w:pPr>
      <w:rPr>
        <w:rFonts w:hint="eastAsia"/>
      </w:rPr>
    </w:lvl>
    <w:lvl w:ilvl="5">
      <w:start w:val="1"/>
      <w:numFmt w:val="decimal"/>
      <w:isLgl w:val="false"/>
      <w:suff w:val="tab"/>
      <w:lvlText w:val="%1.%2.%3.%4.%5.%6."/>
      <w:lvlJc w:val="left"/>
      <w:pPr>
        <w:pStyle w:val="946"/>
        <w:ind w:left="1134" w:hanging="1134"/>
        <w:tabs>
          <w:tab w:val="num" w:pos="1134" w:leader="none"/>
        </w:tabs>
      </w:pPr>
      <w:rPr>
        <w:rFonts w:hint="eastAsia"/>
      </w:rPr>
    </w:lvl>
    <w:lvl w:ilvl="6">
      <w:start w:val="1"/>
      <w:numFmt w:val="decimal"/>
      <w:isLgl w:val="false"/>
      <w:suff w:val="tab"/>
      <w:lvlText w:val="%1.%2.%3.%4.%5.%6.%7."/>
      <w:lvlJc w:val="left"/>
      <w:pPr>
        <w:pStyle w:val="946"/>
        <w:ind w:left="1276" w:hanging="1276"/>
        <w:tabs>
          <w:tab w:val="num" w:pos="1276" w:leader="none"/>
        </w:tabs>
      </w:pPr>
      <w:rPr>
        <w:rFonts w:hint="eastAsia"/>
      </w:rPr>
    </w:lvl>
    <w:lvl w:ilvl="7">
      <w:start w:val="1"/>
      <w:numFmt w:val="decimal"/>
      <w:isLgl w:val="false"/>
      <w:suff w:val="tab"/>
      <w:lvlText w:val="%1.%2.%3.%4.%5.%6.%7.%8."/>
      <w:lvlJc w:val="left"/>
      <w:pPr>
        <w:pStyle w:val="946"/>
        <w:ind w:left="1418" w:hanging="1418"/>
        <w:tabs>
          <w:tab w:val="num" w:pos="1418" w:leader="none"/>
        </w:tabs>
      </w:pPr>
      <w:rPr>
        <w:rFonts w:hint="eastAsia"/>
      </w:rPr>
    </w:lvl>
    <w:lvl w:ilvl="8">
      <w:start w:val="1"/>
      <w:numFmt w:val="decimal"/>
      <w:isLgl w:val="false"/>
      <w:suff w:val="tab"/>
      <w:lvlText w:val="%1.%2.%3.%4.%5.%6.%7.%8.%9."/>
      <w:lvlJc w:val="left"/>
      <w:pPr>
        <w:pStyle w:val="946"/>
        <w:ind w:left="1559" w:hanging="1559"/>
        <w:tabs>
          <w:tab w:val="num" w:pos="1559" w:leader="none"/>
        </w:tabs>
      </w:pPr>
      <w:rPr>
        <w:rFonts w:hint="eastAsia"/>
      </w:rPr>
    </w:lvl>
  </w:abstractNum>
  <w:abstractNum w:abstractNumId="8">
    <w:multiLevelType w:val="hybridMultilevel"/>
    <w:lvl w:ilvl="0">
      <w:start w:val="1"/>
      <w:numFmt w:val="chineseCounting"/>
      <w:isLgl w:val="false"/>
      <w:suff w:val="nothing"/>
      <w:lvlText w:val="%1、"/>
      <w:lvlJc w:val="left"/>
      <w:pPr>
        <w:pStyle w:val="946"/>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chineseCountingThousand"/>
      <w:isLgl w:val="false"/>
      <w:suff w:val="nothing"/>
      <w:lvlText w:val="第%1章 "/>
      <w:lvlJc w:val="left"/>
      <w:pPr>
        <w:pStyle w:val="946"/>
        <w:ind w:left="0" w:firstLine="0"/>
      </w:pPr>
      <w:rPr>
        <w:rFonts w:hint="eastAsia"/>
      </w:rPr>
    </w:lvl>
    <w:lvl w:ilvl="1">
      <w:start w:val="1"/>
      <w:numFmt w:val="decimal"/>
      <w:isLgl w:val="false"/>
      <w:suff w:val="nothing"/>
      <w:lvlText w:val="%2、"/>
      <w:lvlJc w:val="left"/>
      <w:pPr>
        <w:pStyle w:val="946"/>
        <w:ind w:left="0" w:firstLine="0"/>
      </w:pPr>
      <w:rPr>
        <w:rFonts w:hint="eastAsia"/>
      </w:rPr>
    </w:lvl>
    <w:lvl w:ilvl="2">
      <w:start w:val="1"/>
      <w:numFmt w:val="decimal"/>
      <w:isLgl w:val="false"/>
      <w:suff w:val="nothing"/>
      <w:lvlText w:val="%2.%3 "/>
      <w:lvlJc w:val="left"/>
      <w:pPr>
        <w:pStyle w:val="946"/>
        <w:ind w:left="0" w:firstLine="0"/>
      </w:pPr>
      <w:rPr>
        <w:rFonts w:hint="eastAsia"/>
      </w:rPr>
    </w:lvl>
    <w:lvl w:ilvl="3">
      <w:start w:val="1"/>
      <w:numFmt w:val="decimal"/>
      <w:isLgl w:val="false"/>
      <w:suff w:val="nothing"/>
      <w:lvlText w:val="%2.%3.%4 "/>
      <w:lvlJc w:val="left"/>
      <w:pPr>
        <w:pStyle w:val="946"/>
        <w:ind w:left="0" w:firstLine="0"/>
      </w:pPr>
      <w:rPr>
        <w:rFonts w:hint="eastAsia"/>
      </w:rPr>
    </w:lvl>
    <w:lvl w:ilvl="4">
      <w:start w:val="1"/>
      <w:numFmt w:val="decimal"/>
      <w:isLgl w:val="false"/>
      <w:suff w:val="nothing"/>
      <w:lvlText w:val="%2.%3.%4.%5 "/>
      <w:lvlJc w:val="left"/>
      <w:pPr>
        <w:pStyle w:val="946"/>
        <w:ind w:left="0" w:firstLine="0"/>
      </w:pPr>
      <w:rPr>
        <w:rFonts w:hint="eastAsia"/>
      </w:rPr>
    </w:lvl>
    <w:lvl w:ilvl="5">
      <w:start w:val="1"/>
      <w:numFmt w:val="decimal"/>
      <w:pStyle w:val="952"/>
      <w:isLgl w:val="false"/>
      <w:suff w:val="nothing"/>
      <w:lvlText w:val=""/>
      <w:lvlJc w:val="left"/>
      <w:pPr>
        <w:pStyle w:val="946"/>
        <w:ind w:left="0" w:firstLine="0"/>
      </w:pPr>
      <w:rPr>
        <w:rFonts w:hint="eastAsia"/>
      </w:rPr>
    </w:lvl>
    <w:lvl w:ilvl="6">
      <w:start w:val="1"/>
      <w:numFmt w:val="decimal"/>
      <w:pStyle w:val="953"/>
      <w:isLgl w:val="false"/>
      <w:suff w:val="nothing"/>
      <w:lvlText w:val=""/>
      <w:lvlJc w:val="left"/>
      <w:pPr>
        <w:pStyle w:val="946"/>
        <w:ind w:left="0" w:firstLine="0"/>
      </w:pPr>
      <w:rPr>
        <w:rFonts w:hint="eastAsia"/>
      </w:rPr>
    </w:lvl>
    <w:lvl w:ilvl="7">
      <w:start w:val="1"/>
      <w:numFmt w:val="decimal"/>
      <w:pStyle w:val="954"/>
      <w:isLgl w:val="false"/>
      <w:suff w:val="nothing"/>
      <w:lvlText w:val=""/>
      <w:lvlJc w:val="left"/>
      <w:pPr>
        <w:pStyle w:val="946"/>
        <w:ind w:left="0" w:firstLine="0"/>
      </w:pPr>
      <w:rPr>
        <w:rFonts w:hint="eastAsia"/>
      </w:rPr>
    </w:lvl>
    <w:lvl w:ilvl="8">
      <w:start w:val="1"/>
      <w:numFmt w:val="decimal"/>
      <w:pStyle w:val="955"/>
      <w:isLgl w:val="false"/>
      <w:suff w:val="nothing"/>
      <w:lvlText w:val=""/>
      <w:lvlJc w:val="left"/>
      <w:pPr>
        <w:pStyle w:val="946"/>
        <w:ind w:left="0" w:firstLine="0"/>
      </w:pPr>
      <w:rPr>
        <w:rFonts w:hint="eastAsia"/>
      </w:rPr>
    </w:lvl>
  </w:abstractNum>
  <w:abstractNum w:abstractNumId="10">
    <w:multiLevelType w:val="hybridMultilevel"/>
    <w:lvl w:ilvl="0">
      <w:start w:val="6"/>
      <w:numFmt w:val="chineseCounting"/>
      <w:isLgl w:val="false"/>
      <w:suff w:val="nothing"/>
      <w:lvlText w:val="%1、"/>
      <w:lvlJc w:val="left"/>
      <w:pPr>
        <w:pStyle w:val="946"/>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japaneseCounting"/>
      <w:isLgl w:val="false"/>
      <w:suff w:val="tab"/>
      <w:lvlText w:val="第%1章"/>
      <w:lvlJc w:val="left"/>
      <w:pPr>
        <w:pStyle w:val="946"/>
        <w:ind w:left="1440" w:hanging="1440"/>
        <w:tabs>
          <w:tab w:val="num" w:pos="1440" w:leader="none"/>
        </w:tabs>
      </w:pPr>
      <w:rPr>
        <w:rFonts w:hint="eastAsia" w:ascii="宋体" w:hAnsi="宋体" w:eastAsia="宋体" w:cs="宋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tab"/>
      <w:lvlText w:val="第%1章"/>
      <w:lvlJc w:val="left"/>
      <w:pPr>
        <w:ind w:left="1440" w:hanging="1440"/>
      </w:pPr>
      <w:rPr>
        <w:rFonts w:ascii="SimSun" w:hAnsi="SimSun" w:eastAsia="SimSun" w:cs="SimSun"/>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2"/>
      <w:numFmt w:val="decimal"/>
      <w:isLgl w:val="false"/>
      <w:suff w:val="tab"/>
      <w:lvlText w:val="第%1章"/>
      <w:lvlJc w:val="left"/>
      <w:pPr>
        <w:ind w:left="0" w:firstLine="0"/>
      </w:pPr>
      <w:rPr>
        <w:rFonts w:ascii="宋体" w:hAnsi="宋体" w:eastAsia="宋体" w:cs="宋体"/>
        <w:sz w:val="4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6"/>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28"/>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8">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9">
    <w:multiLevelType w:val="hybridMultilevel"/>
    <w:lvl w:ilvl="0">
      <w:start w:val="2"/>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0">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1">
    <w:multiLevelType w:val="hybridMultilevel"/>
    <w:lvl w:ilvl="0">
      <w:start w:val="1"/>
      <w:numFmt w:val="decimal"/>
      <w:isLgl w:val="false"/>
      <w:suff w:val="tab"/>
      <w:lvlText w:val="第%1章"/>
      <w:lvlJc w:val="left"/>
      <w:pPr>
        <w:ind w:left="1440" w:hanging="1440"/>
      </w:pPr>
      <w:rPr>
        <w:rFonts w:ascii="SimSun" w:hAnsi="SimSun" w:eastAsia="SimSun" w:cs="SimSun"/>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2">
    <w:multiLevelType w:val="hybridMultilevel"/>
    <w:lvl w:ilvl="0">
      <w:start w:val="2"/>
      <w:numFmt w:val="decimal"/>
      <w:isLgl w:val="false"/>
      <w:suff w:val="tab"/>
      <w:lvlText w:val="第%1章"/>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3">
    <w:multiLevelType w:val="hybridMultilevel"/>
    <w:lvl w:ilvl="0">
      <w:start w:val="6"/>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4">
    <w:multiLevelType w:val="hybridMultilevel"/>
    <w:lvl w:ilvl="0">
      <w:start w:val="28"/>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5">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6">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7">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8">
    <w:multiLevelType w:val="hybridMultilevel"/>
    <w:lvl w:ilvl="0">
      <w:start w:val="2"/>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9"/>
  </w:num>
  <w:num w:numId="2">
    <w:abstractNumId w:val="5"/>
  </w:num>
  <w:num w:numId="3">
    <w:abstractNumId w:val="7"/>
  </w:num>
  <w:num w:numId="4">
    <w:abstractNumId w:val="11"/>
  </w:num>
  <w:num w:numId="5">
    <w:abstractNumId w:val="6"/>
  </w:num>
  <w:num w:numId="6">
    <w:abstractNumId w:val="10"/>
  </w:num>
  <w:num w:numId="7">
    <w:abstractNumId w:val="1"/>
  </w:num>
  <w:num w:numId="8">
    <w:abstractNumId w:val="8"/>
  </w:num>
  <w:num w:numId="9">
    <w:abstractNumId w:val="4"/>
  </w:num>
  <w:num w:numId="10">
    <w:abstractNumId w:val="2"/>
  </w:num>
  <w:num w:numId="11">
    <w:abstractNumId w:val="0"/>
  </w:num>
  <w:num w:numId="12">
    <w:abstractNumId w:val="3"/>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69">
    <w:name w:val="Heading 1"/>
    <w:basedOn w:val="946"/>
    <w:next w:val="946"/>
    <w:link w:val="770"/>
    <w:uiPriority w:val="9"/>
    <w:qFormat/>
    <w:pPr>
      <w:keepLines/>
      <w:keepNext/>
      <w:spacing w:before="480" w:after="200"/>
      <w:outlineLvl w:val="0"/>
    </w:pPr>
    <w:rPr>
      <w:rFonts w:ascii="Arial" w:hAnsi="Arial" w:eastAsia="Arial" w:cs="Arial"/>
      <w:sz w:val="40"/>
      <w:szCs w:val="40"/>
    </w:rPr>
  </w:style>
  <w:style w:type="character" w:styleId="770">
    <w:name w:val="Heading 1 Char"/>
    <w:link w:val="769"/>
    <w:uiPriority w:val="9"/>
    <w:rPr>
      <w:rFonts w:ascii="Arial" w:hAnsi="Arial" w:eastAsia="Arial" w:cs="Arial"/>
      <w:sz w:val="40"/>
      <w:szCs w:val="40"/>
    </w:rPr>
  </w:style>
  <w:style w:type="paragraph" w:styleId="771">
    <w:name w:val="Heading 2"/>
    <w:basedOn w:val="946"/>
    <w:next w:val="946"/>
    <w:link w:val="772"/>
    <w:uiPriority w:val="9"/>
    <w:unhideWhenUsed/>
    <w:qFormat/>
    <w:pPr>
      <w:keepLines/>
      <w:keepNext/>
      <w:spacing w:before="360" w:after="200"/>
      <w:outlineLvl w:val="1"/>
    </w:pPr>
    <w:rPr>
      <w:rFonts w:ascii="Arial" w:hAnsi="Arial" w:eastAsia="Arial" w:cs="Arial"/>
      <w:sz w:val="34"/>
    </w:rPr>
  </w:style>
  <w:style w:type="character" w:styleId="772">
    <w:name w:val="Heading 2 Char"/>
    <w:link w:val="771"/>
    <w:uiPriority w:val="9"/>
    <w:rPr>
      <w:rFonts w:ascii="Arial" w:hAnsi="Arial" w:eastAsia="Arial" w:cs="Arial"/>
      <w:sz w:val="34"/>
    </w:rPr>
  </w:style>
  <w:style w:type="paragraph" w:styleId="773">
    <w:name w:val="Heading 3"/>
    <w:basedOn w:val="946"/>
    <w:next w:val="946"/>
    <w:link w:val="774"/>
    <w:uiPriority w:val="9"/>
    <w:unhideWhenUsed/>
    <w:qFormat/>
    <w:pPr>
      <w:keepLines/>
      <w:keepNext/>
      <w:spacing w:before="320" w:after="200"/>
      <w:outlineLvl w:val="2"/>
    </w:pPr>
    <w:rPr>
      <w:rFonts w:ascii="Arial" w:hAnsi="Arial" w:eastAsia="Arial" w:cs="Arial"/>
      <w:sz w:val="30"/>
      <w:szCs w:val="30"/>
    </w:rPr>
  </w:style>
  <w:style w:type="character" w:styleId="774">
    <w:name w:val="Heading 3 Char"/>
    <w:link w:val="773"/>
    <w:uiPriority w:val="9"/>
    <w:rPr>
      <w:rFonts w:ascii="Arial" w:hAnsi="Arial" w:eastAsia="Arial" w:cs="Arial"/>
      <w:sz w:val="30"/>
      <w:szCs w:val="30"/>
    </w:rPr>
  </w:style>
  <w:style w:type="paragraph" w:styleId="775">
    <w:name w:val="Heading 4"/>
    <w:basedOn w:val="946"/>
    <w:next w:val="946"/>
    <w:link w:val="776"/>
    <w:uiPriority w:val="9"/>
    <w:unhideWhenUsed/>
    <w:qFormat/>
    <w:pPr>
      <w:keepLines/>
      <w:keepNext/>
      <w:spacing w:before="320" w:after="200"/>
      <w:outlineLvl w:val="3"/>
    </w:pPr>
    <w:rPr>
      <w:rFonts w:ascii="Arial" w:hAnsi="Arial" w:eastAsia="Arial" w:cs="Arial"/>
      <w:b/>
      <w:bCs/>
      <w:sz w:val="26"/>
      <w:szCs w:val="26"/>
    </w:rPr>
  </w:style>
  <w:style w:type="character" w:styleId="776">
    <w:name w:val="Heading 4 Char"/>
    <w:link w:val="775"/>
    <w:uiPriority w:val="9"/>
    <w:rPr>
      <w:rFonts w:ascii="Arial" w:hAnsi="Arial" w:eastAsia="Arial" w:cs="Arial"/>
      <w:b/>
      <w:bCs/>
      <w:sz w:val="26"/>
      <w:szCs w:val="26"/>
    </w:rPr>
  </w:style>
  <w:style w:type="paragraph" w:styleId="777">
    <w:name w:val="Heading 5"/>
    <w:basedOn w:val="946"/>
    <w:next w:val="946"/>
    <w:link w:val="778"/>
    <w:uiPriority w:val="9"/>
    <w:unhideWhenUsed/>
    <w:qFormat/>
    <w:pPr>
      <w:keepLines/>
      <w:keepNext/>
      <w:spacing w:before="320" w:after="200"/>
      <w:outlineLvl w:val="4"/>
    </w:pPr>
    <w:rPr>
      <w:rFonts w:ascii="Arial" w:hAnsi="Arial" w:eastAsia="Arial" w:cs="Arial"/>
      <w:b/>
      <w:bCs/>
      <w:sz w:val="24"/>
      <w:szCs w:val="24"/>
    </w:rPr>
  </w:style>
  <w:style w:type="character" w:styleId="778">
    <w:name w:val="Heading 5 Char"/>
    <w:link w:val="777"/>
    <w:uiPriority w:val="9"/>
    <w:rPr>
      <w:rFonts w:ascii="Arial" w:hAnsi="Arial" w:eastAsia="Arial" w:cs="Arial"/>
      <w:b/>
      <w:bCs/>
      <w:sz w:val="24"/>
      <w:szCs w:val="24"/>
    </w:rPr>
  </w:style>
  <w:style w:type="paragraph" w:styleId="779">
    <w:name w:val="Heading 6"/>
    <w:basedOn w:val="946"/>
    <w:next w:val="946"/>
    <w:link w:val="780"/>
    <w:uiPriority w:val="9"/>
    <w:unhideWhenUsed/>
    <w:qFormat/>
    <w:pPr>
      <w:keepLines/>
      <w:keepNext/>
      <w:spacing w:before="320" w:after="200"/>
      <w:outlineLvl w:val="5"/>
    </w:pPr>
    <w:rPr>
      <w:rFonts w:ascii="Arial" w:hAnsi="Arial" w:eastAsia="Arial" w:cs="Arial"/>
      <w:b/>
      <w:bCs/>
      <w:sz w:val="22"/>
      <w:szCs w:val="22"/>
    </w:rPr>
  </w:style>
  <w:style w:type="character" w:styleId="780">
    <w:name w:val="Heading 6 Char"/>
    <w:link w:val="779"/>
    <w:uiPriority w:val="9"/>
    <w:rPr>
      <w:rFonts w:ascii="Arial" w:hAnsi="Arial" w:eastAsia="Arial" w:cs="Arial"/>
      <w:b/>
      <w:bCs/>
      <w:sz w:val="22"/>
      <w:szCs w:val="22"/>
    </w:rPr>
  </w:style>
  <w:style w:type="paragraph" w:styleId="781">
    <w:name w:val="Heading 7"/>
    <w:basedOn w:val="946"/>
    <w:next w:val="946"/>
    <w:link w:val="782"/>
    <w:uiPriority w:val="9"/>
    <w:unhideWhenUsed/>
    <w:qFormat/>
    <w:pPr>
      <w:keepLines/>
      <w:keepNext/>
      <w:spacing w:before="320" w:after="200"/>
      <w:outlineLvl w:val="6"/>
    </w:pPr>
    <w:rPr>
      <w:rFonts w:ascii="Arial" w:hAnsi="Arial" w:eastAsia="Arial" w:cs="Arial"/>
      <w:b/>
      <w:bCs/>
      <w:i/>
      <w:iCs/>
      <w:sz w:val="22"/>
      <w:szCs w:val="22"/>
    </w:rPr>
  </w:style>
  <w:style w:type="character" w:styleId="782">
    <w:name w:val="Heading 7 Char"/>
    <w:link w:val="781"/>
    <w:uiPriority w:val="9"/>
    <w:rPr>
      <w:rFonts w:ascii="Arial" w:hAnsi="Arial" w:eastAsia="Arial" w:cs="Arial"/>
      <w:b/>
      <w:bCs/>
      <w:i/>
      <w:iCs/>
      <w:sz w:val="22"/>
      <w:szCs w:val="22"/>
    </w:rPr>
  </w:style>
  <w:style w:type="paragraph" w:styleId="783">
    <w:name w:val="Heading 8"/>
    <w:basedOn w:val="946"/>
    <w:next w:val="946"/>
    <w:link w:val="784"/>
    <w:uiPriority w:val="9"/>
    <w:unhideWhenUsed/>
    <w:qFormat/>
    <w:pPr>
      <w:keepLines/>
      <w:keepNext/>
      <w:spacing w:before="320" w:after="200"/>
      <w:outlineLvl w:val="7"/>
    </w:pPr>
    <w:rPr>
      <w:rFonts w:ascii="Arial" w:hAnsi="Arial" w:eastAsia="Arial" w:cs="Arial"/>
      <w:i/>
      <w:iCs/>
      <w:sz w:val="22"/>
      <w:szCs w:val="22"/>
    </w:rPr>
  </w:style>
  <w:style w:type="character" w:styleId="784">
    <w:name w:val="Heading 8 Char"/>
    <w:link w:val="783"/>
    <w:uiPriority w:val="9"/>
    <w:rPr>
      <w:rFonts w:ascii="Arial" w:hAnsi="Arial" w:eastAsia="Arial" w:cs="Arial"/>
      <w:i/>
      <w:iCs/>
      <w:sz w:val="22"/>
      <w:szCs w:val="22"/>
    </w:rPr>
  </w:style>
  <w:style w:type="paragraph" w:styleId="785">
    <w:name w:val="Heading 9"/>
    <w:basedOn w:val="946"/>
    <w:next w:val="946"/>
    <w:link w:val="786"/>
    <w:uiPriority w:val="9"/>
    <w:unhideWhenUsed/>
    <w:qFormat/>
    <w:pPr>
      <w:keepLines/>
      <w:keepNext/>
      <w:spacing w:before="320" w:after="200"/>
      <w:outlineLvl w:val="8"/>
    </w:pPr>
    <w:rPr>
      <w:rFonts w:ascii="Arial" w:hAnsi="Arial" w:eastAsia="Arial" w:cs="Arial"/>
      <w:i/>
      <w:iCs/>
      <w:sz w:val="21"/>
      <w:szCs w:val="21"/>
    </w:rPr>
  </w:style>
  <w:style w:type="character" w:styleId="786">
    <w:name w:val="Heading 9 Char"/>
    <w:link w:val="785"/>
    <w:uiPriority w:val="9"/>
    <w:rPr>
      <w:rFonts w:ascii="Arial" w:hAnsi="Arial" w:eastAsia="Arial" w:cs="Arial"/>
      <w:i/>
      <w:iCs/>
      <w:sz w:val="21"/>
      <w:szCs w:val="21"/>
    </w:rPr>
  </w:style>
  <w:style w:type="paragraph" w:styleId="787">
    <w:name w:val="No Spacing"/>
    <w:uiPriority w:val="1"/>
    <w:qFormat/>
    <w:pPr>
      <w:spacing w:before="0" w:after="0" w:line="240" w:lineRule="auto"/>
    </w:pPr>
  </w:style>
  <w:style w:type="paragraph" w:styleId="788">
    <w:name w:val="Title"/>
    <w:basedOn w:val="946"/>
    <w:next w:val="946"/>
    <w:link w:val="789"/>
    <w:uiPriority w:val="10"/>
    <w:qFormat/>
    <w:pPr>
      <w:contextualSpacing/>
      <w:spacing w:before="300" w:after="200"/>
    </w:pPr>
    <w:rPr>
      <w:sz w:val="48"/>
      <w:szCs w:val="48"/>
    </w:rPr>
  </w:style>
  <w:style w:type="character" w:styleId="789">
    <w:name w:val="Title Char"/>
    <w:link w:val="788"/>
    <w:uiPriority w:val="10"/>
    <w:rPr>
      <w:sz w:val="48"/>
      <w:szCs w:val="48"/>
    </w:rPr>
  </w:style>
  <w:style w:type="paragraph" w:styleId="790">
    <w:name w:val="Subtitle"/>
    <w:basedOn w:val="946"/>
    <w:next w:val="946"/>
    <w:link w:val="791"/>
    <w:uiPriority w:val="11"/>
    <w:qFormat/>
    <w:pPr>
      <w:spacing w:before="200" w:after="200"/>
    </w:pPr>
    <w:rPr>
      <w:sz w:val="24"/>
      <w:szCs w:val="24"/>
    </w:rPr>
  </w:style>
  <w:style w:type="character" w:styleId="791">
    <w:name w:val="Subtitle Char"/>
    <w:link w:val="790"/>
    <w:uiPriority w:val="11"/>
    <w:rPr>
      <w:sz w:val="24"/>
      <w:szCs w:val="24"/>
    </w:rPr>
  </w:style>
  <w:style w:type="paragraph" w:styleId="792">
    <w:name w:val="Quote"/>
    <w:basedOn w:val="946"/>
    <w:next w:val="946"/>
    <w:link w:val="793"/>
    <w:uiPriority w:val="29"/>
    <w:qFormat/>
    <w:pPr>
      <w:ind w:left="720" w:right="720"/>
    </w:pPr>
    <w:rPr>
      <w:i/>
    </w:rPr>
  </w:style>
  <w:style w:type="character" w:styleId="793">
    <w:name w:val="Quote Char"/>
    <w:link w:val="792"/>
    <w:uiPriority w:val="29"/>
    <w:rPr>
      <w:i/>
    </w:rPr>
  </w:style>
  <w:style w:type="paragraph" w:styleId="794">
    <w:name w:val="Intense Quote"/>
    <w:basedOn w:val="946"/>
    <w:next w:val="946"/>
    <w:link w:val="79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95">
    <w:name w:val="Intense Quote Char"/>
    <w:link w:val="794"/>
    <w:uiPriority w:val="30"/>
    <w:rPr>
      <w:i/>
    </w:rPr>
  </w:style>
  <w:style w:type="paragraph" w:styleId="796">
    <w:name w:val="Header"/>
    <w:basedOn w:val="946"/>
    <w:link w:val="797"/>
    <w:uiPriority w:val="99"/>
    <w:unhideWhenUsed/>
    <w:pPr>
      <w:spacing w:after="0" w:line="240" w:lineRule="auto"/>
      <w:tabs>
        <w:tab w:val="center" w:pos="7143" w:leader="none"/>
        <w:tab w:val="right" w:pos="14287" w:leader="none"/>
      </w:tabs>
    </w:pPr>
  </w:style>
  <w:style w:type="character" w:styleId="797">
    <w:name w:val="Header Char"/>
    <w:link w:val="796"/>
    <w:uiPriority w:val="99"/>
  </w:style>
  <w:style w:type="paragraph" w:styleId="798">
    <w:name w:val="Footer"/>
    <w:basedOn w:val="946"/>
    <w:link w:val="801"/>
    <w:uiPriority w:val="99"/>
    <w:unhideWhenUsed/>
    <w:pPr>
      <w:spacing w:after="0" w:line="240" w:lineRule="auto"/>
      <w:tabs>
        <w:tab w:val="center" w:pos="7143" w:leader="none"/>
        <w:tab w:val="right" w:pos="14287" w:leader="none"/>
      </w:tabs>
    </w:pPr>
  </w:style>
  <w:style w:type="character" w:styleId="799">
    <w:name w:val="Footer Char"/>
    <w:link w:val="798"/>
    <w:uiPriority w:val="99"/>
  </w:style>
  <w:style w:type="paragraph" w:styleId="800">
    <w:name w:val="Caption"/>
    <w:basedOn w:val="946"/>
    <w:next w:val="946"/>
    <w:uiPriority w:val="35"/>
    <w:semiHidden/>
    <w:unhideWhenUsed/>
    <w:qFormat/>
    <w:pPr>
      <w:spacing w:line="276" w:lineRule="auto"/>
    </w:pPr>
    <w:rPr>
      <w:b/>
      <w:bCs/>
      <w:color w:val="4f81bd" w:themeColor="accent1"/>
      <w:sz w:val="18"/>
      <w:szCs w:val="18"/>
    </w:rPr>
  </w:style>
  <w:style w:type="character" w:styleId="801">
    <w:name w:val="Caption Char"/>
    <w:basedOn w:val="800"/>
    <w:link w:val="798"/>
    <w:uiPriority w:val="99"/>
  </w:style>
  <w:style w:type="table" w:styleId="802">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03">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04">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5">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6">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7">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8">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09">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10">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11">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12">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13">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14">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15">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16">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17">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18">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19">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20">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21">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22">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23">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4">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5">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6">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7">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8">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9">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0">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1">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32">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33">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34">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35">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36">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37">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8">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39">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40">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41">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42">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43">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44">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45">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46">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47">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48">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49">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50">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51">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52">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53">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54">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55">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56">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57">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58">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59">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60">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61">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62">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63">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64">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65">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66">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67">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68">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69">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70">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71">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72">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73">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74">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75">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76">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77">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78">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79">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80">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81">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82">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83">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84">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85">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86">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7">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8">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9">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0">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1">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2">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3">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94">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95">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96">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97">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98">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99">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00">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01">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02">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03">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04">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05">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06">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07">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08">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09">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10">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11">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12">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13">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14">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15">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16">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17">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18">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19">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20">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21">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22">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23">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24">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25">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26">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27">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28">
    <w:name w:val="Hyperlink"/>
    <w:uiPriority w:val="99"/>
    <w:unhideWhenUsed/>
    <w:rPr>
      <w:color w:val="0000ff" w:themeColor="hyperlink"/>
      <w:u w:val="single"/>
    </w:rPr>
  </w:style>
  <w:style w:type="paragraph" w:styleId="929">
    <w:name w:val="footnote text"/>
    <w:basedOn w:val="946"/>
    <w:link w:val="930"/>
    <w:uiPriority w:val="99"/>
    <w:semiHidden/>
    <w:unhideWhenUsed/>
    <w:pPr>
      <w:spacing w:after="40" w:line="240" w:lineRule="auto"/>
    </w:pPr>
    <w:rPr>
      <w:sz w:val="18"/>
    </w:rPr>
  </w:style>
  <w:style w:type="character" w:styleId="930">
    <w:name w:val="Footnote Text Char"/>
    <w:link w:val="929"/>
    <w:uiPriority w:val="99"/>
    <w:rPr>
      <w:sz w:val="18"/>
    </w:rPr>
  </w:style>
  <w:style w:type="character" w:styleId="931">
    <w:name w:val="footnote reference"/>
    <w:uiPriority w:val="99"/>
    <w:unhideWhenUsed/>
    <w:rPr>
      <w:vertAlign w:val="superscript"/>
    </w:rPr>
  </w:style>
  <w:style w:type="paragraph" w:styleId="932">
    <w:name w:val="endnote text"/>
    <w:basedOn w:val="946"/>
    <w:link w:val="933"/>
    <w:uiPriority w:val="99"/>
    <w:semiHidden/>
    <w:unhideWhenUsed/>
    <w:pPr>
      <w:spacing w:after="0" w:line="240" w:lineRule="auto"/>
    </w:pPr>
    <w:rPr>
      <w:sz w:val="20"/>
    </w:rPr>
  </w:style>
  <w:style w:type="character" w:styleId="933">
    <w:name w:val="Endnote Text Char"/>
    <w:link w:val="932"/>
    <w:uiPriority w:val="99"/>
    <w:rPr>
      <w:sz w:val="20"/>
    </w:rPr>
  </w:style>
  <w:style w:type="character" w:styleId="934">
    <w:name w:val="endnote reference"/>
    <w:uiPriority w:val="99"/>
    <w:semiHidden/>
    <w:unhideWhenUsed/>
    <w:rPr>
      <w:vertAlign w:val="superscript"/>
    </w:rPr>
  </w:style>
  <w:style w:type="paragraph" w:styleId="935">
    <w:name w:val="toc 1"/>
    <w:basedOn w:val="946"/>
    <w:next w:val="946"/>
    <w:uiPriority w:val="39"/>
    <w:unhideWhenUsed/>
    <w:pPr>
      <w:ind w:left="0" w:right="0" w:firstLine="0"/>
      <w:spacing w:after="57"/>
    </w:pPr>
  </w:style>
  <w:style w:type="paragraph" w:styleId="936">
    <w:name w:val="toc 2"/>
    <w:basedOn w:val="946"/>
    <w:next w:val="946"/>
    <w:uiPriority w:val="39"/>
    <w:unhideWhenUsed/>
    <w:pPr>
      <w:ind w:left="283" w:right="0" w:firstLine="0"/>
      <w:spacing w:after="57"/>
    </w:pPr>
  </w:style>
  <w:style w:type="paragraph" w:styleId="937">
    <w:name w:val="toc 3"/>
    <w:basedOn w:val="946"/>
    <w:next w:val="946"/>
    <w:uiPriority w:val="39"/>
    <w:unhideWhenUsed/>
    <w:pPr>
      <w:ind w:left="567" w:right="0" w:firstLine="0"/>
      <w:spacing w:after="57"/>
    </w:pPr>
  </w:style>
  <w:style w:type="paragraph" w:styleId="938">
    <w:name w:val="toc 4"/>
    <w:basedOn w:val="946"/>
    <w:next w:val="946"/>
    <w:uiPriority w:val="39"/>
    <w:unhideWhenUsed/>
    <w:pPr>
      <w:ind w:left="850" w:right="0" w:firstLine="0"/>
      <w:spacing w:after="57"/>
    </w:pPr>
  </w:style>
  <w:style w:type="paragraph" w:styleId="939">
    <w:name w:val="toc 5"/>
    <w:basedOn w:val="946"/>
    <w:next w:val="946"/>
    <w:uiPriority w:val="39"/>
    <w:unhideWhenUsed/>
    <w:pPr>
      <w:ind w:left="1134" w:right="0" w:firstLine="0"/>
      <w:spacing w:after="57"/>
    </w:pPr>
  </w:style>
  <w:style w:type="paragraph" w:styleId="940">
    <w:name w:val="toc 6"/>
    <w:basedOn w:val="946"/>
    <w:next w:val="946"/>
    <w:uiPriority w:val="39"/>
    <w:unhideWhenUsed/>
    <w:pPr>
      <w:ind w:left="1417" w:right="0" w:firstLine="0"/>
      <w:spacing w:after="57"/>
    </w:pPr>
  </w:style>
  <w:style w:type="paragraph" w:styleId="941">
    <w:name w:val="toc 7"/>
    <w:basedOn w:val="946"/>
    <w:next w:val="946"/>
    <w:uiPriority w:val="39"/>
    <w:unhideWhenUsed/>
    <w:pPr>
      <w:ind w:left="1701" w:right="0" w:firstLine="0"/>
      <w:spacing w:after="57"/>
    </w:pPr>
  </w:style>
  <w:style w:type="paragraph" w:styleId="942">
    <w:name w:val="toc 8"/>
    <w:basedOn w:val="946"/>
    <w:next w:val="946"/>
    <w:uiPriority w:val="39"/>
    <w:unhideWhenUsed/>
    <w:pPr>
      <w:ind w:left="1984" w:right="0" w:firstLine="0"/>
      <w:spacing w:after="57"/>
    </w:pPr>
  </w:style>
  <w:style w:type="paragraph" w:styleId="943">
    <w:name w:val="toc 9"/>
    <w:basedOn w:val="946"/>
    <w:next w:val="946"/>
    <w:uiPriority w:val="39"/>
    <w:unhideWhenUsed/>
    <w:pPr>
      <w:ind w:left="2268" w:right="0" w:firstLine="0"/>
      <w:spacing w:after="57"/>
    </w:pPr>
  </w:style>
  <w:style w:type="paragraph" w:styleId="944">
    <w:name w:val="TOC Heading"/>
    <w:uiPriority w:val="39"/>
    <w:unhideWhenUsed/>
  </w:style>
  <w:style w:type="paragraph" w:styleId="945">
    <w:name w:val="table of figures"/>
    <w:basedOn w:val="946"/>
    <w:next w:val="946"/>
    <w:uiPriority w:val="99"/>
    <w:unhideWhenUsed/>
    <w:pPr>
      <w:spacing w:after="0" w:afterAutospacing="0"/>
    </w:pPr>
  </w:style>
  <w:style w:type="paragraph" w:styleId="946" w:default="1">
    <w:name w:val="Normal"/>
    <w:next w:val="946"/>
    <w:link w:val="946"/>
    <w:qFormat/>
    <w:pPr>
      <w:jc w:val="both"/>
      <w:widowControl w:val="off"/>
    </w:pPr>
    <w:rPr>
      <w:sz w:val="21"/>
      <w:szCs w:val="22"/>
      <w:lang w:val="en-US" w:eastAsia="zh-CN" w:bidi="ar-SA"/>
    </w:rPr>
  </w:style>
  <w:style w:type="paragraph" w:styleId="947">
    <w:name w:val="标题 1"/>
    <w:basedOn w:val="946"/>
    <w:next w:val="946"/>
    <w:link w:val="958"/>
    <w:qFormat/>
    <w:pPr>
      <w:jc w:val="center"/>
      <w:keepNext/>
      <w:outlineLvl w:val="0"/>
    </w:pPr>
    <w:rPr>
      <w:rFonts w:ascii="楷体_GB2312" w:hAnsi="Times New Roman" w:eastAsia="楷体_GB2312"/>
      <w:sz w:val="28"/>
      <w:szCs w:val="28"/>
    </w:rPr>
  </w:style>
  <w:style w:type="paragraph" w:styleId="948">
    <w:name w:val="标题 2"/>
    <w:basedOn w:val="946"/>
    <w:next w:val="960"/>
    <w:link w:val="959"/>
    <w:qFormat/>
    <w:pPr>
      <w:jc w:val="center"/>
      <w:keepLines/>
      <w:keepNext/>
      <w:spacing w:before="260" w:after="260" w:line="416" w:lineRule="auto"/>
      <w:outlineLvl w:val="1"/>
    </w:pPr>
    <w:rPr>
      <w:rFonts w:ascii="Arial" w:hAnsi="Arial" w:eastAsia="幼圆"/>
      <w:b/>
      <w:bCs/>
      <w:sz w:val="44"/>
      <w:szCs w:val="44"/>
    </w:rPr>
  </w:style>
  <w:style w:type="paragraph" w:styleId="949">
    <w:name w:val="标题 3"/>
    <w:basedOn w:val="946"/>
    <w:next w:val="960"/>
    <w:link w:val="962"/>
    <w:qFormat/>
    <w:pPr>
      <w:keepLines/>
      <w:keepNext/>
      <w:spacing w:before="260" w:after="260" w:line="416" w:lineRule="auto"/>
      <w:outlineLvl w:val="2"/>
    </w:pPr>
    <w:rPr>
      <w:rFonts w:ascii="Times New Roman" w:hAnsi="Times New Roman"/>
      <w:b/>
      <w:bCs/>
      <w:sz w:val="32"/>
      <w:szCs w:val="32"/>
    </w:rPr>
  </w:style>
  <w:style w:type="paragraph" w:styleId="950">
    <w:name w:val="标题 4"/>
    <w:basedOn w:val="946"/>
    <w:next w:val="946"/>
    <w:link w:val="963"/>
    <w:qFormat/>
    <w:pPr>
      <w:keepLines/>
      <w:keepNext/>
      <w:spacing w:before="280" w:after="290" w:line="376" w:lineRule="auto"/>
      <w:outlineLvl w:val="3"/>
    </w:pPr>
    <w:rPr>
      <w:rFonts w:ascii="Arial" w:hAnsi="Arial" w:eastAsia="黑体"/>
      <w:b/>
      <w:bCs/>
      <w:sz w:val="28"/>
      <w:szCs w:val="28"/>
    </w:rPr>
  </w:style>
  <w:style w:type="paragraph" w:styleId="951">
    <w:name w:val="标题 5"/>
    <w:basedOn w:val="946"/>
    <w:next w:val="960"/>
    <w:link w:val="964"/>
    <w:qFormat/>
    <w:pPr>
      <w:keepNext/>
      <w:outlineLvl w:val="4"/>
    </w:pPr>
    <w:rPr>
      <w:rFonts w:ascii="宋体" w:hAnsi="Times New Roman"/>
      <w:color w:val="000000"/>
      <w:sz w:val="28"/>
      <w:szCs w:val="28"/>
    </w:rPr>
  </w:style>
  <w:style w:type="paragraph" w:styleId="952">
    <w:name w:val="标题 6"/>
    <w:basedOn w:val="946"/>
    <w:next w:val="946"/>
    <w:link w:val="965"/>
    <w:qFormat/>
    <w:pPr>
      <w:numPr>
        <w:ilvl w:val="5"/>
        <w:numId w:val="1"/>
      </w:numPr>
      <w:keepLines/>
      <w:keepNext/>
      <w:spacing w:before="240" w:after="64" w:line="320" w:lineRule="auto"/>
      <w:outlineLvl w:val="5"/>
    </w:pPr>
    <w:rPr>
      <w:rFonts w:ascii="Arial" w:hAnsi="Arial" w:eastAsia="黑体"/>
      <w:b/>
      <w:bCs/>
      <w:sz w:val="24"/>
      <w:szCs w:val="24"/>
    </w:rPr>
  </w:style>
  <w:style w:type="paragraph" w:styleId="953">
    <w:name w:val="标题 7"/>
    <w:basedOn w:val="946"/>
    <w:next w:val="946"/>
    <w:link w:val="966"/>
    <w:qFormat/>
    <w:pPr>
      <w:numPr>
        <w:ilvl w:val="6"/>
        <w:numId w:val="1"/>
      </w:numPr>
      <w:keepLines/>
      <w:keepNext/>
      <w:spacing w:before="240" w:after="64" w:line="320" w:lineRule="auto"/>
      <w:outlineLvl w:val="6"/>
    </w:pPr>
    <w:rPr>
      <w:rFonts w:ascii="Times New Roman" w:hAnsi="Times New Roman"/>
      <w:b/>
      <w:bCs/>
      <w:sz w:val="24"/>
      <w:szCs w:val="24"/>
    </w:rPr>
  </w:style>
  <w:style w:type="paragraph" w:styleId="954">
    <w:name w:val="标题 8"/>
    <w:basedOn w:val="946"/>
    <w:next w:val="946"/>
    <w:link w:val="967"/>
    <w:qFormat/>
    <w:pPr>
      <w:numPr>
        <w:ilvl w:val="7"/>
        <w:numId w:val="1"/>
      </w:numPr>
      <w:keepLines/>
      <w:keepNext/>
      <w:spacing w:before="240" w:after="64" w:line="320" w:lineRule="auto"/>
      <w:outlineLvl w:val="7"/>
    </w:pPr>
    <w:rPr>
      <w:rFonts w:ascii="Arial" w:hAnsi="Arial" w:eastAsia="黑体"/>
      <w:sz w:val="24"/>
      <w:szCs w:val="24"/>
    </w:rPr>
  </w:style>
  <w:style w:type="paragraph" w:styleId="955">
    <w:name w:val="标题 9"/>
    <w:basedOn w:val="946"/>
    <w:next w:val="946"/>
    <w:link w:val="968"/>
    <w:qFormat/>
    <w:pPr>
      <w:numPr>
        <w:ilvl w:val="8"/>
        <w:numId w:val="1"/>
      </w:numPr>
      <w:keepLines/>
      <w:keepNext/>
      <w:spacing w:before="240" w:after="64" w:line="320" w:lineRule="auto"/>
      <w:outlineLvl w:val="8"/>
    </w:pPr>
    <w:rPr>
      <w:rFonts w:ascii="Arial" w:hAnsi="Arial" w:eastAsia="黑体"/>
      <w:sz w:val="20"/>
      <w:szCs w:val="21"/>
    </w:rPr>
  </w:style>
  <w:style w:type="character" w:styleId="956">
    <w:name w:val="默认段落字体"/>
    <w:next w:val="956"/>
    <w:link w:val="946"/>
    <w:uiPriority w:val="1"/>
    <w:unhideWhenUsed/>
  </w:style>
  <w:style w:type="table" w:styleId="957">
    <w:name w:val="普通表格"/>
    <w:next w:val="957"/>
    <w:link w:val="946"/>
    <w:uiPriority w:val="99"/>
    <w:unhideWhenUsed/>
    <w:tblPr/>
  </w:style>
  <w:style w:type="character" w:styleId="958">
    <w:name w:val="标题 1 Char"/>
    <w:next w:val="958"/>
    <w:link w:val="947"/>
    <w:rPr>
      <w:rFonts w:ascii="楷体_GB2312" w:hAnsi="Times New Roman" w:eastAsia="楷体_GB2312" w:cs="Times New Roman"/>
      <w:sz w:val="28"/>
      <w:szCs w:val="28"/>
    </w:rPr>
  </w:style>
  <w:style w:type="character" w:styleId="959">
    <w:name w:val="标题 2 Char"/>
    <w:next w:val="959"/>
    <w:link w:val="948"/>
    <w:rPr>
      <w:rFonts w:ascii="Arial" w:hAnsi="Arial" w:eastAsia="幼圆" w:cs="Arial"/>
      <w:b/>
      <w:bCs/>
      <w:sz w:val="44"/>
      <w:szCs w:val="44"/>
    </w:rPr>
  </w:style>
  <w:style w:type="paragraph" w:styleId="960">
    <w:name w:val="正文缩进"/>
    <w:basedOn w:val="946"/>
    <w:next w:val="960"/>
    <w:link w:val="961"/>
    <w:pPr>
      <w:ind w:firstLine="420"/>
    </w:pPr>
    <w:rPr>
      <w:sz w:val="20"/>
      <w:szCs w:val="21"/>
    </w:rPr>
  </w:style>
  <w:style w:type="character" w:styleId="961">
    <w:name w:val="正文缩进 Char"/>
    <w:next w:val="961"/>
    <w:link w:val="960"/>
    <w:rPr>
      <w:szCs w:val="21"/>
    </w:rPr>
  </w:style>
  <w:style w:type="character" w:styleId="962">
    <w:name w:val="标题 3 Char"/>
    <w:next w:val="962"/>
    <w:link w:val="949"/>
    <w:rPr>
      <w:rFonts w:ascii="Times New Roman" w:hAnsi="Times New Roman" w:eastAsia="宋体" w:cs="Times New Roman"/>
      <w:b/>
      <w:bCs/>
      <w:sz w:val="32"/>
      <w:szCs w:val="32"/>
    </w:rPr>
  </w:style>
  <w:style w:type="character" w:styleId="963">
    <w:name w:val="标题 4 Char"/>
    <w:next w:val="963"/>
    <w:link w:val="950"/>
    <w:rPr>
      <w:rFonts w:ascii="Arial" w:hAnsi="Arial" w:eastAsia="黑体" w:cs="Arial"/>
      <w:b/>
      <w:bCs/>
      <w:sz w:val="28"/>
      <w:szCs w:val="28"/>
    </w:rPr>
  </w:style>
  <w:style w:type="character" w:styleId="964">
    <w:name w:val="标题 5 Char"/>
    <w:next w:val="964"/>
    <w:link w:val="951"/>
    <w:rPr>
      <w:rFonts w:ascii="宋体" w:hAnsi="Times New Roman" w:eastAsia="宋体" w:cs="Times New Roman"/>
      <w:color w:val="000000"/>
      <w:sz w:val="28"/>
      <w:szCs w:val="28"/>
    </w:rPr>
  </w:style>
  <w:style w:type="character" w:styleId="965">
    <w:name w:val="标题 6 Char"/>
    <w:next w:val="965"/>
    <w:link w:val="952"/>
    <w:rPr>
      <w:rFonts w:ascii="Arial" w:hAnsi="Arial" w:eastAsia="黑体" w:cs="Times New Roman"/>
      <w:b/>
      <w:bCs/>
      <w:sz w:val="24"/>
      <w:szCs w:val="24"/>
    </w:rPr>
  </w:style>
  <w:style w:type="character" w:styleId="966">
    <w:name w:val="标题 7 Char"/>
    <w:next w:val="966"/>
    <w:link w:val="953"/>
    <w:rPr>
      <w:rFonts w:ascii="Times New Roman" w:hAnsi="Times New Roman" w:eastAsia="宋体" w:cs="Times New Roman"/>
      <w:b/>
      <w:bCs/>
      <w:sz w:val="24"/>
      <w:szCs w:val="24"/>
    </w:rPr>
  </w:style>
  <w:style w:type="character" w:styleId="967">
    <w:name w:val="标题 8 Char"/>
    <w:next w:val="967"/>
    <w:link w:val="954"/>
    <w:rPr>
      <w:rFonts w:ascii="Arial" w:hAnsi="Arial" w:eastAsia="黑体" w:cs="Times New Roman"/>
      <w:sz w:val="24"/>
      <w:szCs w:val="24"/>
    </w:rPr>
  </w:style>
  <w:style w:type="character" w:styleId="968">
    <w:name w:val="标题 9 Char"/>
    <w:next w:val="968"/>
    <w:link w:val="955"/>
    <w:rPr>
      <w:rFonts w:ascii="Arial" w:hAnsi="Arial" w:eastAsia="黑体" w:cs="Times New Roman"/>
      <w:szCs w:val="21"/>
    </w:rPr>
  </w:style>
  <w:style w:type="paragraph" w:styleId="969">
    <w:name w:val="列表 3"/>
    <w:basedOn w:val="946"/>
    <w:next w:val="969"/>
    <w:link w:val="946"/>
    <w:pPr>
      <w:ind w:left="100" w:hanging="200"/>
    </w:pPr>
    <w:rPr>
      <w:rFonts w:ascii="Times New Roman" w:hAnsi="Times New Roman" w:eastAsia="宋体" w:cs="Times New Roman"/>
      <w:szCs w:val="21"/>
    </w:rPr>
  </w:style>
  <w:style w:type="paragraph" w:styleId="970">
    <w:name w:val="目录 7"/>
    <w:basedOn w:val="946"/>
    <w:next w:val="946"/>
    <w:link w:val="946"/>
    <w:semiHidden/>
    <w:pPr>
      <w:ind w:left="1260"/>
      <w:jc w:val="left"/>
    </w:pPr>
    <w:rPr>
      <w:rFonts w:ascii="Times New Roman" w:hAnsi="Times New Roman" w:eastAsia="宋体" w:cs="Times New Roman"/>
      <w:szCs w:val="21"/>
    </w:rPr>
  </w:style>
  <w:style w:type="paragraph" w:styleId="971">
    <w:name w:val="文档结构图"/>
    <w:basedOn w:val="946"/>
    <w:next w:val="971"/>
    <w:link w:val="972"/>
    <w:semiHidden/>
    <w:pPr>
      <w:shd w:val="clear" w:color="auto" w:fill="000080"/>
    </w:pPr>
    <w:rPr>
      <w:rFonts w:ascii="Times New Roman" w:hAnsi="Times New Roman"/>
      <w:sz w:val="20"/>
      <w:szCs w:val="21"/>
    </w:rPr>
  </w:style>
  <w:style w:type="character" w:styleId="972">
    <w:name w:val="文档结构图 Char"/>
    <w:next w:val="972"/>
    <w:link w:val="971"/>
    <w:semiHidden/>
    <w:rPr>
      <w:rFonts w:ascii="Times New Roman" w:hAnsi="Times New Roman" w:eastAsia="宋体" w:cs="Times New Roman"/>
      <w:szCs w:val="21"/>
      <w:shd w:val="clear" w:color="auto" w:fill="000080"/>
    </w:rPr>
  </w:style>
  <w:style w:type="paragraph" w:styleId="973">
    <w:name w:val="批注文字"/>
    <w:basedOn w:val="946"/>
    <w:next w:val="973"/>
    <w:link w:val="974"/>
    <w:unhideWhenUsed/>
    <w:pPr>
      <w:jc w:val="left"/>
    </w:pPr>
  </w:style>
  <w:style w:type="character" w:styleId="974">
    <w:name w:val="批注文字 Char"/>
    <w:basedOn w:val="956"/>
    <w:next w:val="974"/>
    <w:link w:val="973"/>
    <w:uiPriority w:val="99"/>
    <w:semiHidden/>
  </w:style>
  <w:style w:type="paragraph" w:styleId="975">
    <w:name w:val="正文文本 3"/>
    <w:basedOn w:val="946"/>
    <w:next w:val="975"/>
    <w:link w:val="976"/>
    <w:rPr>
      <w:rFonts w:ascii="仿宋_GB2312" w:hAnsi="Arial" w:eastAsia="仿宋_GB2312"/>
      <w:sz w:val="32"/>
      <w:szCs w:val="32"/>
    </w:rPr>
  </w:style>
  <w:style w:type="character" w:styleId="976">
    <w:name w:val="正文文本 3 Char"/>
    <w:next w:val="976"/>
    <w:link w:val="975"/>
    <w:rPr>
      <w:rFonts w:ascii="仿宋_GB2312" w:hAnsi="Arial" w:eastAsia="仿宋_GB2312" w:cs="Times New Roman"/>
      <w:sz w:val="32"/>
      <w:szCs w:val="32"/>
    </w:rPr>
  </w:style>
  <w:style w:type="paragraph" w:styleId="977">
    <w:name w:val="正文文本"/>
    <w:basedOn w:val="946"/>
    <w:next w:val="977"/>
    <w:link w:val="978"/>
    <w:rPr>
      <w:rFonts w:ascii="楷体_GB2312" w:hAnsi="Arial" w:eastAsia="楷体_GB2312"/>
      <w:sz w:val="28"/>
      <w:szCs w:val="28"/>
    </w:rPr>
  </w:style>
  <w:style w:type="character" w:styleId="978">
    <w:name w:val="正文文本 Char"/>
    <w:next w:val="978"/>
    <w:link w:val="977"/>
    <w:rPr>
      <w:rFonts w:ascii="楷体_GB2312" w:hAnsi="Arial" w:eastAsia="楷体_GB2312" w:cs="Times New Roman"/>
      <w:sz w:val="28"/>
      <w:szCs w:val="28"/>
    </w:rPr>
  </w:style>
  <w:style w:type="paragraph" w:styleId="979">
    <w:name w:val="正文文本缩进"/>
    <w:basedOn w:val="946"/>
    <w:next w:val="979"/>
    <w:link w:val="980"/>
    <w:unhideWhenUsed/>
    <w:pPr>
      <w:ind w:left="420"/>
      <w:spacing w:after="120"/>
    </w:pPr>
  </w:style>
  <w:style w:type="character" w:styleId="980">
    <w:name w:val="正文文本缩进 Char"/>
    <w:basedOn w:val="956"/>
    <w:next w:val="980"/>
    <w:link w:val="979"/>
    <w:uiPriority w:val="99"/>
    <w:semiHidden/>
  </w:style>
  <w:style w:type="paragraph" w:styleId="981">
    <w:name w:val="列表 2"/>
    <w:basedOn w:val="946"/>
    <w:next w:val="981"/>
    <w:link w:val="946"/>
    <w:pPr>
      <w:ind w:left="100" w:hanging="200"/>
    </w:pPr>
    <w:rPr>
      <w:rFonts w:ascii="Times New Roman" w:hAnsi="Times New Roman" w:eastAsia="宋体" w:cs="Times New Roman"/>
      <w:szCs w:val="21"/>
    </w:rPr>
  </w:style>
  <w:style w:type="paragraph" w:styleId="982">
    <w:name w:val="目录 5"/>
    <w:basedOn w:val="946"/>
    <w:next w:val="946"/>
    <w:link w:val="946"/>
    <w:semiHidden/>
    <w:pPr>
      <w:ind w:left="840"/>
      <w:jc w:val="left"/>
    </w:pPr>
    <w:rPr>
      <w:rFonts w:ascii="Times New Roman" w:hAnsi="Times New Roman" w:eastAsia="宋体" w:cs="Times New Roman"/>
      <w:szCs w:val="21"/>
    </w:rPr>
  </w:style>
  <w:style w:type="paragraph" w:styleId="983">
    <w:name w:val="目录 3"/>
    <w:basedOn w:val="946"/>
    <w:next w:val="946"/>
    <w:link w:val="946"/>
    <w:semiHidden/>
    <w:pPr>
      <w:ind w:left="420"/>
      <w:jc w:val="left"/>
    </w:pPr>
    <w:rPr>
      <w:rFonts w:ascii="Times New Roman" w:hAnsi="Times New Roman" w:eastAsia="宋体" w:cs="Times New Roman"/>
      <w:i/>
      <w:iCs/>
      <w:szCs w:val="24"/>
    </w:rPr>
  </w:style>
  <w:style w:type="paragraph" w:styleId="984">
    <w:name w:val="纯文本"/>
    <w:basedOn w:val="946"/>
    <w:next w:val="984"/>
    <w:link w:val="985"/>
    <w:rPr>
      <w:rFonts w:ascii="宋体" w:hAnsi="Courier New"/>
      <w:sz w:val="20"/>
      <w:szCs w:val="21"/>
    </w:rPr>
  </w:style>
  <w:style w:type="character" w:styleId="985">
    <w:name w:val="纯文本 Char"/>
    <w:next w:val="985"/>
    <w:link w:val="984"/>
    <w:rPr>
      <w:rFonts w:ascii="宋体" w:hAnsi="Courier New" w:eastAsia="宋体" w:cs="Courier New"/>
      <w:szCs w:val="21"/>
    </w:rPr>
  </w:style>
  <w:style w:type="paragraph" w:styleId="986">
    <w:name w:val="目录 8"/>
    <w:basedOn w:val="946"/>
    <w:next w:val="946"/>
    <w:link w:val="946"/>
    <w:semiHidden/>
    <w:pPr>
      <w:ind w:left="1470"/>
      <w:jc w:val="left"/>
    </w:pPr>
    <w:rPr>
      <w:rFonts w:ascii="Times New Roman" w:hAnsi="Times New Roman" w:eastAsia="宋体" w:cs="Times New Roman"/>
      <w:szCs w:val="21"/>
    </w:rPr>
  </w:style>
  <w:style w:type="paragraph" w:styleId="987">
    <w:name w:val="日期"/>
    <w:basedOn w:val="946"/>
    <w:next w:val="946"/>
    <w:link w:val="988"/>
    <w:rPr>
      <w:rFonts w:ascii="Times New Roman" w:hAnsi="Times New Roman"/>
      <w:sz w:val="24"/>
      <w:szCs w:val="24"/>
    </w:rPr>
  </w:style>
  <w:style w:type="character" w:styleId="988">
    <w:name w:val="日期 Char"/>
    <w:next w:val="988"/>
    <w:link w:val="987"/>
    <w:rPr>
      <w:rFonts w:ascii="Times New Roman" w:hAnsi="Times New Roman" w:eastAsia="宋体" w:cs="Times New Roman"/>
      <w:sz w:val="24"/>
      <w:szCs w:val="24"/>
    </w:rPr>
  </w:style>
  <w:style w:type="paragraph" w:styleId="989">
    <w:name w:val="正文文本缩进 2"/>
    <w:basedOn w:val="946"/>
    <w:next w:val="989"/>
    <w:link w:val="990"/>
    <w:pPr>
      <w:ind w:left="630" w:firstLine="645"/>
    </w:pPr>
    <w:rPr>
      <w:rFonts w:ascii="Arial" w:hAnsi="Arial" w:eastAsia="仿宋_GB2312"/>
      <w:sz w:val="32"/>
      <w:szCs w:val="32"/>
    </w:rPr>
  </w:style>
  <w:style w:type="character" w:styleId="990">
    <w:name w:val="正文文本缩进 2 Char"/>
    <w:next w:val="990"/>
    <w:link w:val="989"/>
    <w:rPr>
      <w:rFonts w:ascii="Arial" w:hAnsi="Arial" w:eastAsia="仿宋_GB2312" w:cs="Arial"/>
      <w:sz w:val="32"/>
      <w:szCs w:val="32"/>
    </w:rPr>
  </w:style>
  <w:style w:type="paragraph" w:styleId="991">
    <w:name w:val="批注框文本"/>
    <w:basedOn w:val="946"/>
    <w:next w:val="991"/>
    <w:link w:val="992"/>
    <w:semiHidden/>
    <w:rPr>
      <w:rFonts w:ascii="Times New Roman" w:hAnsi="Times New Roman"/>
      <w:sz w:val="18"/>
      <w:szCs w:val="18"/>
    </w:rPr>
  </w:style>
  <w:style w:type="character" w:styleId="992">
    <w:name w:val="批注框文本 Char"/>
    <w:next w:val="992"/>
    <w:link w:val="991"/>
    <w:semiHidden/>
    <w:rPr>
      <w:rFonts w:ascii="Times New Roman" w:hAnsi="Times New Roman" w:eastAsia="宋体" w:cs="Times New Roman"/>
      <w:sz w:val="18"/>
      <w:szCs w:val="18"/>
    </w:rPr>
  </w:style>
  <w:style w:type="paragraph" w:styleId="993">
    <w:name w:val="页脚"/>
    <w:basedOn w:val="946"/>
    <w:next w:val="993"/>
    <w:link w:val="994"/>
    <w:uiPriority w:val="99"/>
    <w:pPr>
      <w:jc w:val="left"/>
      <w:tabs>
        <w:tab w:val="center" w:pos="4153" w:leader="none"/>
        <w:tab w:val="right" w:pos="8306" w:leader="none"/>
      </w:tabs>
    </w:pPr>
    <w:rPr>
      <w:rFonts w:ascii="Times New Roman" w:hAnsi="Times New Roman"/>
      <w:sz w:val="18"/>
      <w:szCs w:val="18"/>
    </w:rPr>
  </w:style>
  <w:style w:type="character" w:styleId="994">
    <w:name w:val="页脚 Char"/>
    <w:next w:val="994"/>
    <w:link w:val="993"/>
    <w:uiPriority w:val="99"/>
    <w:rPr>
      <w:rFonts w:ascii="Times New Roman" w:hAnsi="Times New Roman" w:eastAsia="宋体" w:cs="Times New Roman"/>
      <w:sz w:val="18"/>
      <w:szCs w:val="18"/>
    </w:rPr>
  </w:style>
  <w:style w:type="paragraph" w:styleId="995">
    <w:name w:val="页眉"/>
    <w:basedOn w:val="946"/>
    <w:next w:val="995"/>
    <w:link w:val="996"/>
    <w:pPr>
      <w:jc w:val="center"/>
      <w:tabs>
        <w:tab w:val="center" w:pos="4153" w:leader="none"/>
        <w:tab w:val="right" w:pos="8306" w:leader="none"/>
      </w:tabs>
      <w:pBdr>
        <w:bottom w:val="single" w:color="000000" w:sz="6" w:space="1"/>
      </w:pBdr>
    </w:pPr>
    <w:rPr>
      <w:rFonts w:ascii="Times New Roman" w:hAnsi="Times New Roman"/>
      <w:sz w:val="18"/>
      <w:szCs w:val="18"/>
    </w:rPr>
  </w:style>
  <w:style w:type="character" w:styleId="996">
    <w:name w:val="页眉 Char"/>
    <w:next w:val="996"/>
    <w:link w:val="995"/>
    <w:rPr>
      <w:rFonts w:ascii="Times New Roman" w:hAnsi="Times New Roman" w:eastAsia="宋体" w:cs="Times New Roman"/>
      <w:sz w:val="18"/>
      <w:szCs w:val="18"/>
    </w:rPr>
  </w:style>
  <w:style w:type="paragraph" w:styleId="997">
    <w:name w:val="目录 1"/>
    <w:basedOn w:val="946"/>
    <w:next w:val="946"/>
    <w:link w:val="946"/>
    <w:semiHidden/>
    <w:pPr>
      <w:jc w:val="left"/>
      <w:spacing w:before="120" w:after="120" w:line="400" w:lineRule="exact"/>
      <w:tabs>
        <w:tab w:val="right" w:pos="8720" w:leader="dot"/>
      </w:tabs>
    </w:pPr>
    <w:rPr>
      <w:rFonts w:ascii="宋体" w:hAnsi="宋体" w:eastAsia="宋体" w:cs="Times New Roman"/>
      <w:caps/>
      <w:sz w:val="24"/>
      <w:szCs w:val="24"/>
    </w:rPr>
  </w:style>
  <w:style w:type="paragraph" w:styleId="998">
    <w:name w:val="目录 4"/>
    <w:basedOn w:val="946"/>
    <w:next w:val="946"/>
    <w:link w:val="946"/>
    <w:semiHidden/>
    <w:pPr>
      <w:ind w:left="630"/>
      <w:jc w:val="left"/>
    </w:pPr>
    <w:rPr>
      <w:rFonts w:ascii="Times New Roman" w:hAnsi="Times New Roman" w:eastAsia="宋体" w:cs="Times New Roman"/>
      <w:szCs w:val="21"/>
    </w:rPr>
  </w:style>
  <w:style w:type="paragraph" w:styleId="999">
    <w:name w:val="列表"/>
    <w:basedOn w:val="946"/>
    <w:next w:val="999"/>
    <w:link w:val="946"/>
    <w:pPr>
      <w:ind w:left="200" w:hanging="200"/>
    </w:pPr>
    <w:rPr>
      <w:rFonts w:ascii="Times New Roman" w:hAnsi="Times New Roman" w:eastAsia="宋体" w:cs="Times New Roman"/>
      <w:szCs w:val="21"/>
    </w:rPr>
  </w:style>
  <w:style w:type="paragraph" w:styleId="1000">
    <w:name w:val="目录 6"/>
    <w:basedOn w:val="946"/>
    <w:next w:val="946"/>
    <w:link w:val="946"/>
    <w:semiHidden/>
    <w:pPr>
      <w:ind w:left="1050"/>
      <w:jc w:val="left"/>
    </w:pPr>
    <w:rPr>
      <w:rFonts w:ascii="Times New Roman" w:hAnsi="Times New Roman" w:eastAsia="宋体" w:cs="Times New Roman"/>
      <w:szCs w:val="21"/>
    </w:rPr>
  </w:style>
  <w:style w:type="paragraph" w:styleId="1001">
    <w:name w:val="正文文本缩进 3"/>
    <w:basedOn w:val="946"/>
    <w:next w:val="1001"/>
    <w:link w:val="1002"/>
    <w:pPr>
      <w:ind w:left="645" w:firstLine="645"/>
    </w:pPr>
    <w:rPr>
      <w:rFonts w:ascii="Arial" w:hAnsi="Arial" w:eastAsia="仿宋_GB2312"/>
      <w:color w:val="ffff00"/>
      <w:sz w:val="32"/>
      <w:szCs w:val="32"/>
    </w:rPr>
  </w:style>
  <w:style w:type="character" w:styleId="1002">
    <w:name w:val="正文文本缩进 3 Char"/>
    <w:next w:val="1002"/>
    <w:link w:val="1001"/>
    <w:rPr>
      <w:rFonts w:ascii="Arial" w:hAnsi="Arial" w:eastAsia="仿宋_GB2312" w:cs="Arial"/>
      <w:color w:val="ffff00"/>
      <w:sz w:val="32"/>
      <w:szCs w:val="32"/>
    </w:rPr>
  </w:style>
  <w:style w:type="paragraph" w:styleId="1003">
    <w:name w:val="图表目录"/>
    <w:basedOn w:val="946"/>
    <w:next w:val="946"/>
    <w:link w:val="946"/>
    <w:semiHidden/>
    <w:pPr>
      <w:ind w:left="840" w:hanging="420"/>
    </w:pPr>
    <w:rPr>
      <w:rFonts w:ascii="Times New Roman" w:hAnsi="Times New Roman" w:eastAsia="宋体" w:cs="Times New Roman"/>
      <w:szCs w:val="21"/>
    </w:rPr>
  </w:style>
  <w:style w:type="paragraph" w:styleId="1004">
    <w:name w:val="目录 2"/>
    <w:basedOn w:val="946"/>
    <w:next w:val="946"/>
    <w:link w:val="946"/>
    <w:semiHidden/>
    <w:pPr>
      <w:ind w:left="210"/>
      <w:jc w:val="left"/>
    </w:pPr>
    <w:rPr>
      <w:rFonts w:ascii="Times New Roman" w:hAnsi="Times New Roman" w:eastAsia="宋体" w:cs="Times New Roman"/>
      <w:smallCaps/>
      <w:szCs w:val="24"/>
    </w:rPr>
  </w:style>
  <w:style w:type="paragraph" w:styleId="1005">
    <w:name w:val="目录 9"/>
    <w:basedOn w:val="946"/>
    <w:next w:val="946"/>
    <w:link w:val="946"/>
    <w:semiHidden/>
    <w:pPr>
      <w:ind w:left="1680"/>
      <w:jc w:val="left"/>
    </w:pPr>
    <w:rPr>
      <w:rFonts w:ascii="Times New Roman" w:hAnsi="Times New Roman" w:eastAsia="宋体" w:cs="Times New Roman"/>
      <w:szCs w:val="21"/>
    </w:rPr>
  </w:style>
  <w:style w:type="paragraph" w:styleId="1006">
    <w:name w:val="正文文本 2"/>
    <w:basedOn w:val="946"/>
    <w:next w:val="1006"/>
    <w:link w:val="1007"/>
    <w:pPr>
      <w:jc w:val="center"/>
      <w:widowControl/>
    </w:pPr>
    <w:rPr>
      <w:rFonts w:ascii="楷体_GB2312" w:hAnsi="Times New Roman" w:eastAsia="楷体_GB2312"/>
      <w:sz w:val="28"/>
      <w:szCs w:val="28"/>
    </w:rPr>
  </w:style>
  <w:style w:type="character" w:styleId="1007">
    <w:name w:val="正文文本 2 Char"/>
    <w:next w:val="1007"/>
    <w:link w:val="1006"/>
    <w:rPr>
      <w:rFonts w:ascii="楷体_GB2312" w:hAnsi="Times New Roman" w:eastAsia="楷体_GB2312" w:cs="Times New Roman"/>
      <w:sz w:val="28"/>
      <w:szCs w:val="28"/>
    </w:rPr>
  </w:style>
  <w:style w:type="paragraph" w:styleId="1008">
    <w:name w:val="普通(网站)"/>
    <w:basedOn w:val="946"/>
    <w:next w:val="1008"/>
    <w:link w:val="946"/>
    <w:uiPriority w:val="99"/>
    <w:pPr>
      <w:jc w:val="left"/>
      <w:spacing w:before="100" w:beforeAutospacing="1" w:after="100" w:afterAutospacing="1"/>
      <w:widowControl/>
    </w:pPr>
    <w:rPr>
      <w:rFonts w:ascii="宋体" w:hAnsi="宋体" w:eastAsia="宋体" w:cs="宋体"/>
      <w:sz w:val="24"/>
      <w:szCs w:val="24"/>
    </w:rPr>
  </w:style>
  <w:style w:type="paragraph" w:styleId="1009">
    <w:name w:val="索引 1"/>
    <w:basedOn w:val="946"/>
    <w:next w:val="946"/>
    <w:link w:val="946"/>
    <w:semiHidden/>
    <w:pPr>
      <w:spacing w:line="240" w:lineRule="atLeast"/>
    </w:pPr>
    <w:rPr>
      <w:rFonts w:ascii="Times New Roman" w:hAnsi="Times New Roman" w:eastAsia="宋体" w:cs="Times New Roman"/>
      <w:b/>
      <w:bCs/>
      <w:szCs w:val="21"/>
    </w:rPr>
  </w:style>
  <w:style w:type="paragraph" w:styleId="1010">
    <w:name w:val="批注主题"/>
    <w:basedOn w:val="973"/>
    <w:next w:val="973"/>
    <w:link w:val="1011"/>
    <w:semiHidden/>
    <w:rPr>
      <w:rFonts w:ascii="Times New Roman" w:hAnsi="Times New Roman"/>
      <w:b/>
      <w:bCs/>
      <w:sz w:val="20"/>
      <w:szCs w:val="21"/>
    </w:rPr>
  </w:style>
  <w:style w:type="character" w:styleId="1011">
    <w:name w:val="批注主题 Char"/>
    <w:next w:val="1011"/>
    <w:link w:val="1010"/>
    <w:semiHidden/>
    <w:rPr>
      <w:rFonts w:ascii="Times New Roman" w:hAnsi="Times New Roman" w:eastAsia="宋体" w:cs="Times New Roman"/>
      <w:b/>
      <w:bCs/>
      <w:szCs w:val="21"/>
    </w:rPr>
  </w:style>
  <w:style w:type="paragraph" w:styleId="1012">
    <w:name w:val="正文首行缩进"/>
    <w:basedOn w:val="946"/>
    <w:next w:val="1012"/>
    <w:link w:val="1013"/>
    <w:pPr>
      <w:ind w:firstLine="200"/>
      <w:spacing w:line="360" w:lineRule="auto"/>
    </w:pPr>
    <w:rPr>
      <w:rFonts w:ascii="仿宋_GB2312" w:hAnsi="Times New Roman" w:eastAsia="仿宋_GB2312"/>
      <w:sz w:val="30"/>
      <w:szCs w:val="30"/>
    </w:rPr>
  </w:style>
  <w:style w:type="character" w:styleId="1013">
    <w:name w:val="正文首行缩进 Char"/>
    <w:next w:val="1013"/>
    <w:link w:val="1012"/>
    <w:rPr>
      <w:rFonts w:ascii="仿宋_GB2312" w:hAnsi="Times New Roman" w:eastAsia="仿宋_GB2312" w:cs="Times New Roman"/>
      <w:sz w:val="30"/>
      <w:szCs w:val="30"/>
    </w:rPr>
  </w:style>
  <w:style w:type="paragraph" w:styleId="1014">
    <w:name w:val="正文首行缩进 2"/>
    <w:basedOn w:val="979"/>
    <w:next w:val="1014"/>
    <w:link w:val="1015"/>
    <w:pPr>
      <w:ind w:left="0" w:firstLine="420"/>
      <w:spacing w:after="0" w:line="360" w:lineRule="auto"/>
    </w:pPr>
    <w:rPr>
      <w:rFonts w:ascii="宋体" w:hAnsi="宋体"/>
      <w:sz w:val="20"/>
      <w:szCs w:val="20"/>
    </w:rPr>
  </w:style>
  <w:style w:type="character" w:styleId="1015">
    <w:name w:val="正文首行缩进 2 Char"/>
    <w:next w:val="1015"/>
    <w:link w:val="1014"/>
    <w:rPr>
      <w:rFonts w:ascii="宋体" w:hAnsi="宋体" w:eastAsia="宋体" w:cs="Times New Roman"/>
      <w:szCs w:val="20"/>
    </w:rPr>
  </w:style>
  <w:style w:type="table" w:styleId="1016">
    <w:name w:val="网格型"/>
    <w:basedOn w:val="957"/>
    <w:next w:val="1016"/>
    <w:link w:val="946"/>
    <w:pPr>
      <w:jc w:val="both"/>
      <w:widowControl w:val="off"/>
    </w:pPr>
    <w:rPr>
      <w:rFonts w:ascii="Times New Roman" w:hAnsi="Times New Roman" w:eastAsia="宋体" w:cs="Times New Roman"/>
      <w:sz w:val="20"/>
      <w:szCs w:val="20"/>
    </w:rPr>
    <w:tblPr/>
  </w:style>
  <w:style w:type="character" w:styleId="1017">
    <w:name w:val="要点"/>
    <w:next w:val="1017"/>
    <w:link w:val="946"/>
    <w:qFormat/>
    <w:rPr>
      <w:b/>
      <w:bCs/>
    </w:rPr>
  </w:style>
  <w:style w:type="character" w:styleId="1018">
    <w:name w:val="页码"/>
    <w:next w:val="1018"/>
    <w:link w:val="946"/>
  </w:style>
  <w:style w:type="character" w:styleId="1019">
    <w:name w:val="已访问的超链接"/>
    <w:next w:val="1019"/>
    <w:link w:val="946"/>
    <w:rPr>
      <w:color w:val="800080"/>
      <w:u w:val="single"/>
    </w:rPr>
  </w:style>
  <w:style w:type="character" w:styleId="1020">
    <w:name w:val="超链接"/>
    <w:next w:val="1020"/>
    <w:link w:val="946"/>
    <w:rPr>
      <w:color w:val="0000ff"/>
      <w:u w:val="single"/>
    </w:rPr>
  </w:style>
  <w:style w:type="character" w:styleId="1021">
    <w:name w:val="批注引用"/>
    <w:next w:val="1021"/>
    <w:link w:val="946"/>
    <w:semiHidden/>
    <w:rPr>
      <w:sz w:val="21"/>
      <w:szCs w:val="21"/>
    </w:rPr>
  </w:style>
  <w:style w:type="character" w:styleId="1022">
    <w:name w:val="font5 Char"/>
    <w:next w:val="1022"/>
    <w:link w:val="946"/>
    <w:rPr>
      <w:rFonts w:ascii="宋体" w:hAnsi="宋体" w:eastAsia="宋体"/>
      <w:sz w:val="28"/>
      <w:szCs w:val="28"/>
      <w:lang w:val="en-US" w:eastAsia="zh-CN" w:bidi="ar-SA"/>
    </w:rPr>
  </w:style>
  <w:style w:type="character" w:styleId="1023">
    <w:name w:val="二级目录 Char"/>
    <w:next w:val="1023"/>
    <w:link w:val="1024"/>
    <w:rPr>
      <w:b/>
      <w:sz w:val="30"/>
      <w:szCs w:val="28"/>
      <w:lang w:val="en-US" w:eastAsia="zh-CN" w:bidi="ar-SA"/>
    </w:rPr>
  </w:style>
  <w:style w:type="paragraph" w:styleId="1024">
    <w:name w:val="二级目录"/>
    <w:next w:val="946"/>
    <w:link w:val="1023"/>
    <w:pPr>
      <w:numPr>
        <w:ilvl w:val="0"/>
        <w:numId w:val="2"/>
      </w:numPr>
      <w:tabs>
        <w:tab w:val="left" w:pos="907" w:leader="none"/>
        <w:tab w:val="left" w:pos="1145" w:leader="none"/>
      </w:tabs>
      <w:outlineLvl w:val="1"/>
    </w:pPr>
    <w:rPr>
      <w:b/>
      <w:sz w:val="30"/>
      <w:szCs w:val="28"/>
      <w:lang w:val="en-US" w:eastAsia="zh-CN" w:bidi="ar-SA"/>
    </w:rPr>
  </w:style>
  <w:style w:type="character" w:styleId="1025">
    <w:name w:val="列出段落 Char,Bullet List Char,numbered Char,FooterText Char,List Paragraph1 Char,Paragraphe de liste1 Char"/>
    <w:next w:val="1025"/>
    <w:link w:val="1026"/>
    <w:rPr>
      <w:rFonts w:ascii="Calibri" w:hAnsi="Calibri"/>
      <w:sz w:val="24"/>
      <w:szCs w:val="24"/>
      <w:lang w:eastAsia="en-US" w:bidi="en-US"/>
    </w:rPr>
  </w:style>
  <w:style w:type="paragraph" w:styleId="1026">
    <w:name w:val="列出段落1"/>
    <w:basedOn w:val="946"/>
    <w:next w:val="1026"/>
    <w:link w:val="1025"/>
    <w:qFormat/>
    <w:pPr>
      <w:contextualSpacing/>
      <w:ind w:left="720"/>
      <w:jc w:val="left"/>
      <w:widowControl/>
    </w:pPr>
    <w:rPr>
      <w:sz w:val="24"/>
      <w:szCs w:val="24"/>
      <w:lang w:eastAsia="en-US" w:bidi="en-US"/>
    </w:rPr>
  </w:style>
  <w:style w:type="paragraph" w:styleId="1027">
    <w:name w:val="Body Text(ch)"/>
    <w:basedOn w:val="946"/>
    <w:next w:val="977"/>
    <w:link w:val="946"/>
    <w:pPr>
      <w:spacing w:after="120"/>
    </w:pPr>
    <w:rPr>
      <w:rFonts w:ascii="宋体" w:hAnsi="Arial" w:eastAsia="宋体" w:cs="Times New Roman"/>
      <w:bCs/>
      <w:iCs/>
      <w:szCs w:val="24"/>
    </w:rPr>
  </w:style>
  <w:style w:type="paragraph" w:styleId="1028">
    <w:name w:val="xl27"/>
    <w:basedOn w:val="946"/>
    <w:next w:val="1028"/>
    <w:link w:val="946"/>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29">
    <w:name w:val="xl26"/>
    <w:basedOn w:val="946"/>
    <w:next w:val="1029"/>
    <w:link w:val="94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30">
    <w:name w:val="Char"/>
    <w:basedOn w:val="946"/>
    <w:next w:val="1030"/>
    <w:link w:val="946"/>
    <w:pPr>
      <w:ind w:firstLine="200"/>
      <w:tabs>
        <w:tab w:val="left" w:pos="360" w:leader="none"/>
      </w:tabs>
    </w:pPr>
    <w:rPr>
      <w:rFonts w:ascii="Times New Roman" w:hAnsi="Times New Roman" w:eastAsia="宋体" w:cs="Times New Roman"/>
      <w:sz w:val="28"/>
      <w:szCs w:val="30"/>
    </w:rPr>
  </w:style>
  <w:style w:type="paragraph" w:styleId="1031">
    <w:name w:val=" Char"/>
    <w:basedOn w:val="971"/>
    <w:next w:val="1031"/>
    <w:link w:val="946"/>
    <w:rPr>
      <w:rFonts w:ascii="Tahoma" w:hAnsi="Tahoma"/>
      <w:sz w:val="24"/>
      <w:szCs w:val="24"/>
    </w:rPr>
  </w:style>
  <w:style w:type="paragraph" w:styleId="1032">
    <w:name w:val="普通正文"/>
    <w:basedOn w:val="946"/>
    <w:next w:val="1032"/>
    <w:link w:val="946"/>
    <w:pPr>
      <w:ind w:firstLine="480"/>
      <w:jc w:val="left"/>
      <w:spacing w:before="120" w:after="120" w:line="360" w:lineRule="auto"/>
    </w:pPr>
    <w:rPr>
      <w:rFonts w:ascii="Arial" w:hAnsi="Arial" w:eastAsia="宋体" w:cs="Times New Roman"/>
      <w:sz w:val="24"/>
      <w:szCs w:val="24"/>
    </w:rPr>
  </w:style>
  <w:style w:type="paragraph" w:styleId="1033">
    <w:name w:val="table_lines"/>
    <w:basedOn w:val="946"/>
    <w:next w:val="1033"/>
    <w:link w:val="946"/>
    <w:pPr>
      <w:jc w:val="left"/>
      <w:widowControl/>
    </w:pPr>
    <w:rPr>
      <w:rFonts w:ascii="Times New Roman" w:hAnsi="Times New Roman" w:eastAsia="宋体" w:cs="Times New Roman"/>
      <w:sz w:val="20"/>
      <w:szCs w:val="20"/>
      <w:lang w:val="de-DE" w:eastAsia="de-DE"/>
    </w:rPr>
  </w:style>
  <w:style w:type="paragraph" w:styleId="1034">
    <w:name w:val="附录1"/>
    <w:next w:val="1034"/>
    <w:link w:val="946"/>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1035">
    <w:name w:val="font7"/>
    <w:basedOn w:val="946"/>
    <w:next w:val="1035"/>
    <w:link w:val="946"/>
    <w:pPr>
      <w:jc w:val="left"/>
      <w:spacing w:before="100" w:beforeAutospacing="1" w:after="100" w:afterAutospacing="1"/>
      <w:widowControl/>
    </w:pPr>
    <w:rPr>
      <w:rFonts w:hint="eastAsia" w:ascii="宋体" w:hAnsi="宋体" w:eastAsia="宋体" w:cs="Times New Roman"/>
      <w:sz w:val="18"/>
      <w:szCs w:val="18"/>
    </w:rPr>
  </w:style>
  <w:style w:type="paragraph" w:styleId="1036">
    <w:name w:val=" Char Char Char Char"/>
    <w:basedOn w:val="971"/>
    <w:next w:val="1036"/>
    <w:link w:val="946"/>
    <w:pPr>
      <w:spacing w:line="360" w:lineRule="auto"/>
    </w:pPr>
    <w:rPr>
      <w:rFonts w:ascii="Tahoma" w:hAnsi="Tahoma"/>
      <w:sz w:val="24"/>
      <w:szCs w:val="24"/>
    </w:rPr>
  </w:style>
  <w:style w:type="paragraph" w:styleId="1037">
    <w:name w:val="列出段落"/>
    <w:basedOn w:val="946"/>
    <w:next w:val="1037"/>
    <w:link w:val="946"/>
    <w:qFormat/>
    <w:pPr>
      <w:contextualSpacing/>
      <w:ind w:left="720"/>
      <w:jc w:val="left"/>
      <w:widowControl/>
    </w:pPr>
    <w:rPr>
      <w:rFonts w:ascii="Calibri" w:hAnsi="Calibri" w:eastAsia="宋体" w:cs="Times New Roman"/>
      <w:sz w:val="24"/>
      <w:szCs w:val="24"/>
      <w:lang w:eastAsia="en-US" w:bidi="en-US"/>
    </w:rPr>
  </w:style>
  <w:style w:type="paragraph" w:styleId="1038">
    <w:name w:val="4"/>
    <w:basedOn w:val="946"/>
    <w:next w:val="1001"/>
    <w:link w:val="946"/>
    <w:pPr>
      <w:ind w:firstLine="420"/>
      <w:spacing w:line="360" w:lineRule="auto"/>
    </w:pPr>
    <w:rPr>
      <w:rFonts w:ascii="Times New Roman" w:hAnsi="Times New Roman" w:eastAsia="宋体" w:cs="Times New Roman"/>
      <w:color w:val="ff0000"/>
      <w:sz w:val="24"/>
      <w:szCs w:val="24"/>
    </w:rPr>
  </w:style>
  <w:style w:type="paragraph" w:styleId="1039">
    <w:name w:val="普通 (Web)"/>
    <w:basedOn w:val="946"/>
    <w:next w:val="1039"/>
    <w:link w:val="946"/>
    <w:pPr>
      <w:jc w:val="left"/>
      <w:spacing w:before="100" w:beforeAutospacing="1" w:after="100" w:afterAutospacing="1"/>
      <w:widowControl/>
    </w:pPr>
    <w:rPr>
      <w:rFonts w:ascii="宋体" w:hAnsi="宋体" w:eastAsia="宋体" w:cs="Times New Roman"/>
      <w:sz w:val="24"/>
      <w:szCs w:val="24"/>
    </w:rPr>
  </w:style>
  <w:style w:type="paragraph" w:styleId="1040">
    <w:name w:val=" Char Char Char Char Char Char Char Char Char Char"/>
    <w:basedOn w:val="946"/>
    <w:next w:val="1040"/>
    <w:link w:val="946"/>
    <w:pPr>
      <w:spacing w:line="360" w:lineRule="auto"/>
    </w:pPr>
    <w:rPr>
      <w:rFonts w:ascii="Times New Roman" w:hAnsi="Times New Roman" w:eastAsia="宋体" w:cs="Times New Roman"/>
      <w:sz w:val="24"/>
      <w:szCs w:val="20"/>
    </w:rPr>
  </w:style>
  <w:style w:type="paragraph" w:styleId="1041">
    <w:name w:val="样式1"/>
    <w:basedOn w:val="946"/>
    <w:next w:val="1041"/>
    <w:link w:val="946"/>
    <w:pPr>
      <w:numPr>
        <w:ilvl w:val="0"/>
        <w:numId w:val="3"/>
      </w:numPr>
      <w:tabs>
        <w:tab w:val="left" w:pos="709" w:leader="none"/>
      </w:tabs>
    </w:pPr>
    <w:rPr>
      <w:rFonts w:ascii="宋体" w:hAnsi="宋体" w:eastAsia="宋体" w:cs="Times New Roman"/>
      <w:szCs w:val="21"/>
    </w:rPr>
  </w:style>
  <w:style w:type="paragraph" w:styleId="1042">
    <w:name w:val="font6"/>
    <w:basedOn w:val="946"/>
    <w:next w:val="1042"/>
    <w:link w:val="946"/>
    <w:pPr>
      <w:jc w:val="left"/>
      <w:spacing w:before="100" w:beforeAutospacing="1" w:after="100" w:afterAutospacing="1"/>
      <w:widowControl/>
    </w:pPr>
    <w:rPr>
      <w:rFonts w:hint="eastAsia" w:ascii="宋体" w:hAnsi="宋体" w:eastAsia="宋体" w:cs="Times New Roman"/>
      <w:sz w:val="28"/>
      <w:szCs w:val="28"/>
      <w:u w:val="single"/>
    </w:rPr>
  </w:style>
  <w:style w:type="paragraph" w:styleId="1043">
    <w:name w:val="xl25"/>
    <w:basedOn w:val="946"/>
    <w:next w:val="1043"/>
    <w:link w:val="946"/>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44">
    <w:name w:val="图标"/>
    <w:basedOn w:val="946"/>
    <w:next w:val="946"/>
    <w:link w:val="946"/>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1045">
    <w:name w:val="标题3"/>
    <w:basedOn w:val="946"/>
    <w:next w:val="946"/>
    <w:link w:val="946"/>
    <w:pPr>
      <w:ind w:firstLine="624"/>
      <w:spacing w:line="590" w:lineRule="atLeast"/>
    </w:pPr>
    <w:rPr>
      <w:rFonts w:ascii="方正黑体_GBK" w:hAnsi="Times New Roman" w:eastAsia="方正黑体_GBK" w:cs="Times New Roman"/>
      <w:sz w:val="32"/>
      <w:szCs w:val="32"/>
    </w:rPr>
  </w:style>
  <w:style w:type="paragraph" w:styleId="1046">
    <w:name w:val="xl24"/>
    <w:basedOn w:val="946"/>
    <w:next w:val="1046"/>
    <w:link w:val="946"/>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47">
    <w:name w:val="xl29"/>
    <w:basedOn w:val="946"/>
    <w:next w:val="1047"/>
    <w:link w:val="946"/>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1048">
    <w:name w:val="Char Char Char Char Char Char Char Char"/>
    <w:basedOn w:val="946"/>
    <w:next w:val="1048"/>
    <w:link w:val="946"/>
    <w:pPr>
      <w:jc w:val="left"/>
      <w:spacing w:after="160" w:line="240" w:lineRule="exact"/>
      <w:widowControl/>
    </w:pPr>
    <w:rPr>
      <w:rFonts w:ascii="Verdana" w:hAnsi="Verdana" w:eastAsia="宋体" w:cs="Times New Roman"/>
      <w:sz w:val="20"/>
      <w:szCs w:val="20"/>
      <w:lang w:eastAsia="en-US"/>
    </w:rPr>
  </w:style>
  <w:style w:type="paragraph" w:styleId="1049">
    <w:name w:val="xl28"/>
    <w:basedOn w:val="946"/>
    <w:next w:val="1049"/>
    <w:link w:val="946"/>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1050">
    <w:name w:val=" Char Char Char Char Char Char Char Char"/>
    <w:basedOn w:val="946"/>
    <w:next w:val="1050"/>
    <w:link w:val="946"/>
    <w:pPr>
      <w:jc w:val="left"/>
      <w:spacing w:after="160" w:line="240" w:lineRule="exact"/>
      <w:widowControl/>
    </w:pPr>
    <w:rPr>
      <w:rFonts w:ascii="Verdana" w:hAnsi="Verdana" w:eastAsia="宋体" w:cs="Times New Roman"/>
      <w:sz w:val="20"/>
      <w:szCs w:val="20"/>
      <w:lang w:eastAsia="en-US"/>
    </w:rPr>
  </w:style>
  <w:style w:type="paragraph" w:styleId="1051">
    <w:name w:val="xl30"/>
    <w:basedOn w:val="946"/>
    <w:next w:val="1051"/>
    <w:link w:val="946"/>
    <w:pPr>
      <w:jc w:val="center"/>
      <w:spacing w:before="100" w:beforeAutospacing="1" w:after="100" w:afterAutospacing="1"/>
      <w:widowControl/>
    </w:pPr>
    <w:rPr>
      <w:rFonts w:ascii="宋体" w:hAnsi="宋体" w:eastAsia="宋体" w:cs="Times New Roman"/>
      <w:b/>
      <w:bCs/>
      <w:sz w:val="36"/>
      <w:szCs w:val="36"/>
    </w:rPr>
  </w:style>
  <w:style w:type="paragraph" w:styleId="1052">
    <w:name w:val="Char Char Char Char"/>
    <w:basedOn w:val="971"/>
    <w:next w:val="1052"/>
    <w:link w:val="946"/>
    <w:pPr>
      <w:spacing w:line="360" w:lineRule="auto"/>
    </w:pPr>
    <w:rPr>
      <w:rFonts w:ascii="Tahoma" w:hAnsi="Tahoma"/>
      <w:sz w:val="24"/>
      <w:szCs w:val="24"/>
    </w:rPr>
  </w:style>
  <w:style w:type="paragraph" w:styleId="1053">
    <w:name w:val="table_1stline"/>
    <w:basedOn w:val="946"/>
    <w:next w:val="1053"/>
    <w:link w:val="946"/>
    <w:pPr>
      <w:jc w:val="left"/>
      <w:spacing w:before="120"/>
      <w:widowControl/>
    </w:pPr>
    <w:rPr>
      <w:rFonts w:ascii="Times New Roman" w:hAnsi="Times New Roman" w:eastAsia="宋体" w:cs="Times New Roman"/>
      <w:bCs/>
      <w:sz w:val="20"/>
      <w:szCs w:val="20"/>
      <w:lang w:val="de-DE" w:eastAsia="de-DE"/>
    </w:rPr>
  </w:style>
  <w:style w:type="paragraph" w:styleId="1054">
    <w:name w:val="font5"/>
    <w:basedOn w:val="946"/>
    <w:next w:val="1054"/>
    <w:link w:val="946"/>
    <w:pPr>
      <w:jc w:val="left"/>
      <w:spacing w:before="100" w:beforeAutospacing="1" w:after="100" w:afterAutospacing="1"/>
      <w:widowControl/>
    </w:pPr>
    <w:rPr>
      <w:rFonts w:hint="eastAsia" w:ascii="宋体" w:hAnsi="宋体" w:eastAsia="宋体" w:cs="Times New Roman"/>
      <w:sz w:val="28"/>
      <w:szCs w:val="28"/>
    </w:rPr>
  </w:style>
  <w:style w:type="paragraph" w:styleId="1055">
    <w:name w:val="标题1"/>
    <w:basedOn w:val="946"/>
    <w:next w:val="946"/>
    <w:link w:val="946"/>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1056">
    <w:name w:val="修订"/>
    <w:next w:val="1056"/>
    <w:link w:val="946"/>
    <w:uiPriority w:val="99"/>
    <w:semiHidden/>
    <w:rPr>
      <w:rFonts w:ascii="Times New Roman" w:hAnsi="Times New Roman"/>
      <w:sz w:val="21"/>
      <w:szCs w:val="21"/>
      <w:lang w:val="en-US" w:eastAsia="zh-CN" w:bidi="ar-SA"/>
    </w:rPr>
  </w:style>
  <w:style w:type="paragraph" w:styleId="1057">
    <w:name w:val="无间隔"/>
    <w:next w:val="1057"/>
    <w:link w:val="946"/>
    <w:uiPriority w:val="99"/>
    <w:qFormat/>
    <w:pPr>
      <w:jc w:val="both"/>
      <w:widowControl w:val="off"/>
    </w:pPr>
    <w:rPr>
      <w:rFonts w:ascii="Times New Roman" w:hAnsi="Times New Roman"/>
      <w:sz w:val="21"/>
      <w:szCs w:val="21"/>
      <w:lang w:val="en-US" w:eastAsia="zh-CN" w:bidi="ar-SA"/>
    </w:rPr>
  </w:style>
  <w:style w:type="paragraph" w:styleId="1058">
    <w:name w:val="正文文本13"/>
    <w:next w:val="1059"/>
    <w:link w:val="946"/>
    <w:qFormat/>
    <w:pPr>
      <w:jc w:val="both"/>
      <w:widowControl w:val="off"/>
    </w:pPr>
    <w:rPr>
      <w:rFonts w:ascii="Times New Roman" w:hAnsi="Times New Roman" w:eastAsia="宋体" w:cs="Times New Roman"/>
      <w:sz w:val="21"/>
      <w:szCs w:val="24"/>
      <w:lang w:val="en-US" w:eastAsia="zh-CN" w:bidi="ar-SA"/>
    </w:rPr>
  </w:style>
  <w:style w:type="paragraph" w:styleId="1059">
    <w:name w:val="一级条标题"/>
    <w:basedOn w:val="1060"/>
    <w:next w:val="946"/>
    <w:link w:val="946"/>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1060">
    <w:name w:val="章标题"/>
    <w:next w:val="1061"/>
    <w:link w:val="946"/>
    <w:qFormat/>
    <w:pPr>
      <w:ind w:left="810" w:hanging="810"/>
      <w:jc w:val="both"/>
      <w:spacing w:before="50" w:after="50"/>
      <w:tabs>
        <w:tab w:val="left" w:pos="810" w:leader="none"/>
        <w:tab w:val="left" w:pos="1265" w:leader="none"/>
      </w:tabs>
      <w:outlineLvl w:val="1"/>
    </w:pPr>
    <w:rPr>
      <w:rFonts w:ascii="黑体" w:hAnsi="Times New Roman" w:eastAsia="黑体" w:cs="Times New Roman"/>
      <w:sz w:val="21"/>
      <w:szCs w:val="22"/>
      <w:lang w:val="en-US" w:eastAsia="zh-CN" w:bidi="ar-SA"/>
    </w:rPr>
  </w:style>
  <w:style w:type="paragraph" w:styleId="1061">
    <w:name w:val="正文1"/>
    <w:basedOn w:val="1062"/>
    <w:next w:val="1079"/>
    <w:link w:val="946"/>
    <w:qFormat/>
    <w:pPr>
      <w:ind w:firstLine="361"/>
      <w:spacing w:line="360" w:lineRule="auto"/>
    </w:pPr>
    <w:rPr>
      <w:rFonts w:ascii="宋体" w:hAnsi="宋体" w:eastAsia="仿宋_GB2312"/>
      <w:sz w:val="24"/>
    </w:rPr>
  </w:style>
  <w:style w:type="paragraph" w:styleId="1062">
    <w:name w:val="正文111"/>
    <w:next w:val="1063"/>
    <w:link w:val="946"/>
    <w:qFormat/>
    <w:pPr>
      <w:jc w:val="both"/>
      <w:widowControl w:val="off"/>
    </w:pPr>
    <w:rPr>
      <w:rFonts w:ascii="Times New Roman" w:hAnsi="Times New Roman" w:eastAsia="宋体" w:cs="Times New Roman"/>
      <w:sz w:val="21"/>
      <w:szCs w:val="24"/>
      <w:lang w:val="en-US" w:eastAsia="zh-CN" w:bidi="ar-SA"/>
    </w:rPr>
  </w:style>
  <w:style w:type="paragraph" w:styleId="1063">
    <w:name w:val="正文首行缩进1"/>
    <w:basedOn w:val="1064"/>
    <w:next w:val="1076"/>
    <w:link w:val="946"/>
    <w:qFormat/>
    <w:pPr>
      <w:ind w:firstLine="200"/>
      <w:spacing w:line="360" w:lineRule="auto"/>
    </w:pPr>
    <w:rPr>
      <w:rFonts w:ascii="仿宋_GB2312" w:eastAsia="仿宋_GB2312"/>
      <w:sz w:val="30"/>
      <w:szCs w:val="30"/>
    </w:rPr>
  </w:style>
  <w:style w:type="paragraph" w:styleId="1064">
    <w:name w:val="正文文本11"/>
    <w:basedOn w:val="1065"/>
    <w:next w:val="1066"/>
    <w:link w:val="946"/>
    <w:qFormat/>
    <w:pPr>
      <w:spacing w:after="120"/>
    </w:pPr>
  </w:style>
  <w:style w:type="paragraph" w:styleId="1065">
    <w:name w:val="正文112"/>
    <w:next w:val="1064"/>
    <w:link w:val="946"/>
    <w:qFormat/>
    <w:pPr>
      <w:jc w:val="both"/>
      <w:widowControl w:val="off"/>
    </w:pPr>
    <w:rPr>
      <w:rFonts w:ascii="Times New Roman" w:hAnsi="Times New Roman" w:eastAsia="宋体" w:cs="Times New Roman"/>
      <w:sz w:val="21"/>
      <w:szCs w:val="24"/>
      <w:lang w:val="en-US" w:eastAsia="zh-CN" w:bidi="ar-SA"/>
    </w:rPr>
  </w:style>
  <w:style w:type="paragraph" w:styleId="1066">
    <w:name w:val="正文11"/>
    <w:next w:val="1067"/>
    <w:link w:val="946"/>
    <w:qFormat/>
    <w:pPr>
      <w:jc w:val="both"/>
    </w:pPr>
    <w:rPr>
      <w:rFonts w:ascii="Times New Roman" w:hAnsi="Times New Roman" w:eastAsia="宋体" w:cs="Times New Roman"/>
      <w:lang w:val="en-US" w:eastAsia="zh-CN" w:bidi="ar-SA"/>
    </w:rPr>
  </w:style>
  <w:style w:type="paragraph" w:styleId="1067">
    <w:name w:val="正文首行缩进11"/>
    <w:basedOn w:val="1068"/>
    <w:next w:val="1070"/>
    <w:link w:val="946"/>
    <w:qFormat/>
    <w:pPr>
      <w:ind w:firstLine="420"/>
    </w:pPr>
    <w:rPr>
      <w:rFonts w:ascii="仿宋_GB2312" w:eastAsia="仿宋_GB2312"/>
      <w:sz w:val="30"/>
      <w:szCs w:val="30"/>
    </w:rPr>
  </w:style>
  <w:style w:type="paragraph" w:styleId="1068">
    <w:name w:val="正文文本1"/>
    <w:basedOn w:val="1069"/>
    <w:next w:val="1059"/>
    <w:link w:val="946"/>
    <w:qFormat/>
    <w:pPr>
      <w:spacing w:after="120"/>
    </w:pPr>
  </w:style>
  <w:style w:type="paragraph" w:styleId="1069">
    <w:name w:val="正文13"/>
    <w:next w:val="1063"/>
    <w:link w:val="946"/>
    <w:qFormat/>
    <w:pPr>
      <w:jc w:val="both"/>
      <w:widowControl w:val="off"/>
    </w:pPr>
    <w:rPr>
      <w:rFonts w:ascii="Times New Roman" w:hAnsi="Times New Roman" w:eastAsia="宋体" w:cs="Times New Roman"/>
      <w:sz w:val="21"/>
      <w:szCs w:val="24"/>
      <w:lang w:val="en-US" w:eastAsia="zh-CN" w:bidi="ar-SA"/>
    </w:rPr>
  </w:style>
  <w:style w:type="paragraph" w:styleId="1070">
    <w:name w:val="正文首行缩进 211"/>
    <w:basedOn w:val="1071"/>
    <w:next w:val="1070"/>
    <w:link w:val="946"/>
    <w:uiPriority w:val="99"/>
    <w:qFormat/>
    <w:pPr>
      <w:ind w:left="0" w:firstLine="420"/>
      <w:spacing w:after="0" w:line="360" w:lineRule="auto"/>
    </w:pPr>
    <w:rPr>
      <w:rFonts w:ascii="宋体" w:hAnsi="宋体"/>
    </w:rPr>
  </w:style>
  <w:style w:type="paragraph" w:styleId="1071">
    <w:name w:val="正文文本缩进11"/>
    <w:basedOn w:val="1072"/>
    <w:next w:val="1075"/>
    <w:link w:val="946"/>
    <w:uiPriority w:val="99"/>
    <w:qFormat/>
    <w:pPr>
      <w:ind w:left="420"/>
      <w:spacing w:after="120"/>
    </w:pPr>
  </w:style>
  <w:style w:type="paragraph" w:styleId="1072">
    <w:name w:val="正文12"/>
    <w:next w:val="1073"/>
    <w:link w:val="946"/>
    <w:qFormat/>
    <w:pPr>
      <w:ind w:firstLine="723"/>
      <w:jc w:val="both"/>
      <w:spacing w:line="360" w:lineRule="auto"/>
      <w:widowControl w:val="off"/>
    </w:pPr>
    <w:rPr>
      <w:rFonts w:ascii="Times New Roman" w:hAnsi="Times New Roman" w:eastAsia="宋体" w:cs="Times New Roman"/>
      <w:sz w:val="24"/>
      <w:szCs w:val="24"/>
      <w:lang w:val="en-US" w:eastAsia="zh-CN" w:bidi="ar-SA"/>
    </w:rPr>
  </w:style>
  <w:style w:type="paragraph" w:styleId="1073">
    <w:name w:val="正文文本111"/>
    <w:basedOn w:val="1074"/>
    <w:next w:val="1072"/>
    <w:link w:val="946"/>
    <w:qFormat/>
  </w:style>
  <w:style w:type="paragraph" w:styleId="1074">
    <w:name w:val="正文1121"/>
    <w:next w:val="1073"/>
    <w:link w:val="946"/>
    <w:qFormat/>
    <w:pPr>
      <w:jc w:val="both"/>
      <w:widowControl w:val="off"/>
    </w:pPr>
    <w:rPr>
      <w:rFonts w:ascii="Calibri" w:hAnsi="Calibri" w:eastAsia="宋体" w:cs="Times New Roman"/>
      <w:sz w:val="21"/>
      <w:szCs w:val="24"/>
      <w:lang w:val="en-US" w:eastAsia="zh-CN" w:bidi="ar-SA"/>
    </w:rPr>
  </w:style>
  <w:style w:type="paragraph" w:styleId="1075">
    <w:name w:val="寄信人地址11"/>
    <w:basedOn w:val="946"/>
    <w:next w:val="1075"/>
    <w:link w:val="946"/>
    <w:qFormat/>
    <w:rPr>
      <w:rFonts w:ascii="Arial" w:hAnsi="Arial"/>
    </w:rPr>
  </w:style>
  <w:style w:type="paragraph" w:styleId="1076">
    <w:name w:val="正文首行缩进 21"/>
    <w:basedOn w:val="1077"/>
    <w:next w:val="1076"/>
    <w:link w:val="946"/>
    <w:qFormat/>
    <w:pPr>
      <w:ind w:left="420" w:firstLine="420"/>
      <w:spacing w:after="120"/>
      <w:widowControl/>
    </w:pPr>
    <w:rPr>
      <w:rFonts w:ascii="仿宋_GB2312" w:eastAsia="仿宋_GB2312"/>
      <w:color w:val="ff6600"/>
      <w:sz w:val="21"/>
    </w:rPr>
  </w:style>
  <w:style w:type="paragraph" w:styleId="1077">
    <w:name w:val="正文文本缩进1"/>
    <w:basedOn w:val="1066"/>
    <w:next w:val="1078"/>
    <w:link w:val="946"/>
    <w:qFormat/>
    <w:pPr>
      <w:ind w:left="420"/>
      <w:spacing w:after="120"/>
    </w:pPr>
  </w:style>
  <w:style w:type="paragraph" w:styleId="1078">
    <w:name w:val="寄信人地址1"/>
    <w:basedOn w:val="1066"/>
    <w:next w:val="1078"/>
    <w:link w:val="946"/>
    <w:qFormat/>
    <w:rPr>
      <w:rFonts w:ascii="Arial" w:hAnsi="Arial"/>
    </w:rPr>
  </w:style>
  <w:style w:type="paragraph" w:styleId="1079">
    <w:name w:val="目录 11"/>
    <w:basedOn w:val="1065"/>
    <w:next w:val="1061"/>
    <w:link w:val="946"/>
    <w:qFormat/>
  </w:style>
  <w:style w:type="paragraph" w:styleId="1080">
    <w:name w:val="普通(网站)13"/>
    <w:next w:val="1080"/>
    <w:link w:val="946"/>
    <w:qFormat/>
    <w:pPr>
      <w:ind w:left="0" w:right="0"/>
      <w:jc w:val="left"/>
      <w:spacing w:before="100" w:beforeAutospacing="1" w:after="100" w:afterAutospacing="1"/>
      <w:widowControl w:val="off"/>
    </w:pPr>
    <w:rPr>
      <w:rFonts w:ascii="Times New Roman" w:hAnsi="Times New Roman" w:eastAsia="宋体" w:cs="Times New Roman"/>
      <w:sz w:val="24"/>
      <w:szCs w:val="24"/>
      <w:lang w:val="en-US" w:eastAsia="zh-CN" w:bidi="ar-SA"/>
    </w:rPr>
  </w:style>
  <w:style w:type="character" w:styleId="1081">
    <w:name w:val="font11"/>
    <w:basedOn w:val="956"/>
    <w:next w:val="1081"/>
    <w:link w:val="946"/>
    <w:qFormat/>
    <w:rPr>
      <w:rFonts w:hint="eastAsia" w:ascii="等线" w:hAnsi="等线" w:eastAsia="等线" w:cs="等线"/>
      <w:b/>
      <w:bCs/>
      <w:color w:val="000000"/>
      <w:sz w:val="22"/>
      <w:szCs w:val="22"/>
      <w:u w:val="none"/>
    </w:rPr>
  </w:style>
  <w:style w:type="character" w:styleId="1082">
    <w:name w:val="font01"/>
    <w:basedOn w:val="956"/>
    <w:next w:val="1082"/>
    <w:link w:val="946"/>
    <w:qFormat/>
    <w:rPr>
      <w:rFonts w:hint="eastAsia" w:ascii="等线" w:hAnsi="等线" w:eastAsia="等线" w:cs="等线"/>
      <w:color w:val="000000"/>
      <w:sz w:val="22"/>
      <w:szCs w:val="22"/>
      <w:u w:val="none"/>
    </w:rPr>
  </w:style>
  <w:style w:type="paragraph" w:styleId="1083">
    <w:name w:val="正文（缩进）"/>
    <w:next w:val="1083"/>
    <w:link w:val="946"/>
    <w:qFormat/>
    <w:pPr>
      <w:ind w:firstLine="480"/>
      <w:jc w:val="both"/>
      <w:widowControl w:val="off"/>
    </w:pPr>
    <w:rPr>
      <w:rFonts w:ascii="Times New Roman" w:hAnsi="Times New Roman" w:eastAsia="宋体" w:cs="Times New Roman"/>
      <w:sz w:val="21"/>
      <w:szCs w:val="22"/>
      <w:lang w:val="en-US" w:eastAsia="zh-CN" w:bidi="ar-SA"/>
    </w:rPr>
  </w:style>
  <w:style w:type="paragraph" w:styleId="1084">
    <w:name w:val="List Paragraph"/>
    <w:basedOn w:val="946"/>
    <w:next w:val="1084"/>
    <w:link w:val="946"/>
    <w:uiPriority w:val="34"/>
    <w:qFormat/>
    <w:pPr>
      <w:ind w:firstLine="420"/>
    </w:pPr>
  </w:style>
  <w:style w:type="character" w:styleId="1085" w:default="1">
    <w:name w:val="Default Paragraph Font"/>
    <w:uiPriority w:val="1"/>
    <w:semiHidden/>
    <w:unhideWhenUsed/>
  </w:style>
  <w:style w:type="numbering" w:styleId="1086" w:default="1">
    <w:name w:val="No List"/>
    <w:uiPriority w:val="99"/>
    <w:semiHidden/>
    <w:unhideWhenUsed/>
  </w:style>
  <w:style w:type="table" w:styleId="1087"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GwW</dc:creator>
  <cp:lastModifiedBy>单婧闻</cp:lastModifiedBy>
  <cp:revision>5</cp:revision>
  <dcterms:created xsi:type="dcterms:W3CDTF">2023-12-07T06:21:00Z</dcterms:created>
  <dcterms:modified xsi:type="dcterms:W3CDTF">2026-08-05T08:14:50Z</dcterms:modified>
</cp:coreProperties>
</file>