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color w:val="auto"/>
          <w:highlight w:val="none"/>
        </w:rPr>
      </w:pPr>
      <w:r>
        <w:rPr>
          <w:color w:val="auto"/>
          <w:highlight w:val="none"/>
        </w:rPr>
      </w:r>
      <w:r/>
    </w:p>
    <w:p>
      <w:pPr>
        <w:rPr>
          <w:color w:val="auto"/>
          <w:highlight w:val="none"/>
        </w:rPr>
      </w:pPr>
      <w:r>
        <w:rPr>
          <w:color w:val="auto"/>
          <w:highlight w:val="none"/>
        </w:rPr>
      </w:r>
      <w:r/>
    </w:p>
    <w:p>
      <w:pPr>
        <w:pStyle w:val="774"/>
        <w:rPr>
          <w:color w:val="auto"/>
          <w:highlight w:val="none"/>
        </w:rPr>
      </w:pPr>
      <w:r>
        <w:rPr>
          <w:color w:val="auto"/>
          <w:highlight w:val="none"/>
        </w:rPr>
      </w:r>
      <w:r/>
    </w:p>
    <w:p>
      <w:pPr>
        <w:pStyle w:val="1013"/>
        <w:rPr>
          <w:color w:val="auto"/>
          <w:highlight w:val="none"/>
        </w:rPr>
      </w:pPr>
      <w:r>
        <w:rPr>
          <w:color w:val="auto"/>
          <w:highlight w:val="none"/>
        </w:rPr>
      </w:r>
      <w:r/>
    </w:p>
    <w:p>
      <w:pPr>
        <w:pStyle w:val="1015"/>
        <w:rPr>
          <w:rFonts w:hint="default" w:eastAsia="宋体"/>
          <w:color w:val="auto"/>
          <w:highlight w:val="none"/>
          <w:lang w:val="en-US" w:eastAsia="zh-CN"/>
        </w:rPr>
      </w:pPr>
      <w:r>
        <w:rPr>
          <w:rFonts w:hint="eastAsia"/>
          <w:color w:val="auto"/>
          <w:highlight w:val="none"/>
          <w:lang w:val="en-US" w:eastAsia="zh-CN"/>
        </w:rPr>
        <w:t xml:space="preserve">  </w:t>
      </w:r>
      <w:r/>
    </w:p>
    <w:p>
      <w:pPr>
        <w:ind w:firstLine="320"/>
        <w:jc w:val="right"/>
        <w:rPr>
          <w:color w:val="auto"/>
          <w:highlight w:val="none"/>
        </w:rPr>
      </w:pPr>
      <w:r>
        <w:rPr>
          <w:rFonts w:hint="eastAsia" w:ascii="仿宋" w:hAnsi="仿宋" w:eastAsia="仿宋" w:cs="仿宋"/>
          <w:color w:val="auto"/>
          <w:sz w:val="32"/>
          <w:highlight w:val="none"/>
        </w:rPr>
        <w:t xml:space="preserve">           </w:t>
      </w:r>
      <w:r/>
    </w:p>
    <w:p>
      <w:pPr>
        <w:jc w:val="center"/>
        <w:rPr>
          <w:rFonts w:ascii="宋体" w:hAnsi="宋体"/>
          <w:b/>
          <w:color w:val="auto"/>
          <w:spacing w:val="76"/>
          <w:sz w:val="96"/>
          <w:szCs w:val="22"/>
          <w:highlight w:val="none"/>
        </w:rPr>
      </w:pPr>
      <w:r>
        <w:rPr>
          <w:rFonts w:hint="eastAsia" w:ascii="宋体" w:hAnsi="宋体" w:cs="宋体"/>
          <w:color w:val="auto"/>
          <w:spacing w:val="76"/>
          <w:sz w:val="144"/>
          <w:highlight w:val="none"/>
        </w:rPr>
        <w:t xml:space="preserve">招标文</w:t>
      </w:r>
      <w:bookmarkStart w:id="34" w:name="_GoBack"/>
      <w:r/>
      <w:bookmarkEnd w:id="34"/>
      <w:r>
        <w:rPr>
          <w:rFonts w:hint="eastAsia" w:ascii="宋体" w:hAnsi="宋体" w:cs="宋体"/>
          <w:color w:val="auto"/>
          <w:spacing w:val="76"/>
          <w:sz w:val="144"/>
          <w:highlight w:val="none"/>
        </w:rPr>
        <w:t xml:space="preserve">件</w:t>
      </w:r>
      <w:r/>
    </w:p>
    <w:p>
      <w:pPr>
        <w:spacing w:line="50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spacing w:line="50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spacing w:line="50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spacing w:line="50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spacing w:line="50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ind w:left="2916" w:hanging="1425"/>
        <w:spacing w:line="500" w:lineRule="exact"/>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项目名称：</w:t>
      </w:r>
      <w:bookmarkStart w:id="0" w:name="OLE_LINK16"/>
      <w:r>
        <w:rPr>
          <w:rFonts w:hint="eastAsia" w:ascii="宋体" w:hAnsi="宋体" w:cs="宋体"/>
          <w:b/>
          <w:bCs/>
          <w:color w:val="auto"/>
          <w:sz w:val="30"/>
          <w:szCs w:val="30"/>
          <w:highlight w:val="none"/>
          <w:lang w:eastAsia="zh-CN"/>
        </w:rPr>
        <w:t xml:space="preserve">铜山区2026年度“安康关爱”保险项目</w:t>
      </w:r>
      <w:bookmarkEnd w:id="0"/>
      <w:r/>
      <w:r/>
    </w:p>
    <w:p>
      <w:pPr>
        <w:ind w:firstLine="1506"/>
        <w:spacing w:line="50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项目编号：JSZC-320312-TCLB-G2026-0002</w:t>
      </w:r>
      <w:r/>
    </w:p>
    <w:p>
      <w:pPr>
        <w:ind w:firstLine="1506"/>
        <w:spacing w:line="500" w:lineRule="exact"/>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 购 人：</w:t>
      </w:r>
      <w:r>
        <w:rPr>
          <w:rFonts w:hint="eastAsia" w:ascii="宋体" w:hAnsi="宋体" w:cs="宋体"/>
          <w:b/>
          <w:bCs/>
          <w:color w:val="auto"/>
          <w:sz w:val="30"/>
          <w:szCs w:val="30"/>
          <w:highlight w:val="none"/>
          <w:lang w:eastAsia="zh-CN"/>
        </w:rPr>
        <w:t xml:space="preserve">徐州市铜山区民政局</w:t>
      </w:r>
      <w:r/>
    </w:p>
    <w:p>
      <w:pPr>
        <w:pStyle w:val="1010"/>
        <w:ind w:left="0" w:right="1470"/>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pStyle w:val="1010"/>
        <w:ind w:left="0" w:right="1470"/>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pStyle w:val="1010"/>
        <w:ind w:left="0" w:right="1470"/>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pStyle w:val="1010"/>
        <w:ind w:left="0" w:right="1470" w:firstLine="0"/>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pStyle w:val="1010"/>
        <w:ind w:left="0" w:right="1470" w:firstLine="0"/>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ind w:firstLine="1205"/>
        <w:spacing w:line="500" w:lineRule="exact"/>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采购代理机构：</w:t>
      </w:r>
      <w:r>
        <w:rPr>
          <w:rFonts w:hint="eastAsia" w:ascii="宋体" w:hAnsi="宋体" w:cs="宋体"/>
          <w:b/>
          <w:bCs/>
          <w:color w:val="auto"/>
          <w:sz w:val="30"/>
          <w:szCs w:val="30"/>
          <w:highlight w:val="none"/>
          <w:lang w:eastAsia="zh-CN"/>
        </w:rPr>
        <w:t xml:space="preserve">江苏立标项目管理有限公司</w:t>
      </w:r>
      <w:r/>
    </w:p>
    <w:p>
      <w:pPr>
        <w:pStyle w:val="967"/>
        <w:ind w:firstLine="0"/>
        <w:jc w:val="center"/>
        <w:spacing w:line="500" w:lineRule="exact"/>
        <w:rPr>
          <w:rFonts w:ascii="宋体" w:hAnsi="宋体" w:cs="宋体"/>
          <w:b/>
          <w:color w:val="auto"/>
          <w:sz w:val="44"/>
          <w:highlight w:val="none"/>
        </w:rPr>
      </w:pPr>
      <w:r>
        <w:rPr>
          <w:rFonts w:hint="eastAsia" w:ascii="宋体" w:hAnsi="宋体" w:cs="宋体"/>
          <w:b/>
          <w:bCs/>
          <w:color w:val="auto"/>
          <w:sz w:val="30"/>
          <w:szCs w:val="30"/>
          <w:highlight w:val="none"/>
        </w:rPr>
        <w:t xml:space="preserve">二〇二六年</w:t>
      </w:r>
      <w:r>
        <w:rPr>
          <w:rFonts w:hint="eastAsia" w:ascii="宋体" w:hAnsi="宋体" w:cs="宋体"/>
          <w:b/>
          <w:bCs/>
          <w:color w:val="auto"/>
          <w:sz w:val="30"/>
          <w:szCs w:val="30"/>
          <w:highlight w:val="none"/>
          <w:lang w:eastAsia="zh-CN"/>
        </w:rPr>
        <w:t xml:space="preserve">八</w:t>
      </w:r>
      <w:r>
        <w:rPr>
          <w:rFonts w:hint="eastAsia" w:ascii="宋体" w:hAnsi="宋体" w:cs="宋体"/>
          <w:b/>
          <w:bCs/>
          <w:color w:val="auto"/>
          <w:sz w:val="30"/>
          <w:szCs w:val="30"/>
          <w:highlight w:val="none"/>
        </w:rPr>
        <w:t xml:space="preserve">月</w:t>
      </w:r>
      <w:r/>
    </w:p>
    <w:p>
      <w:pPr>
        <w:pStyle w:val="967"/>
        <w:ind w:firstLine="0"/>
        <w:jc w:val="center"/>
        <w:rPr>
          <w:rFonts w:ascii="宋体" w:hAnsi="宋体" w:cs="宋体"/>
          <w:b/>
          <w:color w:val="auto"/>
          <w:sz w:val="44"/>
          <w:highlight w:val="none"/>
        </w:rPr>
        <w:sectPr>
          <w:headerReference w:type="default" r:id="rId9"/>
          <w:headerReference w:type="even" r:id="rId10"/>
          <w:footerReference w:type="default" r:id="rId12"/>
          <w:footerReference w:type="even" r:id="rId13"/>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ascii="宋体" w:hAnsi="宋体" w:cs="宋体"/>
          <w:b/>
          <w:color w:val="auto"/>
          <w:sz w:val="44"/>
          <w:highlight w:val="none"/>
        </w:rPr>
      </w:r>
      <w:r/>
    </w:p>
    <w:p>
      <w:pPr>
        <w:pStyle w:val="967"/>
        <w:ind w:firstLine="0"/>
        <w:jc w:val="center"/>
        <w:rPr>
          <w:rFonts w:ascii="宋体" w:hAnsi="宋体" w:cs="宋体"/>
          <w:color w:val="auto"/>
          <w:sz w:val="44"/>
          <w:highlight w:val="none"/>
        </w:rPr>
      </w:pPr>
      <w:r/>
      <w:bookmarkStart w:id="1" w:name="_Toc522790130"/>
      <w:r>
        <w:rPr>
          <w:rFonts w:hint="eastAsia" w:ascii="宋体" w:hAnsi="宋体" w:cs="宋体"/>
          <w:color w:val="auto"/>
          <w:sz w:val="44"/>
          <w:highlight w:val="none"/>
        </w:rPr>
        <w:t xml:space="preserve">总目录</w:t>
      </w:r>
      <w:r/>
    </w:p>
    <w:p>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第一章 投标邀请</w:t>
      </w:r>
      <w:r/>
    </w:p>
    <w:p>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第二章 投标人须知</w:t>
      </w:r>
      <w:r/>
    </w:p>
    <w:p>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第三章 投标资料表</w:t>
      </w:r>
      <w:r/>
    </w:p>
    <w:p>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第四章 评标标准</w:t>
      </w:r>
      <w:r/>
    </w:p>
    <w:p>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第五章 拟签订的合同文本</w:t>
      </w:r>
      <w:r/>
    </w:p>
    <w:p>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第六章 采购需求</w:t>
      </w:r>
      <w:r/>
    </w:p>
    <w:p>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第七章 投标文件相关格式</w:t>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r>
      <w:r/>
    </w:p>
    <w:p>
      <w:pPr>
        <w:jc w:val="center"/>
        <w:widowControl/>
        <w:rPr>
          <w:rFonts w:hint="eastAsia" w:ascii="宋体" w:hAnsi="宋体" w:eastAsia="宋体" w:cs="宋体"/>
          <w:b/>
          <w:sz w:val="24"/>
          <w:szCs w:val="24"/>
          <w:highlight w:val="none"/>
          <w:lang w:eastAsia="zh-CN"/>
        </w:rPr>
      </w:pPr>
      <w:r>
        <w:rPr>
          <w:rFonts w:hint="eastAsia" w:ascii="宋体" w:hAnsi="宋体" w:cs="宋体"/>
          <w:b/>
          <w:sz w:val="24"/>
          <w:szCs w:val="24"/>
          <w:highlight w:val="none"/>
        </w:rPr>
        <w:br w:type="page" w:clear="all"/>
      </w:r>
      <w:r>
        <w:rPr>
          <w:rFonts w:hint="eastAsia" w:ascii="宋体" w:hAnsi="宋体" w:cs="宋体"/>
          <w:b/>
          <w:sz w:val="24"/>
          <w:szCs w:val="24"/>
          <w:highlight w:val="none"/>
          <w:lang w:eastAsia="zh-CN"/>
        </w:rPr>
        <w:t xml:space="preserve">徐州市铜山区民政局</w:t>
      </w:r>
      <w:r/>
    </w:p>
    <w:p>
      <w:pPr>
        <w:jc w:val="center"/>
        <w:spacing w:line="520" w:lineRule="exact"/>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eastAsia="zh-CN"/>
        </w:rPr>
        <w:t xml:space="preserve">铜山区2026年度“安康关爱”保险项目</w:t>
      </w:r>
      <w:r>
        <w:rPr>
          <w:rFonts w:hint="eastAsia" w:ascii="宋体" w:hAnsi="宋体" w:cs="宋体"/>
          <w:b/>
          <w:sz w:val="24"/>
          <w:szCs w:val="24"/>
          <w:highlight w:val="none"/>
        </w:rPr>
        <w:t xml:space="preserve">》招标文件</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cs="宋体"/>
          <w:sz w:val="24"/>
          <w:szCs w:val="24"/>
          <w:highlight w:val="none"/>
        </w:rPr>
      </w:pPr>
      <w:r>
        <w:rPr>
          <w:rFonts w:hint="eastAsia" w:ascii="宋体" w:hAnsi="宋体" w:cs="宋体"/>
          <w:sz w:val="24"/>
          <w:szCs w:val="24"/>
          <w:highlight w:val="none"/>
        </w:rPr>
      </w:r>
      <w:r/>
    </w:p>
    <w:p>
      <w:pPr>
        <w:pStyle w:val="951"/>
        <w:spacing w:line="520" w:lineRule="exact"/>
        <w:rPr>
          <w:rFonts w:hint="eastAsia" w:ascii="宋体" w:hAnsi="宋体" w:eastAsia="宋体" w:cs="宋体"/>
          <w:sz w:val="24"/>
          <w:szCs w:val="24"/>
          <w:highlight w:val="none"/>
        </w:rPr>
      </w:pPr>
      <w:r/>
      <w:bookmarkStart w:id="2" w:name="_Toc24658"/>
      <w:r>
        <w:rPr>
          <w:rFonts w:hint="eastAsia" w:ascii="宋体" w:hAnsi="宋体" w:eastAsia="宋体" w:cs="宋体"/>
          <w:sz w:val="24"/>
          <w:szCs w:val="24"/>
          <w:highlight w:val="none"/>
        </w:rPr>
        <w:t xml:space="preserve">第一章  投标邀请</w:t>
      </w:r>
      <w:bookmarkEnd w:id="2"/>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江苏立标项目管理有限公司</w:t>
      </w:r>
      <w:r>
        <w:rPr>
          <w:rFonts w:hint="eastAsia" w:ascii="宋体" w:hAnsi="宋体" w:cs="宋体"/>
          <w:sz w:val="24"/>
          <w:szCs w:val="24"/>
          <w:highlight w:val="none"/>
        </w:rPr>
        <w:t xml:space="preserve">对</w:t>
      </w:r>
      <w:r>
        <w:rPr>
          <w:rFonts w:hint="eastAsia" w:ascii="宋体" w:hAnsi="宋体" w:cs="宋体"/>
          <w:sz w:val="24"/>
          <w:szCs w:val="24"/>
          <w:highlight w:val="none"/>
          <w:lang w:eastAsia="zh-CN"/>
        </w:rPr>
        <w:t xml:space="preserve">徐州市铜山区民政局</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铜山区2026年度“安康关爱”保险项目</w:t>
      </w:r>
      <w:r>
        <w:rPr>
          <w:rFonts w:hint="eastAsia" w:ascii="宋体" w:hAnsi="宋体" w:cs="宋体"/>
          <w:sz w:val="24"/>
          <w:szCs w:val="24"/>
          <w:highlight w:val="none"/>
        </w:rPr>
        <w:t xml:space="preserve">”进行公开招标采购，现邀请符合相关条件的供应商投标。</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一、项目名称和项目编号</w:t>
      </w:r>
      <w:r/>
    </w:p>
    <w:p>
      <w:pPr>
        <w:ind w:firstLine="600"/>
        <w:spacing w:line="52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(一)项目名称：</w:t>
      </w:r>
      <w:r>
        <w:rPr>
          <w:rFonts w:hint="eastAsia" w:ascii="宋体" w:hAnsi="宋体" w:cs="宋体"/>
          <w:color w:val="auto"/>
          <w:sz w:val="24"/>
          <w:szCs w:val="24"/>
          <w:highlight w:val="none"/>
          <w:lang w:eastAsia="zh-CN"/>
        </w:rPr>
        <w:t xml:space="preserve">铜山区2026年度“安康关爱”保险项目</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(二)项目编号：JSZC-320312-TCLB-G2026-0002</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二、对投标人的资格要求</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详见本项目公开招标公告。</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bookmarkEnd w:id="1"/>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 本项目采用网上注册登记方式。</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 潜在投标人访问电子招标投标交易平台的网络地址和方法：</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cs="宋体"/>
          <w:sz w:val="24"/>
          <w:szCs w:val="24"/>
          <w:highlight w:val="none"/>
        </w:rPr>
        <w:t xml:space="preserve">（2）</w:t>
      </w:r>
      <w:r>
        <w:rPr>
          <w:rFonts w:hint="eastAsia" w:ascii="宋体" w:hAnsi="宋体" w:eastAsia="宋体" w:cs="宋体"/>
          <w:color w:val="000000"/>
          <w:sz w:val="24"/>
          <w:szCs w:val="24"/>
          <w:highlight w:val="none"/>
          <w:lang w:val="en-US" w:eastAsia="zh-CN" w:bidi="ar-SA"/>
        </w:rPr>
        <w:t xml:space="preserve">潜在投标人访问“苏采云”系统的网络地址和方法：“苏采云”系统的网址：http://jszfcg.jsczt.cn/；或进入徐州政府采购网（网址：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（3）“CA数字证书”的获取：</w:t>
      </w:r>
      <w:r/>
    </w:p>
    <w:p>
      <w:pPr>
        <w:ind w:firstLine="600"/>
        <w:spacing w:line="52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sz w:val="24"/>
          <w:szCs w:val="24"/>
          <w:highlight w:val="none"/>
          <w:lang w:val="en-US" w:eastAsia="zh-CN"/>
        </w:rPr>
        <w:t xml:space="preserve">办事指南</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资料</w:t>
      </w:r>
      <w:r>
        <w:rPr>
          <w:rFonts w:hint="eastAsia" w:ascii="宋体" w:hAnsi="宋体" w:cs="宋体"/>
          <w:sz w:val="24"/>
          <w:szCs w:val="24"/>
          <w:highlight w:val="none"/>
        </w:rPr>
        <w:t xml:space="preserve">下载，点击进入《江苏省政府采购管理交易系统（苏采云）供应商操作手册及政府采购客户端》，进行下载。</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（5）招标代理机构（采购代理机构）将数据电文形式的招标文件加载至“苏采云”系统，供潜在投标人下载或者查阅。</w:t>
      </w:r>
      <w:r/>
    </w:p>
    <w:p>
      <w:pPr>
        <w:ind w:firstLine="600"/>
        <w:spacing w:line="52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3.售价：免费。</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四、提交投标文件截止时间、开标时间和地点</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（一）投标截止时间：</w:t>
      </w:r>
      <w:r>
        <w:rPr>
          <w:rFonts w:hint="eastAsia" w:ascii="宋体" w:hAnsi="宋体" w:cs="宋体"/>
          <w:color w:val="ff0000"/>
          <w:sz w:val="24"/>
          <w:szCs w:val="24"/>
          <w:highlight w:val="none"/>
        </w:rPr>
        <w:t xml:space="preserve">2026年8</w:t>
      </w:r>
      <w:r>
        <w:rPr>
          <w:rFonts w:hint="eastAsia" w:ascii="宋体" w:hAnsi="宋体" w:cs="宋体"/>
          <w:color w:val="ff0000"/>
          <w:sz w:val="24"/>
          <w:szCs w:val="24"/>
          <w:highlight w:val="none"/>
        </w:rPr>
        <w:t xml:space="preserve">月26</w:t>
      </w:r>
      <w:r>
        <w:rPr>
          <w:rFonts w:hint="eastAsia" w:ascii="宋体" w:hAnsi="宋体" w:cs="宋体"/>
          <w:color w:val="ff0000"/>
          <w:sz w:val="24"/>
          <w:szCs w:val="24"/>
          <w:highlight w:val="none"/>
        </w:rPr>
        <w:t xml:space="preserve">日北京时间10：00</w:t>
      </w:r>
      <w:r>
        <w:rPr>
          <w:rFonts w:hint="eastAsia" w:ascii="宋体" w:hAnsi="宋体" w:cs="宋体"/>
          <w:sz w:val="24"/>
          <w:szCs w:val="24"/>
          <w:highlight w:val="none"/>
        </w:rPr>
        <w:t xml:space="preserve">。</w:t>
      </w:r>
      <w:r/>
    </w:p>
    <w:p>
      <w:pPr>
        <w:ind w:firstLine="600"/>
        <w:spacing w:line="520" w:lineRule="exact"/>
        <w:rPr>
          <w:rFonts w:hint="eastAsia" w:ascii="宋体" w:hAnsi="宋体" w:cs="宋体"/>
          <w:color w:val="ff0000"/>
          <w:sz w:val="24"/>
          <w:szCs w:val="24"/>
          <w:highlight w:val="none"/>
        </w:rPr>
      </w:pPr>
      <w:r>
        <w:rPr>
          <w:rFonts w:hint="eastAsia" w:ascii="宋体" w:hAnsi="宋体" w:cs="宋体"/>
          <w:sz w:val="24"/>
          <w:szCs w:val="24"/>
          <w:highlight w:val="none"/>
        </w:rPr>
        <w:t xml:space="preserve">（二）开标时间：</w:t>
      </w:r>
      <w:r>
        <w:rPr>
          <w:rFonts w:hint="eastAsia" w:ascii="宋体" w:hAnsi="宋体" w:cs="宋体"/>
          <w:color w:val="ff0000"/>
          <w:sz w:val="24"/>
          <w:szCs w:val="24"/>
          <w:highlight w:val="none"/>
        </w:rPr>
        <w:t xml:space="preserve">2026年8</w:t>
      </w:r>
      <w:r>
        <w:rPr>
          <w:rFonts w:hint="eastAsia" w:ascii="宋体" w:hAnsi="宋体" w:cs="宋体"/>
          <w:color w:val="ff0000"/>
          <w:sz w:val="24"/>
          <w:szCs w:val="24"/>
          <w:highlight w:val="none"/>
        </w:rPr>
        <w:t xml:space="preserve">月26</w:t>
      </w:r>
      <w:r>
        <w:rPr>
          <w:rFonts w:hint="eastAsia" w:ascii="宋体" w:hAnsi="宋体" w:cs="宋体"/>
          <w:color w:val="ff0000"/>
          <w:sz w:val="24"/>
          <w:szCs w:val="24"/>
          <w:highlight w:val="none"/>
        </w:rPr>
        <w:t xml:space="preserve">日北京时间10：00。</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（三）开标地点：“苏采云”系统（网址： http://jszfcg.jsczt.cn/）“开标大厅”或进入徐州政府采购网（网址：https://czj.xz.gov.cn/zfcg/index.html）--办事指南--供应商--供应商登录入口</w:t>
      </w:r>
      <w:r>
        <w:rPr>
          <w:rFonts w:hint="eastAsia" w:ascii="宋体" w:hAnsi="宋体" w:cs="宋体"/>
          <w:sz w:val="24"/>
          <w:szCs w:val="24"/>
          <w:highlight w:val="none"/>
          <w:lang w:eastAsia="zh-CN"/>
        </w:rPr>
        <w:t xml:space="preserve">，点击“苏采云”进入系统“开标大厅”。</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五、采购人</w:t>
      </w:r>
      <w:r/>
    </w:p>
    <w:p>
      <w:pPr>
        <w:ind w:firstLine="60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（一）名称：</w:t>
      </w:r>
      <w:bookmarkStart w:id="3" w:name="OLE_LINK2"/>
      <w:r>
        <w:rPr>
          <w:rFonts w:hint="eastAsia" w:ascii="宋体" w:hAnsi="宋体" w:cs="宋体"/>
          <w:sz w:val="24"/>
          <w:szCs w:val="24"/>
          <w:highlight w:val="none"/>
          <w:lang w:eastAsia="zh-CN"/>
        </w:rPr>
        <w:t xml:space="preserve">徐州市铜山区民政局</w:t>
      </w:r>
      <w:bookmarkEnd w:id="3"/>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（二）地址：</w:t>
      </w:r>
      <w:bookmarkStart w:id="4" w:name="OLE_LINK6"/>
      <w:r>
        <w:rPr>
          <w:rFonts w:hint="eastAsia" w:ascii="宋体" w:hAnsi="宋体" w:cs="宋体"/>
          <w:sz w:val="24"/>
          <w:szCs w:val="24"/>
          <w:highlight w:val="none"/>
        </w:rPr>
        <w:t xml:space="preserve">江苏徐州市铜山区珠江西路47号</w:t>
      </w:r>
      <w:r>
        <w:rPr>
          <w:rFonts w:ascii="宋体" w:hAnsi="宋体" w:cs="宋体"/>
          <w:sz w:val="24"/>
          <w:szCs w:val="24"/>
          <w:highlight w:val="none"/>
          <w:lang w:val="en-US"/>
        </w:rPr>
        <w:t xml:space="preserve"> </w:t>
      </w:r>
      <w:bookmarkEnd w:id="4"/>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（三）联系</w:t>
      </w:r>
      <w:r>
        <w:rPr>
          <w:rFonts w:hint="eastAsia" w:ascii="宋体" w:hAnsi="宋体" w:cs="宋体"/>
          <w:sz w:val="24"/>
          <w:szCs w:val="24"/>
          <w:highlight w:val="none"/>
          <w:lang w:val="en-US" w:eastAsia="zh-CN"/>
        </w:rPr>
        <w:t xml:space="preserve">电话</w:t>
      </w:r>
      <w:r>
        <w:rPr>
          <w:rFonts w:hint="eastAsia" w:ascii="宋体" w:hAnsi="宋体" w:cs="宋体"/>
          <w:sz w:val="24"/>
          <w:szCs w:val="24"/>
          <w:highlight w:val="none"/>
        </w:rPr>
        <w:t xml:space="preserve">：</w:t>
      </w:r>
      <w:bookmarkStart w:id="5" w:name="OLE_LINK9"/>
      <w:r>
        <w:rPr>
          <w:rFonts w:hint="eastAsia" w:ascii="宋体" w:hAnsi="宋体" w:cs="宋体"/>
          <w:sz w:val="24"/>
          <w:szCs w:val="24"/>
          <w:highlight w:val="none"/>
        </w:rPr>
        <w:t xml:space="preserve">13776777703</w:t>
      </w:r>
      <w:bookmarkEnd w:id="5"/>
      <w:r/>
      <w:r/>
    </w:p>
    <w:p>
      <w:pPr>
        <w:ind w:firstLine="60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（四）采购项目联系人：</w:t>
      </w:r>
      <w:bookmarkStart w:id="6" w:name="OLE_LINK8"/>
      <w:r>
        <w:rPr>
          <w:rFonts w:hint="eastAsia" w:ascii="宋体" w:hAnsi="宋体" w:cs="宋体"/>
          <w:sz w:val="24"/>
          <w:szCs w:val="24"/>
          <w:highlight w:val="none"/>
        </w:rPr>
        <w:t xml:space="preserve">陈志强</w:t>
      </w:r>
      <w:bookmarkEnd w:id="6"/>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六、采购代理机构</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（一）名称：</w:t>
      </w:r>
      <w:bookmarkStart w:id="7" w:name="OLE_LINK10"/>
      <w:r>
        <w:rPr>
          <w:rFonts w:hint="eastAsia" w:ascii="宋体" w:hAnsi="宋体" w:cs="宋体"/>
          <w:sz w:val="24"/>
          <w:szCs w:val="24"/>
          <w:highlight w:val="none"/>
          <w:lang w:eastAsia="zh-CN"/>
        </w:rPr>
        <w:t xml:space="preserve">江苏立标项目管理有限公司</w:t>
      </w:r>
      <w:bookmarkEnd w:id="7"/>
      <w:r/>
      <w:r/>
    </w:p>
    <w:p>
      <w:pPr>
        <w:ind w:firstLine="600"/>
        <w:spacing w:line="52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（二）地址：</w:t>
      </w:r>
      <w:bookmarkStart w:id="8" w:name="OLE_LINK11"/>
      <w:r>
        <w:rPr>
          <w:rFonts w:hint="eastAsia" w:ascii="宋体" w:hAnsi="宋体" w:cs="宋体"/>
          <w:sz w:val="24"/>
          <w:szCs w:val="24"/>
          <w:highlight w:val="none"/>
          <w:lang w:val="en-US" w:eastAsia="zh-CN"/>
        </w:rPr>
        <w:t xml:space="preserve">徐州市新城区吉田商务广场B栋215</w:t>
      </w:r>
      <w:bookmarkEnd w:id="8"/>
      <w:r/>
      <w:r/>
    </w:p>
    <w:p>
      <w:pPr>
        <w:ind w:firstLine="600"/>
        <w:spacing w:line="52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（三）联系</w:t>
      </w:r>
      <w:r>
        <w:rPr>
          <w:rFonts w:hint="eastAsia" w:ascii="宋体" w:hAnsi="宋体" w:cs="宋体"/>
          <w:sz w:val="24"/>
          <w:szCs w:val="24"/>
          <w:highlight w:val="none"/>
          <w:lang w:val="en-US" w:eastAsia="zh-CN"/>
        </w:rPr>
        <w:t xml:space="preserve">电话</w:t>
      </w:r>
      <w:r>
        <w:rPr>
          <w:rFonts w:hint="eastAsia" w:ascii="宋体" w:hAnsi="宋体" w:cs="宋体"/>
          <w:sz w:val="24"/>
          <w:szCs w:val="24"/>
          <w:highlight w:val="none"/>
        </w:rPr>
        <w:t xml:space="preserve">：</w:t>
      </w:r>
      <w:bookmarkStart w:id="9" w:name="OLE_LINK14"/>
      <w:r>
        <w:rPr>
          <w:rFonts w:hint="eastAsia" w:ascii="宋体" w:hAnsi="宋体" w:cs="宋体"/>
          <w:sz w:val="24"/>
          <w:szCs w:val="24"/>
          <w:highlight w:val="none"/>
          <w:lang w:eastAsia="zh-CN"/>
        </w:rPr>
        <w:t xml:space="preserve">0516-87888893 </w:t>
      </w:r>
      <w:bookmarkEnd w:id="9"/>
      <w:r>
        <w:rPr>
          <w:rFonts w:hint="eastAsia" w:ascii="宋体" w:hAnsi="宋体" w:cs="宋体"/>
          <w:sz w:val="24"/>
          <w:szCs w:val="24"/>
          <w:highlight w:val="none"/>
          <w:lang w:val="en-US" w:eastAsia="zh-CN"/>
        </w:rPr>
        <w:t xml:space="preserve">  </w:t>
      </w:r>
      <w:r>
        <w:rPr>
          <w:rFonts w:hint="eastAsia" w:ascii="宋体" w:hAnsi="宋体"/>
          <w:color w:val="auto"/>
          <w:sz w:val="24"/>
          <w:highlight w:val="none"/>
        </w:rPr>
        <w:t xml:space="preserve"> </w:t>
      </w:r>
      <w:r/>
    </w:p>
    <w:p>
      <w:pPr>
        <w:ind w:firstLine="60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（四）采购项目联系人：</w:t>
      </w:r>
      <w:bookmarkStart w:id="10" w:name="OLE_LINK1"/>
      <w:r>
        <w:rPr>
          <w:rFonts w:hint="eastAsia" w:ascii="宋体" w:hAnsi="宋体" w:cs="宋体"/>
          <w:sz w:val="24"/>
          <w:szCs w:val="24"/>
          <w:highlight w:val="none"/>
          <w:lang w:val="en-US" w:eastAsia="zh-CN"/>
        </w:rPr>
        <w:t xml:space="preserve">周娜</w:t>
      </w:r>
      <w:bookmarkEnd w:id="10"/>
      <w:r/>
      <w:r/>
    </w:p>
    <w:p>
      <w:pPr>
        <w:jc w:val="center"/>
        <w:widowControl/>
        <w:rPr>
          <w:rFonts w:hint="eastAsia" w:ascii="宋体" w:hAnsi="宋体" w:cs="宋体"/>
          <w:sz w:val="24"/>
          <w:szCs w:val="24"/>
          <w:highlight w:val="none"/>
        </w:rPr>
      </w:pPr>
      <w:r/>
      <w:bookmarkStart w:id="11" w:name="_Toc522790131"/>
      <w:r/>
      <w:bookmarkStart w:id="12" w:name="_Toc31763"/>
      <w:r>
        <w:rPr>
          <w:rStyle w:val="964"/>
          <w:rFonts w:hint="eastAsia" w:ascii="宋体" w:hAnsi="宋体" w:eastAsia="宋体" w:cs="宋体"/>
          <w:sz w:val="24"/>
          <w:szCs w:val="24"/>
          <w:highlight w:val="none"/>
        </w:rPr>
        <w:t xml:space="preserve">第二章  投标人须知</w:t>
      </w:r>
      <w:bookmarkEnd w:id="11"/>
      <w:r/>
      <w:bookmarkEnd w:id="12"/>
      <w:r/>
      <w:r/>
    </w:p>
    <w:p>
      <w:pPr>
        <w:ind w:firstLine="600"/>
        <w:spacing w:line="36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一、总则</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（一）采购人。采购人即指依法进行政府采购的国家机关、事业单位和团体组织。</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（六）投标人的资格条件：</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投标人是指响应招标、参加投标竞争的法人、其他组织或者自然人。</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2.投标人授权代表系指法定代表人或受法人委托的受托人。</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二、招标</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（八）招标文件应包括以下内容：</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第一章，投标邀请；</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第二章，投标人须知；</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第三章，投标资料表；</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第四章，评标标准；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第五章，拟签订的合同文本；</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第六章，采购需求；</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第七章，投标文件相关格式。</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（九）招标文件澄清或者修改：</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2.现场考察以本文件第三章《投标资料表》中的要求为准。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3.开标前答疑会以本文件第三章《投标资料表》中的要求为准。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三、投标</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（十二）投标文件的构成：</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1.投标文件的构成以本文件第三章《投标资料表》中的要求为准。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2.投标人应当提交的资格、资信证明文件，以本文件第三章《投标资料表》中的所提要求为准。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（十三）投标函和价格表、商务条件、提供服务的时间：</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2.商务条件以本文件第三章《投标资料表》中的要求为准。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3.提供服务的时间，以本文件第三章《投标资料表》中所提要求为准。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（十四）投标报价要求：</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1.投标人应按照招标文件的要求报出分项价格和总价。</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2.投标人应按照招标文件的要求进行报价，如投标人作出偏离，应在《偏离表》中列出。</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3.采购人不支付报价以外的任何费用。</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（十五）投标货币。以本文件第三章《投标资料表》中所提要求为准。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（十六）投标有效期：</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1.投标有效期为开标之日后90天。采购人可以要求对投标有效期延长一次，但该延长期最长不得超过30天。</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（十七）投标文件的编制要求和签署要求：</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1.电子投标文件要求</w:t>
      </w:r>
      <w:r/>
    </w:p>
    <w:p>
      <w:pPr>
        <w:ind w:firstLine="482"/>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（1）投标人应由其法定代表人或法定代表人授权代表在规定的网上投标时间，凭 CA 证书登陆电子招标投标交易平台（即“苏采云”系统）在线编制投标文件（电子数据），并在投标截止时间之前上传投标文件。</w:t>
      </w:r>
      <w:r/>
    </w:p>
    <w:p>
      <w:pPr>
        <w:ind w:firstLine="482"/>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（2）投标人应对 CA 证书妥善保管，如被他人盗用投标，因此带来的结果均由投标人自行承担。</w:t>
      </w:r>
      <w:r/>
    </w:p>
    <w:p>
      <w:pPr>
        <w:ind w:firstLine="482"/>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（3）投标人应当对招标文件提出的要求和条件作出实质性响应，并在电子投标系统逐条应答。</w:t>
      </w:r>
      <w:r/>
    </w:p>
    <w:p>
      <w:pPr>
        <w:ind w:firstLine="482"/>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（4）投标人应对要求提供的资格证明文件（如资质证书、资格证书）、技术资料（如白皮书、彩页、手册、检测报告等）扫描上传至投标系统。</w:t>
      </w:r>
      <w:r/>
    </w:p>
    <w:p>
      <w:pPr>
        <w:ind w:firstLine="482"/>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（十八）投标文件的盖章要求：</w:t>
      </w:r>
      <w:r/>
    </w:p>
    <w:p>
      <w:pPr>
        <w:ind w:firstLine="482"/>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投标文件的盖章要求，以本文件第三章《投标资料表》中所提要求为准。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（十九）提交电子投标文件的截止时间注意事项。投标人应在招标文件要求的提交投标文件的截止时间前，将投标文件提交至“苏采云”系统。</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（二十）凡在招标文件要求提交投标文件的截止时间之后提交的投标文件，均为无效投标文件，“苏采云”系统将自动拒收。各投标人应在规定时间内通过CA证书进行网上解密。</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（二十二）本项目不允许分包、转包。</w:t>
      </w:r>
      <w:r/>
    </w:p>
    <w:p>
      <w:pPr>
        <w:ind w:firstLine="600"/>
        <w:spacing w:line="520" w:lineRule="exact"/>
        <w:shd w:val="clear" w:color="auto" w:fill="ffffff"/>
        <w:rPr>
          <w:rFonts w:hint="eastAsia" w:ascii="宋体" w:hAnsi="宋体" w:cs="宋体"/>
          <w:sz w:val="24"/>
          <w:szCs w:val="24"/>
          <w:highlight w:val="none"/>
        </w:rPr>
      </w:pPr>
      <w:r>
        <w:rPr>
          <w:rFonts w:hint="eastAsia" w:ascii="宋体" w:hAnsi="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在评标过程中发现投标人有上述情形的，评标委员会应当认定其投标无效，并书面报告本级财政部门。</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（二十四）有下列情形之一的，其投标无效。</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1.不同投标人的投标文件，由同一单位或者个人编制；</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2.不同投标人委托同一单位或者个人办理投标事宜；</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3.不同投标人的投标文件中，所载明的项目管理成员或联系人为同一人；</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4.不同投标人的投标文件，异常一致或者投标报价呈规律性差异；</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5.不同投标人的投标文件相互混装；</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7.电子投标文件未按规定期限投标的；</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8.电子投标文件未按招标文件要求签章的；</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9.投标人未在规定时间内解密电子投标文件的；</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10.投标文件未按招标文件规定的内容和要求填写的；没有在投标系统指定位置上传对应文件、材料的；</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.不具备招标文件中规定的资格要求的；</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.报价超过招标文件中规定的预算金额或者最高限价的；</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.投标文件含有采购人不能接受的附加条件的；</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法律法规</w:t>
      </w:r>
      <w:r>
        <w:rPr>
          <w:rFonts w:hint="eastAsia" w:ascii="宋体" w:hAnsi="宋体" w:cs="宋体"/>
          <w:sz w:val="24"/>
          <w:szCs w:val="24"/>
          <w:highlight w:val="none"/>
        </w:rPr>
        <w:t xml:space="preserve">和招标文件规定的其他无效情形。</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四、开标</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（二十五）开标：</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1.所有投标单位凭 CA 证书在到达开标时间时，解密各自投标文件。</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2.投标人不足3家的，不得开标。</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3.开标过程由采购代理机构负责记录。</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5.投标人未参加开标的，视同认可开标结果。</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五、评标</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1.评标工作由采购代理机构负责组织，并履行下列职责：</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（2）宣布评标纪律；</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（3）公布投标人名单，告知评审专家应当回避的情形；</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（4）组织评标委员会推选评标组长（采购人代表不得担任组长）；</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（5）在评标期间采取必要的通讯管理措施，保证评标活动不受外界干扰；</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（6）根据评标委员会的要求介绍政府采购相关政策法规、招标文件；</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（8）核对评标结果，对有《</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"http://www.caigou2003.com/" \t "_blank"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政府采购</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（10）处理与评标有关的其他事项。</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2.评标委员会负责具体评标事务，并独立履行下列职责：</w:t>
      </w:r>
      <w:r/>
    </w:p>
    <w:p>
      <w:pPr>
        <w:ind w:firstLine="45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（1）审查、评价投标文件是否符合招标文件的商务、技术等实质性要求；</w:t>
      </w:r>
      <w:r/>
    </w:p>
    <w:p>
      <w:pPr>
        <w:ind w:firstLine="45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（2）要求投标人对投标文件有关事项作出澄清或者说明；</w:t>
      </w:r>
      <w:r/>
    </w:p>
    <w:p>
      <w:pPr>
        <w:ind w:firstLine="45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（3）对投标文件进行比较和评价；</w:t>
      </w:r>
      <w:r/>
    </w:p>
    <w:p>
      <w:pPr>
        <w:ind w:firstLine="45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（4）确定中标候选人名单，以及根据采购人委托直接确定中标人；</w:t>
      </w:r>
      <w:r/>
    </w:p>
    <w:p>
      <w:pPr>
        <w:ind w:firstLine="45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（5）向采购人、采购代理机构或有关部门报告评标中发现的违法行为。</w:t>
      </w:r>
      <w:r/>
    </w:p>
    <w:p>
      <w:pPr>
        <w:ind w:firstLine="45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（二十七）评标方法分为最低评标价法和综合评分法。本项目的评标方法：见招标文件第三章《投标资料表》。</w:t>
      </w:r>
      <w:r/>
    </w:p>
    <w:p>
      <w:pPr>
        <w:ind w:firstLine="45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（二十八）评标</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1.评标工作程序：</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（1）投标文件初审。</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①资格性审查。</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②符合性审查。</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（2）澄清有关问题。</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（3）比较与评价。</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（4）推荐中标候选供应商名单。</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（5）编写评审报告（评标报告）。</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shd w:val="clear" w:color="auto" w:fill="ffffff"/>
        <w:rPr>
          <w:rFonts w:hint="eastAsia" w:ascii="宋体" w:hAnsi="宋体" w:cs="宋体"/>
          <w:sz w:val="24"/>
          <w:szCs w:val="24"/>
          <w:highlight w:val="none"/>
        </w:rPr>
      </w:pPr>
      <w:r>
        <w:rPr>
          <w:rFonts w:hint="eastAsia" w:ascii="宋体" w:hAnsi="宋体" w:cs="宋体"/>
          <w:sz w:val="24"/>
          <w:szCs w:val="24"/>
          <w:highlight w:val="none"/>
        </w:rPr>
        <w:t xml:space="preserve">3.</w:t>
      </w:r>
      <w:r>
        <w:rPr>
          <w:rFonts w:ascii="宋体" w:hAnsi="宋体" w:eastAsia="宋体" w:cs="宋体"/>
          <w:sz w:val="24"/>
          <w:szCs w:val="24"/>
          <w:highlight w:val="none"/>
        </w:rPr>
        <w:t xml:space="preserve">中标候选人排序规则、中标人确定要求详</w:t>
      </w:r>
      <w:r>
        <w:rPr>
          <w:rFonts w:hint="eastAsia" w:ascii="宋体" w:hAnsi="宋体" w:eastAsia="宋体" w:cs="宋体"/>
          <w:sz w:val="24"/>
          <w:szCs w:val="24"/>
          <w:highlight w:val="none"/>
        </w:rPr>
        <w:t xml:space="preserve">见招标文件第三章《投标资料表》。</w:t>
      </w:r>
      <w:r/>
    </w:p>
    <w:p>
      <w:pPr>
        <w:ind w:firstLine="48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（二十九）投标文件报价出现前后不一致的，按照下列规定修正：</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2.大写金额和小写金额不一致的，以大写金额为准；</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4.总价金额与按单价合计金额不一致的，以单价金额计算结果为准。</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（三十）实施政府采购异常低价审查的有关要求：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w:t>
      </w:r>
      <w:r>
        <w:rPr>
          <w:rFonts w:hint="eastAsia" w:ascii="宋体" w:hAnsi="宋体" w:eastAsia="宋体" w:cs="宋体"/>
          <w:color w:val="auto"/>
          <w:sz w:val="24"/>
          <w:szCs w:val="24"/>
          <w:highlight w:val="none"/>
        </w:rPr>
        <w:t xml:space="preserve">高限价（未设定最高限价的采购项目，以采购项目预算金额作为最高限价）45%的，即投</w:t>
      </w:r>
      <w:r>
        <w:rPr>
          <w:rFonts w:hint="eastAsia" w:ascii="宋体" w:hAnsi="宋体" w:eastAsia="宋体" w:cs="宋体"/>
          <w:sz w:val="24"/>
          <w:szCs w:val="24"/>
          <w:highlight w:val="none"/>
        </w:rPr>
        <w:t xml:space="preserve">标（响应）报价&lt;采购项目最高限价×45%；</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相关法律法规对供应商报价有规定的，从其规定。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4"/>
          <w:szCs w:val="24"/>
          <w:highlight w:val="none"/>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highlight w:val="none"/>
          <w:lang w:eastAsia="zh-CN"/>
        </w:rPr>
        <w:t xml:space="preserve">。</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（三十二）废标条款：</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出现下列情形之一的，应予废标。</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1.符合专业条件的供应商或者对招标文件作实质响应的供应商不足三家的；</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2.出现影响采购公正的违法、违规行为的；</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3.投标人的报价均超过了采购预算，采购人不能支付的；</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4.因重大变故，采购任务取消的。</w:t>
      </w:r>
      <w:r/>
    </w:p>
    <w:p>
      <w:pPr>
        <w:ind w:firstLine="600"/>
        <w:spacing w:line="519" w:lineRule="atLeast"/>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投标文件未按招标文件规定的内容和要求填写的</w:t>
      </w:r>
      <w:r>
        <w:rPr>
          <w:rFonts w:hint="eastAsia" w:ascii="宋体" w:hAnsi="宋体" w:cs="宋体"/>
          <w:sz w:val="24"/>
          <w:szCs w:val="24"/>
          <w:highlight w:val="none"/>
          <w:lang w:val="en-US" w:eastAsia="zh-CN"/>
        </w:rPr>
        <w:t xml:space="preserve">。</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六、定标</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（三十三）采购代理机构应当在评标结束后2个工作日内将评标报告送采购人。</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七、政府采购合同</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（三十六）签订政府采购合同（合同签订方式）：</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采购人不得向中标人提出任何不合理的要求作为签订合同的条件。</w:t>
      </w:r>
      <w:r/>
    </w:p>
    <w:p>
      <w:pPr>
        <w:ind w:firstLine="600"/>
        <w:jc w:val="left"/>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2.中标人或者成交供应商拒绝与采购人签订合同的，采购人可以按照评标报告推荐的中标或者成交候选人名单排序，确定下一个候选人为中标或者成交供应商，也可以重新开展政府采购活动。</w:t>
      </w:r>
      <w:r/>
    </w:p>
    <w:p>
      <w:pPr>
        <w:ind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ascii="宋体" w:hAnsi="宋体" w:eastAsia="宋体" w:cs="宋体"/>
          <w:sz w:val="24"/>
          <w:szCs w:val="24"/>
          <w:highlight w:val="none"/>
        </w:rPr>
        <w:t xml:space="preserve">中标人无正当理由拒签合同的，或在签订书面合同时向采购人提出修改合同或者附加条件，采购人取消其中标资格；给采购人造成的损失，中标人还应当予以赔偿。该损失包括但不限于重新招标费用、成交价格高于本次招标价格部分、实现赔偿的诉讼费、律师费等费用。对依法必须进行招标的项目的中标人，由有关行政监督部门责令改正。</w:t>
      </w:r>
      <w:r/>
    </w:p>
    <w:p>
      <w:pPr>
        <w:ind w:firstLine="600"/>
        <w:spacing w:line="520" w:lineRule="exact"/>
        <w:shd w:val="clear" w:color="auto" w:fill="ffffff"/>
        <w:rPr>
          <w:rFonts w:hint="eastAsia" w:ascii="宋体" w:hAnsi="宋体" w:cs="宋体"/>
          <w:sz w:val="24"/>
          <w:szCs w:val="24"/>
          <w:highlight w:val="none"/>
        </w:rPr>
      </w:pPr>
      <w:r>
        <w:rPr>
          <w:rFonts w:hint="eastAsia" w:ascii="宋体" w:hAnsi="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（三十八）履约保证金：</w:t>
      </w:r>
      <w:r>
        <w:rPr>
          <w:rFonts w:hint="eastAsia" w:ascii="宋体" w:hAnsi="宋体" w:cs="宋体"/>
          <w:sz w:val="24"/>
          <w:szCs w:val="24"/>
          <w:highlight w:val="none"/>
          <w:lang w:eastAsia="zh-CN"/>
        </w:rPr>
        <w:t xml:space="preserve">本项目不收取履约保证金。</w:t>
      </w:r>
      <w:r/>
    </w:p>
    <w:p>
      <w:pPr>
        <w:ind w:firstLine="600"/>
        <w:spacing w:line="519" w:lineRule="atLeast"/>
        <w:shd w:val="clear" w:color="ffffff" w:fill="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（三十九）腐败和欺诈行为：</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1.采购代理机构、采购人、投标人等参与招投标的各方，均应在招标、采购、合同执行等过程中保持廉洁和最高的道德水准。</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（1）腐败和欺诈行为的含义：</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（2）如果被推荐的中标人有腐败和欺诈行为，将取消其中标资格。</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cs="宋体"/>
          <w:sz w:val="24"/>
          <w:szCs w:val="24"/>
          <w:highlight w:val="none"/>
          <w:lang w:eastAsia="zh-CN"/>
        </w:rPr>
        <w:t xml:space="preserve">撤销其</w:t>
      </w:r>
      <w:r>
        <w:rPr>
          <w:rFonts w:hint="eastAsia" w:ascii="宋体" w:hAnsi="宋体" w:cs="宋体"/>
          <w:sz w:val="24"/>
          <w:szCs w:val="24"/>
          <w:highlight w:val="none"/>
        </w:rPr>
        <w:t xml:space="preserve">已签署的合同。</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八、询问和质疑</w:t>
      </w:r>
      <w:r/>
    </w:p>
    <w:p>
      <w:pPr>
        <w:ind w:firstLine="600"/>
        <w:jc w:val="left"/>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（四十）询问和质疑</w:t>
      </w:r>
      <w:r/>
    </w:p>
    <w:p>
      <w:pPr>
        <w:ind w:firstLine="600"/>
        <w:jc w:val="left"/>
        <w:spacing w:line="52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九、电子招标投标交易平台</w:t>
      </w:r>
      <w:r/>
    </w:p>
    <w:p>
      <w:pPr>
        <w:pStyle w:val="983"/>
        <w:ind w:firstLine="600"/>
        <w:spacing w:line="520" w:lineRule="exact"/>
        <w:rPr>
          <w:rFonts w:hint="eastAsia" w:hAnsi="宋体" w:eastAsia="宋体" w:cs="宋体"/>
          <w:sz w:val="24"/>
          <w:szCs w:val="24"/>
          <w:highlight w:val="none"/>
        </w:rPr>
      </w:pPr>
      <w:r>
        <w:rPr>
          <w:rFonts w:hint="eastAsia" w:hAnsi="宋体" w:eastAsia="宋体" w:cs="宋体"/>
          <w:sz w:val="24"/>
          <w:szCs w:val="24"/>
          <w:highlight w:val="none"/>
        </w:rPr>
        <w:t xml:space="preserve">（四十一）电子招标投标交易平台（即“苏采云”系统，网址：</w:t>
      </w:r>
      <w:r>
        <w:rPr>
          <w:rFonts w:hint="eastAsia" w:hAnsi="宋体" w:eastAsia="宋体" w:cs="宋体"/>
          <w:sz w:val="24"/>
          <w:szCs w:val="24"/>
          <w:highlight w:val="none"/>
        </w:rPr>
        <w:fldChar w:fldCharType="begin"/>
      </w:r>
      <w:r>
        <w:rPr>
          <w:rFonts w:hint="eastAsia" w:hAnsi="宋体" w:eastAsia="宋体" w:cs="宋体"/>
          <w:sz w:val="24"/>
          <w:szCs w:val="24"/>
          <w:highlight w:val="none"/>
        </w:rPr>
        <w:instrText xml:space="preserve"> HYPERLINK "http://jszfcg.jsczt.cn/" \o "http://jszfcg.jsczt.cn/" </w:instrText>
      </w:r>
      <w:r>
        <w:rPr>
          <w:rFonts w:hint="eastAsia" w:hAnsi="宋体" w:eastAsia="宋体" w:cs="宋体"/>
          <w:sz w:val="24"/>
          <w:szCs w:val="24"/>
          <w:highlight w:val="none"/>
        </w:rPr>
        <w:fldChar w:fldCharType="separate"/>
      </w:r>
      <w:r>
        <w:rPr>
          <w:rFonts w:hint="eastAsia" w:hAnsi="宋体" w:eastAsia="宋体" w:cs="宋体"/>
          <w:sz w:val="24"/>
          <w:szCs w:val="24"/>
          <w:highlight w:val="none"/>
        </w:rPr>
        <w:t xml:space="preserve">http://jszfcg.jsczt.cn/</w:t>
      </w:r>
      <w:r>
        <w:rPr>
          <w:rFonts w:hint="eastAsia" w:hAnsi="宋体" w:eastAsia="宋体" w:cs="宋体"/>
          <w:sz w:val="24"/>
          <w:szCs w:val="24"/>
          <w:highlight w:val="none"/>
        </w:rPr>
        <w:fldChar w:fldCharType="end"/>
      </w:r>
      <w:r>
        <w:rPr>
          <w:rFonts w:hint="eastAsia" w:hAnsi="宋体" w:eastAsia="宋体" w:cs="宋体"/>
          <w:sz w:val="24"/>
          <w:szCs w:val="24"/>
          <w:highlight w:val="none"/>
        </w:rPr>
        <w:t xml:space="preserve">）相关要求是本招标文件的组成部分。</w:t>
      </w:r>
      <w:r/>
    </w:p>
    <w:p>
      <w:pPr>
        <w:pStyle w:val="983"/>
        <w:ind w:firstLine="600"/>
        <w:spacing w:line="520" w:lineRule="exact"/>
        <w:rPr>
          <w:rFonts w:hint="eastAsia" w:hAnsi="宋体" w:eastAsia="宋体" w:cs="宋体"/>
          <w:sz w:val="24"/>
          <w:szCs w:val="24"/>
          <w:highlight w:val="none"/>
        </w:rPr>
      </w:pPr>
      <w:r>
        <w:rPr>
          <w:rFonts w:hint="eastAsia" w:hAnsi="宋体" w:eastAsia="宋体" w:cs="宋体"/>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rPr>
          <w:rFonts w:hint="eastAsia" w:ascii="宋体" w:hAnsi="宋体" w:cs="宋体"/>
          <w:sz w:val="24"/>
          <w:szCs w:val="24"/>
          <w:highlight w:val="none"/>
        </w:rPr>
      </w:pPr>
      <w:r/>
      <w:bookmarkStart w:id="13" w:name="_Toc522790132"/>
      <w:r>
        <w:rPr>
          <w:rFonts w:hint="eastAsia" w:ascii="宋体" w:hAnsi="宋体" w:cs="宋体"/>
          <w:sz w:val="24"/>
          <w:szCs w:val="24"/>
          <w:highlight w:val="none"/>
        </w:rPr>
        <w:br w:type="page" w:clear="all"/>
      </w:r>
      <w:bookmarkStart w:id="14" w:name="_Toc28867"/>
      <w:r>
        <w:rPr>
          <w:rStyle w:val="964"/>
          <w:rFonts w:hint="eastAsia" w:ascii="宋体" w:hAnsi="宋体" w:eastAsia="宋体" w:cs="宋体"/>
          <w:sz w:val="24"/>
          <w:szCs w:val="24"/>
          <w:highlight w:val="none"/>
        </w:rPr>
        <w:t xml:space="preserve">第三章  投标资料表</w:t>
      </w:r>
      <w:bookmarkEnd w:id="13"/>
      <w:r/>
      <w:bookmarkEnd w:id="14"/>
      <w:r/>
      <w:r/>
    </w:p>
    <w:p>
      <w:pPr>
        <w:pStyle w:val="976"/>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6"/>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rPr>
          <w:rFonts w:hint="eastAsia" w:ascii="宋体" w:hAnsi="宋体" w:cs="宋体"/>
          <w:sz w:val="24"/>
          <w:szCs w:val="24"/>
          <w:highlight w:val="none"/>
        </w:rPr>
      </w:pPr>
      <w:r>
        <w:rPr>
          <w:rFonts w:hint="eastAsia" w:ascii="宋体" w:hAnsi="宋体" w:cs="宋体"/>
          <w:sz w:val="24"/>
          <w:szCs w:val="24"/>
          <w:highlight w:val="none"/>
        </w:rPr>
      </w:r>
      <w:r/>
    </w:p>
    <w:tbl>
      <w:tblPr>
        <w:tblStyle w:val="765"/>
        <w:tblW w:w="0" w:type="auto"/>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6962"/>
      </w:tblGrid>
      <w:tr>
        <w:trPr/>
        <w:tc>
          <w:tcPr>
            <w:tcW w:w="1560" w:type="dxa"/>
            <w:vAlign w:val="top"/>
            <w:textDirection w:val="lrTb"/>
            <w:noWrap w:val="false"/>
          </w:tcPr>
          <w:p>
            <w:pPr>
              <w:jc w:val="center"/>
              <w:spacing w:line="400" w:lineRule="exact"/>
              <w:rPr>
                <w:rFonts w:hint="eastAsia" w:ascii="宋体" w:hAnsi="宋体" w:cs="宋体"/>
                <w:b/>
                <w:sz w:val="24"/>
                <w:szCs w:val="24"/>
                <w:highlight w:val="none"/>
              </w:rPr>
            </w:pPr>
            <w:r/>
            <w:bookmarkStart w:id="15" w:name="_Toc522790133"/>
            <w:r>
              <w:rPr>
                <w:rFonts w:hint="eastAsia" w:ascii="宋体" w:hAnsi="宋体" w:cs="宋体"/>
                <w:b/>
                <w:sz w:val="24"/>
                <w:szCs w:val="24"/>
                <w:highlight w:val="none"/>
              </w:rPr>
              <w:t xml:space="preserve">条款项号</w:t>
            </w:r>
            <w:r/>
          </w:p>
        </w:tc>
        <w:tc>
          <w:tcPr>
            <w:tcW w:w="6962" w:type="dxa"/>
            <w:vAlign w:val="top"/>
            <w:textDirection w:val="lrTb"/>
            <w:noWrap w:val="false"/>
          </w:tcPr>
          <w:p>
            <w:pPr>
              <w:jc w:val="center"/>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内    容</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总则</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w:t>
            </w:r>
            <w:r/>
          </w:p>
        </w:tc>
        <w:tc>
          <w:tcPr>
            <w:tcW w:w="6962" w:type="dxa"/>
            <w:vAlign w:val="top"/>
            <w:textDirection w:val="lrTb"/>
            <w:noWrap w:val="false"/>
          </w:tcPr>
          <w:p>
            <w:pPr>
              <w:spacing w:line="4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本项目采购人：</w:t>
            </w:r>
            <w:r>
              <w:rPr>
                <w:rFonts w:hint="eastAsia" w:ascii="宋体" w:hAnsi="宋体" w:cs="宋体"/>
                <w:sz w:val="24"/>
                <w:szCs w:val="24"/>
                <w:highlight w:val="none"/>
                <w:lang w:eastAsia="zh-CN"/>
              </w:rPr>
              <w:t xml:space="preserve">徐州市铜山区民政局</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本次采购采用的政府采购方式：公开招标。</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(四)</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采购人确定的采购项目属性：服务</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(五)</w:t>
            </w:r>
            <w:r/>
          </w:p>
        </w:tc>
        <w:tc>
          <w:tcPr>
            <w:tcW w:w="6962" w:type="dxa"/>
            <w:vAlign w:val="top"/>
            <w:textDirection w:val="lrTb"/>
            <w:noWrap w:val="false"/>
          </w:tcPr>
          <w:p>
            <w:pPr>
              <w:spacing w:line="4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本项目采购代理机构：</w:t>
            </w:r>
            <w:r>
              <w:rPr>
                <w:rFonts w:hint="eastAsia" w:ascii="宋体" w:hAnsi="宋体" w:cs="宋体"/>
                <w:sz w:val="24"/>
                <w:szCs w:val="24"/>
                <w:highlight w:val="none"/>
                <w:lang w:eastAsia="zh-CN"/>
              </w:rPr>
              <w:t xml:space="preserve">江苏立标项目管理有限公司</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(六)</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投标人的资格条件：</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符合《中华人民共和国政府采购法》第二十二条的规定；</w:t>
            </w:r>
            <w:r/>
          </w:p>
          <w:p>
            <w:pPr>
              <w:spacing w:line="400"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cs="宋体"/>
                <w:color w:val="auto"/>
                <w:sz w:val="24"/>
                <w:highlight w:val="none"/>
              </w:rPr>
              <w:t xml:space="preserve">本项目的特定资格要求：</w:t>
            </w:r>
            <w:r>
              <w:rPr>
                <w:rFonts w:hint="eastAsia" w:ascii="宋体" w:hAnsi="宋体" w:cs="宋体"/>
                <w:color w:val="auto"/>
                <w:sz w:val="24"/>
                <w:highlight w:val="none"/>
                <w:lang w:val="en-US" w:eastAsia="zh-CN"/>
              </w:rPr>
              <w:t xml:space="preserve">无</w:t>
            </w:r>
            <w:r>
              <w:rPr>
                <w:rFonts w:hint="eastAsia" w:ascii="宋体" w:hAnsi="宋体" w:cs="宋体"/>
                <w:color w:val="auto"/>
                <w:sz w:val="24"/>
                <w:highlight w:val="none"/>
              </w:rPr>
              <w:t xml:space="preserve">。</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w:t>
            </w:r>
            <w:r>
              <w:rPr>
                <w:rFonts w:hint="eastAsia" w:ascii="宋体" w:hAnsi="宋体" w:cs="宋体"/>
                <w:b/>
                <w:bCs/>
                <w:color w:val="auto"/>
                <w:sz w:val="24"/>
                <w:highlight w:val="none"/>
              </w:rPr>
              <w:t xml:space="preserve">落实政府采购政策需满足的资格要求：</w:t>
            </w:r>
            <w:r>
              <w:rPr>
                <w:rFonts w:hint="eastAsia" w:ascii="宋体" w:hAnsi="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不属于</w:t>
            </w:r>
            <w:r>
              <w:rPr>
                <w:rFonts w:hint="eastAsia" w:ascii="宋体" w:hAnsi="宋体" w:cs="宋体"/>
                <w:b/>
                <w:bCs/>
                <w:color w:val="auto"/>
                <w:sz w:val="24"/>
                <w:szCs w:val="24"/>
                <w:highlight w:val="none"/>
              </w:rPr>
              <w:t xml:space="preserve">专门面向中小微企业采购的项目。</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同时明确相关事项如下：</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一、本项目不接受联合体参与采购活动。</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二、单位负责人为同一人或者存在直接控股、管理关系的不同供应商，不得参加同一合同项下的政府采购活动。</w:t>
            </w:r>
            <w:r/>
          </w:p>
          <w:p>
            <w:pPr>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三、为本采购项目提供整体设计、规范编制或者项目管理、监理、检测等服务的供应商，不得再参加本采购项目的采购活动。</w:t>
            </w:r>
            <w:r/>
          </w:p>
          <w:p>
            <w:pPr>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四、查询及使用供应商信用记录：</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(一)由采购人查询信用信息。</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(二)查询渠道包括：</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1.“信用中国”网（</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"http://www.creditchina.gov.cn/"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www.creditchina.gov.cn</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2.中国政府采购网（</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"http://www.ccgp.gov.cn/"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www.ccgp.gov.cn</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3.“信用江苏”网（www.jscredit.gov.cn）；</w:t>
            </w:r>
            <w:r/>
          </w:p>
          <w:p>
            <w:pPr>
              <w:jc w:val="left"/>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4.“信用中国（江苏徐州）”网（</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"http://www.xuzhoucredit.gov.cn/"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http://www.xuzhoucredit.gov.cn</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(三)截止时点（查询环节）：资格性审查前。</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(四)信用信息查询记录和证据留存的具体方式：网页截屏打印，与其他采购文件一并保存。</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(五)信用信息的使用规则：</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招标代理服务费由中标人支付，标准见《招标代理服务收费标准》（见附件）。</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招标</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(九)1</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(九)2</w:t>
            </w:r>
            <w:r/>
          </w:p>
        </w:tc>
        <w:tc>
          <w:tcPr>
            <w:tcW w:w="6962" w:type="dxa"/>
            <w:vAlign w:val="top"/>
            <w:textDirection w:val="lrTb"/>
            <w:noWrap w:val="false"/>
          </w:tcPr>
          <w:p>
            <w:pPr>
              <w:spacing w:line="400" w:lineRule="exact"/>
              <w:tabs>
                <w:tab w:val="left" w:pos="5760" w:leader="none"/>
              </w:tabs>
              <w:rPr>
                <w:rFonts w:hint="eastAsia" w:ascii="宋体" w:hAnsi="宋体" w:cs="宋体"/>
                <w:sz w:val="24"/>
                <w:szCs w:val="24"/>
                <w:highlight w:val="none"/>
              </w:rPr>
            </w:pPr>
            <w:r>
              <w:rPr>
                <w:rFonts w:hint="eastAsia" w:ascii="宋体" w:hAnsi="宋体" w:cs="宋体"/>
                <w:sz w:val="24"/>
                <w:szCs w:val="24"/>
                <w:highlight w:val="none"/>
              </w:rPr>
              <w:t xml:space="preserve">不安排现场考察。</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(九)3</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不安排开标前答疑会。</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三</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w:t>
            </w:r>
            <w:r/>
          </w:p>
        </w:tc>
      </w:tr>
      <w:tr>
        <w:trPr>
          <w:trHeight w:val="510"/>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(十一)</w:t>
            </w:r>
            <w:r/>
          </w:p>
        </w:tc>
        <w:tc>
          <w:tcPr>
            <w:tcW w:w="6962" w:type="dxa"/>
            <w:vAlign w:val="top"/>
            <w:textDirection w:val="lrTb"/>
            <w:noWrap w:val="false"/>
          </w:tcPr>
          <w:p>
            <w:pPr>
              <w:spacing w:line="400" w:lineRule="exact"/>
              <w:tabs>
                <w:tab w:val="left" w:pos="5760" w:leader="none"/>
              </w:tabs>
              <w:rPr>
                <w:rFonts w:hint="eastAsia" w:ascii="宋体" w:hAnsi="宋体" w:cs="宋体"/>
                <w:sz w:val="24"/>
                <w:szCs w:val="24"/>
                <w:highlight w:val="none"/>
              </w:rPr>
            </w:pPr>
            <w:r>
              <w:rPr>
                <w:rFonts w:hint="eastAsia" w:ascii="宋体" w:hAnsi="宋体" w:cs="宋体"/>
                <w:sz w:val="24"/>
                <w:szCs w:val="24"/>
                <w:highlight w:val="none"/>
              </w:rPr>
              <w:t xml:space="preserve">投标文件的语言为中文</w:t>
            </w:r>
            <w:r/>
          </w:p>
        </w:tc>
      </w:tr>
      <w:tr>
        <w:trPr>
          <w:trHeight w:val="90"/>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(十二)1</w:t>
            </w:r>
            <w:r/>
          </w:p>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(十二)2</w:t>
            </w:r>
            <w:r/>
          </w:p>
        </w:tc>
        <w:tc>
          <w:tcPr>
            <w:tcW w:w="6962" w:type="dxa"/>
            <w:vAlign w:val="top"/>
            <w:textDirection w:val="lrTb"/>
            <w:noWrap w:val="false"/>
          </w:tcPr>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线上投标文件编制要求：</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请按照以下要求（包括但不限于以下要求）制作：</w:t>
            </w:r>
            <w:r/>
          </w:p>
          <w:p>
            <w:pPr>
              <w:spacing w:line="400" w:lineRule="exac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一、基本目录</w:t>
            </w:r>
            <w:r/>
          </w:p>
          <w:p>
            <w:pPr>
              <w:spacing w:line="40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1.《开标一览表》（加盖电子签章，政府采购客户端工具输入报价自动生成）</w:t>
            </w:r>
            <w:r>
              <w:rPr>
                <w:rFonts w:hint="eastAsia" w:ascii="宋体" w:hAnsi="宋体" w:cs="宋体"/>
                <w:sz w:val="24"/>
                <w:szCs w:val="24"/>
                <w:highlight w:val="none"/>
                <w:lang w:eastAsia="zh-CN"/>
              </w:rPr>
              <w:t xml:space="preserve">。</w:t>
            </w:r>
            <w:r/>
          </w:p>
          <w:p>
            <w:pPr>
              <w:spacing w:line="400" w:lineRule="exac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二、资格条件</w:t>
            </w:r>
            <w:r>
              <w:rPr>
                <w:rFonts w:hint="eastAsia" w:ascii="宋体" w:hAnsi="宋体" w:cs="宋体"/>
                <w:b/>
                <w:color w:val="auto"/>
                <w:sz w:val="24"/>
                <w:highlight w:val="none"/>
              </w:rPr>
              <w:t xml:space="preserve">（</w:t>
            </w: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项必须提供</w:t>
            </w:r>
            <w:r>
              <w:rPr>
                <w:rFonts w:hint="eastAsia" w:ascii="宋体" w:hAnsi="宋体" w:cs="宋体"/>
                <w:b/>
                <w:color w:val="auto"/>
                <w:sz w:val="24"/>
                <w:highlight w:val="none"/>
              </w:rPr>
              <w:t xml:space="preserve">，否则投标将被拒绝）</w:t>
            </w:r>
            <w:r>
              <w:rPr>
                <w:rFonts w:hint="eastAsia" w:ascii="宋体" w:hAnsi="宋体" w:cs="宋体"/>
                <w:bCs/>
                <w:color w:val="auto"/>
                <w:sz w:val="24"/>
                <w:highlight w:val="none"/>
              </w:rPr>
              <w:t xml:space="preserve">：</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w:t>
            </w:r>
            <w:bookmarkStart w:id="16" w:name="OLE_LINK5"/>
            <w:r>
              <w:rPr>
                <w:rFonts w:hint="eastAsia" w:ascii="宋体" w:hAnsi="宋体" w:cs="宋体"/>
                <w:sz w:val="24"/>
                <w:szCs w:val="24"/>
                <w:highlight w:val="none"/>
              </w:rPr>
              <w:t xml:space="preserve">具有独立承担民事责任的能力：投标人合法有效的法人或者其他组织的营业执照等证明文件，自然人的身份证明。以上证明文件提供原件的扫描件。</w:t>
            </w:r>
            <w:bookmarkEnd w:id="16"/>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w:t>
            </w:r>
            <w:bookmarkStart w:id="17" w:name="OLE_LINK12"/>
            <w:r>
              <w:rPr>
                <w:rFonts w:hint="eastAsia" w:ascii="宋体" w:hAnsi="宋体" w:cs="宋体"/>
                <w:sz w:val="24"/>
                <w:szCs w:val="24"/>
                <w:highlight w:val="none"/>
              </w:rPr>
              <w:t xml:space="preserve">具有良好的商业信誉和健全的财务会计制度：即提供投标人的本项目开标时间前6个月内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不含开标当月</w:t>
            </w:r>
            <w:r>
              <w:rPr>
                <w:rFonts w:hint="eastAsia" w:ascii="宋体" w:hAnsi="宋体" w:eastAsia="宋体" w:cs="宋体"/>
                <w:color w:val="auto"/>
                <w:sz w:val="24"/>
                <w:szCs w:val="24"/>
                <w:highlight w:val="none"/>
                <w:lang w:eastAsia="zh-CN"/>
              </w:rPr>
              <w:t xml:space="preserve">）</w:t>
            </w:r>
            <w:r>
              <w:rPr>
                <w:rFonts w:hint="eastAsia" w:ascii="宋体" w:hAnsi="宋体" w:cs="宋体"/>
                <w:sz w:val="24"/>
                <w:szCs w:val="24"/>
                <w:highlight w:val="none"/>
              </w:rPr>
              <w:t xml:space="preserve">任何时间的资产负债表、利润表扫描件各一份；或提供合法有效的经第三方机构审计的2025年度财务审计报告扫描件（应包括审计报告正文、资产负债表、现金流量表、利润表）；</w:t>
            </w:r>
            <w:bookmarkEnd w:id="17"/>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w:t>
            </w:r>
            <w:bookmarkStart w:id="18" w:name="OLE_LINK13"/>
            <w:r>
              <w:rPr>
                <w:rFonts w:hint="eastAsia" w:ascii="宋体" w:hAnsi="宋体" w:cs="宋体"/>
                <w:sz w:val="24"/>
                <w:szCs w:val="24"/>
                <w:highlight w:val="none"/>
              </w:rPr>
              <w:t xml:space="preserve">有依法缴纳税收和社会保障资金的良好记录：</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即提供投标人的本项目开标时间前6个月内任何1个月的依法缴纳税收扫描件和社会保障资金扫描件的相关材料（依法免税或不需要缴纳社会保障资金的供应商，提供相应文件扫描件证明其依法免税或不需要缴纳社会保障资金）；</w:t>
            </w:r>
            <w:bookmarkEnd w:id="18"/>
            <w:r/>
            <w:r/>
          </w:p>
          <w:p>
            <w:pPr>
              <w:spacing w:line="400" w:lineRule="exact"/>
              <w:widowControl/>
              <w:rPr>
                <w:rFonts w:hint="eastAsia" w:ascii="宋体" w:hAnsi="宋体" w:cs="宋体"/>
                <w:b/>
                <w:bCs/>
                <w:sz w:val="24"/>
                <w:szCs w:val="24"/>
                <w:highlight w:val="none"/>
              </w:rPr>
            </w:pPr>
            <w:r>
              <w:rPr>
                <w:rFonts w:hint="eastAsia" w:ascii="宋体" w:hAnsi="宋体" w:cs="宋体"/>
                <w:sz w:val="24"/>
                <w:szCs w:val="24"/>
                <w:highlight w:val="none"/>
                <w:lang w:val="en-US" w:eastAsia="zh-CN"/>
              </w:rPr>
              <w:t xml:space="preserve">4</w:t>
            </w:r>
            <w:r>
              <w:rPr>
                <w:rFonts w:hint="eastAsia"/>
                <w:color w:val="auto"/>
                <w:sz w:val="24"/>
                <w:szCs w:val="32"/>
                <w:highlight w:val="none"/>
              </w:rPr>
              <w:t xml:space="preserve">、</w:t>
            </w:r>
            <w:r>
              <w:rPr>
                <w:rFonts w:hint="eastAsia" w:ascii="宋体" w:hAnsi="宋体" w:cs="宋体"/>
                <w:sz w:val="24"/>
                <w:szCs w:val="24"/>
                <w:highlight w:val="none"/>
              </w:rPr>
              <w:t xml:space="preserve">具备履行合同所必需的设备和专业技术能力的证明材料，即投标文件中提供《</w:t>
            </w:r>
            <w:bookmarkStart w:id="19" w:name="_Toc515551102"/>
            <w:r>
              <w:rPr>
                <w:rFonts w:hint="eastAsia" w:ascii="宋体" w:hAnsi="宋体" w:cs="宋体"/>
                <w:sz w:val="24"/>
                <w:szCs w:val="24"/>
                <w:highlight w:val="none"/>
              </w:rPr>
              <w:t xml:space="preserve">具备履行合同所必需的设备和专业技术能力的书面声明</w:t>
            </w:r>
            <w:bookmarkEnd w:id="19"/>
            <w:r>
              <w:rPr>
                <w:rFonts w:hint="eastAsia" w:ascii="宋体" w:hAnsi="宋体" w:cs="宋体"/>
                <w:sz w:val="24"/>
                <w:szCs w:val="24"/>
                <w:highlight w:val="none"/>
              </w:rPr>
              <w:t xml:space="preserve">》（加盖电子签章，格式见招标文件第七章《投标文件相关格式》）。</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5、</w:t>
            </w:r>
            <w:bookmarkStart w:id="20" w:name="OLE_LINK15"/>
            <w:r>
              <w:rPr>
                <w:rFonts w:hint="eastAsia" w:ascii="宋体" w:hAnsi="宋体" w:cs="宋体"/>
                <w:sz w:val="24"/>
                <w:szCs w:val="24"/>
                <w:highlight w:val="none"/>
              </w:rPr>
              <w:t xml:space="preserve">参加政府采购活动前三年内，在经营活动中没有重大违法记录：即提供投标人参加政府采购活动前3年内在经营活动中没有重大违法记录的书面声明，加盖电子签章，格式见本文件第七章《投标文件相关格式》；</w:t>
            </w:r>
            <w:bookmarkEnd w:id="20"/>
            <w:r/>
            <w:r/>
          </w:p>
          <w:p>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三、符合条件</w:t>
            </w:r>
            <w:r>
              <w:rPr>
                <w:rFonts w:hint="eastAsia" w:ascii="宋体" w:hAnsi="宋体" w:cs="宋体"/>
                <w:b/>
                <w:color w:val="auto"/>
                <w:sz w:val="24"/>
                <w:highlight w:val="none"/>
              </w:rPr>
              <w:t xml:space="preserve">（必须提供，否则在符合性审查时按照投标无效处理）</w:t>
            </w:r>
            <w:r/>
          </w:p>
          <w:p>
            <w:pPr>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（一）报价</w:t>
            </w:r>
            <w:r/>
          </w:p>
          <w:p>
            <w:pPr>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w:t>
            </w:r>
            <w:bookmarkStart w:id="21" w:name="OLE_LINK7"/>
            <w:r>
              <w:rPr>
                <w:rFonts w:hint="eastAsia" w:ascii="宋体" w:hAnsi="宋体" w:cs="宋体"/>
                <w:b/>
                <w:bCs/>
                <w:color w:val="auto"/>
                <w:sz w:val="24"/>
                <w:highlight w:val="none"/>
              </w:rPr>
              <w:t xml:space="preserve">《开标一览表》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加盖电子签章，格式见</w:t>
            </w:r>
            <w:r>
              <w:rPr>
                <w:rFonts w:hint="eastAsia" w:ascii="宋体" w:hAnsi="宋体" w:cs="宋体"/>
                <w:b/>
                <w:bCs/>
                <w:sz w:val="24"/>
                <w:szCs w:val="24"/>
                <w:highlight w:val="none"/>
              </w:rPr>
              <w:t xml:space="preserve">招标文件</w:t>
            </w:r>
            <w:r>
              <w:rPr>
                <w:rFonts w:hint="eastAsia" w:ascii="宋体" w:hAnsi="宋体" w:cs="宋体"/>
                <w:b/>
                <w:bCs/>
                <w:color w:val="auto"/>
                <w:sz w:val="24"/>
                <w:highlight w:val="none"/>
              </w:rPr>
              <w:t xml:space="preserve">第七章《投标文件相关格式》</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2.《分项价格表》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加盖电子签章，格式见</w:t>
            </w:r>
            <w:r>
              <w:rPr>
                <w:rFonts w:hint="eastAsia" w:ascii="宋体" w:hAnsi="宋体" w:cs="宋体"/>
                <w:b/>
                <w:bCs/>
                <w:sz w:val="24"/>
                <w:szCs w:val="24"/>
                <w:highlight w:val="none"/>
              </w:rPr>
              <w:t xml:space="preserve">招标文件</w:t>
            </w:r>
            <w:r>
              <w:rPr>
                <w:rFonts w:hint="eastAsia" w:ascii="宋体" w:hAnsi="宋体" w:cs="宋体"/>
                <w:b/>
                <w:bCs/>
                <w:color w:val="auto"/>
                <w:sz w:val="24"/>
                <w:highlight w:val="none"/>
              </w:rPr>
              <w:t xml:space="preserve">第七章《投标文件相关格式》</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bookmarkEnd w:id="21"/>
            <w:r/>
            <w:r/>
          </w:p>
          <w:p>
            <w:pP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rPr>
              <w:t xml:space="preserve">）商务资信</w:t>
            </w:r>
            <w:r/>
          </w:p>
          <w:p>
            <w:pPr>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1.《投标函》（加盖电子签章，格式见招标文件第七章《投标文件相关格式》）；</w:t>
            </w:r>
            <w:r/>
          </w:p>
          <w:p>
            <w:pPr>
              <w:spacing w:line="360" w:lineRule="exact"/>
              <w:rPr>
                <w:rFonts w:hint="eastAsia" w:ascii="宋体" w:hAnsi="宋体" w:cs="宋体"/>
                <w:sz w:val="24"/>
                <w:szCs w:val="24"/>
                <w:highlight w:val="none"/>
              </w:rPr>
            </w:pPr>
            <w:r>
              <w:rPr>
                <w:rFonts w:ascii="宋体" w:hAnsi="宋体" w:cs="宋体"/>
                <w:color w:val="auto"/>
                <w:sz w:val="24"/>
                <w:szCs w:val="24"/>
                <w:highlight w:val="none"/>
                <w:lang w:val="en-US"/>
              </w:rPr>
              <w:t xml:space="preserve">2</w:t>
            </w:r>
            <w:r>
              <w:rPr>
                <w:rFonts w:hint="eastAsia" w:ascii="宋体" w:hAnsi="宋体" w:cs="宋体"/>
                <w:color w:val="auto"/>
                <w:sz w:val="24"/>
                <w:szCs w:val="24"/>
                <w:highlight w:val="none"/>
              </w:rPr>
              <w:t xml:space="preserve">.《法定代表人授权书》（</w:t>
            </w:r>
            <w:r>
              <w:rPr>
                <w:rFonts w:hint="eastAsia" w:ascii="宋体" w:hAnsi="宋体" w:cs="宋体"/>
                <w:sz w:val="24"/>
                <w:szCs w:val="24"/>
                <w:highlight w:val="none"/>
              </w:rPr>
              <w:t xml:space="preserve">提供原件的扫描件，格式见招标文件第七章《投标文件相关格式》）。</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三</w:t>
            </w:r>
            <w:r>
              <w:rPr>
                <w:rFonts w:hint="eastAsia" w:ascii="宋体" w:hAnsi="宋体" w:cs="宋体"/>
                <w:color w:val="auto"/>
                <w:sz w:val="24"/>
                <w:szCs w:val="24"/>
                <w:highlight w:val="none"/>
              </w:rPr>
              <w:t xml:space="preserve">）技术响应</w:t>
            </w:r>
            <w:r/>
          </w:p>
          <w:p>
            <w:pPr>
              <w:spacing w:line="360" w:lineRule="exact"/>
              <w:rPr>
                <w:rFonts w:hint="eastAsia" w:ascii="宋体" w:hAnsi="宋体" w:cs="宋体"/>
                <w:sz w:val="24"/>
                <w:szCs w:val="24"/>
                <w:highlight w:val="none"/>
                <w:lang w:eastAsia="zh-CN"/>
              </w:rPr>
            </w:pPr>
            <w:r>
              <w:rPr>
                <w:rFonts w:hint="eastAsia" w:ascii="宋体" w:hAnsi="宋体" w:cs="宋体"/>
                <w:sz w:val="24"/>
                <w:szCs w:val="24"/>
                <w:highlight w:val="none"/>
              </w:rPr>
              <w:t xml:space="preserve">1.《偏离表》（加盖电子签章，格式见招标文件第七章《投标文件相关格式》）</w:t>
            </w:r>
            <w:r>
              <w:rPr>
                <w:rFonts w:hint="eastAsia" w:ascii="宋体" w:hAnsi="宋体" w:cs="宋体"/>
                <w:sz w:val="24"/>
                <w:szCs w:val="24"/>
                <w:highlight w:val="none"/>
                <w:lang w:eastAsia="zh-CN"/>
              </w:rPr>
              <w:t xml:space="preserve">；</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四、综合评审评分项</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（一）技术部分</w:t>
            </w:r>
            <w:r/>
          </w:p>
          <w:p>
            <w:pP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1.总体方案（要求见招标文件第四章《评标标准》及</w:t>
            </w:r>
            <w:bookmarkStart w:id="22" w:name="OLE_LINK3"/>
            <w:r>
              <w:rPr>
                <w:rFonts w:hint="eastAsia" w:ascii="宋体" w:hAnsi="宋体" w:eastAsia="宋体" w:cs="宋体"/>
                <w:color w:val="auto"/>
                <w:sz w:val="24"/>
                <w:szCs w:val="24"/>
                <w:highlight w:val="none"/>
              </w:rPr>
              <w:t xml:space="preserve">第六章《采购需求》</w:t>
            </w:r>
            <w:bookmarkEnd w:id="22"/>
            <w:r>
              <w:rPr>
                <w:rFonts w:hint="eastAsia" w:ascii="宋体" w:hAnsi="宋体" w:eastAsia="宋体" w:cs="宋体"/>
                <w:color w:val="auto"/>
                <w:sz w:val="24"/>
                <w:szCs w:val="24"/>
                <w:highlight w:val="none"/>
              </w:rPr>
              <w:t xml:space="preserve">）；</w:t>
            </w:r>
            <w:r/>
          </w:p>
          <w:p>
            <w:pPr>
              <w:spacing w:line="24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服务团队</w:t>
            </w:r>
            <w:r>
              <w:rPr>
                <w:rFonts w:hint="eastAsia" w:ascii="宋体" w:hAnsi="宋体" w:eastAsia="宋体" w:cs="宋体"/>
                <w:color w:val="auto"/>
                <w:sz w:val="24"/>
                <w:szCs w:val="24"/>
                <w:highlight w:val="none"/>
              </w:rPr>
              <w:t xml:space="preserve">（要求见招标文件第四章《评标标准》及第六章《采购需求》）；</w:t>
            </w:r>
            <w:r/>
          </w:p>
          <w:p>
            <w:pPr>
              <w:spacing w:line="24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承保服务方案</w:t>
            </w:r>
            <w:r>
              <w:rPr>
                <w:rFonts w:hint="eastAsia" w:ascii="宋体" w:hAnsi="宋体" w:eastAsia="宋体" w:cs="宋体"/>
                <w:color w:val="auto"/>
                <w:sz w:val="24"/>
                <w:szCs w:val="24"/>
                <w:highlight w:val="none"/>
              </w:rPr>
              <w:t xml:space="preserve">（要求见招标文件第四章《评标标准》及第六章《采购需求》）；</w:t>
            </w:r>
            <w:r/>
          </w:p>
          <w:p>
            <w:pPr>
              <w:jc w:val="both"/>
              <w:keepLines w:val="0"/>
              <w:keepNext w:val="0"/>
              <w:pageBreakBefore w:val="0"/>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bCs/>
                <w:color w:val="auto"/>
                <w:sz w:val="24"/>
                <w:szCs w:val="24"/>
                <w:highlight w:val="none"/>
                <w:lang w:val="zh-CN"/>
              </w:rPr>
              <w:t xml:space="preserve">宣传方案</w:t>
            </w:r>
            <w:r>
              <w:rPr>
                <w:rFonts w:hint="eastAsia" w:ascii="宋体" w:hAnsi="宋体" w:eastAsia="宋体" w:cs="宋体"/>
                <w:color w:val="auto"/>
                <w:sz w:val="24"/>
                <w:szCs w:val="24"/>
                <w:highlight w:val="none"/>
              </w:rPr>
              <w:t xml:space="preserve">（要求见招标文件第四章《评标标准》及第六章《采购需求》）；</w:t>
            </w:r>
            <w:r/>
          </w:p>
          <w:p>
            <w:pPr>
              <w:jc w:val="both"/>
              <w:keepLines w:val="0"/>
              <w:keepNext w:val="0"/>
              <w:pageBreakBefore w:val="0"/>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bCs/>
                <w:color w:val="auto"/>
                <w:sz w:val="24"/>
                <w:szCs w:val="24"/>
                <w:highlight w:val="none"/>
                <w:lang w:eastAsia="zh-CN"/>
              </w:rPr>
              <w:t xml:space="preserve">理赔方案</w:t>
            </w:r>
            <w:r>
              <w:rPr>
                <w:rFonts w:hint="eastAsia" w:ascii="宋体" w:hAnsi="宋体" w:eastAsia="宋体" w:cs="宋体"/>
                <w:color w:val="auto"/>
                <w:sz w:val="24"/>
                <w:szCs w:val="24"/>
                <w:highlight w:val="none"/>
              </w:rPr>
              <w:t xml:space="preserve">（要求见招标文件第四章《评标标准》及第六章《采购需求》）；</w:t>
            </w:r>
            <w:r/>
          </w:p>
          <w:p>
            <w:pPr>
              <w:keepLines w:val="0"/>
              <w:keepNext w:val="0"/>
              <w:pageBreakBefore w:val="0"/>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风险管控服务方案（要求见招标文件第四章《评标标准》及第六章《采购需求》）；</w:t>
            </w:r>
            <w:r/>
          </w:p>
          <w:p>
            <w:pPr>
              <w:keepLines w:val="0"/>
              <w:keepNext w:val="0"/>
              <w:pageBreakBefore w:val="0"/>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7.应急处理预案</w:t>
            </w:r>
            <w:r>
              <w:rPr>
                <w:rFonts w:hint="eastAsia" w:ascii="宋体" w:hAnsi="宋体" w:eastAsia="宋体" w:cs="宋体"/>
                <w:color w:val="auto"/>
                <w:sz w:val="24"/>
                <w:szCs w:val="24"/>
                <w:highlight w:val="none"/>
              </w:rPr>
              <w:t xml:space="preserve">（要求见招标文件第四章《评标标准》及第六章《采购需求》）；</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（二）商务部分</w:t>
            </w:r>
            <w:r/>
          </w:p>
          <w:p>
            <w:pPr>
              <w:spacing w:line="400" w:lineRule="exact"/>
              <w:widowControl/>
              <w:rPr>
                <w:rFonts w:hint="eastAsia" w:ascii="宋体" w:hAnsi="宋体" w:cs="宋体"/>
                <w:sz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cs="宋体"/>
                <w:sz w:val="24"/>
                <w:highlight w:val="none"/>
                <w:lang w:val="en-US" w:eastAsia="zh-CN"/>
              </w:rPr>
              <w:t xml:space="preserve">赔偿限额（要求见招标文件第四章《评标标准》）；</w:t>
            </w:r>
            <w:r/>
          </w:p>
          <w:p>
            <w:pPr>
              <w:spacing w:line="400" w:lineRule="exact"/>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2.企业业绩（要求见招标文件第四章《评标标准》）；</w:t>
            </w:r>
            <w:r/>
          </w:p>
          <w:p>
            <w:pPr>
              <w:spacing w:line="400" w:lineRule="exact"/>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3.综合偿付能力（要求见招标文件第四章《评标标准》）；</w:t>
            </w:r>
            <w:r/>
          </w:p>
          <w:p>
            <w:pPr>
              <w:spacing w:line="400" w:lineRule="exact"/>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4.风险综合评级（要求见招标文件第四章《评标标准》）。</w:t>
            </w:r>
            <w:r/>
          </w:p>
          <w:p>
            <w:pPr>
              <w:pStyle w:val="766"/>
              <w:rPr>
                <w:rFonts w:hint="default"/>
                <w:highlight w:val="none"/>
                <w:lang w:val="en-US" w:eastAsia="zh-CN"/>
              </w:rPr>
            </w:pPr>
            <w:r>
              <w:rPr>
                <w:rFonts w:hint="eastAsia" w:ascii="宋体" w:hAnsi="宋体" w:cs="宋体"/>
                <w:sz w:val="24"/>
                <w:highlight w:val="none"/>
                <w:lang w:val="en-US" w:eastAsia="zh-CN"/>
              </w:rPr>
              <w:t xml:space="preserve">（三）招标文件要求提供的其他内容。</w:t>
            </w:r>
            <w:r/>
          </w:p>
          <w:p>
            <w:pPr>
              <w:spacing w:line="400" w:lineRule="exact"/>
              <w:widowControl/>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rPr>
              <w:t xml:space="preserve">五、价格折扣文件格式</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无。</w:t>
            </w:r>
            <w:r/>
          </w:p>
          <w:p>
            <w:pPr>
              <w:spacing w:line="400" w:lineRule="exact"/>
              <w:widowControl/>
              <w:rPr>
                <w:rFonts w:hint="eastAsia" w:ascii="宋体" w:hAnsi="宋体" w:cs="宋体"/>
                <w:sz w:val="24"/>
                <w:szCs w:val="24"/>
                <w:highlight w:val="none"/>
              </w:rPr>
            </w:pPr>
            <w:r>
              <w:rPr>
                <w:rFonts w:hint="eastAsia" w:ascii="宋体" w:hAnsi="宋体" w:cs="宋体"/>
                <w:color w:val="auto"/>
                <w:sz w:val="24"/>
                <w:szCs w:val="24"/>
                <w:highlight w:val="none"/>
              </w:rPr>
              <w:t xml:space="preserve">投标人提供的服务全部由符合政策要求的中小企业承接的，提供《中小企业声</w:t>
            </w:r>
            <w:r>
              <w:rPr>
                <w:rFonts w:hint="eastAsia" w:ascii="宋体" w:hAnsi="宋体" w:cs="宋体"/>
                <w:color w:val="000000"/>
                <w:sz w:val="24"/>
                <w:szCs w:val="24"/>
                <w:highlight w:val="none"/>
              </w:rPr>
              <w:t xml:space="preserve">明函》（填写完整，加盖电子签章，格式见招标文件第七章《投标文件相关格式》）</w:t>
            </w:r>
            <w:r>
              <w:rPr>
                <w:rFonts w:hint="eastAsia" w:ascii="宋体" w:hAnsi="宋体" w:cs="宋体"/>
                <w:b/>
                <w:bCs/>
                <w:sz w:val="24"/>
                <w:szCs w:val="24"/>
                <w:highlight w:val="none"/>
              </w:rPr>
              <w:t xml:space="preserve">（</w:t>
            </w:r>
            <w:r>
              <w:rPr>
                <w:rFonts w:hint="eastAsia" w:ascii="宋体" w:hAnsi="宋体" w:cs="宋体"/>
                <w:b/>
                <w:bCs/>
                <w:color w:val="auto"/>
                <w:sz w:val="24"/>
                <w:szCs w:val="24"/>
                <w:highlight w:val="none"/>
              </w:rPr>
              <w:t xml:space="preserve">如不填写完整，视为无效</w:t>
            </w:r>
            <w:r>
              <w:rPr>
                <w:rFonts w:hint="eastAsia" w:ascii="宋体" w:hAnsi="宋体" w:cs="宋体"/>
                <w:b/>
                <w:bCs/>
                <w:sz w:val="24"/>
                <w:szCs w:val="24"/>
                <w:highlight w:val="none"/>
              </w:rPr>
              <w:t xml:space="preserve">）</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t xml:space="preserve">《中小企业声明函》查询渠道参考工业和信息化部发布的中小企业规模自测小程序。</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注：具体以《政府采购促进中小企业发展管理办法》（财库[2020]46号）和《关于印发中小企业划型标准规定的通知》（工信部联企业[2011]300号）的规定为准。</w:t>
            </w:r>
            <w:r/>
          </w:p>
          <w:p>
            <w:pPr>
              <w:ind w:firstLine="560"/>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注：监狱企业和残疾人福利性单位等同于小微企业。</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    投标人为监狱企业的，提供省级以上监狱管理局、戒毒管理局（含新疆生产建设兵团）出具的属于监狱企业的证明文件原件的扫描件。</w:t>
            </w:r>
            <w:r/>
          </w:p>
          <w:p>
            <w:pPr>
              <w:ind w:firstLine="560"/>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具体以《财政部 司法部关于政府采购支持监狱企业发展有关问题的通知》（财库〔2014〕68号）的规定为准。</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    投标人为享受政府采购支持政策的残疾人福利性单位的，提供《残疾人福利性单位声明函》（加盖电子签章，格式见招标文件第七章《投标文件相关格式》）。</w:t>
            </w:r>
            <w:r/>
          </w:p>
          <w:p>
            <w:pPr>
              <w:ind w:firstLine="560"/>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享受政府采购支持政策的残疾人福利性单位应当同时满足以下条件：</w:t>
            </w:r>
            <w:r/>
          </w:p>
          <w:p>
            <w:pPr>
              <w:ind w:firstLine="560"/>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①安置的残疾人占本单位在职职工人数的比例不低于25%（含25%），并且安置的残疾人人数不少于10人（含10人）；</w:t>
            </w:r>
            <w:r/>
          </w:p>
          <w:p>
            <w:pPr>
              <w:ind w:firstLine="560"/>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②依法与安置的每位残疾人签订了一年以上（含一年）的劳动合同或服务协议；</w:t>
            </w:r>
            <w:r/>
          </w:p>
          <w:p>
            <w:pPr>
              <w:ind w:firstLine="560"/>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③为安置的每位残疾人按月足额缴纳了基本养老保险、基本医疗保险、失业保险、工伤保险和生育保险等社会保险费；</w:t>
            </w:r>
            <w:r/>
          </w:p>
          <w:p>
            <w:pPr>
              <w:ind w:firstLine="560"/>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④通过银行等金融机构向安置的每位残疾人，按月支付了不低于单位所在区县适用的经省级人民政府批准的月最低工资标准的工资；</w:t>
            </w:r>
            <w:r/>
          </w:p>
          <w:p>
            <w:pPr>
              <w:ind w:firstLine="560"/>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ind w:firstLine="560"/>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560"/>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具体以《三部门联合发布关于促进残疾人就业政府采购政策的通知》（财库〔2017〕141号）规定为准。</w:t>
            </w:r>
            <w:r/>
          </w:p>
          <w:p>
            <w:pPr>
              <w:spacing w:line="400" w:lineRule="exact"/>
              <w:rPr>
                <w:rFonts w:hint="eastAsia" w:ascii="宋体" w:hAnsi="宋体" w:cs="宋体"/>
                <w:bCs/>
                <w:sz w:val="24"/>
                <w:szCs w:val="24"/>
                <w:highlight w:val="none"/>
              </w:rPr>
            </w:pPr>
            <w:r>
              <w:rPr>
                <w:rFonts w:hint="eastAsia" w:ascii="宋体" w:hAnsi="宋体" w:cs="宋体"/>
                <w:b/>
                <w:bCs/>
                <w:sz w:val="24"/>
                <w:szCs w:val="24"/>
                <w:highlight w:val="none"/>
              </w:rPr>
              <w:t xml:space="preserve">注</w:t>
            </w:r>
            <w:r>
              <w:rPr>
                <w:rFonts w:hint="eastAsia" w:ascii="宋体" w:hAnsi="宋体" w:cs="宋体"/>
                <w:bCs/>
                <w:sz w:val="24"/>
                <w:szCs w:val="24"/>
                <w:highlight w:val="none"/>
              </w:rPr>
              <w:t xml:space="preserve">：</w:t>
            </w:r>
            <w:r/>
          </w:p>
          <w:p>
            <w:pPr>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1.投标人应对以上文件的合法性、真实性负责。</w:t>
            </w:r>
            <w:r/>
          </w:p>
          <w:p>
            <w:pPr>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(十三)2</w:t>
            </w:r>
            <w:r/>
          </w:p>
        </w:tc>
        <w:tc>
          <w:tcPr>
            <w:tcW w:w="6962" w:type="dxa"/>
            <w:vAlign w:val="top"/>
            <w:textDirection w:val="lrTb"/>
            <w:noWrap w:val="false"/>
          </w:tcPr>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商务条件见：</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一、本文件第四章《评标标准》中《评分细则》。</w:t>
            </w:r>
            <w:r/>
          </w:p>
          <w:p>
            <w:pPr>
              <w:spacing w:line="400" w:lineRule="exact"/>
              <w:rPr>
                <w:rFonts w:hint="eastAsia" w:ascii="宋体" w:hAnsi="宋体" w:cs="宋体"/>
                <w:bCs/>
                <w:sz w:val="24"/>
                <w:szCs w:val="24"/>
                <w:highlight w:val="none"/>
              </w:rPr>
            </w:pPr>
            <w:r>
              <w:rPr>
                <w:rFonts w:hint="eastAsia" w:ascii="宋体" w:hAnsi="宋体" w:cs="宋体"/>
                <w:sz w:val="24"/>
                <w:szCs w:val="24"/>
                <w:highlight w:val="none"/>
              </w:rPr>
              <w:t xml:space="preserve">二、本文件第三章《投标资料表》中(十二)1和(十二)2。</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(十三)3</w:t>
            </w:r>
            <w:r/>
          </w:p>
        </w:tc>
        <w:tc>
          <w:tcPr>
            <w:tcW w:w="6962" w:type="dxa"/>
            <w:vAlign w:val="top"/>
            <w:textDirection w:val="lrTb"/>
            <w:noWrap w:val="false"/>
          </w:tcPr>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提供服务的时间：见本文件第五章《拟签订的合同文本》</w:t>
            </w:r>
            <w:r>
              <w:rPr>
                <w:rFonts w:hint="eastAsia" w:ascii="宋体" w:hAnsi="宋体" w:cs="宋体"/>
                <w:sz w:val="24"/>
                <w:szCs w:val="24"/>
                <w:highlight w:val="none"/>
                <w:lang w:eastAsia="zh-CN"/>
              </w:rPr>
              <w:t xml:space="preserve">及</w:t>
            </w:r>
            <w:r>
              <w:rPr>
                <w:rFonts w:hint="eastAsia" w:ascii="宋体" w:hAnsi="宋体" w:cs="宋体"/>
                <w:sz w:val="24"/>
                <w:szCs w:val="24"/>
                <w:highlight w:val="none"/>
              </w:rPr>
              <w:t xml:space="preserve">本文件第六章《采购需求》。</w:t>
            </w:r>
            <w:r/>
          </w:p>
        </w:tc>
      </w:tr>
      <w:tr>
        <w:trPr>
          <w:trHeight w:val="964"/>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(十四)3</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本项目预算金额人民币约</w:t>
            </w:r>
            <w:r>
              <w:rPr>
                <w:rFonts w:hint="eastAsia" w:ascii="宋体" w:hAnsi="宋体" w:cs="宋体"/>
                <w:sz w:val="24"/>
                <w:szCs w:val="24"/>
                <w:highlight w:val="none"/>
                <w:lang w:val="en-US" w:eastAsia="zh-CN"/>
              </w:rPr>
              <w:t xml:space="preserve">270</w:t>
            </w:r>
            <w:r>
              <w:rPr>
                <w:rFonts w:hint="eastAsia" w:ascii="宋体" w:hAnsi="宋体" w:eastAsia="宋体" w:cs="宋体"/>
                <w:sz w:val="24"/>
                <w:szCs w:val="24"/>
                <w:highlight w:val="none"/>
                <w:lang w:val="en-US" w:eastAsia="zh-CN"/>
              </w:rPr>
              <w:t xml:space="preserve">万元，不接受超过采购预算的投标报价。</w:t>
            </w:r>
            <w:r>
              <w:rPr>
                <w:rFonts w:hint="eastAsia" w:ascii="宋体" w:hAnsi="宋体" w:eastAsia="宋体" w:cs="宋体"/>
                <w:sz w:val="24"/>
                <w:szCs w:val="24"/>
                <w:highlight w:val="none"/>
              </w:rPr>
              <w:t xml:space="preserve">本项目报价包含完成全部服务内容所需一切费用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采购人不再另行支付任何费用。</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(十五)</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以人民币报价。</w:t>
            </w:r>
            <w:r/>
          </w:p>
        </w:tc>
      </w:tr>
      <w:tr>
        <w:trPr>
          <w:trHeight w:val="90"/>
        </w:trPr>
        <w:tc>
          <w:tcPr>
            <w:tcW w:w="1560" w:type="dxa"/>
            <w:vAlign w:val="top"/>
            <w:textDirection w:val="lrTb"/>
            <w:noWrap w:val="false"/>
          </w:tcPr>
          <w:p>
            <w:pPr>
              <w:jc w:val="center"/>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（十七）</w:t>
            </w:r>
            <w:r/>
          </w:p>
        </w:tc>
        <w:tc>
          <w:tcPr>
            <w:tcW w:w="6962"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400" w:lineRule="exact"/>
              <w:rPr>
                <w:rFonts w:hint="eastAsia" w:ascii="宋体" w:hAnsi="宋体" w:cs="宋体"/>
                <w:sz w:val="24"/>
                <w:szCs w:val="24"/>
                <w:highlight w:val="none"/>
              </w:rPr>
            </w:pPr>
            <w:r>
              <w:rPr>
                <w:rFonts w:hint="eastAsia" w:ascii="宋体" w:hAnsi="宋体" w:eastAsia="宋体" w:cs="宋体"/>
                <w:sz w:val="24"/>
                <w:szCs w:val="24"/>
                <w:highlight w:val="none"/>
              </w:rPr>
              <w:t xml:space="preserve">特别说明：政府采购客户端工具需要导出加密的投标文件（后缀名为</w:t>
            </w:r>
            <w:r>
              <w:rPr>
                <w:rFonts w:hint="eastAsia" w:ascii="宋体" w:hAnsi="宋体" w:eastAsia="宋体" w:cs="宋体"/>
                <w:b/>
                <w:bCs/>
                <w:sz w:val="24"/>
                <w:szCs w:val="24"/>
                <w:highlight w:val="none"/>
              </w:rPr>
              <w:t xml:space="preserve">zip</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投标文件不得超过150M</w:t>
            </w:r>
            <w:r>
              <w:rPr>
                <w:rFonts w:hint="eastAsia" w:ascii="宋体" w:hAnsi="宋体" w:eastAsia="宋体" w:cs="宋体"/>
                <w:sz w:val="24"/>
                <w:szCs w:val="24"/>
                <w:highlight w:val="none"/>
              </w:rPr>
              <w:t xml:space="preserve">！名为“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”）后，离线编制投标文件。采购文件（后缀名为“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(十八)</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线上投标文件的密封、签署、盖章要求：</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一、投标文件的密封（加密）要求：</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二、投标文件的签署要求：见招标文件第七章《投标文件相关格式》。</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说明：投标人应在用CA数字证书以及自备的能够登录“苏采云”系统的电脑，在达到开标时间后，使用CA数字证书解密各自投标文件。</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投标人未按规定加密的投标文件，“苏采云”系统应当拒收并提示。</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(十九)</w:t>
            </w:r>
            <w:r/>
          </w:p>
        </w:tc>
        <w:tc>
          <w:tcPr>
            <w:tcW w:w="6962" w:type="dxa"/>
            <w:vAlign w:val="top"/>
            <w:textDirection w:val="lrTb"/>
            <w:noWrap w:val="false"/>
          </w:tcPr>
          <w:p>
            <w:pPr>
              <w:ind w:left="560" w:hanging="5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投标文件的提交： </w:t>
            </w:r>
            <w:r/>
          </w:p>
          <w:p>
            <w:pPr>
              <w:ind w:left="0" w:firstLine="0"/>
              <w:jc w:val="left"/>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1.投标文件提交时间：</w:t>
            </w:r>
            <w:r>
              <w:rPr>
                <w:rFonts w:hint="eastAsia" w:ascii="宋体" w:hAnsi="宋体" w:cs="宋体"/>
                <w:color w:val="ff0000"/>
                <w:sz w:val="24"/>
                <w:szCs w:val="24"/>
                <w:highlight w:val="none"/>
              </w:rPr>
              <w:t xml:space="preserve">2026年8</w:t>
            </w:r>
            <w:r>
              <w:rPr>
                <w:rFonts w:hint="eastAsia" w:ascii="宋体" w:hAnsi="宋体" w:cs="宋体"/>
                <w:color w:val="ff0000"/>
                <w:sz w:val="24"/>
                <w:szCs w:val="24"/>
                <w:highlight w:val="none"/>
              </w:rPr>
              <w:t xml:space="preserve">月26</w:t>
            </w:r>
            <w:r>
              <w:rPr>
                <w:rFonts w:hint="eastAsia" w:ascii="宋体" w:hAnsi="宋体" w:cs="宋体"/>
                <w:color w:val="ff0000"/>
                <w:sz w:val="24"/>
                <w:szCs w:val="24"/>
                <w:highlight w:val="none"/>
              </w:rPr>
              <w:t xml:space="preserve">日</w:t>
            </w:r>
            <w:r>
              <w:rPr>
                <w:rFonts w:hint="eastAsia" w:ascii="宋体" w:hAnsi="宋体" w:cs="宋体"/>
                <w:sz w:val="24"/>
                <w:szCs w:val="24"/>
                <w:highlight w:val="none"/>
              </w:rPr>
              <w:t xml:space="preserve">北京时间10:00前。</w:t>
            </w:r>
            <w:r/>
          </w:p>
          <w:p>
            <w:pPr>
              <w:ind w:left="560" w:hanging="5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2.投标截止时间：</w:t>
            </w:r>
            <w:r>
              <w:rPr>
                <w:rFonts w:hint="eastAsia" w:ascii="宋体" w:hAnsi="宋体" w:cs="宋体"/>
                <w:color w:val="ff0000"/>
                <w:sz w:val="24"/>
                <w:szCs w:val="24"/>
                <w:highlight w:val="none"/>
              </w:rPr>
              <w:t xml:space="preserve">2026年8</w:t>
            </w:r>
            <w:r>
              <w:rPr>
                <w:rFonts w:hint="eastAsia" w:ascii="宋体" w:hAnsi="宋体" w:cs="宋体"/>
                <w:color w:val="ff0000"/>
                <w:sz w:val="24"/>
                <w:szCs w:val="24"/>
                <w:highlight w:val="none"/>
              </w:rPr>
              <w:t xml:space="preserve">月26</w:t>
            </w:r>
            <w:r>
              <w:rPr>
                <w:rFonts w:hint="eastAsia" w:ascii="宋体" w:hAnsi="宋体" w:cs="宋体"/>
                <w:color w:val="ff0000"/>
                <w:sz w:val="24"/>
                <w:szCs w:val="24"/>
                <w:highlight w:val="none"/>
              </w:rPr>
              <w:t xml:space="preserve">日</w:t>
            </w:r>
            <w:r>
              <w:rPr>
                <w:rFonts w:hint="eastAsia" w:ascii="宋体" w:hAnsi="宋体" w:cs="宋体"/>
                <w:sz w:val="24"/>
                <w:szCs w:val="24"/>
                <w:highlight w:val="none"/>
              </w:rPr>
              <w:t xml:space="preserve">北京时间10:00。</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3.投标文件提交地点：投标人应当通过“苏采云”系统提交数据电文形式的投标文件（即电子投标），“苏采云”系统自动接收。</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投标人应在达到开标时间后，使用CA数字证书解密各自投标文件。</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四</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开标</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(二十五)1</w:t>
            </w:r>
            <w:r/>
          </w:p>
        </w:tc>
        <w:tc>
          <w:tcPr>
            <w:tcW w:w="6962" w:type="dxa"/>
            <w:vAlign w:val="top"/>
            <w:textDirection w:val="lrTb"/>
            <w:noWrap w:val="false"/>
          </w:tcPr>
          <w:p>
            <w:pPr>
              <w:jc w:val="left"/>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开标时间及地点：</w:t>
            </w:r>
            <w:r/>
          </w:p>
          <w:p>
            <w:pPr>
              <w:jc w:val="left"/>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1.开标时间：</w:t>
            </w:r>
            <w:r>
              <w:rPr>
                <w:rFonts w:hint="eastAsia" w:ascii="宋体" w:hAnsi="宋体" w:cs="宋体"/>
                <w:color w:val="ff0000"/>
                <w:sz w:val="24"/>
                <w:szCs w:val="24"/>
                <w:highlight w:val="none"/>
              </w:rPr>
              <w:t xml:space="preserve">2026年8</w:t>
            </w:r>
            <w:r>
              <w:rPr>
                <w:rFonts w:hint="eastAsia" w:ascii="宋体" w:hAnsi="宋体" w:cs="宋体"/>
                <w:color w:val="ff0000"/>
                <w:sz w:val="24"/>
                <w:szCs w:val="24"/>
                <w:highlight w:val="none"/>
              </w:rPr>
              <w:t xml:space="preserve">月26</w:t>
            </w:r>
            <w:r>
              <w:rPr>
                <w:rFonts w:hint="eastAsia" w:ascii="宋体" w:hAnsi="宋体" w:cs="宋体"/>
                <w:color w:val="ff0000"/>
                <w:sz w:val="24"/>
                <w:szCs w:val="24"/>
                <w:highlight w:val="none"/>
              </w:rPr>
              <w:t xml:space="preserve">日10：00</w:t>
            </w:r>
            <w:r>
              <w:rPr>
                <w:rFonts w:hint="eastAsia" w:ascii="宋体" w:hAnsi="宋体" w:cs="宋体"/>
                <w:sz w:val="24"/>
                <w:szCs w:val="24"/>
                <w:highlight w:val="none"/>
              </w:rPr>
              <w:t xml:space="preserve">（标准时间）</w:t>
            </w:r>
            <w:r/>
          </w:p>
          <w:p>
            <w:pPr>
              <w:jc w:val="left"/>
              <w:keepLines w:val="0"/>
              <w:keepNext w:val="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2.开标地点：“苏采云”系统（网址： http://jszfcg.jsczt.cn/）“开标大厅”或进入徐州政府采购网（网址：https://czj.xz.gov.cn/zfcg/index.html）--办事指南--供应商--供应商登录入口，点击“苏采云”进入系统“开标大厅”。</w:t>
            </w:r>
            <w:r/>
          </w:p>
        </w:tc>
      </w:tr>
      <w:tr>
        <w:trPr>
          <w:trHeight w:val="1010"/>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(二十五)3</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所有投标人解密（或解密时间）结束后，“苏采云”系统生成开标记录并向社会公众公布，但依法应当保密的除外。</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五</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评标</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(二十七)</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采用综合评分法。</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(二十八)1</w:t>
            </w:r>
            <w:r/>
          </w:p>
          <w:p>
            <w:pPr>
              <w:jc w:val="center"/>
              <w:spacing w:line="400" w:lineRule="exact"/>
              <w:rPr>
                <w:rFonts w:hint="eastAsia" w:ascii="宋体" w:hAnsi="宋体" w:cs="宋体"/>
                <w:sz w:val="24"/>
                <w:szCs w:val="24"/>
                <w:highlight w:val="none"/>
              </w:rPr>
            </w:pPr>
            <w:r>
              <w:rPr>
                <w:rFonts w:hint="eastAsia" w:ascii="宋体" w:hAnsi="宋体" w:cs="宋体"/>
                <w:color w:val="auto"/>
                <w:sz w:val="24"/>
                <w:szCs w:val="24"/>
                <w:highlight w:val="none"/>
              </w:rPr>
              <w:t xml:space="preserve">(二十八)1（4）</w:t>
            </w:r>
            <w:r/>
          </w:p>
        </w:tc>
        <w:tc>
          <w:tcPr>
            <w:tcW w:w="6962" w:type="dxa"/>
            <w:vAlign w:val="top"/>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二、采用综合评分法的，按评审后得分由高到低顺序排列。得分相同的，按</w:t>
            </w:r>
            <w:r>
              <w:rPr>
                <w:rFonts w:hint="eastAsia" w:ascii="宋体" w:hAnsi="宋体" w:eastAsia="宋体" w:cs="宋体"/>
                <w:sz w:val="24"/>
                <w:szCs w:val="24"/>
                <w:lang w:val="en-US" w:eastAsia="zh-CN" w:bidi="ar-SA"/>
              </w:rPr>
              <w:t xml:space="preserve">赔偿限额</w:t>
            </w:r>
            <w:r>
              <w:rPr>
                <w:rFonts w:hint="eastAsia" w:ascii="宋体" w:hAnsi="宋体" w:cs="宋体"/>
                <w:sz w:val="24"/>
                <w:szCs w:val="24"/>
                <w:lang w:val="en-US" w:eastAsia="zh-CN" w:bidi="ar-SA"/>
              </w:rPr>
              <w:t xml:space="preserve">得分</w:t>
            </w:r>
            <w:r>
              <w:rPr>
                <w:rFonts w:hint="eastAsia" w:ascii="宋体" w:hAnsi="宋体" w:eastAsia="宋体" w:cs="宋体"/>
                <w:color w:val="000000"/>
                <w:sz w:val="24"/>
                <w:szCs w:val="24"/>
                <w:highlight w:val="none"/>
              </w:rPr>
              <w:t xml:space="preserve">由</w:t>
            </w:r>
            <w:r>
              <w:rPr>
                <w:rFonts w:hint="eastAsia" w:ascii="宋体" w:hAnsi="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到</w:t>
            </w:r>
            <w:r>
              <w:rPr>
                <w:rFonts w:hint="eastAsia" w:ascii="宋体" w:hAnsi="宋体" w:cs="宋体"/>
                <w:color w:val="000000"/>
                <w:sz w:val="24"/>
                <w:szCs w:val="24"/>
                <w:highlight w:val="none"/>
                <w:lang w:val="en-US" w:eastAsia="zh-CN"/>
              </w:rPr>
              <w:t xml:space="preserve">低</w:t>
            </w:r>
            <w:r>
              <w:rPr>
                <w:rFonts w:hint="eastAsia" w:ascii="宋体" w:hAnsi="宋体" w:eastAsia="宋体" w:cs="宋体"/>
                <w:color w:val="000000"/>
                <w:sz w:val="24"/>
                <w:szCs w:val="24"/>
                <w:highlight w:val="none"/>
              </w:rPr>
              <w:t xml:space="preserve">顺序排列。</w:t>
            </w:r>
            <w:r>
              <w:rPr>
                <w:rFonts w:hint="eastAsia" w:ascii="宋体" w:hAnsi="宋体" w:eastAsia="宋体" w:cs="宋体"/>
                <w:sz w:val="24"/>
                <w:szCs w:val="24"/>
                <w:lang w:val="en-US" w:eastAsia="zh-CN" w:bidi="ar-SA"/>
              </w:rPr>
              <w:t xml:space="preserve">赔偿限额</w:t>
            </w:r>
            <w:r>
              <w:rPr>
                <w:rFonts w:hint="eastAsia" w:ascii="宋体" w:hAnsi="宋体" w:cs="宋体"/>
                <w:sz w:val="24"/>
                <w:szCs w:val="24"/>
                <w:lang w:val="en-US" w:eastAsia="zh-CN" w:bidi="ar-SA"/>
              </w:rPr>
              <w:t xml:space="preserve">得分也</w:t>
            </w:r>
            <w:r>
              <w:rPr>
                <w:rFonts w:hint="eastAsia" w:ascii="宋体" w:hAnsi="宋体" w:eastAsia="宋体" w:cs="宋体"/>
                <w:color w:val="000000"/>
                <w:sz w:val="24"/>
                <w:szCs w:val="24"/>
                <w:highlight w:val="none"/>
              </w:rPr>
              <w:t xml:space="preserve">相同的，按</w:t>
            </w:r>
            <w:r>
              <w:rPr>
                <w:rFonts w:hint="eastAsia" w:ascii="宋体" w:hAnsi="宋体" w:eastAsia="宋体" w:cs="宋体"/>
                <w:sz w:val="24"/>
                <w:szCs w:val="24"/>
                <w:lang w:val="en-US" w:eastAsia="zh-CN" w:bidi="ar-SA"/>
              </w:rPr>
              <w:t xml:space="preserve">企业实力</w:t>
            </w:r>
            <w:r>
              <w:rPr>
                <w:rFonts w:hint="eastAsia" w:ascii="宋体" w:hAnsi="宋体" w:eastAsia="宋体" w:cs="宋体"/>
                <w:color w:val="000000"/>
                <w:sz w:val="24"/>
                <w:szCs w:val="24"/>
                <w:highlight w:val="none"/>
              </w:rPr>
              <w:t xml:space="preserve">得分</w:t>
            </w:r>
            <w:r>
              <w:rPr>
                <w:rFonts w:hint="eastAsia" w:ascii="宋体" w:hAnsi="宋体" w:cs="宋体"/>
                <w:color w:val="000000"/>
                <w:sz w:val="24"/>
                <w:szCs w:val="24"/>
                <w:highlight w:val="none"/>
                <w:lang w:val="en-US" w:eastAsia="zh-CN"/>
              </w:rPr>
              <w:t xml:space="preserve">由高到</w:t>
            </w:r>
            <w:r>
              <w:rPr>
                <w:rFonts w:hint="eastAsia" w:ascii="宋体" w:hAnsi="宋体" w:eastAsia="宋体" w:cs="宋体"/>
                <w:color w:val="000000"/>
                <w:sz w:val="24"/>
                <w:szCs w:val="24"/>
                <w:highlight w:val="none"/>
              </w:rPr>
              <w:t xml:space="preserve">低顺序排列。</w:t>
            </w:r>
            <w:r>
              <w:rPr>
                <w:rFonts w:hint="eastAsia" w:ascii="宋体" w:hAnsi="宋体" w:eastAsia="宋体" w:cs="宋体"/>
                <w:sz w:val="24"/>
                <w:szCs w:val="24"/>
                <w:lang w:val="en-US" w:eastAsia="zh-CN" w:bidi="ar-SA"/>
              </w:rPr>
              <w:t xml:space="preserve">企业实力</w:t>
            </w:r>
            <w:r>
              <w:rPr>
                <w:rFonts w:hint="eastAsia" w:ascii="宋体" w:hAnsi="宋体" w:eastAsia="宋体" w:cs="宋体"/>
                <w:color w:val="000000"/>
                <w:sz w:val="24"/>
                <w:szCs w:val="24"/>
                <w:highlight w:val="none"/>
              </w:rPr>
              <w:t xml:space="preserve">得分</w:t>
            </w:r>
            <w:r>
              <w:rPr>
                <w:rFonts w:hint="eastAsia" w:ascii="宋体" w:hAnsi="宋体" w:cs="宋体"/>
                <w:sz w:val="24"/>
                <w:szCs w:val="24"/>
                <w:lang w:val="en-US" w:eastAsia="zh-CN" w:bidi="ar-SA"/>
              </w:rPr>
              <w:t xml:space="preserve">也</w:t>
            </w:r>
            <w:r>
              <w:rPr>
                <w:rFonts w:hint="eastAsia" w:ascii="宋体" w:hAnsi="宋体" w:eastAsia="宋体" w:cs="宋体"/>
                <w:color w:val="000000"/>
                <w:sz w:val="24"/>
                <w:szCs w:val="24"/>
                <w:highlight w:val="none"/>
              </w:rPr>
              <w:t xml:space="preserve">相同的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w:t>
            </w:r>
            <w:r>
              <w:rPr>
                <w:rFonts w:hint="eastAsia" w:ascii="宋体" w:hAnsi="宋体" w:cs="宋体"/>
                <w:sz w:val="24"/>
                <w:szCs w:val="24"/>
                <w:lang w:val="en-US" w:eastAsia="zh-CN" w:bidi="ar-SA"/>
              </w:rPr>
              <w:t xml:space="preserve">服务方案</w:t>
            </w:r>
            <w:r>
              <w:rPr>
                <w:rFonts w:hint="eastAsia" w:ascii="宋体" w:hAnsi="宋体" w:eastAsia="宋体" w:cs="宋体"/>
                <w:color w:val="000000"/>
                <w:sz w:val="24"/>
                <w:szCs w:val="24"/>
                <w:highlight w:val="none"/>
              </w:rPr>
              <w:t xml:space="preserve">得分</w:t>
            </w:r>
            <w:r>
              <w:rPr>
                <w:rFonts w:hint="eastAsia" w:ascii="宋体" w:hAnsi="宋体" w:cs="宋体"/>
                <w:color w:val="000000"/>
                <w:sz w:val="24"/>
                <w:szCs w:val="24"/>
                <w:highlight w:val="none"/>
                <w:lang w:val="en-US" w:eastAsia="zh-CN"/>
              </w:rPr>
              <w:t xml:space="preserve">由高到</w:t>
            </w:r>
            <w:r>
              <w:rPr>
                <w:rFonts w:hint="eastAsia" w:ascii="宋体" w:hAnsi="宋体" w:eastAsia="宋体" w:cs="宋体"/>
                <w:color w:val="000000"/>
                <w:sz w:val="24"/>
                <w:szCs w:val="24"/>
                <w:highlight w:val="none"/>
              </w:rPr>
              <w:t xml:space="preserve">低顺序排列</w:t>
            </w:r>
            <w:r>
              <w:rPr>
                <w:rFonts w:hint="eastAsia" w:ascii="宋体" w:hAnsi="宋体" w:cs="宋体"/>
                <w:color w:val="000000"/>
                <w:sz w:val="24"/>
                <w:szCs w:val="24"/>
                <w:highlight w:val="none"/>
                <w:lang w:eastAsia="zh-CN"/>
              </w:rPr>
              <w:t xml:space="preserve">。</w:t>
            </w:r>
            <w:r>
              <w:rPr>
                <w:rFonts w:hint="eastAsia" w:ascii="宋体" w:hAnsi="宋体" w:cs="宋体"/>
                <w:sz w:val="24"/>
                <w:szCs w:val="24"/>
                <w:lang w:val="en-US" w:eastAsia="zh-CN" w:bidi="ar-SA"/>
              </w:rPr>
              <w:t xml:space="preserve">服务方案</w:t>
            </w:r>
            <w:r>
              <w:rPr>
                <w:rFonts w:hint="eastAsia" w:ascii="宋体" w:hAnsi="宋体" w:eastAsia="宋体" w:cs="宋体"/>
                <w:color w:val="000000"/>
                <w:sz w:val="24"/>
                <w:szCs w:val="24"/>
                <w:highlight w:val="none"/>
              </w:rPr>
              <w:t xml:space="preserve">得分</w:t>
            </w:r>
            <w:r>
              <w:rPr>
                <w:rFonts w:hint="eastAsia" w:ascii="宋体" w:hAnsi="宋体" w:cs="宋体"/>
                <w:color w:val="000000"/>
                <w:sz w:val="24"/>
                <w:szCs w:val="24"/>
                <w:highlight w:val="none"/>
                <w:lang w:val="en-US" w:eastAsia="zh-CN"/>
              </w:rPr>
              <w:t xml:space="preserve">也相同的，由采购人代表或者授权评标委员会抽签确定</w:t>
            </w:r>
            <w:r>
              <w:rPr>
                <w:rFonts w:hint="eastAsia" w:ascii="宋体" w:hAnsi="宋体" w:eastAsia="宋体" w:cs="宋体"/>
                <w:color w:val="000000"/>
                <w:sz w:val="24"/>
                <w:szCs w:val="24"/>
                <w:highlight w:val="none"/>
              </w:rPr>
              <w:t xml:space="preserve">中标候选人</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中标候选人应当不超过3个，并标明排序。</w:t>
            </w:r>
            <w:r/>
          </w:p>
          <w:p>
            <w:pPr>
              <w:spacing w:line="400" w:lineRule="exact"/>
              <w:rPr>
                <w:rFonts w:hint="eastAsia" w:ascii="宋体" w:hAnsi="宋体" w:cs="宋体"/>
                <w:sz w:val="24"/>
                <w:szCs w:val="24"/>
                <w:highlight w:val="none"/>
              </w:rP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（二十九）</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（三十）</w:t>
            </w:r>
            <w:r/>
          </w:p>
        </w:tc>
        <w:tc>
          <w:tcPr>
            <w:tcW w:w="6962" w:type="dxa"/>
            <w:vAlign w:val="top"/>
            <w:textDirection w:val="lrTb"/>
            <w:noWrap w:val="false"/>
          </w:tcPr>
          <w:p>
            <w:pPr>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cs="宋体"/>
                <w:color w:val="000000"/>
                <w:sz w:val="24"/>
                <w:szCs w:val="24"/>
                <w:highlight w:val="none"/>
                <w:lang w:eastAsia="zh-CN"/>
              </w:rPr>
              <w:t xml:space="preserve">。</w:t>
            </w:r>
            <w:r/>
          </w:p>
          <w:p>
            <w:pPr>
              <w:spacing w:line="400" w:lineRule="exact"/>
              <w:rPr>
                <w:rFonts w:hint="eastAsia"/>
                <w:sz w:val="24"/>
                <w:szCs w:val="24"/>
                <w:highlight w:val="none"/>
              </w:rPr>
            </w:pPr>
            <w:r>
              <w:rPr>
                <w:rFonts w:hint="eastAsia" w:ascii="宋体" w:hAnsi="宋体" w:cs="宋体"/>
                <w:b/>
                <w:bCs/>
                <w:color w:val="000000"/>
                <w:sz w:val="24"/>
                <w:szCs w:val="24"/>
                <w:highlight w:val="none"/>
              </w:rPr>
              <w:t xml:space="preserve">特别说明：“苏采云”系统通过“江苏省政府采购一体化不见面开标大厅”提醒投标人，投标人自行查看。投标人未及时查看或因自身原因导致未收到信息的，责任自负。</w:t>
            </w:r>
            <w:r/>
          </w:p>
        </w:tc>
      </w:tr>
      <w:tr>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七</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政府采购合同</w:t>
            </w:r>
            <w:r/>
          </w:p>
        </w:tc>
      </w:tr>
      <w:tr>
        <w:trPr>
          <w:trHeight w:val="542"/>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(三十六)</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采购人与中标、成交供应商应当在中标、成交通知书发出之日起30日内，按照采购文件确定的事项签订政府采购合同。</w:t>
            </w:r>
            <w:r/>
          </w:p>
        </w:tc>
      </w:tr>
      <w:tr>
        <w:trPr/>
        <w:tc>
          <w:tcPr>
            <w:tcW w:w="1560"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（三十八）</w:t>
            </w:r>
            <w:r/>
          </w:p>
        </w:tc>
        <w:tc>
          <w:tcPr>
            <w:tcW w:w="6962" w:type="dxa"/>
            <w:vAlign w:val="top"/>
            <w:textDirection w:val="lrTb"/>
            <w:noWrap w:val="false"/>
          </w:tcPr>
          <w:p>
            <w:pPr>
              <w:spacing w:line="400" w:lineRule="exact"/>
              <w:rPr>
                <w:rFonts w:hint="eastAsia" w:ascii="宋体" w:hAnsi="宋体" w:eastAsia="宋体" w:cs="宋体"/>
                <w:color w:val="000000"/>
                <w:sz w:val="24"/>
                <w:szCs w:val="24"/>
                <w:highlight w:val="none"/>
                <w:lang w:eastAsia="zh-CN"/>
              </w:rPr>
            </w:pPr>
            <w:r>
              <w:rPr>
                <w:rFonts w:hint="eastAsia" w:ascii="宋体" w:hAnsi="宋体" w:cs="宋体"/>
                <w:sz w:val="24"/>
                <w:szCs w:val="24"/>
                <w:highlight w:val="none"/>
              </w:rPr>
              <w:t xml:space="preserve">履约保证金</w:t>
            </w:r>
            <w:r>
              <w:rPr>
                <w:rFonts w:hint="eastAsia" w:ascii="宋体" w:hAnsi="宋体" w:cs="宋体"/>
                <w:sz w:val="24"/>
                <w:szCs w:val="24"/>
                <w:highlight w:val="none"/>
                <w:lang w:eastAsia="zh-CN"/>
              </w:rPr>
              <w:t xml:space="preserve">：本项目不收取履约保证金。</w:t>
            </w:r>
            <w:r/>
          </w:p>
        </w:tc>
      </w:tr>
      <w:tr>
        <w:trPr>
          <w:trHeight w:val="90"/>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(四十)</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二、供应商在法定质疑期内一次性提出针对同一采购程序环节的质疑。</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质疑接收人：</w:t>
            </w:r>
            <w:r>
              <w:rPr>
                <w:rFonts w:hint="eastAsia" w:ascii="宋体" w:hAnsi="宋体" w:cs="宋体"/>
                <w:sz w:val="24"/>
                <w:szCs w:val="24"/>
                <w:highlight w:val="none"/>
                <w:lang w:val="en-US" w:eastAsia="zh-CN"/>
              </w:rPr>
              <w:t xml:space="preserve">周娜</w:t>
            </w:r>
            <w:r>
              <w:rPr>
                <w:rFonts w:hint="eastAsia" w:ascii="宋体" w:hAnsi="宋体" w:cs="宋体"/>
                <w:sz w:val="24"/>
                <w:szCs w:val="24"/>
                <w:highlight w:val="none"/>
              </w:rPr>
              <w:t xml:space="preserve">；联系电话：</w:t>
            </w:r>
            <w:r>
              <w:rPr>
                <w:rFonts w:hint="eastAsia" w:ascii="宋体" w:hAnsi="宋体" w:cs="宋体"/>
                <w:sz w:val="24"/>
                <w:szCs w:val="24"/>
                <w:highlight w:val="none"/>
                <w:lang w:eastAsia="zh-CN"/>
              </w:rPr>
              <w:t xml:space="preserve">0516-87888893</w:t>
            </w:r>
            <w:r>
              <w:rPr>
                <w:rFonts w:hint="eastAsia" w:ascii="宋体" w:hAnsi="宋体" w:cs="宋体"/>
                <w:sz w:val="24"/>
                <w:szCs w:val="24"/>
                <w:highlight w:val="none"/>
              </w:rPr>
              <w:t xml:space="preserve">；</w:t>
            </w:r>
            <w:r/>
          </w:p>
          <w:p>
            <w:pPr>
              <w:spacing w:line="4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办公地址：</w:t>
            </w:r>
            <w:r>
              <w:rPr>
                <w:rFonts w:hint="eastAsia" w:ascii="宋体" w:hAnsi="宋体" w:cs="宋体"/>
                <w:sz w:val="24"/>
                <w:szCs w:val="24"/>
                <w:highlight w:val="none"/>
                <w:lang w:eastAsia="zh-CN"/>
              </w:rPr>
              <w:t xml:space="preserve">徐州市</w:t>
            </w:r>
            <w:r>
              <w:rPr>
                <w:rFonts w:hint="eastAsia" w:ascii="宋体" w:hAnsi="宋体" w:cs="宋体"/>
                <w:sz w:val="24"/>
                <w:szCs w:val="24"/>
                <w:highlight w:val="none"/>
                <w:lang w:val="en-US" w:eastAsia="zh-CN"/>
              </w:rPr>
              <w:t xml:space="preserve">新城区吉田商务广场B栋215</w:t>
            </w:r>
            <w:r/>
          </w:p>
        </w:tc>
      </w:tr>
      <w:tr>
        <w:trPr>
          <w:trHeight w:val="90"/>
        </w:trPr>
        <w:tc>
          <w:tcPr>
            <w:tcW w:w="1560"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附加说明</w:t>
            </w:r>
            <w:r/>
          </w:p>
        </w:tc>
        <w:tc>
          <w:tcPr>
            <w:tcW w:w="6962"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中标人在收到中标通知书时，须向采购代理机构提交投标文件的纸质标书</w:t>
            </w:r>
            <w:r>
              <w:rPr>
                <w:rFonts w:ascii="宋体" w:hAnsi="宋体" w:cs="宋体"/>
                <w:sz w:val="24"/>
                <w:szCs w:val="24"/>
                <w:highlight w:val="none"/>
              </w:rPr>
              <w:t xml:space="preserve">3</w:t>
            </w:r>
            <w:r>
              <w:rPr>
                <w:rFonts w:hint="eastAsia" w:ascii="宋体" w:hAnsi="宋体" w:cs="宋体"/>
                <w:sz w:val="24"/>
                <w:szCs w:val="24"/>
                <w:highlight w:val="none"/>
              </w:rPr>
              <w:t xml:space="preserve">套，纸质标书的内容和苏采云上的电子投标文件内容一致。</w:t>
            </w:r>
            <w:r/>
          </w:p>
        </w:tc>
      </w:tr>
    </w:tbl>
    <w:p>
      <w:pPr>
        <w:pStyle w:val="1005"/>
        <w:ind w:firstLine="600"/>
        <w:spacing w:line="346" w:lineRule="auto"/>
        <w:widowControl/>
        <w:rPr>
          <w:rFonts w:hint="eastAsia" w:ascii="宋体" w:hAnsi="宋体" w:cs="宋体"/>
          <w:b/>
          <w:sz w:val="24"/>
          <w:szCs w:val="24"/>
          <w:highlight w:val="none"/>
        </w:rPr>
      </w:pPr>
      <w:r>
        <w:rPr>
          <w:rFonts w:hint="eastAsia" w:ascii="宋体" w:hAnsi="宋体" w:cs="宋体"/>
          <w:sz w:val="24"/>
          <w:szCs w:val="24"/>
          <w:highlight w:val="none"/>
        </w:rPr>
        <w:br w:type="page" w:clear="all"/>
      </w:r>
      <w:r>
        <w:rPr>
          <w:rFonts w:hint="eastAsia" w:ascii="宋体" w:hAnsi="宋体" w:cs="宋体"/>
          <w:b/>
          <w:sz w:val="24"/>
          <w:szCs w:val="24"/>
          <w:highlight w:val="none"/>
        </w:rPr>
        <w:t xml:space="preserve">本章附件：招标代理服务收费标准</w:t>
      </w:r>
      <w:r/>
    </w:p>
    <w:tbl>
      <w:tblPr>
        <w:tblStyle w:val="76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51"/>
        <w:gridCol w:w="3557"/>
      </w:tblGrid>
      <w:tr>
        <w:trPr>
          <w:jc w:val="center"/>
          <w:trHeight w:val="680" w:hRule="exact"/>
        </w:trPr>
        <w:tc>
          <w:tcPr>
            <w:tcW w:w="2884" w:type="dxa"/>
            <w:vAlign w:val="center"/>
            <w:textDirection w:val="lrTb"/>
            <w:noWrap w:val="false"/>
          </w:tcPr>
          <w:p>
            <w:pPr>
              <w:pStyle w:val="1037"/>
              <w:jc w:val="center"/>
              <w:spacing w:before="168"/>
              <w:rPr>
                <w:rFonts w:hint="eastAsia"/>
                <w:sz w:val="24"/>
                <w:szCs w:val="24"/>
                <w:highlight w:val="none"/>
              </w:rPr>
            </w:pPr>
            <w:r>
              <w:rPr>
                <w:rFonts w:hint="eastAsia"/>
                <w:spacing w:val="1"/>
                <w:sz w:val="24"/>
                <w:szCs w:val="24"/>
                <w:highlight w:val="none"/>
              </w:rPr>
              <w:t xml:space="preserve">中标或者成交金额</w:t>
            </w:r>
            <w:r/>
          </w:p>
        </w:tc>
        <w:tc>
          <w:tcPr>
            <w:tcW w:w="2115" w:type="dxa"/>
            <w:vAlign w:val="center"/>
            <w:textDirection w:val="lrTb"/>
            <w:noWrap w:val="false"/>
          </w:tcPr>
          <w:p>
            <w:pPr>
              <w:pStyle w:val="1037"/>
              <w:jc w:val="center"/>
              <w:spacing w:before="168"/>
              <w:rPr>
                <w:rFonts w:hint="eastAsia"/>
                <w:sz w:val="24"/>
                <w:szCs w:val="24"/>
                <w:highlight w:val="none"/>
              </w:rPr>
            </w:pPr>
            <w:r>
              <w:rPr>
                <w:rFonts w:hint="eastAsia"/>
                <w:spacing w:val="7"/>
                <w:sz w:val="24"/>
                <w:szCs w:val="24"/>
                <w:highlight w:val="none"/>
              </w:rPr>
              <w:t xml:space="preserve">费率</w:t>
            </w:r>
            <w:r/>
          </w:p>
        </w:tc>
      </w:tr>
      <w:tr>
        <w:trPr>
          <w:jc w:val="center"/>
          <w:trHeight w:val="680" w:hRule="exact"/>
        </w:trPr>
        <w:tc>
          <w:tcPr>
            <w:tcW w:w="2884" w:type="dxa"/>
            <w:vAlign w:val="center"/>
            <w:textDirection w:val="lrTb"/>
            <w:noWrap w:val="false"/>
          </w:tcPr>
          <w:p>
            <w:pPr>
              <w:pStyle w:val="1037"/>
              <w:spacing w:before="154"/>
              <w:rPr>
                <w:rFonts w:hint="eastAsia"/>
                <w:sz w:val="24"/>
                <w:szCs w:val="24"/>
                <w:highlight w:val="none"/>
                <w:lang w:eastAsia="zh-CN"/>
              </w:rPr>
            </w:pPr>
            <w:r>
              <w:rPr>
                <w:rFonts w:hint="eastAsia"/>
                <w:spacing w:val="4"/>
                <w:sz w:val="24"/>
                <w:szCs w:val="24"/>
                <w:highlight w:val="none"/>
                <w:lang w:eastAsia="zh-CN"/>
              </w:rPr>
              <w:t xml:space="preserve">最低收费金额(每个委托项目)</w:t>
            </w:r>
            <w:r/>
          </w:p>
        </w:tc>
        <w:tc>
          <w:tcPr>
            <w:tcW w:w="2115" w:type="dxa"/>
            <w:vAlign w:val="center"/>
            <w:textDirection w:val="lrTb"/>
            <w:noWrap w:val="false"/>
          </w:tcPr>
          <w:p>
            <w:pPr>
              <w:pStyle w:val="1037"/>
              <w:jc w:val="center"/>
              <w:spacing w:before="155"/>
              <w:rPr>
                <w:rFonts w:hint="eastAsia"/>
                <w:sz w:val="24"/>
                <w:szCs w:val="24"/>
                <w:highlight w:val="none"/>
              </w:rPr>
            </w:pPr>
            <w:r>
              <w:rPr>
                <w:rFonts w:hint="eastAsia"/>
                <w:spacing w:val="2"/>
                <w:sz w:val="24"/>
                <w:szCs w:val="24"/>
                <w:highlight w:val="none"/>
              </w:rPr>
              <w:t xml:space="preserve">5000元</w:t>
            </w:r>
            <w:r/>
          </w:p>
        </w:tc>
      </w:tr>
      <w:tr>
        <w:trPr>
          <w:jc w:val="center"/>
          <w:trHeight w:val="680" w:hRule="exact"/>
        </w:trPr>
        <w:tc>
          <w:tcPr>
            <w:tcW w:w="2884" w:type="dxa"/>
            <w:vAlign w:val="center"/>
            <w:textDirection w:val="lrTb"/>
            <w:noWrap w:val="false"/>
          </w:tcPr>
          <w:p>
            <w:pPr>
              <w:pStyle w:val="1037"/>
              <w:spacing w:before="155"/>
              <w:rPr>
                <w:rFonts w:hint="eastAsia"/>
                <w:sz w:val="24"/>
                <w:szCs w:val="24"/>
                <w:highlight w:val="none"/>
              </w:rPr>
            </w:pPr>
            <w:r>
              <w:rPr>
                <w:rFonts w:hint="eastAsia"/>
                <w:spacing w:val="5"/>
                <w:sz w:val="24"/>
                <w:szCs w:val="24"/>
                <w:highlight w:val="none"/>
              </w:rPr>
              <w:t xml:space="preserve">50万元以下(含50万元)</w:t>
            </w:r>
            <w:r/>
          </w:p>
        </w:tc>
        <w:tc>
          <w:tcPr>
            <w:tcW w:w="2115" w:type="dxa"/>
            <w:vAlign w:val="center"/>
            <w:textDirection w:val="lrTb"/>
            <w:noWrap w:val="false"/>
          </w:tcPr>
          <w:p>
            <w:pPr>
              <w:pStyle w:val="1037"/>
              <w:jc w:val="center"/>
              <w:spacing w:before="236"/>
              <w:rPr>
                <w:rFonts w:hint="eastAsia"/>
                <w:sz w:val="24"/>
                <w:szCs w:val="24"/>
                <w:highlight w:val="none"/>
              </w:rPr>
            </w:pPr>
            <w:r>
              <w:rPr>
                <w:rFonts w:hint="eastAsia"/>
                <w:spacing w:val="-8"/>
                <w:sz w:val="24"/>
                <w:szCs w:val="24"/>
                <w:highlight w:val="none"/>
              </w:rPr>
              <w:t xml:space="preserve">1.6%</w:t>
            </w:r>
            <w:r/>
          </w:p>
        </w:tc>
      </w:tr>
      <w:tr>
        <w:trPr>
          <w:jc w:val="center"/>
          <w:trHeight w:val="680" w:hRule="exact"/>
        </w:trPr>
        <w:tc>
          <w:tcPr>
            <w:tcW w:w="2884" w:type="dxa"/>
            <w:vAlign w:val="center"/>
            <w:textDirection w:val="lrTb"/>
            <w:noWrap w:val="false"/>
          </w:tcPr>
          <w:p>
            <w:pPr>
              <w:pStyle w:val="1037"/>
              <w:spacing w:before="156"/>
              <w:rPr>
                <w:rFonts w:hint="eastAsia"/>
                <w:sz w:val="24"/>
                <w:szCs w:val="24"/>
                <w:highlight w:val="none"/>
              </w:rPr>
            </w:pPr>
            <w:r>
              <w:rPr>
                <w:rFonts w:hint="eastAsia"/>
                <w:spacing w:val="4"/>
                <w:sz w:val="24"/>
                <w:szCs w:val="24"/>
                <w:highlight w:val="none"/>
              </w:rPr>
              <w:t xml:space="preserve">50-400万元(含400万元)</w:t>
            </w:r>
            <w:r/>
          </w:p>
        </w:tc>
        <w:tc>
          <w:tcPr>
            <w:tcW w:w="2115" w:type="dxa"/>
            <w:vAlign w:val="center"/>
            <w:textDirection w:val="lrTb"/>
            <w:noWrap w:val="false"/>
          </w:tcPr>
          <w:p>
            <w:pPr>
              <w:pStyle w:val="1037"/>
              <w:jc w:val="center"/>
              <w:spacing w:before="237"/>
              <w:rPr>
                <w:rFonts w:hint="eastAsia"/>
                <w:sz w:val="24"/>
                <w:szCs w:val="24"/>
                <w:highlight w:val="none"/>
              </w:rPr>
            </w:pPr>
            <w:r>
              <w:rPr>
                <w:rFonts w:hint="eastAsia"/>
                <w:spacing w:val="-7"/>
                <w:sz w:val="24"/>
                <w:szCs w:val="24"/>
                <w:highlight w:val="none"/>
              </w:rPr>
              <w:t xml:space="preserve">1.5%</w:t>
            </w:r>
            <w:r/>
          </w:p>
        </w:tc>
      </w:tr>
      <w:tr>
        <w:trPr>
          <w:jc w:val="center"/>
          <w:trHeight w:val="680" w:hRule="exact"/>
        </w:trPr>
        <w:tc>
          <w:tcPr>
            <w:tcW w:w="2884" w:type="dxa"/>
            <w:vAlign w:val="center"/>
            <w:textDirection w:val="lrTb"/>
            <w:noWrap w:val="false"/>
          </w:tcPr>
          <w:p>
            <w:pPr>
              <w:pStyle w:val="1037"/>
              <w:spacing w:before="167"/>
              <w:rPr>
                <w:rFonts w:hint="eastAsia"/>
                <w:sz w:val="24"/>
                <w:szCs w:val="24"/>
                <w:highlight w:val="none"/>
              </w:rPr>
            </w:pPr>
            <w:r>
              <w:rPr>
                <w:rFonts w:hint="eastAsia"/>
                <w:spacing w:val="3"/>
                <w:sz w:val="24"/>
                <w:szCs w:val="24"/>
                <w:highlight w:val="none"/>
              </w:rPr>
              <w:t xml:space="preserve">400-1000万元(含1000万元)</w:t>
            </w:r>
            <w:r/>
          </w:p>
        </w:tc>
        <w:tc>
          <w:tcPr>
            <w:tcW w:w="2115" w:type="dxa"/>
            <w:vAlign w:val="center"/>
            <w:textDirection w:val="lrTb"/>
            <w:noWrap w:val="false"/>
          </w:tcPr>
          <w:p>
            <w:pPr>
              <w:pStyle w:val="1037"/>
              <w:jc w:val="center"/>
              <w:spacing w:before="248"/>
              <w:rPr>
                <w:rFonts w:hint="eastAsia"/>
                <w:sz w:val="24"/>
                <w:szCs w:val="24"/>
                <w:highlight w:val="none"/>
              </w:rPr>
            </w:pPr>
            <w:r>
              <w:rPr>
                <w:rFonts w:hint="eastAsia"/>
                <w:spacing w:val="-5"/>
                <w:sz w:val="24"/>
                <w:szCs w:val="24"/>
                <w:highlight w:val="none"/>
              </w:rPr>
              <w:t xml:space="preserve">1.1%</w:t>
            </w:r>
            <w:r/>
          </w:p>
        </w:tc>
      </w:tr>
      <w:tr>
        <w:trPr>
          <w:jc w:val="center"/>
          <w:trHeight w:val="680" w:hRule="exact"/>
        </w:trPr>
        <w:tc>
          <w:tcPr>
            <w:tcW w:w="2884" w:type="dxa"/>
            <w:vAlign w:val="center"/>
            <w:textDirection w:val="lrTb"/>
            <w:noWrap w:val="false"/>
          </w:tcPr>
          <w:p>
            <w:pPr>
              <w:pStyle w:val="1037"/>
              <w:spacing w:before="158"/>
              <w:rPr>
                <w:rFonts w:hint="eastAsia"/>
                <w:sz w:val="24"/>
                <w:szCs w:val="24"/>
                <w:highlight w:val="none"/>
              </w:rPr>
            </w:pPr>
            <w:r>
              <w:rPr>
                <w:rFonts w:hint="eastAsia"/>
                <w:spacing w:val="3"/>
                <w:sz w:val="24"/>
                <w:szCs w:val="24"/>
                <w:highlight w:val="none"/>
              </w:rPr>
              <w:t xml:space="preserve">1000-5000万元(含5000万元)</w:t>
            </w:r>
            <w:r/>
          </w:p>
        </w:tc>
        <w:tc>
          <w:tcPr>
            <w:tcW w:w="2115" w:type="dxa"/>
            <w:vAlign w:val="center"/>
            <w:textDirection w:val="lrTb"/>
            <w:noWrap w:val="false"/>
          </w:tcPr>
          <w:p>
            <w:pPr>
              <w:pStyle w:val="1037"/>
              <w:jc w:val="center"/>
              <w:spacing w:before="240"/>
              <w:rPr>
                <w:rFonts w:hint="eastAsia"/>
                <w:sz w:val="24"/>
                <w:szCs w:val="24"/>
                <w:highlight w:val="none"/>
              </w:rPr>
            </w:pPr>
            <w:r>
              <w:rPr>
                <w:rFonts w:hint="eastAsia"/>
                <w:spacing w:val="-3"/>
                <w:sz w:val="24"/>
                <w:szCs w:val="24"/>
                <w:highlight w:val="none"/>
              </w:rPr>
              <w:t xml:space="preserve">0.8%</w:t>
            </w:r>
            <w:r/>
          </w:p>
        </w:tc>
      </w:tr>
      <w:tr>
        <w:trPr>
          <w:jc w:val="center"/>
          <w:trHeight w:val="680" w:hRule="exact"/>
        </w:trPr>
        <w:tc>
          <w:tcPr>
            <w:tcW w:w="2884" w:type="dxa"/>
            <w:vAlign w:val="center"/>
            <w:textDirection w:val="lrTb"/>
            <w:noWrap w:val="false"/>
          </w:tcPr>
          <w:p>
            <w:pPr>
              <w:pStyle w:val="1037"/>
              <w:spacing w:before="159"/>
              <w:rPr>
                <w:rFonts w:hint="eastAsia"/>
                <w:sz w:val="24"/>
                <w:szCs w:val="24"/>
                <w:highlight w:val="none"/>
              </w:rPr>
            </w:pPr>
            <w:r>
              <w:rPr>
                <w:rFonts w:hint="eastAsia"/>
                <w:spacing w:val="5"/>
                <w:sz w:val="24"/>
                <w:szCs w:val="24"/>
                <w:highlight w:val="none"/>
              </w:rPr>
              <w:t xml:space="preserve">5000-1亿元(含1亿元)</w:t>
            </w:r>
            <w:r/>
          </w:p>
        </w:tc>
        <w:tc>
          <w:tcPr>
            <w:tcW w:w="2115" w:type="dxa"/>
            <w:vAlign w:val="center"/>
            <w:textDirection w:val="lrTb"/>
            <w:noWrap w:val="false"/>
          </w:tcPr>
          <w:p>
            <w:pPr>
              <w:pStyle w:val="1037"/>
              <w:jc w:val="center"/>
              <w:spacing w:before="241"/>
              <w:rPr>
                <w:rFonts w:hint="eastAsia"/>
                <w:sz w:val="24"/>
                <w:szCs w:val="24"/>
                <w:highlight w:val="none"/>
              </w:rPr>
            </w:pPr>
            <w:r>
              <w:rPr>
                <w:rFonts w:hint="eastAsia"/>
                <w:spacing w:val="-2"/>
                <w:sz w:val="24"/>
                <w:szCs w:val="24"/>
                <w:highlight w:val="none"/>
              </w:rPr>
              <w:t xml:space="preserve">0.25%</w:t>
            </w:r>
            <w:r/>
          </w:p>
        </w:tc>
      </w:tr>
      <w:tr>
        <w:trPr>
          <w:jc w:val="center"/>
          <w:trHeight w:val="680" w:hRule="exact"/>
        </w:trPr>
        <w:tc>
          <w:tcPr>
            <w:tcW w:w="2884" w:type="dxa"/>
            <w:vAlign w:val="center"/>
            <w:textDirection w:val="lrTb"/>
            <w:noWrap w:val="false"/>
          </w:tcPr>
          <w:p>
            <w:pPr>
              <w:pStyle w:val="1037"/>
              <w:spacing w:before="170"/>
              <w:rPr>
                <w:rFonts w:hint="eastAsia"/>
                <w:sz w:val="24"/>
                <w:szCs w:val="24"/>
                <w:highlight w:val="none"/>
              </w:rPr>
            </w:pPr>
            <w:r>
              <w:rPr>
                <w:rFonts w:hint="eastAsia"/>
                <w:spacing w:val="5"/>
                <w:sz w:val="24"/>
                <w:szCs w:val="24"/>
                <w:highlight w:val="none"/>
              </w:rPr>
              <w:t xml:space="preserve">1-10亿元(含10亿元)</w:t>
            </w:r>
            <w:r/>
          </w:p>
        </w:tc>
        <w:tc>
          <w:tcPr>
            <w:tcW w:w="2115" w:type="dxa"/>
            <w:vAlign w:val="center"/>
            <w:textDirection w:val="lrTb"/>
            <w:noWrap w:val="false"/>
          </w:tcPr>
          <w:p>
            <w:pPr>
              <w:pStyle w:val="1037"/>
              <w:jc w:val="center"/>
              <w:spacing w:before="252"/>
              <w:rPr>
                <w:rFonts w:hint="eastAsia"/>
                <w:sz w:val="24"/>
                <w:szCs w:val="24"/>
                <w:highlight w:val="none"/>
              </w:rPr>
            </w:pPr>
            <w:r>
              <w:rPr>
                <w:rFonts w:hint="eastAsia"/>
                <w:spacing w:val="-3"/>
                <w:sz w:val="24"/>
                <w:szCs w:val="24"/>
                <w:highlight w:val="none"/>
              </w:rPr>
              <w:t xml:space="preserve">0.05%</w:t>
            </w:r>
            <w:r/>
          </w:p>
        </w:tc>
      </w:tr>
      <w:tr>
        <w:trPr>
          <w:jc w:val="center"/>
          <w:trHeight w:val="680" w:hRule="exact"/>
        </w:trPr>
        <w:tc>
          <w:tcPr>
            <w:tcW w:w="2884" w:type="dxa"/>
            <w:vAlign w:val="center"/>
            <w:textDirection w:val="lrTb"/>
            <w:noWrap w:val="false"/>
          </w:tcPr>
          <w:p>
            <w:pPr>
              <w:pStyle w:val="1037"/>
              <w:spacing w:before="162"/>
              <w:rPr>
                <w:rFonts w:hint="eastAsia"/>
                <w:sz w:val="24"/>
                <w:szCs w:val="24"/>
                <w:highlight w:val="none"/>
              </w:rPr>
            </w:pPr>
            <w:r>
              <w:rPr>
                <w:rFonts w:hint="eastAsia"/>
                <w:spacing w:val="5"/>
                <w:sz w:val="24"/>
                <w:szCs w:val="24"/>
                <w:highlight w:val="none"/>
              </w:rPr>
              <w:t xml:space="preserve">10-50亿元(含50亿元)</w:t>
            </w:r>
            <w:r/>
          </w:p>
        </w:tc>
        <w:tc>
          <w:tcPr>
            <w:tcW w:w="2115" w:type="dxa"/>
            <w:vAlign w:val="center"/>
            <w:textDirection w:val="lrTb"/>
            <w:noWrap w:val="false"/>
          </w:tcPr>
          <w:p>
            <w:pPr>
              <w:pStyle w:val="1037"/>
              <w:jc w:val="center"/>
              <w:spacing w:before="243"/>
              <w:rPr>
                <w:rFonts w:hint="eastAsia"/>
                <w:sz w:val="24"/>
                <w:szCs w:val="24"/>
                <w:highlight w:val="none"/>
              </w:rPr>
            </w:pPr>
            <w:r>
              <w:rPr>
                <w:rFonts w:hint="eastAsia"/>
                <w:spacing w:val="-3"/>
                <w:sz w:val="24"/>
                <w:szCs w:val="24"/>
                <w:highlight w:val="none"/>
              </w:rPr>
              <w:t xml:space="preserve">0.01%</w:t>
            </w:r>
            <w:r/>
          </w:p>
        </w:tc>
      </w:tr>
      <w:tr>
        <w:trPr>
          <w:jc w:val="center"/>
          <w:trHeight w:val="680" w:hRule="exact"/>
        </w:trPr>
        <w:tc>
          <w:tcPr>
            <w:tcW w:w="2884" w:type="dxa"/>
            <w:vAlign w:val="center"/>
            <w:textDirection w:val="lrTb"/>
            <w:noWrap w:val="false"/>
          </w:tcPr>
          <w:p>
            <w:pPr>
              <w:pStyle w:val="1037"/>
              <w:spacing w:before="164"/>
              <w:rPr>
                <w:rFonts w:hint="eastAsia"/>
                <w:sz w:val="24"/>
                <w:szCs w:val="24"/>
                <w:highlight w:val="none"/>
              </w:rPr>
            </w:pPr>
            <w:r>
              <w:rPr>
                <w:rFonts w:hint="eastAsia"/>
                <w:spacing w:val="2"/>
                <w:sz w:val="24"/>
                <w:szCs w:val="24"/>
                <w:highlight w:val="none"/>
              </w:rPr>
              <w:t xml:space="preserve">50亿元以上</w:t>
            </w:r>
            <w:r/>
          </w:p>
        </w:tc>
        <w:tc>
          <w:tcPr>
            <w:tcW w:w="2115" w:type="dxa"/>
            <w:vAlign w:val="center"/>
            <w:textDirection w:val="lrTb"/>
            <w:noWrap w:val="false"/>
          </w:tcPr>
          <w:p>
            <w:pPr>
              <w:pStyle w:val="1037"/>
              <w:jc w:val="center"/>
              <w:spacing w:before="245"/>
              <w:rPr>
                <w:rFonts w:hint="eastAsia"/>
                <w:sz w:val="24"/>
                <w:szCs w:val="24"/>
                <w:highlight w:val="none"/>
              </w:rPr>
            </w:pPr>
            <w:r>
              <w:rPr>
                <w:rFonts w:hint="eastAsia"/>
                <w:spacing w:val="-2"/>
                <w:sz w:val="24"/>
                <w:szCs w:val="24"/>
                <w:highlight w:val="none"/>
              </w:rPr>
              <w:t xml:space="preserve">0.005%</w:t>
            </w:r>
            <w:r/>
          </w:p>
        </w:tc>
      </w:tr>
    </w:tbl>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jc w:val="left"/>
        <w:spacing w:line="360"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p>
      <w:pPr>
        <w:jc w:val="left"/>
        <w:spacing w:line="360"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1、按上表计算的收费为代理服务全过程的收费金额。</w:t>
      </w:r>
      <w:r/>
    </w:p>
    <w:p>
      <w:pPr>
        <w:jc w:val="left"/>
        <w:spacing w:line="360"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2、代理服务费按差额定率累进法计算。</w:t>
      </w:r>
      <w:r/>
    </w:p>
    <w:p>
      <w:pPr>
        <w:jc w:val="left"/>
        <w:spacing w:line="360"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3、代理服务费基准金额（按差额定率累进法计算的）=中标金额（按差额定率累进法计算的）*费率（%）</w:t>
      </w:r>
      <w:r/>
    </w:p>
    <w:p>
      <w:pPr>
        <w:jc w:val="left"/>
        <w:spacing w:line="360"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4、代理服务费应收取金额=代理服务费基准金额（按差额定率累进法计算的）的合计数。</w:t>
      </w:r>
      <w:r/>
    </w:p>
    <w:p>
      <w:pPr>
        <w:jc w:val="left"/>
        <w:spacing w:line="360"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5、定点类等无金额或事先不能计算出价格总额的项目，按中标（成交）金额100万元计算服务费。</w:t>
      </w:r>
      <w:r/>
    </w:p>
    <w:p>
      <w:pPr>
        <w:jc w:val="left"/>
        <w:spacing w:line="360"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6.有分包(分标段)的以一个项目计算。</w:t>
      </w:r>
      <w:r/>
    </w:p>
    <w:p>
      <w:pPr>
        <w:jc w:val="left"/>
        <w:spacing w:line="360"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7.以上价格为协会指导价，双方可根据项目难易程度和优质优价原则协商确定。</w:t>
      </w:r>
      <w:r/>
    </w:p>
    <w:p>
      <w:pPr>
        <w:jc w:val="both"/>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br w:type="page" w:clear="all"/>
      </w:r>
      <w:bookmarkStart w:id="23" w:name="_Toc28869"/>
      <w:r/>
      <w:r/>
    </w:p>
    <w:p>
      <w:pPr>
        <w:pStyle w:val="951"/>
        <w:rPr>
          <w:rStyle w:val="964"/>
          <w:rFonts w:hint="eastAsia" w:ascii="宋体" w:hAnsi="宋体" w:eastAsia="宋体" w:cs="宋体"/>
          <w:b/>
          <w:bCs/>
          <w:color w:val="auto"/>
          <w:sz w:val="24"/>
          <w:szCs w:val="24"/>
          <w:highlight w:val="none"/>
        </w:rPr>
      </w:pPr>
      <w:r>
        <w:rPr>
          <w:rStyle w:val="964"/>
          <w:rFonts w:hint="eastAsia" w:ascii="宋体" w:hAnsi="宋体" w:eastAsia="宋体" w:cs="宋体"/>
          <w:b/>
          <w:bCs/>
          <w:color w:val="auto"/>
          <w:sz w:val="24"/>
          <w:szCs w:val="24"/>
          <w:highlight w:val="none"/>
        </w:rPr>
        <w:t xml:space="preserve">第四章 评标标准</w:t>
      </w:r>
      <w:bookmarkEnd w:id="15"/>
      <w:r>
        <w:rPr>
          <w:b/>
          <w:bCs/>
        </w:rPr>
      </w:r>
      <w:bookmarkEnd w:id="23"/>
      <w:r>
        <w:rPr>
          <w:b/>
          <w:bCs/>
        </w:rPr>
      </w:r>
      <w:bookmarkStart w:id="24" w:name="_Toc522790134"/>
      <w:r>
        <w:rPr>
          <w:rStyle w:val="964"/>
          <w:rFonts w:hint="eastAsia" w:ascii="宋体" w:hAnsi="宋体" w:eastAsia="宋体" w:cs="宋体"/>
          <w:b/>
          <w:bCs/>
          <w:color w:val="auto"/>
          <w:sz w:val="24"/>
          <w:szCs w:val="24"/>
          <w:highlight w:val="none"/>
        </w:rPr>
      </w:r>
      <w:r/>
    </w:p>
    <w:p>
      <w:pPr>
        <w:pStyle w:val="951"/>
        <w:jc w:val="left"/>
        <w:rPr>
          <w:rStyle w:val="964"/>
          <w:rFonts w:hint="eastAsia" w:ascii="宋体" w:hAnsi="宋体" w:eastAsia="宋体" w:cs="宋体"/>
          <w:b/>
          <w:bCs/>
          <w:color w:val="auto"/>
          <w:sz w:val="24"/>
          <w:szCs w:val="24"/>
          <w:highlight w:val="none"/>
        </w:rPr>
      </w:pPr>
      <w:r>
        <w:rPr>
          <w:rStyle w:val="964"/>
          <w:rFonts w:hint="eastAsia" w:ascii="宋体" w:hAnsi="宋体" w:eastAsia="宋体" w:cs="宋体"/>
          <w:b/>
          <w:bCs/>
          <w:color w:val="auto"/>
          <w:sz w:val="24"/>
          <w:szCs w:val="24"/>
          <w:highlight w:val="none"/>
        </w:rPr>
      </w:r>
      <w:r>
        <w:rPr>
          <w:b/>
          <w:bCs/>
          <w:sz w:val="24"/>
          <w:szCs w:val="32"/>
        </w:rPr>
        <w:t xml:space="preserve">注：本项目采用固定价格采购，价格不列为评审因素。</w:t>
      </w:r>
      <w:r>
        <w:rPr>
          <w:rStyle w:val="964"/>
          <w:rFonts w:hint="eastAsia" w:ascii="宋体" w:hAnsi="宋体" w:eastAsia="宋体" w:cs="宋体"/>
          <w:b/>
          <w:bCs/>
          <w:color w:val="auto"/>
          <w:sz w:val="24"/>
          <w:szCs w:val="24"/>
          <w:highlight w:val="none"/>
        </w:rPr>
      </w:r>
      <w:r/>
    </w:p>
    <w:tbl>
      <w:tblPr>
        <w:tblStyle w:val="765"/>
        <w:tblW w:w="9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8"/>
        <w:gridCol w:w="1505"/>
        <w:gridCol w:w="6666"/>
      </w:tblGrid>
      <w:tr>
        <w:trPr>
          <w:jc w:val="center"/>
          <w:trHeight w:val="291"/>
        </w:trPr>
        <w:tc>
          <w:tcPr>
            <w:tcW w:w="1608" w:type="dxa"/>
            <w:vAlign w:val="center"/>
            <w:textDirection w:val="lrTb"/>
            <w:noWrap w:val="false"/>
          </w:tcPr>
          <w:p>
            <w:pPr>
              <w:jc w:val="center"/>
              <w:spacing w:line="360" w:lineRule="auto"/>
              <w:widowControl/>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评审内容</w:t>
            </w:r>
            <w:r/>
          </w:p>
        </w:tc>
        <w:tc>
          <w:tcPr>
            <w:tcW w:w="1505" w:type="dxa"/>
            <w:vAlign w:val="center"/>
            <w:textDirection w:val="lrTb"/>
            <w:noWrap w:val="false"/>
          </w:tcPr>
          <w:p>
            <w:pPr>
              <w:jc w:val="center"/>
              <w:spacing w:line="360" w:lineRule="auto"/>
              <w:widowControl/>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评分分值</w:t>
            </w:r>
            <w:r/>
          </w:p>
        </w:tc>
        <w:tc>
          <w:tcPr>
            <w:tcW w:w="6666" w:type="dxa"/>
            <w:vAlign w:val="center"/>
            <w:textDirection w:val="lrTb"/>
            <w:noWrap w:val="false"/>
          </w:tcPr>
          <w:p>
            <w:pPr>
              <w:jc w:val="center"/>
              <w:spacing w:line="360" w:lineRule="auto"/>
              <w:widowControl/>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评分标准</w:t>
            </w:r>
            <w:r/>
          </w:p>
        </w:tc>
      </w:tr>
      <w:tr>
        <w:trPr>
          <w:jc w:val="center"/>
          <w:trHeight w:val="2972"/>
        </w:trPr>
        <w:tc>
          <w:tcPr>
            <w:tcW w:w="1608" w:type="dxa"/>
            <w:vAlign w:val="center"/>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赔偿限额</w:t>
            </w:r>
            <w:r/>
          </w:p>
        </w:tc>
        <w:tc>
          <w:tcPr>
            <w:tcW w:w="1505" w:type="dxa"/>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20分</w:t>
            </w:r>
            <w:r/>
          </w:p>
        </w:tc>
        <w:tc>
          <w:tcPr>
            <w:tcW w:w="6666" w:type="dxa"/>
            <w:vAlign w:val="center"/>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1.被保险人因意外伤害导致身故或伤残：赔偿限额3000元/人，在此基础上，每增加50元/人，得2分，本项最高得10分；</w:t>
            </w:r>
            <w:r/>
          </w:p>
          <w:p>
            <w:pPr>
              <w:rPr>
                <w:rFonts w:hint="eastAsia"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val="en-US" w:eastAsia="zh-CN"/>
              </w:rPr>
              <w:t xml:space="preserve">.被保险人因意外伤害医疗费用（包含门诊和住院）：赔偿限额1000元/人，在此基础上，每增加20元/人，得2分，本项最高得10分；</w:t>
            </w:r>
            <w:r>
              <w:rPr>
                <w:rFonts w:hint="default" w:ascii="仿宋" w:hAnsi="仿宋" w:eastAsia="仿宋" w:cs="仿宋"/>
                <w:color w:val="auto"/>
                <w:sz w:val="24"/>
                <w:highlight w:val="none"/>
                <w:lang w:val="en-US" w:eastAsia="zh-CN"/>
              </w:rPr>
              <w:t xml:space="preserve"> </w:t>
            </w:r>
            <w:r/>
          </w:p>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注：以上得分项须提供赔偿限额承诺书，体现各项赔偿限额标准，未提供承诺书则不予得分，承诺书格式自拟并加盖电子签章。</w:t>
            </w:r>
            <w:r/>
          </w:p>
        </w:tc>
      </w:tr>
      <w:tr>
        <w:trPr>
          <w:jc w:val="center"/>
          <w:trHeight w:val="1299"/>
        </w:trPr>
        <w:tc>
          <w:tcPr>
            <w:tcW w:w="1608" w:type="dxa"/>
            <w:vAlign w:val="center"/>
            <w:vMerge w:val="restart"/>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企业实力</w:t>
            </w:r>
            <w:r/>
          </w:p>
        </w:tc>
        <w:tc>
          <w:tcPr>
            <w:tcW w:w="1505" w:type="dxa"/>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企业业绩</w:t>
            </w:r>
            <w:r/>
          </w:p>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（4分）</w:t>
            </w:r>
            <w:r/>
          </w:p>
        </w:tc>
        <w:tc>
          <w:tcPr>
            <w:tcW w:w="6666" w:type="dxa"/>
            <w:vAlign w:val="center"/>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投标人自2023年7月1日（以合同签订时间为准）以来，作为承保人或保险人所具有的意外身故、伤残、意外伤害医疗费用等类似项目业绩，每有一个得2分，本项最高得4分。投标时须提供类似项目业绩合同扫描件并加盖电子签章，未提供或未按要求提供的不得分。</w:t>
            </w:r>
            <w:r/>
          </w:p>
        </w:tc>
      </w:tr>
      <w:tr>
        <w:trPr>
          <w:jc w:val="center"/>
          <w:trHeight w:val="1610"/>
        </w:trPr>
        <w:tc>
          <w:tcPr>
            <w:tcW w:w="1608" w:type="dxa"/>
            <w:vAlign w:val="center"/>
            <w:vMerge w:val="continue"/>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tcW w:w="1505" w:type="dxa"/>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综合偿付能力（6分）</w:t>
            </w:r>
            <w:r/>
          </w:p>
        </w:tc>
        <w:tc>
          <w:tcPr>
            <w:tcW w:w="6666" w:type="dxa"/>
            <w:vAlign w:val="center"/>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投标人在经第三方专业机构审计的2025年第四季度偿付能力信息中综合偿付能力充足率200%以上的得6分、150%-200%（含）的得4分、100%-150%（含）的得2分、无偿付能力报告或低于100%（含）的不得分。</w:t>
            </w:r>
            <w:r/>
          </w:p>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投标人投标时须提供总公司或分公司或中心支公司的综合偿付能力报告扫描件并加盖投标人电子签章，未提供或未按要求提供的不得分。</w:t>
            </w:r>
            <w:r/>
          </w:p>
        </w:tc>
      </w:tr>
      <w:tr>
        <w:trPr>
          <w:jc w:val="center"/>
          <w:trHeight w:val="975"/>
        </w:trPr>
        <w:tc>
          <w:tcPr>
            <w:tcW w:w="1608" w:type="dxa"/>
            <w:vAlign w:val="center"/>
            <w:vMerge w:val="continue"/>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tcW w:w="1505" w:type="dxa"/>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风险综合评级（4分）</w:t>
            </w:r>
            <w:r/>
          </w:p>
        </w:tc>
        <w:tc>
          <w:tcPr>
            <w:tcW w:w="6666" w:type="dxa"/>
            <w:vAlign w:val="center"/>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投标人在保险公司网站和国家金融监管总局指定的媒介上发布的2025年第四季度的风险综合评级中为A类的得4分、B类的得2分、C类及以下不得分。</w:t>
            </w:r>
            <w:r/>
          </w:p>
          <w:p>
            <w:pPr>
              <w:rPr>
                <w:rFonts w:hint="eastAsia" w:ascii="仿宋" w:hAnsi="仿宋" w:eastAsia="仿宋" w:cs="仿宋"/>
                <w:color w:val="auto"/>
                <w:sz w:val="24"/>
                <w:highlight w:val="none"/>
                <w:lang w:val="en-US" w:eastAsia="zh-CN"/>
              </w:rPr>
            </w:pPr>
            <w:r>
              <w:rPr>
                <w:rFonts w:hint="eastAsia" w:ascii="仿宋_GB2312" w:hAnsi="仿宋_GB2312" w:eastAsia="仿宋_GB2312" w:cs="仿宋_GB2312"/>
                <w:b w:val="0"/>
                <w:bCs w:val="0"/>
                <w:color w:val="000000" w:themeColor="text1"/>
                <w:sz w:val="24"/>
                <w:highlight w:val="none"/>
                <w14:textFill>
                  <w14:solidFill>
                    <w14:schemeClr w14:val="tx1"/>
                  </w14:solidFill>
                </w14:textFill>
              </w:rPr>
              <w:t xml:space="preserve">注：提供总公司《偿付能力季度报告摘要》或者总公司官网、中国保险行业协会官网、国家金融</w:t>
            </w:r>
            <w:r>
              <w:rPr>
                <w:rFonts w:hint="eastAsia" w:ascii="仿宋_GB2312" w:hAnsi="仿宋_GB2312" w:eastAsia="仿宋_GB2312" w:cs="仿宋_GB2312"/>
                <w:b w:val="0"/>
                <w:bCs w:val="0"/>
                <w:color w:val="000000" w:themeColor="text1"/>
                <w:sz w:val="24"/>
                <w:highlight w:val="none"/>
                <w:lang w:val="en-US" w:eastAsia="zh-CN"/>
                <w14:textFill>
                  <w14:solidFill>
                    <w14:schemeClr w14:val="tx1"/>
                  </w14:solidFill>
                </w14:textFill>
              </w:rPr>
              <w:t xml:space="preserve">监督管理</w:t>
            </w:r>
            <w:r>
              <w:rPr>
                <w:rFonts w:hint="eastAsia" w:ascii="仿宋_GB2312" w:hAnsi="仿宋_GB2312" w:eastAsia="仿宋_GB2312" w:cs="仿宋_GB2312"/>
                <w:b w:val="0"/>
                <w:bCs w:val="0"/>
                <w:color w:val="000000" w:themeColor="text1"/>
                <w:sz w:val="24"/>
                <w:highlight w:val="none"/>
                <w14:textFill>
                  <w14:solidFill>
                    <w14:schemeClr w14:val="tx1"/>
                  </w14:solidFill>
                </w14:textFill>
              </w:rPr>
              <w:t xml:space="preserve">总局官网相关查询截图。</w:t>
            </w:r>
            <w:r/>
          </w:p>
        </w:tc>
      </w:tr>
      <w:tr>
        <w:trPr>
          <w:jc w:val="center"/>
          <w:trHeight w:val="511"/>
        </w:trPr>
        <w:tc>
          <w:tcPr>
            <w:tcW w:w="1608" w:type="dxa"/>
            <w:vAlign w:val="center"/>
            <w:vMerge w:val="restart"/>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服务方案</w:t>
            </w:r>
            <w:r/>
          </w:p>
        </w:tc>
        <w:tc>
          <w:tcPr>
            <w:tcW w:w="1505" w:type="dxa"/>
            <w:vAlign w:val="center"/>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总体方案（</w:t>
            </w:r>
            <w:r>
              <w:rPr>
                <w:rFonts w:hint="default"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lang w:val="en-US" w:eastAsia="zh-CN"/>
              </w:rPr>
              <w:t xml:space="preserve">分）</w:t>
            </w:r>
            <w:r/>
          </w:p>
        </w:tc>
        <w:tc>
          <w:tcPr>
            <w:tcW w:w="6666" w:type="dxa"/>
            <w:vAlign w:val="center"/>
            <w:textDirection w:val="lrTb"/>
            <w:noWrap w:val="false"/>
          </w:tcPr>
          <w:p>
            <w:pPr>
              <w:ind w:left="0" w:right="0" w:firstLine="0"/>
              <w:jc w:val="both"/>
              <w:spacing w:before="0" w:after="0"/>
              <w:rPr>
                <w:rFonts w:hint="eastAsia" w:ascii="仿宋" w:hAnsi="仿宋" w:eastAsia="仿宋" w:cs="仿宋"/>
                <w:color w:val="auto"/>
                <w:sz w:val="24"/>
                <w:szCs w:val="24"/>
                <w:highlight w:val="none"/>
                <w:lang w:val="en-US"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auto"/>
                <w:sz w:val="24"/>
                <w:highlight w:val="none"/>
                <w:lang w:val="en-US" w:eastAsia="zh-CN"/>
              </w:rPr>
              <w:t xml:space="preserve">保险方案中保险保障范围、赔偿范围，保险方案优惠的全面性、针对性、可行性、优惠力度等方面进行综合打分。</w:t>
            </w:r>
            <w:r>
              <w:rPr>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方案全面性（4分）：全面具体详实得4分；较全面得2分；存在较大漏项或缺陷得1分。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方案可行性（3分）：切实可行得3分；较切实可行得2分；可行性欠缺得1分。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方案针对性（3分）：针对性强得3分；针对性较强得2分；针对性不强得1分。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未提供的得0分，本项最高得10分，最低得0分。</w:t>
            </w:r>
            <w:r>
              <w:rPr>
                <w:sz w:val="21"/>
              </w:rPr>
            </w:r>
            <w:r/>
          </w:p>
        </w:tc>
      </w:tr>
      <w:tr>
        <w:trPr>
          <w:jc w:val="center"/>
          <w:trHeight w:val="926"/>
        </w:trPr>
        <w:tc>
          <w:tcPr>
            <w:tcW w:w="1608" w:type="dxa"/>
            <w:vAlign w:val="center"/>
            <w:vMerge w:val="continue"/>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tcW w:w="1505" w:type="dxa"/>
            <w:vAlign w:val="center"/>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承保服务方案（</w:t>
            </w:r>
            <w:r>
              <w:rPr>
                <w:rFonts w:hint="default"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lang w:val="en-US" w:eastAsia="zh-CN"/>
              </w:rPr>
              <w:t xml:space="preserve">分）</w:t>
            </w:r>
            <w:r/>
          </w:p>
        </w:tc>
        <w:tc>
          <w:tcPr>
            <w:tcW w:w="6666" w:type="dxa"/>
            <w:vAlign w:val="center"/>
            <w:textDirection w:val="lrTb"/>
            <w:noWrap w:val="false"/>
          </w:tcPr>
          <w:p>
            <w:pPr>
              <w:ind w:left="0" w:right="0" w:firstLine="0"/>
              <w:jc w:val="both"/>
              <w:spacing w:before="0" w:after="0"/>
              <w:rPr>
                <w:rFonts w:hint="eastAsia" w:ascii="仿宋" w:hAnsi="仿宋" w:eastAsia="仿宋" w:cs="仿宋"/>
                <w:color w:val="auto"/>
                <w:sz w:val="24"/>
                <w:szCs w:val="24"/>
                <w:highlight w:val="none"/>
                <w:lang w:val="en-US" w:eastAsia="zh-CN"/>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auto"/>
                <w:sz w:val="24"/>
                <w:highlight w:val="none"/>
                <w:lang w:val="en-US" w:eastAsia="zh-CN"/>
              </w:rPr>
              <w:t xml:space="preserve">供应商的服务方案进行综合评审</w:t>
            </w:r>
            <w:r>
              <w:rPr>
                <w:rFonts w:hint="eastAsia" w:ascii="仿宋" w:hAnsi="仿宋" w:eastAsia="仿宋" w:cs="仿宋"/>
                <w:color w:val="auto"/>
                <w:sz w:val="24"/>
                <w:highlight w:val="none"/>
                <w:lang w:val="en-US" w:eastAsia="zh-CN"/>
              </w:rPr>
              <w:t xml:space="preserve">。</w:t>
            </w:r>
            <w:r>
              <w:rPr>
                <w:sz w:val="21"/>
              </w:rPr>
            </w: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auto"/>
                <w:sz w:val="24"/>
                <w:highlight w:val="none"/>
                <w:lang w:val="en-US" w:eastAsia="zh-CN"/>
              </w:rPr>
            </w:r>
            <w:r>
              <w:rPr>
                <w:rFonts w:ascii="FangSong" w:hAnsi="FangSong" w:eastAsia="FangSong" w:cs="FangSong"/>
                <w:color w:val="000000"/>
                <w:sz w:val="24"/>
              </w:rPr>
              <w:t xml:space="preserve">方案全面性（4分）：全面具体详实得4分；较全面得2分；存在较大漏项或缺陷得1分。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方案可行性（3分）：切实可行得3分；较切实可行得2分；可行性欠缺得1分。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方案针对性（3分）：针对性强得3分；针对性较强得2分；针对性不强得1分。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未提供的得0分，本项最高得10分，最低得0分。</w:t>
            </w:r>
            <w:r>
              <w:rPr>
                <w:sz w:val="21"/>
              </w:rPr>
            </w:r>
            <w:r/>
          </w:p>
        </w:tc>
      </w:tr>
      <w:tr>
        <w:trPr>
          <w:jc w:val="center"/>
          <w:trHeight w:val="1266"/>
        </w:trPr>
        <w:tc>
          <w:tcPr>
            <w:tcW w:w="1608" w:type="dxa"/>
            <w:vAlign w:val="center"/>
            <w:vMerge w:val="continue"/>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tcW w:w="1505" w:type="dxa"/>
            <w:vAlign w:val="center"/>
            <w:textDirection w:val="lrTb"/>
            <w:noWrap w:val="false"/>
          </w:tcPr>
          <w:p>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服务团队（6分）</w:t>
            </w:r>
            <w:r/>
          </w:p>
        </w:tc>
        <w:tc>
          <w:tcPr>
            <w:tcW w:w="6666" w:type="dxa"/>
            <w:vAlign w:val="center"/>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服务网络、服务人员配备（承保、理赔、财务核算、信息反馈系统、答疑咨询等专职人员、联系人、职务及电话）方案的针对性、可行性等综合比较评价。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方案可行性（3分）：切实可行得3分；较切实可行得2分；可行性欠缺得1分。</w:t>
            </w:r>
            <w:r>
              <w:rPr>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方案针对性（3分）：针对性强得3分；针对性较强得2分；针对性不强得1分。</w:t>
            </w:r>
            <w:r>
              <w:rPr>
                <w:sz w:val="21"/>
              </w:rPr>
            </w:r>
            <w:r/>
          </w:p>
          <w:p>
            <w:pPr>
              <w:ind w:left="0" w:right="0" w:firstLine="0"/>
              <w:jc w:val="both"/>
              <w:spacing w:before="0" w:after="0"/>
              <w:rPr>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未提供的得0分，本项最高得6分，最低得0分。</w:t>
            </w:r>
            <w:r>
              <w:rPr>
                <w:sz w:val="21"/>
                <w:szCs w:val="21"/>
              </w:rPr>
            </w:r>
            <w:r/>
          </w:p>
        </w:tc>
      </w:tr>
      <w:tr>
        <w:trPr>
          <w:jc w:val="center"/>
          <w:trHeight w:val="1270"/>
        </w:trPr>
        <w:tc>
          <w:tcPr>
            <w:tcW w:w="1608" w:type="dxa"/>
            <w:vAlign w:val="center"/>
            <w:vMerge w:val="continue"/>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tcW w:w="1505" w:type="dxa"/>
            <w:vAlign w:val="center"/>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宣传方案（1</w:t>
            </w:r>
            <w:r>
              <w:rPr>
                <w:rFonts w:hint="default"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lang w:val="en-US" w:eastAsia="zh-CN"/>
              </w:rPr>
              <w:t xml:space="preserve">分）</w:t>
            </w:r>
            <w:r/>
          </w:p>
        </w:tc>
        <w:tc>
          <w:tcPr>
            <w:tcW w:w="6666" w:type="dxa"/>
            <w:vAlign w:val="center"/>
            <w:textDirection w:val="lrTb"/>
            <w:noWrap w:val="false"/>
          </w:tcPr>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lang w:val="en-US" w:eastAsia="zh-CN"/>
              </w:rPr>
              <w:t xml:space="preserve">供应商提供的保险宣传方案进行综合评审，内容应包括但不限于宣传对象、宣传方式、宣传内容、宣传效果等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s="仿宋"/>
                <w:color w:val="auto"/>
                <w:sz w:val="24"/>
                <w:highlight w:val="none"/>
                <w:lang w:val="en-US" w:eastAsia="zh-CN"/>
              </w:rPr>
            </w:r>
            <w:r>
              <w:rPr>
                <w:rFonts w:ascii="FangSong" w:hAnsi="FangSong" w:eastAsia="FangSong" w:cs="FangSong"/>
                <w:color w:val="000000"/>
                <w:sz w:val="24"/>
              </w:rPr>
              <w:t xml:space="preserve">方案全面性（4分）：全面具体详实得4分；较全面得2分；存在较大漏项或缺陷得1分。</w:t>
            </w:r>
            <w:r>
              <w:rPr>
                <w:sz w:val="21"/>
                <w:szCs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方案可行性（3分）：切实可行得3分；较切实可行得2分；可行性欠缺得1分。</w:t>
            </w:r>
            <w:r>
              <w:rPr>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方案针对性（3分）：针对性强得3分；针对性较强得2分；针对性不强得1分。</w:t>
            </w:r>
            <w:r>
              <w:rPr>
                <w:sz w:val="21"/>
              </w:rPr>
            </w:r>
            <w:r/>
          </w:p>
          <w:p>
            <w:pPr>
              <w:rPr>
                <w:rFonts w:hint="eastAsia" w:ascii="仿宋" w:hAnsi="仿宋" w:eastAsia="仿宋" w:cs="仿宋"/>
                <w:color w:val="auto"/>
                <w:sz w:val="24"/>
                <w:szCs w:val="24"/>
                <w:highlight w:val="none"/>
                <w:lang w:val="en-US" w:eastAsia="zh-CN"/>
              </w:rPr>
            </w:pPr>
            <w:r>
              <w:rPr>
                <w:rFonts w:ascii="FangSong" w:hAnsi="FangSong" w:eastAsia="FangSong" w:cs="FangSong"/>
                <w:color w:val="000000"/>
                <w:sz w:val="24"/>
              </w:rPr>
              <w:t xml:space="preserve">未提供的得0分，本项最高得10分，最低得0分。</w:t>
            </w:r>
            <w:r>
              <w:rPr>
                <w:rFonts w:hint="eastAsia" w:ascii="仿宋" w:hAnsi="仿宋" w:eastAsia="仿宋" w:cs="仿宋"/>
                <w:color w:val="auto"/>
                <w:sz w:val="24"/>
                <w:highlight w:val="none"/>
                <w:lang w:val="en-US" w:eastAsia="zh-CN"/>
              </w:rPr>
            </w:r>
            <w:r/>
          </w:p>
        </w:tc>
      </w:tr>
      <w:tr>
        <w:trPr>
          <w:jc w:val="center"/>
          <w:trHeight w:val="1117"/>
        </w:trPr>
        <w:tc>
          <w:tcPr>
            <w:tcW w:w="1608" w:type="dxa"/>
            <w:vAlign w:val="center"/>
            <w:vMerge w:val="continue"/>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tcW w:w="1505" w:type="dxa"/>
            <w:vAlign w:val="center"/>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理赔方案（</w:t>
            </w:r>
            <w:r>
              <w:rPr>
                <w:rFonts w:hint="default"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val="en-US" w:eastAsia="zh-CN"/>
              </w:rPr>
              <w:t xml:space="preserve">0分）</w:t>
            </w:r>
            <w:r/>
          </w:p>
        </w:tc>
        <w:tc>
          <w:tcPr>
            <w:tcW w:w="6666" w:type="dxa"/>
            <w:vAlign w:val="center"/>
            <w:textDirection w:val="lrTb"/>
            <w:noWrap w:val="false"/>
          </w:tcPr>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lang w:val="en-US" w:eastAsia="zh-CN"/>
              </w:rPr>
              <w:t xml:space="preserve">拟任的项目负责人的独立理赔决策权及理赔方案进行综合评审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s="仿宋"/>
                <w:color w:val="auto"/>
                <w:sz w:val="24"/>
                <w:highlight w:val="none"/>
                <w:lang w:val="en-US" w:eastAsia="zh-CN"/>
              </w:rPr>
            </w:r>
            <w:r>
              <w:rPr>
                <w:rFonts w:ascii="FangSong" w:hAnsi="FangSong" w:eastAsia="FangSong" w:cs="FangSong"/>
                <w:color w:val="000000"/>
                <w:sz w:val="24"/>
              </w:rPr>
              <w:t xml:space="preserve">方案全面性（4分）：全面具体详实得4分；较全面得2分；存在较大漏项或缺陷得1分。</w:t>
            </w:r>
            <w:r>
              <w:rPr>
                <w:sz w:val="21"/>
                <w:szCs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方案可行性（3分）：切实可行得3分；较切实可行得2分；可行性欠缺得1分。</w:t>
            </w:r>
            <w:r>
              <w:rPr>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方案针对性（3分）：针对性强得3分；针对性较强得2分；针对性不强得1分。</w:t>
            </w:r>
            <w:r>
              <w:rPr>
                <w:sz w:val="21"/>
              </w:rPr>
            </w:r>
            <w:r/>
          </w:p>
          <w:p>
            <w:pPr>
              <w:rPr>
                <w:rFonts w:hint="eastAsia" w:ascii="仿宋" w:hAnsi="仿宋" w:eastAsia="仿宋" w:cs="仿宋"/>
                <w:color w:val="auto"/>
                <w:sz w:val="21"/>
                <w:szCs w:val="21"/>
                <w:highlight w:val="none"/>
              </w:rPr>
            </w:pPr>
            <w:r>
              <w:rPr>
                <w:rFonts w:ascii="FangSong" w:hAnsi="FangSong" w:eastAsia="FangSong" w:cs="FangSong"/>
                <w:color w:val="000000"/>
                <w:sz w:val="24"/>
              </w:rPr>
              <w:t xml:space="preserve">未提供的得0分，本项最高得10分，最低得0分。</w:t>
            </w:r>
            <w:r>
              <w:rPr>
                <w:rFonts w:hint="eastAsia" w:ascii="仿宋" w:hAnsi="仿宋" w:eastAsia="仿宋" w:cs="仿宋"/>
                <w:color w:val="auto"/>
                <w:sz w:val="21"/>
                <w:szCs w:val="21"/>
                <w:highlight w:val="none"/>
              </w:rPr>
            </w:r>
            <w:r/>
          </w:p>
        </w:tc>
      </w:tr>
      <w:tr>
        <w:trPr>
          <w:jc w:val="center"/>
          <w:trHeight w:val="492"/>
        </w:trPr>
        <w:tc>
          <w:tcPr>
            <w:tcW w:w="1608" w:type="dxa"/>
            <w:vAlign w:val="center"/>
            <w:vMerge w:val="continue"/>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tcW w:w="1505" w:type="dxa"/>
            <w:vAlign w:val="center"/>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风险管控服务方案（</w:t>
            </w:r>
            <w:r>
              <w:rPr>
                <w:rFonts w:hint="default"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lang w:val="en-US" w:eastAsia="zh-CN"/>
              </w:rPr>
              <w:t xml:space="preserve">分）</w:t>
            </w:r>
            <w:r/>
          </w:p>
        </w:tc>
        <w:tc>
          <w:tcPr>
            <w:tcW w:w="6666" w:type="dxa"/>
            <w:vAlign w:val="center"/>
            <w:textDirection w:val="lrTb"/>
            <w:noWrap w:val="false"/>
          </w:tcPr>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lang w:val="en-US" w:eastAsia="zh-CN"/>
              </w:rPr>
              <w:t xml:space="preserve">供应商对项目风险认知水平及本项目风险管控服务方案进行综合评审</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lang w:val="en-US" w:eastAsia="zh-CN"/>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s="仿宋"/>
                <w:color w:val="auto"/>
                <w:sz w:val="24"/>
                <w:highlight w:val="none"/>
                <w:lang w:val="en-US" w:eastAsia="zh-CN"/>
              </w:rPr>
            </w:r>
            <w:r>
              <w:rPr>
                <w:rFonts w:ascii="FangSong" w:hAnsi="FangSong" w:eastAsia="FangSong" w:cs="FangSong"/>
                <w:color w:val="000000"/>
                <w:sz w:val="24"/>
              </w:rPr>
              <w:t xml:space="preserve">方案全面性（4分）：全面具体详实得4分；较全面得2分；存在较大漏项或缺陷得1分。</w:t>
            </w:r>
            <w:r>
              <w:rPr>
                <w:sz w:val="21"/>
                <w:szCs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方案可行性（3分）：切实可行得3分；较切实可行得2分；可行性欠缺得1分。</w:t>
            </w:r>
            <w:r>
              <w:rPr>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方案针对性（3分）：针对性强得3分；针对性较强得2分；针对性不强得1分。</w:t>
            </w:r>
            <w:r>
              <w:rPr>
                <w:sz w:val="21"/>
              </w:rPr>
            </w:r>
            <w:r/>
          </w:p>
          <w:p>
            <w:pPr>
              <w:rPr>
                <w:rFonts w:hint="eastAsia" w:ascii="仿宋" w:hAnsi="仿宋" w:eastAsia="仿宋" w:cs="仿宋"/>
                <w:color w:val="auto"/>
                <w:sz w:val="21"/>
                <w:szCs w:val="21"/>
                <w:highlight w:val="none"/>
              </w:rPr>
            </w:pPr>
            <w:r>
              <w:rPr>
                <w:rFonts w:ascii="FangSong" w:hAnsi="FangSong" w:eastAsia="FangSong" w:cs="FangSong"/>
                <w:color w:val="000000"/>
                <w:sz w:val="24"/>
              </w:rPr>
              <w:t xml:space="preserve">未提供的得0分，本项最高得10分，最低得0分。</w:t>
            </w:r>
            <w:r>
              <w:rPr>
                <w:rFonts w:hint="eastAsia" w:ascii="仿宋" w:hAnsi="仿宋" w:eastAsia="仿宋" w:cs="仿宋"/>
                <w:color w:val="auto"/>
                <w:sz w:val="21"/>
                <w:szCs w:val="21"/>
                <w:highlight w:val="none"/>
              </w:rPr>
            </w:r>
            <w:r/>
          </w:p>
        </w:tc>
      </w:tr>
      <w:tr>
        <w:trPr>
          <w:jc w:val="center"/>
          <w:trHeight w:val="501"/>
        </w:trPr>
        <w:tc>
          <w:tcPr>
            <w:tcW w:w="1608" w:type="dxa"/>
            <w:vAlign w:val="center"/>
            <w:vMerge w:val="continue"/>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tcW w:w="1505" w:type="dxa"/>
            <w:vAlign w:val="center"/>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应急处理预案（</w:t>
            </w:r>
            <w:r>
              <w:rPr>
                <w:rFonts w:hint="default"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lang w:val="en-US" w:eastAsia="zh-CN"/>
              </w:rPr>
              <w:t xml:space="preserve">分）</w:t>
            </w:r>
            <w:r/>
          </w:p>
        </w:tc>
        <w:tc>
          <w:tcPr>
            <w:tcW w:w="6666" w:type="dxa"/>
            <w:vAlign w:val="center"/>
            <w:textDirection w:val="lrTb"/>
            <w:noWrap w:val="false"/>
          </w:tcPr>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lang w:val="en-US" w:eastAsia="zh-CN"/>
              </w:rPr>
              <w:t xml:space="preserve">供应商提供的应急处理预案进行综合评审</w:t>
            </w:r>
            <w:r>
              <w:rPr>
                <w:rFonts w:hint="eastAsia" w:ascii="仿宋" w:hAnsi="仿宋" w:eastAsia="仿宋" w:cs="仿宋"/>
                <w:color w:val="auto"/>
                <w:sz w:val="24"/>
                <w:highlight w:val="none"/>
                <w:lang w:val="en-US" w:eastAsia="zh-CN"/>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s="仿宋"/>
                <w:color w:val="auto"/>
                <w:sz w:val="24"/>
                <w:highlight w:val="none"/>
                <w:lang w:val="en-US" w:eastAsia="zh-CN"/>
              </w:rPr>
            </w:r>
            <w:r>
              <w:rPr>
                <w:rFonts w:ascii="FangSong" w:hAnsi="FangSong" w:eastAsia="FangSong" w:cs="FangSong"/>
                <w:color w:val="000000"/>
                <w:sz w:val="24"/>
              </w:rPr>
              <w:t xml:space="preserve">方案全面性（4分）：全面具体详实得4分；较全面得2分；存在较大漏项或缺陷得1分。</w:t>
            </w:r>
            <w:r>
              <w:rPr>
                <w:sz w:val="21"/>
                <w:szCs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方案可行性（3分）：切实可行得3分；较切实可行得2分；可行性欠缺得1分。</w:t>
            </w:r>
            <w:r>
              <w:rPr>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方案针对性（3分）：针对性强得3分；针对性较强得2分；针对性不强得1分。</w:t>
            </w:r>
            <w:r>
              <w:rPr>
                <w:sz w:val="21"/>
              </w:rPr>
            </w:r>
            <w:r/>
          </w:p>
          <w:p>
            <w:pPr>
              <w:rPr>
                <w:rFonts w:hint="eastAsia" w:ascii="仿宋" w:hAnsi="仿宋" w:eastAsia="仿宋" w:cs="仿宋"/>
                <w:color w:val="auto"/>
                <w:sz w:val="21"/>
                <w:szCs w:val="21"/>
                <w:highlight w:val="none"/>
              </w:rPr>
            </w:pPr>
            <w:r>
              <w:rPr>
                <w:rFonts w:ascii="FangSong" w:hAnsi="FangSong" w:eastAsia="FangSong" w:cs="FangSong"/>
                <w:color w:val="000000"/>
                <w:sz w:val="24"/>
              </w:rPr>
              <w:t xml:space="preserve">未提供的得0分，本项最高得10分，最低得0分。</w:t>
            </w:r>
            <w:r>
              <w:rPr>
                <w:rFonts w:hint="eastAsia" w:ascii="仿宋" w:hAnsi="仿宋" w:eastAsia="仿宋" w:cs="仿宋"/>
                <w:color w:val="auto"/>
                <w:sz w:val="21"/>
                <w:szCs w:val="21"/>
                <w:highlight w:val="none"/>
              </w:rPr>
            </w:r>
            <w:r/>
          </w:p>
        </w:tc>
      </w:tr>
    </w:tbl>
    <w:p>
      <w:pPr>
        <w:pStyle w:val="785"/>
        <w:rPr>
          <w:rFonts w:hint="eastAsia" w:ascii="仿宋" w:hAnsi="仿宋" w:eastAsia="仿宋" w:cs="仿宋"/>
          <w:sz w:val="28"/>
          <w:szCs w:val="28"/>
        </w:rPr>
      </w:pPr>
      <w:r>
        <w:rPr>
          <w:rFonts w:hint="eastAsia" w:ascii="仿宋" w:hAnsi="仿宋" w:eastAsia="仿宋" w:cs="仿宋"/>
          <w:sz w:val="28"/>
          <w:szCs w:val="28"/>
        </w:rPr>
      </w:r>
      <w:r/>
    </w:p>
    <w:p>
      <w:pPr>
        <w:pStyle w:val="951"/>
        <w:jc w:val="center"/>
        <w:spacing w:line="240" w:lineRule="auto"/>
        <w:rPr>
          <w:rFonts w:hint="eastAsia" w:ascii="宋体" w:hAnsi="宋体" w:eastAsia="宋体" w:cs="宋体"/>
          <w:b/>
          <w:bCs/>
          <w:sz w:val="24"/>
          <w:szCs w:val="24"/>
          <w:highlight w:val="none"/>
        </w:rPr>
      </w:pPr>
      <w:r>
        <w:rPr>
          <w:rFonts w:hint="eastAsia" w:ascii="仿宋" w:hAnsi="仿宋" w:eastAsia="仿宋" w:cs="仿宋"/>
          <w:b/>
          <w:bCs/>
          <w:sz w:val="32"/>
          <w:szCs w:val="32"/>
        </w:rPr>
        <w:t xml:space="preserve">注：评分结果精确到小数点后两位。</w:t>
      </w:r>
      <w:r>
        <w:rPr>
          <w:rFonts w:hint="eastAsia" w:ascii="仿宋" w:hAnsi="仿宋" w:eastAsia="仿宋" w:cs="仿宋"/>
          <w:b/>
          <w:bCs/>
          <w:sz w:val="24"/>
          <w:szCs w:val="24"/>
          <w:highlight w:val="none"/>
          <w:lang w:val="en-US" w:eastAsia="zh-CN"/>
        </w:rPr>
        <w:br w:type="page" w:clear="all"/>
      </w:r>
      <w:bookmarkStart w:id="25" w:name="_Toc29882"/>
      <w:r>
        <w:rPr>
          <w:rFonts w:hint="eastAsia" w:ascii="宋体" w:hAnsi="宋体" w:eastAsia="宋体" w:cs="宋体"/>
          <w:b/>
          <w:bCs/>
          <w:sz w:val="24"/>
          <w:szCs w:val="24"/>
          <w:highlight w:val="none"/>
        </w:rPr>
        <w:t xml:space="preserve">第五章  拟签订的合同文本</w:t>
      </w:r>
      <w:bookmarkEnd w:id="24"/>
      <w:r/>
      <w:bookmarkEnd w:id="25"/>
      <w:r/>
      <w:r/>
    </w:p>
    <w:p>
      <w:pPr>
        <w:pStyle w:val="971"/>
        <w:rPr>
          <w:rFonts w:hint="eastAsia" w:ascii="宋体" w:hAnsi="宋体" w:eastAsia="宋体" w:cs="宋体"/>
          <w:sz w:val="24"/>
          <w:szCs w:val="24"/>
          <w:highlight w:val="none"/>
        </w:rPr>
      </w:pPr>
      <w:r/>
      <w:bookmarkStart w:id="26" w:name="_Toc522790135"/>
      <w:r>
        <w:rPr>
          <w:rFonts w:hint="eastAsia" w:ascii="宋体" w:hAnsi="宋体" w:eastAsia="宋体" w:cs="宋体"/>
          <w:sz w:val="24"/>
          <w:szCs w:val="24"/>
          <w:highlight w:val="none"/>
        </w:rPr>
        <w:t xml:space="preserve">项目名称：</w:t>
      </w:r>
      <w:r/>
    </w:p>
    <w:p>
      <w:pPr>
        <w:pStyle w:val="97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66"/>
        <w:rPr>
          <w:rFonts w:hint="eastAsia"/>
        </w:rPr>
      </w:pPr>
      <w:r>
        <w:rPr>
          <w:rFonts w:hint="eastAsia"/>
        </w:rPr>
      </w:r>
      <w:r/>
    </w:p>
    <w:p>
      <w:pPr>
        <w:rPr>
          <w:rFonts w:hint="eastAsia"/>
          <w:highlight w:val="none"/>
        </w:rPr>
      </w:pPr>
      <w:r>
        <w:rPr>
          <w:rFonts w:hint="eastAsia"/>
          <w:highlight w:val="none"/>
        </w:rPr>
      </w:r>
      <w:r/>
    </w:p>
    <w:p>
      <w:pPr>
        <w:pStyle w:val="971"/>
        <w:jc w:val="center"/>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政</w:t>
      </w:r>
      <w:r/>
    </w:p>
    <w:p>
      <w:pPr>
        <w:pStyle w:val="971"/>
        <w:jc w:val="center"/>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府</w:t>
      </w:r>
      <w:r/>
    </w:p>
    <w:p>
      <w:pPr>
        <w:pStyle w:val="971"/>
        <w:jc w:val="center"/>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采</w:t>
      </w:r>
      <w:r/>
    </w:p>
    <w:p>
      <w:pPr>
        <w:pStyle w:val="971"/>
        <w:jc w:val="center"/>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购</w:t>
      </w:r>
      <w:r/>
    </w:p>
    <w:p>
      <w:pPr>
        <w:pStyle w:val="971"/>
        <w:jc w:val="center"/>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合</w:t>
      </w:r>
      <w:r/>
    </w:p>
    <w:p>
      <w:pPr>
        <w:pStyle w:val="971"/>
        <w:jc w:val="center"/>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同</w:t>
      </w:r>
      <w:r/>
    </w:p>
    <w:p>
      <w:pPr>
        <w:pStyle w:val="971"/>
        <w:keepLines w:val="0"/>
        <w:keepNext w:val="0"/>
        <w:pageBreakBefore w:val="0"/>
        <w:spacing w:after="0" w:line="6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1"/>
        <w:keepLines w:val="0"/>
        <w:keepNext w:val="0"/>
        <w:pageBreakBefore w:val="0"/>
        <w:spacing w:after="0" w:line="6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1"/>
        <w:keepLines w:val="0"/>
        <w:keepNext w:val="0"/>
        <w:pageBreakBefore w:val="0"/>
        <w:spacing w:after="0" w:line="6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1"/>
        <w:keepLines w:val="0"/>
        <w:keepNext w:val="0"/>
        <w:pageBreakBefore w:val="0"/>
        <w:spacing w:after="0" w:line="6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  购  人：</w:t>
      </w:r>
      <w:r/>
    </w:p>
    <w:p>
      <w:pPr>
        <w:pStyle w:val="971"/>
        <w:keepLines w:val="0"/>
        <w:keepNext w:val="0"/>
        <w:pageBreakBefore w:val="0"/>
        <w:spacing w:after="0" w:line="60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中标</w:t>
      </w:r>
      <w:r>
        <w:rPr>
          <w:rFonts w:hint="eastAsia" w:ascii="宋体" w:hAnsi="宋体" w:eastAsia="宋体" w:cs="宋体"/>
          <w:sz w:val="24"/>
          <w:szCs w:val="24"/>
          <w:highlight w:val="none"/>
        </w:rPr>
        <w:t xml:space="preserve">供应商：</w:t>
      </w:r>
      <w:r/>
    </w:p>
    <w:p>
      <w:pPr>
        <w:pStyle w:val="971"/>
        <w:keepLines w:val="0"/>
        <w:keepNext w:val="0"/>
        <w:pageBreakBefore w:val="0"/>
        <w:spacing w:after="0" w:line="6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合同签订日期： 年 月 日</w:t>
      </w:r>
      <w:r/>
    </w:p>
    <w:p>
      <w:pPr>
        <w:pStyle w:val="971"/>
        <w:keepLines w:val="0"/>
        <w:keepNext w:val="0"/>
        <w:pageBreakBefore w:val="0"/>
        <w:spacing w:after="0" w:line="6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友情提醒：采购人与中标、成交供应商应当在中标、成交通知书发出之日起三十日内，按照采购文件确定的事项签订政府采购合同。</w:t>
      </w:r>
      <w:r/>
    </w:p>
    <w:p>
      <w:pPr>
        <w:pStyle w:val="971"/>
        <w:keepLines w:val="0"/>
        <w:keepNext w:val="0"/>
        <w:pageBreakBefore w:val="0"/>
        <w:spacing w:after="0" w:line="6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hint="eastAsia" w:ascii="宋体" w:hAnsi="宋体" w:eastAsia="宋体" w:cs="宋体"/>
          <w:sz w:val="28"/>
          <w:szCs w:val="28"/>
          <w:highlight w:val="none"/>
          <w:lang w:val="en-US" w:eastAsia="zh-CN" w:bidi="ar-SA"/>
        </w:rPr>
      </w:pPr>
      <w:r>
        <w:rPr>
          <w:rFonts w:hint="eastAsia" w:ascii="宋体" w:hAnsi="宋体" w:eastAsia="宋体" w:cs="宋体"/>
          <w:sz w:val="24"/>
          <w:szCs w:val="24"/>
          <w:highlight w:val="none"/>
        </w:rPr>
        <w:br w:type="page" w:clear="all"/>
      </w:r>
      <w:bookmarkEnd w:id="26"/>
      <w:r/>
      <w:bookmarkStart w:id="27" w:name="_Toc16989"/>
      <w:r/>
      <w:bookmarkStart w:id="28" w:name="_Toc522790136"/>
      <w:r/>
      <w:bookmarkStart w:id="29" w:name="_Toc23714"/>
      <w:r>
        <w:rPr>
          <w:rFonts w:hint="eastAsia" w:ascii="宋体" w:hAnsi="宋体" w:eastAsia="宋体" w:cs="宋体"/>
          <w:sz w:val="28"/>
          <w:szCs w:val="28"/>
          <w:lang w:val="en-US" w:eastAsia="zh-CN" w:bidi="ar-SA"/>
        </w:rPr>
        <w:t xml:space="preserve">甲方：                                      </w:t>
      </w:r>
      <w:r/>
    </w:p>
    <w:p>
      <w:pPr>
        <w:jc w:val="left"/>
        <w:spacing w:line="360" w:lineRule="auto"/>
        <w:widowControl/>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乙方：                                      </w:t>
      </w:r>
      <w:r/>
    </w:p>
    <w:p>
      <w:pPr>
        <w:ind w:firstLine="480"/>
        <w:jc w:val="left"/>
        <w:spacing w:line="360" w:lineRule="auto"/>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en-US" w:bidi="ar-SA"/>
        </w:rPr>
        <w:t xml:space="preserve">为积极应对人口老龄化，构建多层次、多元化老年人社会保障体系，增强老年人及其家庭风险抵御能力，缓解社会保障压力，提升老年人的获得感和幸福感，铜山区2026年度“安康关爱”保险项目</w:t>
      </w:r>
      <w:r>
        <w:rPr>
          <w:rFonts w:hint="eastAsia" w:ascii="宋体" w:hAnsi="宋体" w:eastAsia="宋体" w:cs="宋体"/>
          <w:color w:val="auto"/>
          <w:sz w:val="28"/>
          <w:szCs w:val="28"/>
          <w:lang w:val="en-US" w:eastAsia="zh-CN" w:bidi="ar-SA"/>
        </w:rPr>
        <w:t xml:space="preserve">，通过公开招标的采购方式确定的乙方。经过协商，本着平等协作和诚实信用的原则，签订如下合同：</w:t>
      </w:r>
      <w:r/>
    </w:p>
    <w:p>
      <w:pPr>
        <w:ind w:firstLine="480"/>
        <w:jc w:val="left"/>
        <w:spacing w:line="360" w:lineRule="auto"/>
        <w:widowControl/>
        <w:rPr>
          <w:rFonts w:hint="eastAsia" w:ascii="宋体" w:hAnsi="宋体" w:eastAsia="宋体" w:cs="宋体"/>
          <w:color w:val="auto"/>
          <w:sz w:val="28"/>
          <w:szCs w:val="28"/>
          <w:lang w:val="en-US" w:eastAsia="zh-CN" w:bidi="ar-SA"/>
        </w:rPr>
      </w:pPr>
      <w:r>
        <w:rPr>
          <w:rFonts w:hint="eastAsia" w:ascii="宋体" w:hAnsi="宋体" w:eastAsia="宋体" w:cs="宋体"/>
          <w:b/>
          <w:bCs/>
          <w:color w:val="auto"/>
          <w:sz w:val="28"/>
          <w:szCs w:val="28"/>
          <w:lang w:val="en-US" w:eastAsia="zh-CN" w:bidi="ar-SA"/>
        </w:rPr>
        <w:t xml:space="preserve">第一条 </w:t>
      </w:r>
      <w:r>
        <w:rPr>
          <w:rFonts w:hint="eastAsia" w:ascii="宋体" w:hAnsi="宋体" w:eastAsia="宋体" w:cs="宋体"/>
          <w:color w:val="auto"/>
          <w:sz w:val="28"/>
          <w:szCs w:val="28"/>
          <w:lang w:val="en-US" w:eastAsia="zh-CN" w:bidi="ar-SA"/>
        </w:rPr>
        <w:t xml:space="preserve">为具有铜山区户籍的60周岁及以上老年人购买安康关爱保险，保费标准为10元/人/年，全区符合参保条件人数约为27万人，参保人数以录入数据系统的实际人数为准。</w:t>
      </w:r>
      <w:r/>
    </w:p>
    <w:p>
      <w:pPr>
        <w:ind w:firstLine="480"/>
        <w:jc w:val="left"/>
        <w:spacing w:line="360" w:lineRule="auto"/>
        <w:widowControl/>
        <w:rPr>
          <w:rFonts w:hint="eastAsia" w:ascii="宋体" w:hAnsi="宋体" w:eastAsia="宋体" w:cs="宋体"/>
          <w:color w:val="auto"/>
          <w:sz w:val="28"/>
          <w:szCs w:val="28"/>
          <w:lang w:val="en-US" w:eastAsia="zh-CN" w:bidi="ar-SA"/>
        </w:rPr>
      </w:pPr>
      <w:r>
        <w:rPr>
          <w:rFonts w:hint="eastAsia" w:ascii="宋体" w:hAnsi="宋体" w:eastAsia="宋体" w:cs="宋体"/>
          <w:b/>
          <w:bCs/>
          <w:color w:val="auto"/>
          <w:sz w:val="28"/>
          <w:szCs w:val="28"/>
          <w:lang w:val="en-US" w:eastAsia="zh-CN" w:bidi="ar-SA"/>
        </w:rPr>
        <w:t xml:space="preserve">第二条 </w:t>
      </w:r>
      <w:r>
        <w:rPr>
          <w:rFonts w:hint="eastAsia" w:ascii="宋体" w:hAnsi="宋体" w:eastAsia="宋体" w:cs="宋体"/>
          <w:color w:val="auto"/>
          <w:sz w:val="28"/>
          <w:szCs w:val="28"/>
          <w:lang w:val="en-US" w:eastAsia="zh-CN" w:bidi="ar-SA"/>
        </w:rPr>
        <w:t xml:space="preserve">保费为每人每年</w:t>
      </w:r>
      <w:r>
        <w:rPr>
          <w:rFonts w:hint="eastAsia" w:ascii="宋体" w:hAnsi="宋体" w:eastAsia="宋体" w:cs="宋体"/>
          <w:color w:val="auto"/>
          <w:sz w:val="28"/>
          <w:szCs w:val="28"/>
          <w:u w:val="single"/>
          <w:lang w:val="en-US" w:eastAsia="zh-CN" w:bidi="ar-SA"/>
        </w:rPr>
        <w:t xml:space="preserve"> 10</w:t>
      </w:r>
      <w:r>
        <w:rPr>
          <w:rFonts w:hint="eastAsia" w:ascii="宋体" w:hAnsi="宋体" w:eastAsia="宋体" w:cs="宋体"/>
          <w:color w:val="auto"/>
          <w:sz w:val="28"/>
          <w:szCs w:val="28"/>
          <w:lang w:val="en-US" w:eastAsia="zh-CN" w:bidi="ar-SA"/>
        </w:rPr>
        <w:t xml:space="preserve">元，参保人员数量</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人，保费</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元（大写：</w:t>
      </w: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人民币）。</w:t>
      </w:r>
      <w:r/>
    </w:p>
    <w:p>
      <w:pPr>
        <w:ind w:firstLine="480"/>
        <w:jc w:val="left"/>
        <w:spacing w:line="360" w:lineRule="auto"/>
        <w:widowControl/>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经双方协商一致，选择以下第</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种付款方式：</w:t>
      </w:r>
      <w:r/>
    </w:p>
    <w:p>
      <w:pPr>
        <w:ind w:left="0" w:right="0" w:firstLine="482"/>
        <w:spacing w:before="0" w:after="0" w:line="85" w:lineRule="atLeast"/>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rPr>
        <w:t xml:space="preserve">（一）付款方式一：提交预付款保函的</w:t>
      </w:r>
      <w:r/>
    </w:p>
    <w:p>
      <w:pPr>
        <w:ind w:left="0" w:right="0" w:firstLine="480"/>
        <w:spacing w:before="0" w:after="0" w:line="85" w:lineRule="atLeast"/>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2"/>
        </w:rPr>
        <w:t xml:space="preserve">合同总价的百分之四十(40%)即￥</w:t>
      </w:r>
      <w:r>
        <w:rPr>
          <w:rFonts w:hint="eastAsia" w:ascii="宋体" w:hAnsi="宋体" w:eastAsia="宋体" w:cs="宋体"/>
          <w:color w:val="000000"/>
          <w:sz w:val="28"/>
          <w:szCs w:val="22"/>
          <w:u w:val="single"/>
        </w:rPr>
        <w:t xml:space="preserve">     </w:t>
      </w:r>
      <w:r>
        <w:rPr>
          <w:rFonts w:hint="eastAsia" w:ascii="宋体" w:hAnsi="宋体" w:eastAsia="宋体" w:cs="宋体"/>
          <w:color w:val="000000"/>
          <w:sz w:val="28"/>
          <w:szCs w:val="22"/>
        </w:rPr>
        <w:t xml:space="preserve">，大写：人民币</w:t>
      </w:r>
      <w:r>
        <w:rPr>
          <w:rFonts w:hint="eastAsia" w:ascii="宋体" w:hAnsi="宋体" w:eastAsia="宋体" w:cs="宋体"/>
          <w:color w:val="000000"/>
          <w:sz w:val="28"/>
          <w:szCs w:val="22"/>
          <w:u w:val="single"/>
        </w:rPr>
        <w:t xml:space="preserve">     </w:t>
      </w:r>
      <w:r>
        <w:rPr>
          <w:rFonts w:hint="eastAsia" w:ascii="宋体" w:hAnsi="宋体" w:eastAsia="宋体" w:cs="宋体"/>
          <w:color w:val="000000"/>
          <w:sz w:val="28"/>
          <w:szCs w:val="22"/>
        </w:rPr>
        <w:t xml:space="preserve">元整，在双方签订合同后15个工作日内，乙方向甲方出具等额预付款保函后，办理政府采购资金结算手续支付给乙方。 </w:t>
      </w:r>
      <w:r/>
    </w:p>
    <w:p>
      <w:pPr>
        <w:ind w:left="0" w:right="0" w:firstLine="480"/>
        <w:spacing w:before="0" w:after="0" w:line="85" w:lineRule="atLeast"/>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2"/>
        </w:rPr>
        <w:t xml:space="preserve">合同总价的百分之六十(60%)即￥</w:t>
      </w:r>
      <w:r>
        <w:rPr>
          <w:rFonts w:hint="eastAsia" w:ascii="宋体" w:hAnsi="宋体" w:eastAsia="宋体" w:cs="宋体"/>
          <w:color w:val="000000"/>
          <w:sz w:val="28"/>
          <w:szCs w:val="22"/>
          <w:u w:val="single"/>
        </w:rPr>
        <w:t xml:space="preserve">     </w:t>
      </w:r>
      <w:r>
        <w:rPr>
          <w:rFonts w:hint="eastAsia" w:ascii="宋体" w:hAnsi="宋体" w:eastAsia="宋体" w:cs="宋体"/>
          <w:color w:val="000000"/>
          <w:sz w:val="28"/>
          <w:szCs w:val="22"/>
        </w:rPr>
        <w:t xml:space="preserve">，大写：人民币</w:t>
      </w:r>
      <w:r>
        <w:rPr>
          <w:rFonts w:hint="eastAsia" w:ascii="宋体" w:hAnsi="宋体" w:eastAsia="宋体" w:cs="宋体"/>
          <w:color w:val="000000"/>
          <w:sz w:val="28"/>
          <w:szCs w:val="22"/>
          <w:u w:val="single"/>
        </w:rPr>
        <w:t xml:space="preserve">   </w:t>
      </w:r>
      <w:r>
        <w:rPr>
          <w:rFonts w:hint="eastAsia" w:ascii="宋体" w:hAnsi="宋体" w:eastAsia="宋体" w:cs="宋体"/>
          <w:color w:val="000000"/>
          <w:sz w:val="28"/>
          <w:szCs w:val="22"/>
        </w:rPr>
        <w:t xml:space="preserve">元整，合同标的全部交付后15个工作日内，由买方办理政府采购资金结算手续，经审核后支付给卖方。</w:t>
      </w:r>
      <w:r/>
    </w:p>
    <w:p>
      <w:pPr>
        <w:ind w:left="0" w:right="0" w:firstLine="480"/>
        <w:spacing w:before="0" w:after="0" w:line="85" w:lineRule="atLeast"/>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2"/>
        </w:rPr>
        <w:t xml:space="preserve">卖方需提交的支付文件包括：</w:t>
      </w:r>
      <w:r/>
    </w:p>
    <w:p>
      <w:pPr>
        <w:ind w:left="0" w:right="0" w:firstLine="480"/>
        <w:spacing w:before="0" w:after="0" w:line="85" w:lineRule="atLeast"/>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2"/>
        </w:rPr>
        <w:t xml:space="preserve">卖方出具的全额正式发票；</w:t>
      </w:r>
      <w:r/>
    </w:p>
    <w:p>
      <w:pPr>
        <w:ind w:left="0" w:right="0" w:firstLine="482"/>
        <w:spacing w:before="0" w:after="0" w:line="85" w:lineRule="atLeast"/>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rPr>
        <w:t xml:space="preserve">（二）付款方式二：不提交预付款保函的</w:t>
      </w:r>
      <w:r/>
    </w:p>
    <w:p>
      <w:pPr>
        <w:ind w:left="0" w:right="0" w:firstLine="480"/>
        <w:spacing w:before="0" w:after="0" w:line="85" w:lineRule="atLeast"/>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2"/>
        </w:rPr>
        <w:t xml:space="preserve">合同标的全部交付后，甲方凭乙方开具的全额正式发票一次性支付合同价款的百分之一百(100%)，小写￥</w:t>
      </w:r>
      <w:r>
        <w:rPr>
          <w:rFonts w:hint="eastAsia" w:ascii="宋体" w:hAnsi="宋体" w:eastAsia="宋体" w:cs="宋体"/>
          <w:color w:val="000000"/>
          <w:sz w:val="28"/>
          <w:szCs w:val="22"/>
          <w:u w:val="single"/>
        </w:rPr>
        <w:t xml:space="preserve">          </w:t>
      </w:r>
      <w:r>
        <w:rPr>
          <w:rFonts w:hint="eastAsia" w:ascii="宋体" w:hAnsi="宋体" w:eastAsia="宋体" w:cs="宋体"/>
          <w:color w:val="000000"/>
          <w:sz w:val="28"/>
          <w:szCs w:val="22"/>
        </w:rPr>
        <w:t xml:space="preserve">，大写：人民币 </w:t>
      </w:r>
      <w:r>
        <w:rPr>
          <w:rFonts w:hint="eastAsia" w:ascii="宋体" w:hAnsi="宋体" w:eastAsia="宋体" w:cs="宋体"/>
          <w:color w:val="000000"/>
          <w:sz w:val="28"/>
          <w:szCs w:val="22"/>
          <w:u w:val="single"/>
        </w:rPr>
        <w:t xml:space="preserve">      </w:t>
      </w:r>
      <w:r>
        <w:rPr>
          <w:rFonts w:hint="eastAsia" w:ascii="宋体" w:hAnsi="宋体" w:eastAsia="宋体" w:cs="宋体"/>
          <w:color w:val="000000"/>
          <w:sz w:val="28"/>
          <w:szCs w:val="22"/>
        </w:rPr>
        <w:t xml:space="preserve">元整。</w:t>
      </w:r>
      <w:r/>
    </w:p>
    <w:p>
      <w:pPr>
        <w:ind w:left="0" w:right="1440" w:firstLine="480"/>
        <w:jc w:val="both"/>
        <w:spacing w:before="0" w:after="120" w:line="85" w:lineRule="atLeast"/>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2"/>
        </w:rPr>
        <w:t xml:space="preserve">卖方需提交的支付文件包括：</w:t>
      </w:r>
      <w:r/>
    </w:p>
    <w:p>
      <w:pPr>
        <w:ind w:left="0" w:right="0" w:firstLine="480"/>
        <w:spacing w:before="0" w:after="0" w:line="85" w:lineRule="atLeast"/>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2"/>
        </w:rPr>
        <w:t xml:space="preserve">卖方出具的全额正式发票。</w:t>
      </w:r>
      <w:r/>
    </w:p>
    <w:p>
      <w:pPr>
        <w:ind w:left="0" w:right="0" w:firstLine="480"/>
        <w:spacing w:before="0" w:after="0" w:line="85" w:lineRule="atLeast"/>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rPr>
        <w:t xml:space="preserve">第三条 履约验收</w:t>
      </w:r>
      <w:r/>
    </w:p>
    <w:p>
      <w:pPr>
        <w:ind w:left="0" w:right="0" w:firstLine="480"/>
        <w:spacing w:before="0" w:after="0" w:line="85" w:lineRule="atLeast"/>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rPr>
        <w:t xml:space="preserve">1、验收时间：本项目保险期限以保险单载明的起讫时间内。</w:t>
      </w:r>
      <w:r/>
    </w:p>
    <w:p>
      <w:pPr>
        <w:ind w:left="0" w:right="0" w:firstLine="480"/>
        <w:spacing w:before="0" w:after="0" w:line="85" w:lineRule="atLeast"/>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rPr>
        <w:t xml:space="preserve">2、验收地点：</w:t>
      </w:r>
      <w:r>
        <w:rPr>
          <w:rFonts w:hint="eastAsia" w:ascii="宋体" w:hAnsi="宋体" w:eastAsia="宋体" w:cs="宋体"/>
          <w:b/>
          <w:color w:val="000000"/>
          <w:sz w:val="28"/>
          <w:szCs w:val="22"/>
        </w:rPr>
        <w:t xml:space="preserve">江苏徐州市铜山区珠江西路47号</w:t>
      </w:r>
      <w:r>
        <w:rPr>
          <w:rFonts w:hint="eastAsia" w:ascii="宋体" w:hAnsi="宋体" w:eastAsia="宋体" w:cs="宋体"/>
          <w:b/>
          <w:color w:val="000000"/>
          <w:sz w:val="28"/>
          <w:szCs w:val="22"/>
        </w:rPr>
        <w:t xml:space="preserve">。</w:t>
      </w:r>
      <w:r/>
    </w:p>
    <w:p>
      <w:pPr>
        <w:ind w:left="0" w:right="0" w:firstLine="480"/>
        <w:spacing w:before="0" w:after="0" w:line="85" w:lineRule="atLeast"/>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rPr>
        <w:t xml:space="preserve">3、验收方式：由徐州市铜山区民政局、代理机构共同组成验收小组，负责合同标的履约验收具体工作，对采购服务进行联合验收。</w:t>
      </w:r>
      <w:r/>
    </w:p>
    <w:p>
      <w:pPr>
        <w:ind w:left="0" w:right="0" w:firstLine="480"/>
        <w:spacing w:before="0" w:after="0" w:line="85" w:lineRule="atLeast"/>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rPr>
        <w:t xml:space="preserve">4、验收内容：是否及时承保出单，是否及时按照中标方案进行赔付。</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rPr>
        <w:t xml:space="preserve">5、验收标准：</w:t>
      </w:r>
      <w:r>
        <w:rPr>
          <w:rFonts w:hint="eastAsia" w:ascii="宋体" w:hAnsi="宋体" w:eastAsia="宋体" w:cs="宋体"/>
          <w:b/>
          <w:color w:val="000000"/>
          <w:sz w:val="28"/>
          <w:szCs w:val="22"/>
        </w:rPr>
        <w:t xml:space="preserve">符合《中华人民共和国保险法》、《人身保险伤</w:t>
      </w:r>
      <w:r>
        <w:rPr>
          <w:rFonts w:hint="eastAsia" w:ascii="宋体" w:hAnsi="宋体" w:eastAsia="宋体" w:cs="宋体"/>
          <w:b/>
          <w:color w:val="000000"/>
          <w:sz w:val="28"/>
          <w:szCs w:val="22"/>
        </w:rPr>
        <w:t xml:space="preserve">残评定及代码》(GB/T44893-2024)</w:t>
      </w:r>
      <w:r>
        <w:rPr>
          <w:rFonts w:hint="eastAsia" w:ascii="宋体" w:hAnsi="宋体" w:eastAsia="宋体" w:cs="宋体"/>
          <w:b/>
          <w:color w:val="000000"/>
          <w:sz w:val="28"/>
          <w:szCs w:val="22"/>
        </w:rPr>
        <w:t xml:space="preserve">规定</w:t>
      </w:r>
      <w:r>
        <w:rPr>
          <w:rFonts w:hint="eastAsia" w:ascii="宋体" w:hAnsi="宋体" w:eastAsia="宋体" w:cs="宋体"/>
          <w:b/>
          <w:color w:val="000000"/>
          <w:sz w:val="28"/>
          <w:szCs w:val="22"/>
        </w:rPr>
        <w:t xml:space="preserve">。</w:t>
      </w:r>
      <w:r>
        <w:rPr>
          <w:rFonts w:hint="eastAsia" w:ascii="宋体" w:hAnsi="宋体" w:eastAsia="宋体" w:cs="宋体"/>
          <w:b/>
          <w:color w:val="000000"/>
          <w:sz w:val="28"/>
          <w:szCs w:val="22"/>
        </w:rPr>
      </w:r>
      <w:r/>
    </w:p>
    <w:p>
      <w:pPr>
        <w:ind w:firstLine="480"/>
        <w:jc w:val="left"/>
        <w:spacing w:line="360" w:lineRule="auto"/>
        <w:widowControl/>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lang w:val="en-US" w:eastAsia="zh-CN" w:bidi="ar-SA"/>
        </w:rPr>
        <w:t xml:space="preserve">第四条 甲方权利义务</w:t>
      </w:r>
      <w:r/>
    </w:p>
    <w:p>
      <w:pPr>
        <w:ind w:firstLine="480"/>
        <w:jc w:val="left"/>
        <w:spacing w:line="360" w:lineRule="auto"/>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（一）甲方应协助提供团体意外伤害保险参保人员的投保资料。</w:t>
      </w:r>
      <w:r/>
    </w:p>
    <w:p>
      <w:pPr>
        <w:ind w:firstLine="480"/>
        <w:jc w:val="left"/>
        <w:spacing w:line="360" w:lineRule="auto"/>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（二）甲方应协助乙方进行团体意外伤害保险宣传。</w:t>
      </w:r>
      <w:r/>
    </w:p>
    <w:p>
      <w:pPr>
        <w:ind w:firstLine="480"/>
        <w:jc w:val="left"/>
        <w:spacing w:line="360" w:lineRule="auto"/>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（三）</w:t>
      </w:r>
      <w:r>
        <w:rPr>
          <w:rFonts w:hint="eastAsia" w:ascii="宋体" w:hAnsi="宋体" w:eastAsia="宋体" w:cs="宋体"/>
          <w:sz w:val="28"/>
          <w:szCs w:val="28"/>
          <w:lang w:val="en-US" w:eastAsia="zh-CN" w:bidi="ar-SA"/>
        </w:rPr>
        <w:t xml:space="preserve">甲方有权对乙方履行本合同的情况进行监督和检查，对乙方不合理的服务行为或乙方在项目实施过程中发生的违法、违规、违约行为，有权依据法律、法规的规定及合同约定要求乙方限期整改</w:t>
      </w:r>
      <w:r>
        <w:rPr>
          <w:rFonts w:hint="eastAsia" w:ascii="宋体" w:hAnsi="宋体" w:eastAsia="宋体" w:cs="宋体"/>
          <w:color w:val="auto"/>
          <w:sz w:val="28"/>
          <w:szCs w:val="28"/>
          <w:lang w:val="en-US" w:eastAsia="zh-CN" w:bidi="ar-SA"/>
        </w:rPr>
        <w:t xml:space="preserve">。</w:t>
      </w:r>
      <w:r/>
    </w:p>
    <w:p>
      <w:pPr>
        <w:ind w:firstLine="480"/>
        <w:jc w:val="left"/>
        <w:spacing w:line="360" w:lineRule="auto"/>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（四）</w:t>
      </w:r>
      <w:r>
        <w:rPr>
          <w:rFonts w:hint="eastAsia" w:ascii="宋体" w:hAnsi="宋体" w:eastAsia="宋体" w:cs="宋体"/>
          <w:sz w:val="28"/>
          <w:szCs w:val="28"/>
          <w:lang w:val="en-US" w:eastAsia="zh-CN" w:bidi="ar-SA"/>
        </w:rPr>
        <w:t xml:space="preserve">在服务期间，对乙方工作给予支持，为乙方更好地完成工作任务提供必要支持</w:t>
      </w:r>
      <w:r>
        <w:rPr>
          <w:rFonts w:hint="eastAsia" w:ascii="宋体" w:hAnsi="宋体" w:eastAsia="宋体" w:cs="宋体"/>
          <w:color w:val="auto"/>
          <w:sz w:val="28"/>
          <w:szCs w:val="28"/>
          <w:lang w:val="en-US" w:eastAsia="zh-CN" w:bidi="ar-SA"/>
        </w:rPr>
        <w:t xml:space="preserve">。</w:t>
      </w:r>
      <w:r/>
    </w:p>
    <w:p>
      <w:pPr>
        <w:ind w:firstLine="480"/>
        <w:jc w:val="left"/>
        <w:spacing w:line="360" w:lineRule="auto"/>
        <w:widowControl/>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bidi="ar-SA"/>
        </w:rPr>
        <w:t xml:space="preserve">第五条 乙方权利义务</w:t>
      </w:r>
      <w:r/>
    </w:p>
    <w:p>
      <w:pPr>
        <w:ind w:firstLine="640"/>
        <w:spacing w:line="360" w:lineRule="auto"/>
        <w:widowControl/>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bidi="ar-SA"/>
        </w:rPr>
        <w:t xml:space="preserve">（一）乙方有权按照合同约定获得甲方的帮助和配合，有权要求甲方提供本合同服务所需的相应的资料。</w:t>
      </w:r>
      <w:r/>
    </w:p>
    <w:p>
      <w:pPr>
        <w:ind w:firstLine="640"/>
        <w:spacing w:line="360" w:lineRule="auto"/>
        <w:widowControl/>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bidi="ar-SA"/>
        </w:rPr>
        <w:t xml:space="preserve">（二）乙方应提供团体意外伤害保险基本运行和管理必需的设备、政策宣传、业务培训等服务。</w:t>
      </w:r>
      <w:r/>
    </w:p>
    <w:p>
      <w:pPr>
        <w:ind w:firstLine="640"/>
        <w:spacing w:line="360" w:lineRule="auto"/>
        <w:widowControl/>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bidi="ar-SA"/>
        </w:rPr>
        <w:t xml:space="preserve">（三）每月10日前提供截止到上月底前的统计资料，包括理赔情况、索赔人员联系电话等。</w:t>
      </w:r>
      <w:r/>
    </w:p>
    <w:p>
      <w:pPr>
        <w:ind w:firstLine="640"/>
        <w:spacing w:line="360" w:lineRule="auto"/>
        <w:widowControl/>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bidi="ar-SA"/>
        </w:rPr>
        <w:t xml:space="preserve">（四）乙方有权要求甲方按约定支付合同价款。</w:t>
      </w:r>
      <w:r/>
    </w:p>
    <w:p>
      <w:pPr>
        <w:ind w:firstLine="640"/>
        <w:spacing w:line="360" w:lineRule="auto"/>
        <w:widowControl/>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bidi="ar-SA"/>
        </w:rPr>
        <w:t xml:space="preserve">（五）乙方项目负责人及项目成员有义务参加甲方组织的各阶段的讨论、咨询等各种会议，按甲方要求提供会议材料，并按甲方意见修改完善。</w:t>
      </w:r>
      <w:r/>
    </w:p>
    <w:p>
      <w:pPr>
        <w:ind w:firstLine="640"/>
        <w:spacing w:line="360" w:lineRule="auto"/>
        <w:widowControl/>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bidi="ar-SA"/>
        </w:rPr>
        <w:t xml:space="preserve">（六）乙方项目负责人负责与甲方联系，并接受指示，负责组织全面履行合同。</w:t>
      </w:r>
      <w:r/>
    </w:p>
    <w:p>
      <w:pPr>
        <w:ind w:firstLine="640"/>
        <w:spacing w:line="360" w:lineRule="auto"/>
        <w:widowControl/>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bidi="ar-SA"/>
        </w:rPr>
        <w:t xml:space="preserve">（七）乙方在履行本合同期间，应定期向甲方反馈项目实施过程进度，及时向甲方反馈本项目实施中出现的重大事项，及时配合甲方提出的整改要求，保证项目有效进行。</w:t>
      </w:r>
      <w:r/>
    </w:p>
    <w:p>
      <w:pPr>
        <w:ind w:firstLine="640"/>
        <w:spacing w:line="360" w:lineRule="auto"/>
        <w:widowControl/>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bidi="ar-SA"/>
        </w:rPr>
        <w:t xml:space="preserve">（八）</w:t>
      </w:r>
      <w:r>
        <w:rPr>
          <w:rFonts w:hint="eastAsia" w:ascii="宋体" w:hAnsi="宋体" w:eastAsia="宋体" w:cs="宋体"/>
          <w:color w:val="auto"/>
          <w:sz w:val="28"/>
          <w:szCs w:val="28"/>
          <w:lang w:val="en-US" w:eastAsia="zh-CN" w:bidi="ar-SA"/>
        </w:rPr>
        <w:t xml:space="preserve">乙方对甲方提供的参保人信息以及相关资料承担保密责任，</w:t>
      </w:r>
      <w:r>
        <w:rPr>
          <w:rFonts w:hint="eastAsia" w:ascii="宋体" w:hAnsi="宋体" w:eastAsia="宋体" w:cs="宋体"/>
          <w:sz w:val="28"/>
          <w:szCs w:val="28"/>
          <w:lang w:val="en-US" w:eastAsia="zh-CN" w:bidi="ar-SA"/>
        </w:rPr>
        <w:t xml:space="preserve">在本合同期内或合同终止后，未征得甲方同意，乙方不得</w:t>
      </w:r>
      <w:r>
        <w:rPr>
          <w:rFonts w:hint="eastAsia" w:ascii="宋体" w:hAnsi="宋体" w:eastAsia="宋体" w:cs="宋体"/>
          <w:color w:val="auto"/>
          <w:sz w:val="28"/>
          <w:szCs w:val="28"/>
          <w:lang w:val="en-US" w:eastAsia="zh-CN" w:bidi="ar-SA"/>
        </w:rPr>
        <w:t xml:space="preserve">向第三方</w:t>
      </w:r>
      <w:r>
        <w:rPr>
          <w:rFonts w:hint="eastAsia" w:ascii="宋体" w:hAnsi="宋体" w:eastAsia="宋体" w:cs="宋体"/>
          <w:sz w:val="28"/>
          <w:szCs w:val="28"/>
          <w:lang w:val="en-US" w:eastAsia="zh-CN" w:bidi="ar-SA"/>
        </w:rPr>
        <w:t xml:space="preserve">泄漏与本项目、本合同有关的资料，</w:t>
      </w:r>
      <w:r>
        <w:rPr>
          <w:rFonts w:hint="eastAsia" w:ascii="宋体" w:hAnsi="宋体" w:eastAsia="宋体" w:cs="宋体"/>
          <w:color w:val="auto"/>
          <w:sz w:val="28"/>
          <w:szCs w:val="28"/>
          <w:lang w:val="en-US" w:eastAsia="zh-CN" w:bidi="ar-SA"/>
        </w:rPr>
        <w:t xml:space="preserve">不得用于其他用途</w:t>
      </w:r>
      <w:r>
        <w:rPr>
          <w:rFonts w:hint="eastAsia" w:ascii="宋体" w:hAnsi="宋体" w:eastAsia="宋体" w:cs="宋体"/>
          <w:sz w:val="28"/>
          <w:szCs w:val="28"/>
          <w:lang w:val="en-US" w:eastAsia="zh-CN" w:bidi="ar-SA"/>
        </w:rPr>
        <w:t xml:space="preserve">等。</w:t>
      </w:r>
      <w:r/>
    </w:p>
    <w:p>
      <w:pPr>
        <w:ind w:firstLine="640"/>
        <w:spacing w:line="360" w:lineRule="auto"/>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bidi="ar-SA"/>
        </w:rPr>
        <w:t xml:space="preserve">（九）乙方不得利用甲方名义进行与本协议约定无关的任何活动，同时不得以任何形式把本协议中的服务内容转包或分包给其他单位或个人实施。</w:t>
      </w:r>
      <w:r/>
    </w:p>
    <w:p>
      <w:pPr>
        <w:ind w:firstLine="480"/>
        <w:jc w:val="left"/>
        <w:spacing w:line="360" w:lineRule="auto"/>
        <w:widowControl/>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bidi="ar-SA"/>
        </w:rPr>
        <w:t xml:space="preserve">第六条 共同责任</w:t>
      </w:r>
      <w:r/>
    </w:p>
    <w:p>
      <w:pPr>
        <w:ind w:firstLine="480"/>
        <w:jc w:val="left"/>
        <w:spacing w:line="360" w:lineRule="auto"/>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（一）甲乙双方合同履行的情况，以及团体意外伤害保险赔付情况等按规定接受财政、审计等部门的监督。</w:t>
      </w:r>
      <w:r/>
    </w:p>
    <w:p>
      <w:pPr>
        <w:ind w:firstLine="480"/>
        <w:jc w:val="left"/>
        <w:spacing w:line="360" w:lineRule="auto"/>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（二）乙方在保险期间内出现新情况或遭遇突发事件，要及时通报甲方,并积极配合甲方协调处置。</w:t>
      </w:r>
      <w:r/>
    </w:p>
    <w:p>
      <w:pPr>
        <w:ind w:firstLine="480"/>
        <w:jc w:val="left"/>
        <w:spacing w:line="360" w:lineRule="auto"/>
        <w:widowControl/>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（三）甲乙双方要对相关工作人员进行</w:t>
      </w:r>
      <w:r>
        <w:rPr>
          <w:rFonts w:hint="eastAsia" w:ascii="宋体" w:hAnsi="宋体" w:eastAsia="宋体" w:cs="宋体"/>
          <w:color w:val="auto"/>
          <w:sz w:val="28"/>
          <w:szCs w:val="28"/>
          <w:lang w:val="en-US" w:eastAsia="zh-CN" w:bidi="ar-SA"/>
        </w:rPr>
        <w:t xml:space="preserve">团体意外伤害保险</w:t>
      </w:r>
      <w:r>
        <w:rPr>
          <w:rFonts w:hint="eastAsia" w:ascii="宋体" w:hAnsi="宋体" w:eastAsia="宋体" w:cs="宋体"/>
          <w:sz w:val="28"/>
          <w:szCs w:val="28"/>
          <w:lang w:val="en-US" w:eastAsia="zh-CN" w:bidi="ar-SA"/>
        </w:rPr>
        <w:t xml:space="preserve">保障范围、理赔知识等方面的培训，以利于被保险人索赔。</w:t>
      </w:r>
      <w:r/>
    </w:p>
    <w:p>
      <w:pPr>
        <w:ind w:firstLine="480"/>
        <w:jc w:val="left"/>
        <w:spacing w:line="360" w:lineRule="auto"/>
        <w:widowControl/>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（四）合同结束或提前终止前已发生但未结算的</w:t>
      </w:r>
      <w:r>
        <w:rPr>
          <w:rFonts w:hint="eastAsia" w:ascii="宋体" w:hAnsi="宋体" w:eastAsia="宋体" w:cs="宋体"/>
          <w:color w:val="auto"/>
          <w:sz w:val="28"/>
          <w:szCs w:val="28"/>
          <w:lang w:val="en-US" w:eastAsia="zh-CN" w:bidi="ar-SA"/>
        </w:rPr>
        <w:t xml:space="preserve">团体意外伤害保险</w:t>
      </w:r>
      <w:r>
        <w:rPr>
          <w:rFonts w:hint="eastAsia" w:ascii="宋体" w:hAnsi="宋体" w:eastAsia="宋体" w:cs="宋体"/>
          <w:sz w:val="28"/>
          <w:szCs w:val="28"/>
          <w:lang w:val="en-US" w:eastAsia="zh-CN" w:bidi="ar-SA"/>
        </w:rPr>
        <w:t xml:space="preserve">理赔款由乙方支付。甲乙双方协商有效办法，落实结算责任，保障参保人的权益。</w:t>
      </w:r>
      <w:r/>
    </w:p>
    <w:p>
      <w:pPr>
        <w:ind w:firstLine="480"/>
        <w:jc w:val="left"/>
        <w:spacing w:line="360" w:lineRule="auto"/>
        <w:widowControl/>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第七条 管理与评价</w:t>
      </w:r>
      <w:r/>
    </w:p>
    <w:p>
      <w:pPr>
        <w:ind w:firstLine="480"/>
        <w:jc w:val="left"/>
        <w:spacing w:line="360" w:lineRule="auto"/>
        <w:widowControl/>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（一）乙方接受甲方的工作指导与监督检查。</w:t>
      </w:r>
      <w:r/>
    </w:p>
    <w:p>
      <w:pPr>
        <w:ind w:firstLine="480"/>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（二）甲方有权邀请第三方专业机构组成考核小组对乙方相关工作进行评价，内容包括但不限于：本合同履行情况、理赔时限情况、服务质量情况、群众满意度等，乙方须积极配合。</w:t>
      </w:r>
      <w:r/>
    </w:p>
    <w:p>
      <w:pPr>
        <w:ind w:firstLine="480"/>
        <w:jc w:val="left"/>
        <w:spacing w:line="360" w:lineRule="auto"/>
        <w:widowControl/>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第八条 违约责任</w:t>
      </w:r>
      <w:r/>
    </w:p>
    <w:p>
      <w:pPr>
        <w:ind w:firstLine="480"/>
        <w:jc w:val="left"/>
        <w:spacing w:line="360" w:lineRule="auto"/>
        <w:widowControl/>
        <w:rPr>
          <w:rFonts w:hint="eastAsia" w:ascii="宋体" w:hAnsi="宋体" w:eastAsia="宋体" w:cs="宋体"/>
          <w:b/>
          <w:bCs/>
          <w:color w:val="000000"/>
          <w:sz w:val="28"/>
          <w:szCs w:val="28"/>
          <w:lang w:val="en-US" w:eastAsia="zh-CN" w:bidi="ar-SA"/>
        </w:rPr>
      </w:pPr>
      <w:r>
        <w:rPr>
          <w:rFonts w:hint="eastAsia" w:ascii="宋体" w:hAnsi="宋体" w:eastAsia="宋体" w:cs="宋体"/>
          <w:sz w:val="28"/>
          <w:szCs w:val="28"/>
          <w:lang w:val="en-US" w:eastAsia="zh-CN" w:bidi="ar-SA"/>
        </w:rPr>
        <w:t xml:space="preserve">（一）</w:t>
      </w:r>
      <w:r>
        <w:rPr>
          <w:rFonts w:hint="eastAsia" w:ascii="宋体" w:hAnsi="宋体" w:eastAsia="宋体" w:cs="宋体"/>
          <w:color w:val="000000"/>
          <w:sz w:val="28"/>
          <w:szCs w:val="28"/>
          <w:lang w:val="en-US" w:eastAsia="zh-CN" w:bidi="ar-SA"/>
        </w:rPr>
        <w:t xml:space="preserve">甲、乙双方因违反合同约定或发生其他严重损害参保人权益的情况，合同双方可以提前终止或解除合作，并就违约情况提请有关部门依法追究责任。</w:t>
      </w:r>
      <w:r/>
    </w:p>
    <w:p>
      <w:pPr>
        <w:ind w:firstLine="480"/>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（二）乙方利用专业技术和行业信息优势之便，故意隐瞒和掩盖自身过失，违背承诺和未尽义务，甲方均可追究乙方的违约责任并索取赔偿，且不受合同时效的限制。</w:t>
      </w:r>
      <w:r/>
    </w:p>
    <w:p>
      <w:pPr>
        <w:ind w:firstLine="480"/>
        <w:jc w:val="left"/>
        <w:spacing w:line="360" w:lineRule="auto"/>
        <w:widowControl/>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第九条 违约处罚</w:t>
      </w:r>
      <w:r/>
    </w:p>
    <w:p>
      <w:pPr>
        <w:ind w:firstLine="480"/>
        <w:jc w:val="left"/>
        <w:spacing w:line="360" w:lineRule="auto"/>
        <w:widowControl/>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乙方未履行责任的，甲方有权对乙方处所收保费20%的违约处罚。情节严重的解除该合同，乙方违约给甲方造成的损失，应当依法赔偿损失，并报相关部门依法追究其法律责任。</w:t>
      </w:r>
      <w:r/>
    </w:p>
    <w:p>
      <w:pPr>
        <w:ind w:firstLine="480"/>
        <w:jc w:val="left"/>
        <w:spacing w:line="360" w:lineRule="auto"/>
        <w:widowControl/>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第十条 </w:t>
      </w:r>
      <w:r>
        <w:rPr>
          <w:rFonts w:hint="eastAsia" w:ascii="宋体" w:hAnsi="宋体" w:eastAsia="宋体" w:cs="宋体"/>
          <w:sz w:val="28"/>
          <w:szCs w:val="28"/>
          <w:lang w:val="en-US" w:eastAsia="zh-CN" w:bidi="ar-SA"/>
        </w:rPr>
        <w:t xml:space="preserve">甲、乙双方发生有关团体意外伤害保险争议时，可通过协商解决；协商不成的，可提请徐州仲裁委员会仲裁。</w:t>
      </w:r>
      <w:r/>
    </w:p>
    <w:p>
      <w:pPr>
        <w:ind w:firstLine="480"/>
        <w:jc w:val="left"/>
        <w:spacing w:line="360" w:lineRule="auto"/>
        <w:widowControl/>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第十一条 </w:t>
      </w:r>
      <w:r>
        <w:rPr>
          <w:rFonts w:hint="eastAsia" w:ascii="宋体" w:hAnsi="宋体" w:eastAsia="宋体" w:cs="宋体"/>
          <w:sz w:val="28"/>
          <w:szCs w:val="28"/>
          <w:lang w:val="en-US" w:eastAsia="zh-CN" w:bidi="ar-SA"/>
        </w:rPr>
        <w:t xml:space="preserve">任何一方由于不可抗力原因不能履行合同时，应在不可抗力事件发生后24小时内向对方通报，以减轻可能给对方造成的损失，在取得有关机构的不可抗力证明或双方谅解确认后，允许延期履行或修订合同，并根据情况可部分或全部免于承担违约责任。</w:t>
      </w:r>
      <w:r/>
    </w:p>
    <w:p>
      <w:pPr>
        <w:ind w:firstLine="480"/>
        <w:jc w:val="left"/>
        <w:spacing w:line="360" w:lineRule="auto"/>
        <w:widowControl/>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第十二条</w:t>
      </w:r>
      <w:r>
        <w:rPr>
          <w:rFonts w:hint="eastAsia" w:ascii="宋体" w:hAnsi="宋体" w:eastAsia="宋体" w:cs="宋体"/>
          <w:sz w:val="28"/>
          <w:szCs w:val="28"/>
          <w:lang w:val="en-US" w:eastAsia="zh-CN" w:bidi="ar-SA"/>
        </w:rPr>
        <w:t xml:space="preserve"> </w:t>
      </w:r>
      <w:r>
        <w:rPr>
          <w:rFonts w:hint="eastAsia" w:ascii="宋体" w:hAnsi="宋体" w:eastAsia="宋体" w:cs="宋体"/>
          <w:color w:val="auto"/>
          <w:sz w:val="28"/>
          <w:szCs w:val="28"/>
          <w:lang w:val="en-US" w:eastAsia="zh-CN" w:bidi="ar-SA"/>
        </w:rPr>
        <w:t xml:space="preserve">如乙方因非不可抗力原因不能履行合同，影响了参保人权益，甲方有权按照年度总保费5%的比例追回保费，赔付参保人员的保险费用由乙方承担并报相关部门追究其责任。</w:t>
      </w:r>
      <w:r/>
    </w:p>
    <w:p>
      <w:pPr>
        <w:ind w:firstLine="480"/>
        <w:jc w:val="left"/>
        <w:spacing w:line="360" w:lineRule="auto"/>
        <w:widowControl/>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第十三条</w:t>
      </w:r>
      <w:r>
        <w:rPr>
          <w:rFonts w:hint="eastAsia" w:ascii="宋体" w:hAnsi="宋体" w:eastAsia="宋体" w:cs="宋体"/>
          <w:sz w:val="28"/>
          <w:szCs w:val="28"/>
          <w:lang w:val="en-US" w:eastAsia="zh-CN" w:bidi="ar-SA"/>
        </w:rPr>
        <w:t xml:space="preserve"> 本项目招标文件和乙方投标文件均为本合同不可分割的有效组成部分，与本合同具有同等的法律效力和履约义务。本合同解释权归甲方所有，对履行本合同的争议及分歧由甲方按照相关法律法规政策规定及甲方以前的惯例向乙方释明，乙方必须无条件接受。</w:t>
      </w:r>
      <w:r/>
    </w:p>
    <w:p>
      <w:pPr>
        <w:ind w:firstLine="480"/>
        <w:jc w:val="left"/>
        <w:spacing w:line="360" w:lineRule="auto"/>
        <w:widowControl/>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第十四条</w:t>
      </w:r>
      <w:r>
        <w:rPr>
          <w:rFonts w:hint="eastAsia" w:ascii="宋体" w:hAnsi="宋体" w:eastAsia="宋体" w:cs="宋体"/>
          <w:sz w:val="28"/>
          <w:szCs w:val="28"/>
          <w:lang w:val="en-US" w:eastAsia="zh-CN" w:bidi="ar-SA"/>
        </w:rPr>
        <w:t xml:space="preserve"> 保险期限自    年   月   日至    年  月  日止。</w:t>
      </w:r>
      <w:r/>
    </w:p>
    <w:p>
      <w:pPr>
        <w:ind w:firstLine="480"/>
        <w:jc w:val="left"/>
        <w:spacing w:line="360" w:lineRule="auto"/>
        <w:widowControl/>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第十五条 本合同在甲乙双方盖章后生效。</w:t>
      </w:r>
      <w:r/>
    </w:p>
    <w:p>
      <w:pPr>
        <w:ind w:firstLine="480"/>
        <w:jc w:val="left"/>
        <w:spacing w:line="360" w:lineRule="auto"/>
        <w:widowControl/>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第十六条 </w:t>
      </w:r>
      <w:r>
        <w:rPr>
          <w:rFonts w:hint="eastAsia" w:ascii="宋体" w:hAnsi="宋体" w:eastAsia="宋体" w:cs="宋体"/>
          <w:b/>
          <w:bCs/>
          <w:sz w:val="28"/>
          <w:szCs w:val="28"/>
          <w:lang w:val="zh-CN" w:eastAsia="zh-CN" w:bidi="ar-SA"/>
        </w:rPr>
        <w:t xml:space="preserve">其他</w:t>
      </w:r>
      <w:r/>
    </w:p>
    <w:p>
      <w:pPr>
        <w:ind w:firstLine="640"/>
        <w:spacing w:line="360" w:lineRule="auto"/>
        <w:rPr>
          <w:rFonts w:hint="eastAsia" w:ascii="宋体" w:hAnsi="宋体" w:eastAsia="宋体" w:cs="宋体"/>
          <w:color w:val="000000"/>
          <w:sz w:val="28"/>
          <w:szCs w:val="28"/>
          <w:lang w:val="zh-CN" w:eastAsia="zh-CN" w:bidi="ar-SA"/>
        </w:rPr>
      </w:pPr>
      <w:r>
        <w:rPr>
          <w:rFonts w:hint="eastAsia" w:ascii="宋体" w:hAnsi="宋体" w:eastAsia="宋体" w:cs="宋体"/>
          <w:color w:val="000000"/>
          <w:sz w:val="28"/>
          <w:szCs w:val="28"/>
          <w:lang w:val="zh-CN" w:eastAsia="zh-CN" w:bidi="ar-SA"/>
        </w:rPr>
        <w:t xml:space="preserve">本合同一式伍份，甲方贰份、乙方贰份,政府采购监督管理部门壹份备案，自甲、乙双方法定代表人或委托代理人签字并加盖单位电子签章之日起生效，合同具有同等效力。政府采购合同的双方当事人不得擅自变更、中止或者终止合同。</w:t>
      </w:r>
      <w:r/>
    </w:p>
    <w:p>
      <w:pPr>
        <w:ind w:firstLine="640"/>
        <w:spacing w:line="360" w:lineRule="auto"/>
        <w:widowControl/>
        <w:rPr>
          <w:rFonts w:hint="eastAsia" w:ascii="宋体" w:hAnsi="宋体" w:eastAsia="宋体" w:cs="宋体"/>
          <w:color w:val="000000"/>
          <w:sz w:val="28"/>
          <w:szCs w:val="28"/>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lang w:val="zh-CN" w:eastAsia="zh-CN" w:bidi="ar-SA"/>
        </w:rPr>
        <w:t xml:space="preserve">甲方(盖章):                 </w:t>
      </w:r>
      <w:r>
        <w:rPr>
          <w:rFonts w:hint="eastAsia" w:ascii="宋体" w:hAnsi="宋体" w:eastAsia="宋体" w:cs="宋体"/>
          <w:color w:val="000000"/>
          <w:sz w:val="28"/>
          <w:szCs w:val="28"/>
          <w:lang w:val="en-US" w:eastAsia="zh-CN" w:bidi="ar-SA"/>
        </w:rPr>
        <w:t xml:space="preserve">  </w:t>
      </w:r>
      <w:r>
        <w:rPr>
          <w:rFonts w:hint="eastAsia" w:ascii="宋体" w:hAnsi="宋体" w:eastAsia="宋体" w:cs="宋体"/>
          <w:color w:val="000000"/>
          <w:sz w:val="28"/>
          <w:szCs w:val="28"/>
          <w:lang w:val="zh-CN" w:eastAsia="zh-CN" w:bidi="ar-SA"/>
        </w:rPr>
        <w:t xml:space="preserve">乙方(盖章)：</w:t>
      </w:r>
      <w:r/>
    </w:p>
    <w:p>
      <w:pPr>
        <w:ind w:firstLine="0"/>
        <w:spacing w:line="360" w:lineRule="auto"/>
        <w:widowControl/>
        <w:rPr>
          <w:rFonts w:hint="eastAsia" w:ascii="宋体" w:hAnsi="宋体" w:eastAsia="宋体" w:cs="宋体"/>
          <w:color w:val="000000"/>
          <w:sz w:val="28"/>
          <w:szCs w:val="28"/>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lang w:val="zh-CN" w:eastAsia="zh-CN" w:bidi="ar-SA"/>
        </w:rPr>
        <w:t xml:space="preserve">法人（或授权）代表：          法人（或授权）代表：</w:t>
      </w:r>
      <w:r/>
    </w:p>
    <w:p>
      <w:pPr>
        <w:ind w:firstLine="640"/>
        <w:spacing w:line="360" w:lineRule="auto"/>
        <w:widowControl/>
        <w:rPr>
          <w:rFonts w:hint="eastAsia" w:ascii="宋体" w:hAnsi="宋体" w:eastAsia="宋体" w:cs="宋体"/>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lang w:val="zh-CN" w:eastAsia="zh-CN" w:bidi="ar-SA"/>
        </w:rPr>
        <w:t xml:space="preserve">电话：                        电话：</w:t>
      </w:r>
      <w:r>
        <w:rPr>
          <w:rFonts w:hint="eastAsia" w:ascii="宋体" w:hAnsi="宋体" w:eastAsia="宋体" w:cs="宋体"/>
          <w:color w:val="000000"/>
          <w:sz w:val="28"/>
          <w:szCs w:val="28"/>
          <w:lang w:val="en-US" w:eastAsia="zh-CN" w:bidi="ar-SA"/>
        </w:rPr>
        <w:t xml:space="preserve"> </w:t>
      </w:r>
      <w:r/>
    </w:p>
    <w:p>
      <w:pPr>
        <w:ind w:firstLine="640"/>
        <w:spacing w:line="360" w:lineRule="auto"/>
        <w:widowControl/>
        <w:rPr>
          <w:rFonts w:hint="eastAsia" w:ascii="宋体" w:hAnsi="宋体" w:eastAsia="宋体" w:cs="宋体"/>
          <w:color w:val="000000"/>
          <w:sz w:val="28"/>
          <w:szCs w:val="28"/>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lang w:val="zh-CN" w:eastAsia="zh-CN" w:bidi="ar-SA"/>
        </w:rPr>
        <w:t xml:space="preserve">                              税号：</w:t>
      </w:r>
      <w:r/>
    </w:p>
    <w:p>
      <w:pPr>
        <w:ind w:firstLine="640"/>
        <w:spacing w:line="360" w:lineRule="auto"/>
        <w:widowControl/>
        <w:rPr>
          <w:rFonts w:hint="eastAsia" w:ascii="宋体" w:hAnsi="宋体" w:eastAsia="宋体" w:cs="宋体"/>
          <w:color w:val="000000"/>
          <w:sz w:val="28"/>
          <w:szCs w:val="28"/>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lang w:val="zh-CN" w:eastAsia="zh-CN" w:bidi="ar-SA"/>
        </w:rPr>
        <w:t xml:space="preserve">                              开户行：</w:t>
      </w:r>
      <w:r/>
    </w:p>
    <w:p>
      <w:pPr>
        <w:ind w:firstLine="640"/>
        <w:spacing w:line="360" w:lineRule="auto"/>
        <w:widowControl/>
        <w:rPr>
          <w:rFonts w:hint="eastAsia" w:ascii="宋体" w:hAnsi="宋体" w:eastAsia="宋体" w:cs="宋体"/>
          <w:color w:val="000000"/>
          <w:sz w:val="28"/>
          <w:szCs w:val="28"/>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lang w:val="zh-CN" w:eastAsia="zh-CN" w:bidi="ar-SA"/>
        </w:rPr>
        <w:t xml:space="preserve">                              银行账号：</w:t>
      </w:r>
      <w:r/>
    </w:p>
    <w:p>
      <w:pPr>
        <w:ind w:firstLine="0"/>
        <w:jc w:val="both"/>
        <w:spacing w:line="360" w:lineRule="auto"/>
        <w:widowControl/>
        <w:rPr>
          <w:rFonts w:hint="eastAsia" w:ascii="宋体" w:hAnsi="宋体" w:eastAsia="宋体" w:cs="宋体"/>
          <w:sz w:val="28"/>
          <w:szCs w:val="28"/>
        </w:rPr>
      </w:pPr>
      <w:r>
        <w:rPr>
          <w:rFonts w:hint="eastAsia" w:ascii="宋体" w:hAnsi="宋体" w:eastAsia="宋体" w:cs="宋体"/>
          <w:color w:val="000000"/>
          <w:sz w:val="28"/>
          <w:szCs w:val="28"/>
          <w:lang w:val="zh-CN" w:eastAsia="zh-CN" w:bidi="ar-SA"/>
        </w:rPr>
        <w:t xml:space="preserve">合同签订日期:</w:t>
      </w:r>
      <w:r/>
    </w:p>
    <w:p>
      <w:pPr>
        <w:pStyle w:val="771"/>
        <w:ind w:firstLine="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771"/>
        <w:ind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合同附件：《采购需求》</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(要求见招标文件第六章《采购需求》。)</w:t>
      </w:r>
      <w:bookmarkEnd w:id="27"/>
      <w:r/>
      <w:r/>
    </w:p>
    <w:p>
      <w:pPr>
        <w:ind w:firstLine="56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240" w:lineRule="auto"/>
        <w:rPr>
          <w:rStyle w:val="964"/>
          <w:rFonts w:hint="eastAsia" w:ascii="宋体" w:hAnsi="宋体" w:eastAsia="宋体" w:cs="宋体"/>
          <w:sz w:val="24"/>
          <w:szCs w:val="24"/>
          <w:highlight w:val="none"/>
          <w:lang w:val="en-US" w:eastAsia="zh-CN"/>
        </w:rPr>
      </w:pPr>
      <w:r>
        <w:rPr>
          <w:rStyle w:val="964"/>
          <w:rFonts w:hint="eastAsia" w:ascii="宋体" w:hAnsi="宋体" w:eastAsia="宋体" w:cs="宋体"/>
          <w:sz w:val="24"/>
          <w:szCs w:val="24"/>
          <w:highlight w:val="none"/>
          <w:lang w:val="en-US" w:eastAsia="zh-CN"/>
        </w:rPr>
        <w:t xml:space="preserve">第六章 采购需求</w:t>
      </w:r>
      <w:r/>
    </w:p>
    <w:p>
      <w:pPr>
        <w:jc w:val="left"/>
        <w:spacing w:line="360" w:lineRule="auto"/>
        <w:widowControl/>
        <w:rPr>
          <w:rFonts w:hint="eastAsia"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一、项目基本情况</w:t>
      </w:r>
      <w:r/>
    </w:p>
    <w:p>
      <w:pPr>
        <w:ind w:firstLine="480"/>
        <w:jc w:val="left"/>
        <w:spacing w:line="360" w:lineRule="auto"/>
        <w:widowControl/>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1.项目名称：</w:t>
      </w:r>
      <w:r>
        <w:rPr>
          <w:rFonts w:hint="eastAsia" w:ascii="宋体" w:hAnsi="宋体" w:cs="宋体"/>
          <w:sz w:val="28"/>
          <w:szCs w:val="28"/>
          <w:lang w:val="en-US" w:eastAsia="zh-CN" w:bidi="ar-SA"/>
        </w:rPr>
        <w:t xml:space="preserve">铜山区2026年度“安康关爱”保险项目</w:t>
      </w:r>
      <w:r/>
    </w:p>
    <w:p>
      <w:pPr>
        <w:ind w:firstLine="480"/>
        <w:jc w:val="left"/>
        <w:spacing w:line="360" w:lineRule="auto"/>
        <w:widowControl/>
        <w:rPr>
          <w:rFonts w:hint="eastAsia" w:ascii="宋体" w:hAnsi="宋体" w:eastAsia="宋体" w:cs="宋体"/>
          <w:bCs/>
          <w:color w:val="000000"/>
          <w:sz w:val="28"/>
          <w:szCs w:val="28"/>
          <w:highlight w:val="none"/>
          <w:lang w:val="en-US" w:eastAsia="zh-CN" w:bidi="ar-SA"/>
        </w:rPr>
      </w:pPr>
      <w:r>
        <w:rPr>
          <w:rFonts w:hint="eastAsia" w:ascii="宋体" w:hAnsi="宋体" w:cs="宋体"/>
          <w:bCs/>
          <w:color w:val="000000"/>
          <w:sz w:val="28"/>
          <w:szCs w:val="28"/>
          <w:highlight w:val="none"/>
          <w:lang w:val="en-US" w:eastAsia="zh-CN" w:bidi="ar-SA"/>
        </w:rPr>
        <w:t xml:space="preserve">2</w:t>
      </w:r>
      <w:r>
        <w:rPr>
          <w:rFonts w:hint="eastAsia" w:ascii="宋体" w:hAnsi="宋体" w:eastAsia="宋体" w:cs="宋体"/>
          <w:bCs/>
          <w:color w:val="000000"/>
          <w:sz w:val="28"/>
          <w:szCs w:val="28"/>
          <w:highlight w:val="none"/>
          <w:lang w:val="en-US" w:eastAsia="zh-CN" w:bidi="ar-SA"/>
        </w:rPr>
        <w:t xml:space="preserve">.采购方式：公开招标</w:t>
      </w:r>
      <w:r/>
    </w:p>
    <w:p>
      <w:pPr>
        <w:ind w:firstLine="480"/>
        <w:jc w:val="left"/>
        <w:spacing w:line="360" w:lineRule="auto"/>
        <w:widowControl/>
        <w:rPr>
          <w:rFonts w:hint="eastAsia" w:ascii="宋体" w:hAnsi="宋体" w:eastAsia="宋体" w:cs="宋体"/>
          <w:bCs/>
          <w:color w:val="000000"/>
          <w:sz w:val="28"/>
          <w:szCs w:val="28"/>
          <w:highlight w:val="none"/>
          <w:lang w:val="en-US" w:eastAsia="zh-CN" w:bidi="ar-SA"/>
        </w:rPr>
      </w:pPr>
      <w:r>
        <w:rPr>
          <w:rFonts w:hint="eastAsia" w:ascii="宋体" w:hAnsi="宋体" w:cs="宋体"/>
          <w:bCs/>
          <w:color w:val="000000"/>
          <w:sz w:val="28"/>
          <w:szCs w:val="28"/>
          <w:highlight w:val="none"/>
          <w:lang w:val="en-US" w:eastAsia="zh-CN" w:bidi="ar-SA"/>
        </w:rPr>
        <w:t xml:space="preserve">3</w:t>
      </w:r>
      <w:r>
        <w:rPr>
          <w:rFonts w:hint="eastAsia" w:ascii="宋体" w:hAnsi="宋体" w:eastAsia="宋体" w:cs="宋体"/>
          <w:bCs/>
          <w:color w:val="000000"/>
          <w:sz w:val="28"/>
          <w:szCs w:val="28"/>
          <w:highlight w:val="none"/>
          <w:lang w:val="en-US" w:eastAsia="zh-CN" w:bidi="ar-SA"/>
        </w:rPr>
        <w:t xml:space="preserve">.预算金额：约</w:t>
      </w:r>
      <w:r>
        <w:rPr>
          <w:rFonts w:hint="eastAsia" w:ascii="宋体" w:hAnsi="宋体" w:cs="宋体"/>
          <w:bCs/>
          <w:color w:val="000000"/>
          <w:sz w:val="28"/>
          <w:szCs w:val="28"/>
          <w:highlight w:val="none"/>
          <w:lang w:val="en-US" w:eastAsia="zh-CN" w:bidi="ar-SA"/>
        </w:rPr>
        <w:t xml:space="preserve">270</w:t>
      </w:r>
      <w:r>
        <w:rPr>
          <w:rFonts w:hint="eastAsia" w:ascii="宋体" w:hAnsi="宋体" w:eastAsia="宋体" w:cs="宋体"/>
          <w:bCs/>
          <w:color w:val="000000"/>
          <w:sz w:val="28"/>
          <w:szCs w:val="28"/>
          <w:highlight w:val="none"/>
          <w:lang w:val="en-US" w:eastAsia="zh-CN" w:bidi="ar-SA"/>
        </w:rPr>
        <w:t xml:space="preserve">万元（每人参保金额10元/人/年，具体金额按参保人数定）。</w:t>
      </w:r>
      <w:r/>
    </w:p>
    <w:p>
      <w:pPr>
        <w:ind w:left="479"/>
        <w:jc w:val="left"/>
        <w:spacing w:line="360" w:lineRule="auto"/>
        <w:widowControl/>
        <w:rPr>
          <w:rFonts w:hint="eastAsia" w:ascii="宋体" w:hAnsi="宋体" w:eastAsia="宋体" w:cs="宋体"/>
          <w:bCs/>
          <w:color w:val="000000"/>
          <w:sz w:val="28"/>
          <w:szCs w:val="28"/>
          <w:highlight w:val="none"/>
          <w:lang w:val="en-US" w:eastAsia="zh-CN" w:bidi="ar-SA"/>
        </w:rPr>
      </w:pPr>
      <w:r>
        <w:rPr>
          <w:rFonts w:hint="eastAsia" w:ascii="宋体" w:hAnsi="宋体" w:cs="宋体"/>
          <w:bCs/>
          <w:color w:val="000000"/>
          <w:sz w:val="28"/>
          <w:szCs w:val="28"/>
          <w:highlight w:val="none"/>
          <w:lang w:val="en-US" w:eastAsia="zh-CN" w:bidi="ar-SA"/>
        </w:rPr>
        <w:t xml:space="preserve">4</w:t>
      </w:r>
      <w:r>
        <w:rPr>
          <w:rFonts w:hint="eastAsia" w:ascii="宋体" w:hAnsi="宋体" w:eastAsia="宋体" w:cs="宋体"/>
          <w:bCs/>
          <w:color w:val="000000"/>
          <w:sz w:val="28"/>
          <w:szCs w:val="28"/>
          <w:highlight w:val="none"/>
          <w:lang w:val="en-US" w:eastAsia="zh-CN" w:bidi="ar-SA"/>
        </w:rPr>
        <w:t xml:space="preserve">.本项目不接受联合体投标。</w:t>
      </w:r>
      <w:r/>
    </w:p>
    <w:p>
      <w:pPr>
        <w:spacing w:line="360" w:lineRule="auto"/>
        <w:tabs>
          <w:tab w:val="left" w:pos="900" w:leader="none"/>
        </w:tabs>
        <w:rPr>
          <w:rFonts w:hint="eastAsia"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二、服务内容</w:t>
      </w:r>
      <w:r/>
    </w:p>
    <w:p>
      <w:pPr>
        <w:ind w:firstLine="482"/>
        <w:spacing w:line="360" w:lineRule="auto"/>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（一）项目概述</w:t>
      </w:r>
      <w:r/>
    </w:p>
    <w:p>
      <w:pPr>
        <w:ind w:firstLine="482"/>
        <w:jc w:val="left"/>
        <w:spacing w:line="360" w:lineRule="auto"/>
        <w:widowControl/>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lang w:val="en-US" w:eastAsia="en-US" w:bidi="ar-SA"/>
        </w:rPr>
        <w:t xml:space="preserve">为积极应对人口老龄化，构建多层次、多元化老年人社会保障体系，增强老年人及其家庭风险抵御能力，缓解社会保障压力，提升老年人的获得感和幸福感，徐州市铜山区开展“安康关爱”综合保险项目</w:t>
      </w:r>
      <w:r>
        <w:rPr>
          <w:rFonts w:hint="eastAsia" w:ascii="宋体" w:hAnsi="宋体" w:eastAsia="宋体" w:cs="宋体"/>
          <w:color w:val="000000"/>
          <w:sz w:val="28"/>
          <w:szCs w:val="28"/>
          <w:highlight w:val="none"/>
          <w:lang w:val="en-US" w:eastAsia="zh-CN" w:bidi="ar-SA"/>
        </w:rPr>
        <w:t xml:space="preserve">。</w:t>
      </w:r>
      <w:r/>
    </w:p>
    <w:p>
      <w:pPr>
        <w:ind w:firstLine="482"/>
        <w:spacing w:line="360" w:lineRule="auto"/>
        <w:rPr>
          <w:rFonts w:hint="eastAsia"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（二）保险方案</w:t>
      </w:r>
      <w:r/>
    </w:p>
    <w:p>
      <w:pPr>
        <w:ind w:firstLine="482"/>
        <w:spacing w:line="360" w:lineRule="auto"/>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1. 被保险人</w:t>
      </w:r>
      <w:r/>
    </w:p>
    <w:p>
      <w:pPr>
        <w:ind w:firstLine="480"/>
        <w:spacing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sz w:val="28"/>
          <w:szCs w:val="28"/>
          <w:lang w:val="en-US" w:eastAsia="en-US" w:bidi="ar-SA"/>
        </w:rPr>
        <w:t xml:space="preserve">对具有铜山区户籍的60周岁及以上老年人购买安康关爱保险，保费标准为10元/人/年。全区符合参保条件的人数约为</w:t>
      </w:r>
      <w:r>
        <w:rPr>
          <w:rFonts w:hint="eastAsia" w:ascii="宋体" w:hAnsi="宋体" w:cs="宋体"/>
          <w:sz w:val="28"/>
          <w:szCs w:val="28"/>
          <w:lang w:val="en-US" w:eastAsia="zh-CN" w:bidi="ar-SA"/>
        </w:rPr>
        <w:t xml:space="preserve">27</w:t>
      </w:r>
      <w:r>
        <w:rPr>
          <w:rFonts w:hint="eastAsia" w:ascii="宋体" w:hAnsi="宋体" w:eastAsia="宋体" w:cs="宋体"/>
          <w:sz w:val="28"/>
          <w:szCs w:val="28"/>
          <w:lang w:val="en-US" w:eastAsia="en-US" w:bidi="ar-SA"/>
        </w:rPr>
        <w:t xml:space="preserve">万人，参保人数以录入数据系统的实际人数为准</w:t>
      </w:r>
      <w:r>
        <w:rPr>
          <w:rFonts w:hint="eastAsia" w:ascii="宋体" w:hAnsi="宋体" w:eastAsia="宋体" w:cs="宋体"/>
          <w:bCs/>
          <w:color w:val="000000"/>
          <w:sz w:val="28"/>
          <w:szCs w:val="28"/>
          <w:highlight w:val="none"/>
          <w:lang w:val="en-US" w:eastAsia="zh-CN" w:bidi="ar-SA"/>
        </w:rPr>
        <w:t xml:space="preserve">。</w:t>
      </w:r>
      <w:r/>
    </w:p>
    <w:p>
      <w:pPr>
        <w:ind w:firstLine="482"/>
        <w:spacing w:line="360" w:lineRule="auto"/>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2. 主要保险责任赔偿限额：</w:t>
      </w:r>
      <w:r/>
    </w:p>
    <w:p>
      <w:pPr>
        <w:ind w:firstLine="480"/>
        <w:spacing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2.1 意外身故、伤残：赔偿限额</w:t>
      </w:r>
      <w:r>
        <w:rPr>
          <w:rFonts w:hint="eastAsia" w:ascii="宋体" w:hAnsi="宋体" w:eastAsia="宋体" w:cs="宋体"/>
          <w:color w:val="000000"/>
          <w:sz w:val="28"/>
          <w:szCs w:val="28"/>
          <w:highlight w:val="none"/>
          <w:u w:val="single"/>
          <w:lang w:val="en-US" w:eastAsia="zh-CN" w:bidi="ar-SA"/>
        </w:rPr>
        <w:t xml:space="preserve"> 3000 </w:t>
      </w:r>
      <w:r>
        <w:rPr>
          <w:rFonts w:hint="eastAsia" w:ascii="宋体" w:hAnsi="宋体" w:eastAsia="宋体" w:cs="宋体"/>
          <w:color w:val="000000"/>
          <w:sz w:val="28"/>
          <w:szCs w:val="28"/>
          <w:highlight w:val="none"/>
          <w:lang w:val="en-US" w:eastAsia="zh-CN" w:bidi="ar-SA"/>
        </w:rPr>
        <w:t xml:space="preserve">元/人；</w:t>
      </w:r>
      <w:r/>
    </w:p>
    <w:p>
      <w:pPr>
        <w:ind w:firstLine="480"/>
        <w:spacing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2.2 意外伤害医疗费用（包含门诊和住院）：赔偿限额</w:t>
      </w:r>
      <w:r>
        <w:rPr>
          <w:rFonts w:hint="eastAsia" w:ascii="宋体" w:hAnsi="宋体" w:eastAsia="宋体" w:cs="宋体"/>
          <w:color w:val="000000"/>
          <w:sz w:val="28"/>
          <w:szCs w:val="28"/>
          <w:highlight w:val="none"/>
          <w:u w:val="single"/>
          <w:lang w:val="en-US" w:eastAsia="zh-CN" w:bidi="ar-SA"/>
        </w:rPr>
        <w:t xml:space="preserve"> 1000 </w:t>
      </w:r>
      <w:r>
        <w:rPr>
          <w:rFonts w:hint="eastAsia" w:ascii="宋体" w:hAnsi="宋体" w:eastAsia="宋体" w:cs="宋体"/>
          <w:color w:val="000000"/>
          <w:sz w:val="28"/>
          <w:szCs w:val="28"/>
          <w:highlight w:val="none"/>
          <w:lang w:val="en-US" w:eastAsia="zh-CN" w:bidi="ar-SA"/>
        </w:rPr>
        <w:t xml:space="preserve">元/人；</w:t>
      </w:r>
      <w:r/>
    </w:p>
    <w:p>
      <w:pPr>
        <w:ind w:firstLine="480"/>
        <w:spacing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2.3 被保险人因意外导致门诊或住院，免赔额100元，医保范围内用药80%赔付。</w:t>
      </w:r>
      <w:r/>
    </w:p>
    <w:p>
      <w:pPr>
        <w:ind w:firstLine="482"/>
        <w:spacing w:line="360" w:lineRule="auto"/>
        <w:rPr>
          <w:rFonts w:hint="eastAsia"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3. 保险期限：一年，本项目保险期限以保险单载明的起讫时间为准。</w:t>
      </w:r>
      <w:r/>
    </w:p>
    <w:p>
      <w:pPr>
        <w:ind w:firstLine="482"/>
        <w:spacing w:line="360" w:lineRule="auto"/>
        <w:rPr>
          <w:rFonts w:hint="eastAsia"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4. 本项目保费资金来源与保险费交纳</w:t>
      </w:r>
      <w:bookmarkStart w:id="30" w:name="_Toc20684"/>
      <w:r>
        <w:rPr>
          <w:rFonts w:hint="eastAsia" w:ascii="宋体" w:hAnsi="宋体" w:eastAsia="宋体" w:cs="宋体"/>
          <w:b/>
          <w:color w:val="000000"/>
          <w:sz w:val="28"/>
          <w:szCs w:val="28"/>
          <w:highlight w:val="none"/>
          <w:lang w:val="en-US" w:eastAsia="zh-CN" w:bidi="ar-SA"/>
        </w:rPr>
        <w:t xml:space="preserve">：财政支出</w:t>
      </w:r>
      <w:bookmarkStart w:id="31" w:name="OLE_LINK4"/>
      <w:r>
        <w:rPr>
          <w:rFonts w:hint="eastAsia" w:ascii="宋体" w:hAnsi="宋体" w:eastAsia="宋体" w:cs="宋体"/>
          <w:b/>
          <w:color w:val="000000"/>
          <w:sz w:val="28"/>
          <w:szCs w:val="28"/>
          <w:highlight w:val="none"/>
          <w:lang w:val="en-US" w:eastAsia="zh-CN" w:bidi="ar-SA"/>
        </w:rPr>
        <w:t xml:space="preserve">。</w:t>
      </w:r>
      <w:bookmarkEnd w:id="30"/>
      <w:r/>
      <w:bookmarkEnd w:id="31"/>
      <w:r/>
      <w:r/>
    </w:p>
    <w:p>
      <w:pPr>
        <w:ind w:firstLine="482"/>
        <w:spacing w:line="360" w:lineRule="auto"/>
        <w:rPr>
          <w:rFonts w:hint="eastAsia" w:ascii="宋体" w:hAnsi="宋体" w:eastAsia="宋体" w:cs="宋体"/>
          <w:b/>
          <w:color w:val="000000"/>
          <w:sz w:val="28"/>
          <w:szCs w:val="28"/>
          <w:highlight w:val="none"/>
          <w:lang w:val="en-US" w:eastAsia="zh-CN" w:bidi="ar-SA"/>
        </w:rPr>
      </w:pPr>
      <w:r/>
      <w:bookmarkStart w:id="32" w:name="_Toc23588"/>
      <w:r/>
      <w:bookmarkStart w:id="33" w:name="_Toc13074"/>
      <w:r>
        <w:rPr>
          <w:rFonts w:hint="eastAsia" w:ascii="宋体" w:hAnsi="宋体" w:eastAsia="宋体" w:cs="宋体"/>
          <w:b/>
          <w:color w:val="000000"/>
          <w:sz w:val="28"/>
          <w:szCs w:val="28"/>
          <w:highlight w:val="none"/>
          <w:lang w:val="en-US" w:eastAsia="zh-CN" w:bidi="ar-SA"/>
        </w:rPr>
        <w:t xml:space="preserve">5. 保险</w:t>
      </w:r>
      <w:bookmarkEnd w:id="32"/>
      <w:r/>
      <w:bookmarkEnd w:id="33"/>
      <w:r>
        <w:rPr>
          <w:rFonts w:hint="eastAsia" w:ascii="宋体" w:hAnsi="宋体" w:eastAsia="宋体" w:cs="宋体"/>
          <w:b/>
          <w:color w:val="000000"/>
          <w:sz w:val="28"/>
          <w:szCs w:val="28"/>
          <w:highlight w:val="none"/>
          <w:lang w:val="en-US" w:eastAsia="zh-CN" w:bidi="ar-SA"/>
        </w:rPr>
        <w:t xml:space="preserve">险种：团体意外伤害保险等。</w:t>
      </w:r>
      <w:r/>
    </w:p>
    <w:p>
      <w:pPr>
        <w:ind w:firstLine="482"/>
        <w:spacing w:line="360" w:lineRule="auto"/>
        <w:rPr>
          <w:rFonts w:hint="eastAsia"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6. 免赔额：意外伤害医疗费用绝对免赔额100元（按保险责任内单次出险医疗费用计算）。</w:t>
      </w:r>
      <w:r/>
    </w:p>
    <w:p>
      <w:pPr>
        <w:ind w:firstLine="482"/>
        <w:spacing w:line="360" w:lineRule="auto"/>
        <w:rPr>
          <w:rFonts w:hint="eastAsia"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（三）特别约定</w:t>
      </w:r>
      <w:r/>
    </w:p>
    <w:p>
      <w:pPr>
        <w:ind w:firstLine="480"/>
        <w:spacing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1.本保险无等待期，被保险人在保险生效后发生保险责任范围内的事故，保险人按合同约定给予赔付。</w:t>
      </w:r>
      <w:r/>
    </w:p>
    <w:p>
      <w:pPr>
        <w:ind w:firstLine="480"/>
        <w:spacing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2.承保人在保险期限内根据徐州市铜山区民政局相关要求进行保险宣传及培训、宣传资料的印制等。</w:t>
      </w:r>
      <w:r/>
    </w:p>
    <w:p>
      <w:pPr>
        <w:ind w:firstLine="480"/>
        <w:spacing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3.关于死亡、伤残、医疗费用等原始凭证复印件的认可。</w:t>
      </w:r>
      <w:r/>
    </w:p>
    <w:p>
      <w:pPr>
        <w:ind w:firstLine="480"/>
        <w:spacing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保险人同意：死亡、伤残、医疗费用等原始凭证在社会医疗保险机构处理赔偿时已经留档不能分割的，该原始凭证复印件由已赔偿单位盖章，并提供报销凭证，可用于本项目理赔时的依据凭证。</w:t>
      </w:r>
      <w:r/>
    </w:p>
    <w:p>
      <w:pPr>
        <w:ind w:firstLine="480"/>
        <w:spacing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2"/>
        </w:rPr>
        <w:t xml:space="preserve">4.</w:t>
      </w:r>
      <w:r>
        <w:rPr>
          <w:rFonts w:hint="eastAsia" w:ascii="宋体" w:hAnsi="宋体" w:eastAsia="宋体" w:cs="宋体"/>
          <w:color w:val="000000"/>
          <w:sz w:val="28"/>
          <w:szCs w:val="28"/>
          <w:highlight w:val="none"/>
          <w:lang w:val="en-US" w:eastAsia="zh-CN" w:bidi="ar-SA"/>
        </w:rPr>
        <w:t xml:space="preserve">医疗费用：使用社会医疗保险的，经过社会基本医疗保险报销后，在医疗费用赔偿限额内对个人实付医疗费用的按医保内80%进行赔付；未使用社会医疗保险的，在医疗费用赔偿限额内对个人实付医疗费用的按医保内70%进行赔付；医疗费用包含门诊费用以及住院费用。</w:t>
      </w:r>
      <w:r/>
    </w:p>
    <w:p>
      <w:pPr>
        <w:ind w:firstLine="480"/>
        <w:spacing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5.被保险人需要到正规的医疗机构或保险人认可的医疗机构治疗，包括乡镇及以上医疗机构（急诊不受限制）。</w:t>
      </w:r>
      <w:r/>
    </w:p>
    <w:p>
      <w:pPr>
        <w:ind w:firstLine="480"/>
        <w:spacing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6.伤残保险责任</w:t>
      </w:r>
      <w:r/>
    </w:p>
    <w:p>
      <w:pPr>
        <w:ind w:firstLine="480"/>
        <w:spacing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在保险期间内被保险人遭受意外伤害导致伤残时，按照中国保险行业协会发布的人身保险伤残程度评定与保险金给付比例标准给予伤残保险金：</w:t>
      </w:r>
      <w:r/>
    </w:p>
    <w:p>
      <w:pPr>
        <w:ind w:firstLine="480"/>
        <w:spacing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（1）被保险人因同一意外伤害造成两处或两处以上伤残时，保险人根据《评定标准》规定的多处伤残评定原则给付残疾保险金。</w:t>
      </w:r>
      <w:r/>
    </w:p>
    <w:p>
      <w:pPr>
        <w:ind w:firstLine="480"/>
        <w:spacing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（2）被保险人如在本次意外伤害之前已有残疾，保险人按合并后的残疾程度在《评定标准》中所对应伤残等级的给付比例扣除原有残疾程度在《评定标准》中所对应伤残等级的给付比例，给付残疾保险金。</w:t>
      </w:r>
      <w:r/>
    </w:p>
    <w:p>
      <w:pPr>
        <w:ind w:firstLine="480"/>
        <w:spacing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7.在保险期间内被保险人因动物抓（咬）伤产生的医疗费用须按主责给予赔付。</w:t>
      </w:r>
      <w:r/>
    </w:p>
    <w:p>
      <w:pPr>
        <w:ind w:firstLine="480"/>
        <w:spacing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8.在保险期间内被保险人意外受伤出险后，从出险日开始因该意外导致的在一年内产生的医疗费用予以赔付。</w:t>
      </w:r>
      <w:r/>
    </w:p>
    <w:p>
      <w:pPr>
        <w:ind w:firstLine="480"/>
        <w:spacing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9.被保险人以民政局认定为准，保险人不得以被保险人的精神和行为障碍导致的意外伤害为由拒绝赔付。</w:t>
      </w:r>
      <w:r/>
    </w:p>
    <w:p>
      <w:pPr>
        <w:numPr>
          <w:ilvl w:val="0"/>
          <w:numId w:val="0"/>
        </w:numPr>
        <w:ind w:firstLine="562"/>
        <w:spacing w:line="360" w:lineRule="auto"/>
        <w:rPr>
          <w:rFonts w:hint="eastAsia"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lang w:val="en-US" w:eastAsia="zh-CN" w:bidi="ar-SA"/>
        </w:rPr>
        <w:t xml:space="preserve">1.</w:t>
      </w:r>
      <w:r>
        <w:rPr>
          <w:rFonts w:hint="eastAsia" w:ascii="宋体" w:hAnsi="宋体" w:eastAsia="宋体" w:cs="宋体"/>
          <w:b/>
          <w:color w:val="000000"/>
          <w:sz w:val="28"/>
          <w:szCs w:val="28"/>
          <w:highlight w:val="none"/>
          <w:lang w:val="en-US" w:eastAsia="zh-CN" w:bidi="ar-SA"/>
        </w:rPr>
        <w:t xml:space="preserve">服务方案</w:t>
      </w:r>
      <w:r/>
    </w:p>
    <w:p>
      <w:pPr>
        <w:numPr>
          <w:ilvl w:val="0"/>
          <w:numId w:val="0"/>
        </w:numPr>
        <w:ind w:firstLine="64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为使被保险人获得完善的保险服务，中标人同意以下各项补充约定并将其视为未来保险合同的一部分，由保险双方共同遵守。</w:t>
      </w:r>
      <w:r/>
    </w:p>
    <w:p>
      <w:pPr>
        <w:numPr>
          <w:ilvl w:val="0"/>
          <w:numId w:val="0"/>
        </w:numPr>
        <w:ind w:firstLine="640"/>
        <w:keepLines w:val="0"/>
        <w:pageBreakBefore w:val="0"/>
        <w:spacing w:line="360" w:lineRule="auto"/>
        <w:widowControl w:val="off"/>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1.承保服务工作细致、明确。</w:t>
      </w:r>
      <w:r/>
    </w:p>
    <w:p>
      <w:pPr>
        <w:numPr>
          <w:ilvl w:val="0"/>
          <w:numId w:val="0"/>
        </w:numPr>
        <w:ind w:firstLine="640"/>
        <w:keepLines w:val="0"/>
        <w:pageBreakBefore w:val="0"/>
        <w:spacing w:line="360" w:lineRule="auto"/>
        <w:widowControl w:val="off"/>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2.铜山区有专人服务，须安排专人收取理赔材料，做到赔付服务“足不出镇”。</w:t>
      </w:r>
      <w:r/>
    </w:p>
    <w:p>
      <w:pPr>
        <w:numPr>
          <w:ilvl w:val="0"/>
          <w:numId w:val="0"/>
        </w:numPr>
        <w:ind w:firstLine="640"/>
        <w:keepLines w:val="0"/>
        <w:pageBreakBefore w:val="0"/>
        <w:spacing w:line="360" w:lineRule="auto"/>
        <w:widowControl w:val="off"/>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3.建立24小时服务热线，明确赶赴事故现场时效、理赔程序、具体赔款时限清楚。</w:t>
      </w:r>
      <w:r/>
    </w:p>
    <w:p>
      <w:pPr>
        <w:numPr>
          <w:ilvl w:val="0"/>
          <w:numId w:val="0"/>
        </w:numPr>
        <w:ind w:firstLine="640"/>
        <w:keepLines w:val="0"/>
        <w:pageBreakBefore w:val="0"/>
        <w:spacing w:line="360" w:lineRule="auto"/>
        <w:widowControl w:val="off"/>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4.承保人按月汇总承保及理赔数据，于次月5日前递交相关承保及理赔数据月报，并于保险年度结束后10日内递交承保及理赔数据年报，承保人必须确保数据的及时性、完整性、真实性、准确性、有效性。</w:t>
      </w:r>
      <w:r/>
    </w:p>
    <w:p>
      <w:pPr>
        <w:numPr>
          <w:ilvl w:val="0"/>
          <w:numId w:val="0"/>
        </w:numPr>
        <w:ind w:firstLine="640"/>
        <w:keepLines w:val="0"/>
        <w:keepNext w:val="0"/>
        <w:pageBreakBefore w:val="0"/>
        <w:spacing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5.承保人在保险期限内按要求实施项目相关活动，包括但不限于风险防范、宣传及培训、宣传资料的印制等。</w:t>
      </w:r>
      <w:r/>
    </w:p>
    <w:p>
      <w:pPr>
        <w:ind w:firstLine="640"/>
        <w:jc w:val="left"/>
        <w:keepLines w:val="0"/>
        <w:keepNext w:val="0"/>
        <w:pageBreakBefore w:val="0"/>
        <w:spacing w:line="360" w:lineRule="auto"/>
        <w:widowControl w:val="off"/>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6.赔偿处理</w:t>
      </w:r>
      <w:r/>
    </w:p>
    <w:p>
      <w:pPr>
        <w:ind w:firstLine="640"/>
        <w:jc w:val="left"/>
        <w:keepLines w:val="0"/>
        <w:keepNext w:val="0"/>
        <w:pageBreakBefore w:val="0"/>
        <w:spacing w:line="360" w:lineRule="auto"/>
        <w:widowControl w:val="off"/>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（1）基本原则：保险人不得以任何理由推卸、拖延和拒绝被保险人索赔要求，除非有合理和足够的证据证明，否则其行为构成违约并须承担违约责任；</w:t>
      </w:r>
      <w:r/>
    </w:p>
    <w:p>
      <w:pPr>
        <w:ind w:firstLine="640"/>
        <w:jc w:val="left"/>
        <w:keepLines w:val="0"/>
        <w:keepNext w:val="0"/>
        <w:pageBreakBefore w:val="0"/>
        <w:spacing w:line="360" w:lineRule="auto"/>
        <w:widowControl w:val="off"/>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（2）一旦接到被保险人通知，保险人代表应尽早赶赴事故现场开始初步调查并提出止损建议，被保险人应予以配合；</w:t>
      </w:r>
      <w:r/>
    </w:p>
    <w:p>
      <w:pPr>
        <w:ind w:firstLine="640"/>
        <w:jc w:val="left"/>
        <w:keepLines w:val="0"/>
        <w:keepNext w:val="0"/>
        <w:pageBreakBefore w:val="0"/>
        <w:spacing w:line="360" w:lineRule="auto"/>
        <w:widowControl w:val="off"/>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（3）被保险人应尽可能为保险人、公估人调查和取证工作保留事故现场；对确因运营需要而无法留待保险人查勘的事故现场，被保险人应尽可能留下照片、录像、文字记录供保险人审核之用；</w:t>
      </w:r>
      <w:r/>
    </w:p>
    <w:p>
      <w:pPr>
        <w:ind w:firstLine="640"/>
        <w:jc w:val="left"/>
        <w:keepLines w:val="0"/>
        <w:keepNext w:val="0"/>
        <w:pageBreakBefore w:val="0"/>
        <w:spacing w:line="360" w:lineRule="auto"/>
        <w:widowControl w:val="off"/>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（4）涉及有责任的第三方事故时，被保险人不能在获得保险人书面同意以前放弃向其追索的权利；</w:t>
      </w:r>
      <w:r/>
    </w:p>
    <w:p>
      <w:pPr>
        <w:ind w:firstLine="640"/>
        <w:jc w:val="left"/>
        <w:keepLines w:val="0"/>
        <w:keepNext w:val="0"/>
        <w:pageBreakBefore w:val="0"/>
        <w:spacing w:line="360" w:lineRule="auto"/>
        <w:widowControl w:val="off"/>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（5）对于虽经被保险人努力仍无法完成的证据/证明材料提交工作，保险人须予以帮助并不得以此为由推卸、拖延和拒绝履行合同责任；</w:t>
      </w:r>
      <w:r/>
    </w:p>
    <w:p>
      <w:pPr>
        <w:ind w:firstLine="640"/>
        <w:jc w:val="left"/>
        <w:keepLines w:val="0"/>
        <w:keepNext w:val="0"/>
        <w:pageBreakBefore w:val="0"/>
        <w:spacing w:line="360" w:lineRule="auto"/>
        <w:widowControl w:val="off"/>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（6）保险人收集齐理赔材料后，应在10个工作日内完成赔付工作；</w:t>
      </w:r>
      <w:r/>
    </w:p>
    <w:p>
      <w:pPr>
        <w:ind w:firstLine="640"/>
        <w:jc w:val="left"/>
        <w:keepLines w:val="0"/>
        <w:keepNext w:val="0"/>
        <w:pageBreakBefore w:val="0"/>
        <w:spacing w:line="360" w:lineRule="auto"/>
        <w:widowControl w:val="off"/>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（7）对于已受理报案但拒绝赔付的案件须出具拒赔通知书。</w:t>
      </w:r>
      <w:r/>
    </w:p>
    <w:p>
      <w:pPr>
        <w:ind w:firstLine="640"/>
        <w:jc w:val="left"/>
        <w:keepLines w:val="0"/>
        <w:keepNext w:val="0"/>
        <w:pageBreakBefore w:val="0"/>
        <w:spacing w:line="360" w:lineRule="auto"/>
        <w:widowControl w:val="off"/>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7.关于保险合同</w:t>
      </w:r>
      <w:r/>
    </w:p>
    <w:p>
      <w:pPr>
        <w:ind w:firstLine="640"/>
        <w:jc w:val="left"/>
        <w:keepLines w:val="0"/>
        <w:keepNext w:val="0"/>
        <w:pageBreakBefore w:val="0"/>
        <w:spacing w:line="360" w:lineRule="auto"/>
        <w:widowControl w:val="off"/>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1）本采购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采购文件及最终协议为准；</w:t>
      </w:r>
      <w:r/>
    </w:p>
    <w:p>
      <w:pPr>
        <w:ind w:firstLine="640"/>
        <w:jc w:val="left"/>
        <w:keepLines w:val="0"/>
        <w:keepNext w:val="0"/>
        <w:pageBreakBefore w:val="0"/>
        <w:spacing w:line="360" w:lineRule="auto"/>
        <w:widowControl w:val="off"/>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2）中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firstLine="640"/>
        <w:spacing w:line="360" w:lineRule="auto"/>
        <w:rPr>
          <w:rFonts w:hint="eastAsia" w:ascii="宋体" w:hAnsi="宋体" w:eastAsia="宋体" w:cs="宋体"/>
          <w:sz w:val="28"/>
          <w:szCs w:val="28"/>
          <w:lang w:val="en-US" w:eastAsia="zh-CN" w:bidi="ar-SA"/>
        </w:rPr>
      </w:pPr>
      <w:r>
        <w:rPr>
          <w:rFonts w:hint="eastAsia" w:ascii="宋体" w:hAnsi="宋体" w:eastAsia="宋体" w:cs="宋体"/>
          <w:bCs/>
          <w:sz w:val="28"/>
          <w:szCs w:val="28"/>
          <w:highlight w:val="none"/>
          <w:lang w:val="en-US" w:eastAsia="zh-CN" w:bidi="ar-SA"/>
        </w:rPr>
        <w:t xml:space="preserve">8.本次采购活动依照中华人民共和国相关法律法规进行。</w:t>
      </w:r>
      <w:r/>
    </w:p>
    <w:p>
      <w:pPr>
        <w:rPr>
          <w:rFonts w:hint="eastAsia" w:ascii="宋体" w:hAnsi="宋体" w:eastAsia="宋体" w:cs="宋体"/>
          <w:sz w:val="22"/>
          <w:szCs w:val="22"/>
          <w:highlight w:val="none"/>
        </w:rPr>
      </w:pPr>
      <w:r>
        <w:rPr>
          <w:rFonts w:hint="eastAsia" w:ascii="宋体" w:hAnsi="宋体" w:cs="宋体"/>
          <w:b/>
          <w:bCs/>
          <w:sz w:val="28"/>
          <w:szCs w:val="28"/>
          <w:highlight w:val="none"/>
          <w:lang w:val="en-US" w:eastAsia="zh-CN"/>
        </w:rPr>
        <w:t xml:space="preserve">三</w:t>
      </w:r>
      <w:r>
        <w:rPr>
          <w:rFonts w:hint="eastAsia" w:ascii="宋体" w:hAnsi="宋体" w:eastAsia="宋体" w:cs="宋体"/>
          <w:b/>
          <w:bCs/>
          <w:sz w:val="28"/>
          <w:szCs w:val="28"/>
          <w:highlight w:val="none"/>
          <w:lang w:eastAsia="zh-CN"/>
        </w:rPr>
        <w:t xml:space="preserve">、其他要求：</w:t>
      </w:r>
      <w:r>
        <w:rPr>
          <w:rFonts w:hint="eastAsia" w:ascii="宋体" w:hAnsi="宋体" w:eastAsia="宋体" w:cs="宋体"/>
          <w:b/>
          <w:bCs/>
          <w:sz w:val="28"/>
          <w:szCs w:val="28"/>
          <w:highlight w:val="none"/>
        </w:rPr>
        <w:t xml:space="preserve">见招标文件第五章《拟签订的合同文本》</w:t>
      </w:r>
      <w:r>
        <w:rPr>
          <w:rFonts w:hint="eastAsia" w:ascii="宋体" w:hAnsi="宋体" w:eastAsia="宋体" w:cs="宋体"/>
          <w:sz w:val="28"/>
          <w:szCs w:val="28"/>
          <w:highlight w:val="none"/>
        </w:rPr>
        <w:t xml:space="preserve">。</w:t>
      </w:r>
      <w:r/>
    </w:p>
    <w:p>
      <w:pPr>
        <w:rPr>
          <w:rFonts w:hint="eastAsia" w:ascii="宋体" w:hAnsi="宋体" w:eastAsia="宋体" w:cs="宋体"/>
          <w:sz w:val="20"/>
          <w:szCs w:val="22"/>
          <w:highlight w:val="none"/>
        </w:rPr>
      </w:pPr>
      <w:r>
        <w:rPr>
          <w:rFonts w:hint="eastAsia" w:ascii="宋体" w:hAnsi="宋体" w:eastAsia="宋体" w:cs="宋体"/>
          <w:sz w:val="20"/>
          <w:szCs w:val="22"/>
          <w:highlight w:val="none"/>
        </w:rPr>
      </w:r>
      <w:r/>
    </w:p>
    <w:p>
      <w:pPr>
        <w:jc w:val="both"/>
        <w:spacing w:line="240" w:lineRule="auto"/>
        <w:rPr>
          <w:rStyle w:val="964"/>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240" w:lineRule="auto"/>
        <w:rPr>
          <w:rStyle w:val="964"/>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240" w:lineRule="auto"/>
        <w:rPr>
          <w:rStyle w:val="964"/>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240" w:lineRule="auto"/>
        <w:rPr>
          <w:rStyle w:val="964"/>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240" w:lineRule="auto"/>
        <w:rPr>
          <w:rStyle w:val="964"/>
          <w:rFonts w:hint="eastAsia" w:ascii="宋体" w:hAnsi="宋体" w:eastAsia="宋体" w:cs="宋体"/>
          <w:sz w:val="24"/>
          <w:szCs w:val="24"/>
          <w:highlight w:val="none"/>
        </w:rPr>
      </w:pPr>
      <w:r>
        <w:rPr>
          <w:rStyle w:val="964"/>
          <w:rFonts w:hint="eastAsia" w:ascii="宋体" w:hAnsi="宋体" w:eastAsia="宋体" w:cs="宋体"/>
          <w:sz w:val="24"/>
          <w:szCs w:val="24"/>
          <w:highlight w:val="none"/>
        </w:rPr>
        <w:t xml:space="preserve">第七章  投标文件相关格式</w:t>
      </w:r>
      <w:bookmarkEnd w:id="28"/>
      <w:r/>
      <w:bookmarkEnd w:id="29"/>
      <w:r/>
      <w:r/>
    </w:p>
    <w:p>
      <w:pPr>
        <w:jc w:val="center"/>
        <w:rPr>
          <w:rFonts w:hint="eastAsia" w:ascii="宋体" w:hAnsi="宋体" w:cs="宋体"/>
          <w:sz w:val="24"/>
          <w:szCs w:val="24"/>
          <w:highlight w:val="none"/>
        </w:rPr>
      </w:pPr>
      <w:r>
        <w:rPr>
          <w:rFonts w:hint="eastAsia" w:ascii="宋体" w:hAnsi="宋体" w:cs="宋体"/>
          <w:sz w:val="24"/>
          <w:szCs w:val="24"/>
          <w:highlight w:val="none"/>
        </w:rPr>
      </w:r>
      <w:r/>
    </w:p>
    <w:p>
      <w:pPr>
        <w:jc w:val="center"/>
        <w:spacing w:line="52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一、投标函格式</w:t>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致：</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 xml:space="preserve">江苏立标项目管理有限公司</w:t>
      </w:r>
      <w:r/>
    </w:p>
    <w:p>
      <w:pPr>
        <w:ind w:firstLine="600"/>
        <w:rPr>
          <w:rFonts w:hint="eastAsia" w:ascii="宋体" w:hAnsi="宋体" w:cs="宋体"/>
          <w:sz w:val="24"/>
          <w:szCs w:val="24"/>
          <w:highlight w:val="none"/>
        </w:rPr>
      </w:pPr>
      <w:r>
        <w:rPr>
          <w:rFonts w:hint="eastAsia" w:ascii="宋体" w:hAnsi="宋体" w:cs="宋体"/>
          <w:sz w:val="24"/>
          <w:szCs w:val="24"/>
          <w:highlight w:val="none"/>
        </w:rPr>
        <w:t xml:space="preserve">根据</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项目[项目编号：]招标文件，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(姓名)代表我方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（投标人的名称）全权处理本次投标的有关事宜。</w:t>
      </w:r>
      <w:r/>
    </w:p>
    <w:p>
      <w:pPr>
        <w:ind w:firstLine="600"/>
        <w:rPr>
          <w:rFonts w:hint="eastAsia" w:ascii="宋体" w:hAnsi="宋体" w:cs="宋体"/>
          <w:sz w:val="24"/>
          <w:szCs w:val="24"/>
          <w:highlight w:val="none"/>
        </w:rPr>
      </w:pPr>
      <w:r>
        <w:rPr>
          <w:rFonts w:hint="eastAsia" w:ascii="宋体" w:hAnsi="宋体" w:cs="宋体"/>
          <w:sz w:val="24"/>
          <w:szCs w:val="24"/>
          <w:highlight w:val="none"/>
        </w:rPr>
        <w:t xml:space="preserve">据此函，投标人承诺并同意如下： </w:t>
      </w:r>
      <w:r/>
    </w:p>
    <w:p>
      <w:pPr>
        <w:ind w:firstLine="600"/>
        <w:rPr>
          <w:rFonts w:hint="eastAsia" w:ascii="宋体" w:hAnsi="宋体" w:cs="宋体"/>
          <w:sz w:val="24"/>
          <w:szCs w:val="24"/>
          <w:highlight w:val="none"/>
        </w:rPr>
      </w:pPr>
      <w:r>
        <w:rPr>
          <w:rFonts w:hint="eastAsia" w:ascii="宋体" w:hAnsi="宋体" w:cs="宋体"/>
          <w:sz w:val="24"/>
          <w:szCs w:val="24"/>
          <w:highlight w:val="none"/>
        </w:rPr>
        <w:t xml:space="preserve">1. 投标人唯一投标报价见《开标一览表》。</w:t>
      </w:r>
      <w:r/>
    </w:p>
    <w:p>
      <w:pPr>
        <w:ind w:firstLine="600"/>
        <w:rPr>
          <w:rFonts w:hint="eastAsia" w:ascii="宋体" w:hAnsi="宋体" w:cs="宋体"/>
          <w:sz w:val="24"/>
          <w:szCs w:val="24"/>
          <w:highlight w:val="none"/>
        </w:rPr>
      </w:pPr>
      <w:r>
        <w:rPr>
          <w:rFonts w:hint="eastAsia" w:ascii="宋体" w:hAnsi="宋体" w:cs="宋体"/>
          <w:sz w:val="24"/>
          <w:szCs w:val="24"/>
          <w:highlight w:val="none"/>
        </w:rPr>
        <w:t xml:space="preserve">2. 投标人将按招标文件的规定履行合同责任和义务。</w:t>
      </w:r>
      <w:r/>
    </w:p>
    <w:p>
      <w:pPr>
        <w:ind w:firstLine="600"/>
        <w:rPr>
          <w:rFonts w:hint="eastAsia" w:ascii="宋体" w:hAnsi="宋体" w:cs="宋体"/>
          <w:sz w:val="24"/>
          <w:szCs w:val="24"/>
          <w:highlight w:val="none"/>
        </w:rPr>
      </w:pPr>
      <w:r>
        <w:rPr>
          <w:rFonts w:hint="eastAsia" w:ascii="宋体" w:hAnsi="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rPr>
          <w:rFonts w:hint="eastAsia" w:ascii="宋体" w:hAnsi="宋体" w:cs="宋体"/>
          <w:sz w:val="24"/>
          <w:szCs w:val="24"/>
          <w:highlight w:val="none"/>
        </w:rPr>
      </w:pPr>
      <w:r>
        <w:rPr>
          <w:rFonts w:hint="eastAsia" w:ascii="宋体" w:hAnsi="宋体" w:cs="宋体"/>
          <w:sz w:val="24"/>
          <w:szCs w:val="24"/>
          <w:highlight w:val="none"/>
        </w:rPr>
        <w:t xml:space="preserve">4. 投标有效期为开标之日后90天。</w:t>
      </w:r>
      <w:r/>
    </w:p>
    <w:p>
      <w:pPr>
        <w:ind w:firstLine="600"/>
        <w:rPr>
          <w:rFonts w:hint="eastAsia" w:ascii="宋体" w:hAnsi="宋体" w:cs="宋体"/>
          <w:sz w:val="24"/>
          <w:szCs w:val="24"/>
          <w:highlight w:val="none"/>
        </w:rPr>
      </w:pPr>
      <w:r>
        <w:rPr>
          <w:rFonts w:hint="eastAsia" w:ascii="宋体" w:hAnsi="宋体" w:cs="宋体"/>
          <w:sz w:val="24"/>
          <w:szCs w:val="24"/>
          <w:highlight w:val="none"/>
        </w:rPr>
        <w:t xml:space="preserve">5. 投标人同意提供按照贵方可能要求的与其投标有关的一切数据或资料，完全理解贵方不一定接受最低价的投标或收到的任何投标。</w:t>
      </w:r>
      <w:r/>
    </w:p>
    <w:p>
      <w:pPr>
        <w:ind w:firstLine="600"/>
        <w:rPr>
          <w:rFonts w:hint="eastAsia" w:ascii="宋体" w:hAnsi="宋体" w:cs="宋体"/>
          <w:sz w:val="24"/>
          <w:szCs w:val="24"/>
          <w:highlight w:val="none"/>
        </w:rPr>
      </w:pPr>
      <w:r>
        <w:rPr>
          <w:rFonts w:hint="eastAsia" w:ascii="宋体" w:hAnsi="宋体" w:cs="宋体"/>
          <w:sz w:val="24"/>
          <w:szCs w:val="24"/>
          <w:highlight w:val="none"/>
        </w:rPr>
        <w:t xml:space="preserve">6. 投标人同意在授予合同后，按照有关规定支付公证费(如有)。</w:t>
      </w:r>
      <w:r/>
    </w:p>
    <w:p>
      <w:pPr>
        <w:ind w:right="29" w:firstLine="600"/>
        <w:rPr>
          <w:rFonts w:hint="eastAsia" w:ascii="宋体" w:hAnsi="宋体" w:cs="宋体"/>
          <w:sz w:val="24"/>
          <w:szCs w:val="24"/>
          <w:highlight w:val="none"/>
        </w:rPr>
      </w:pPr>
      <w:r>
        <w:rPr>
          <w:rFonts w:hint="eastAsia" w:ascii="宋体" w:hAnsi="宋体" w:cs="宋体"/>
          <w:sz w:val="24"/>
          <w:szCs w:val="24"/>
          <w:highlight w:val="none"/>
        </w:rPr>
        <w:t xml:space="preserve">7. </w:t>
      </w:r>
      <w:r>
        <w:rPr>
          <w:rFonts w:hint="eastAsia" w:ascii="宋体" w:hAnsi="宋体" w:cs="宋体"/>
          <w:sz w:val="24"/>
          <w:szCs w:val="24"/>
          <w:highlight w:val="none"/>
          <w:lang w:eastAsia="zh-CN"/>
        </w:rPr>
        <w:t xml:space="preserve">江苏立标项目管理有限公司</w:t>
      </w:r>
      <w:r>
        <w:rPr>
          <w:rFonts w:hint="eastAsia" w:ascii="宋体" w:hAnsi="宋体" w:cs="宋体"/>
          <w:sz w:val="24"/>
          <w:szCs w:val="24"/>
          <w:highlight w:val="none"/>
        </w:rPr>
        <w:t xml:space="preserve">有权将我单位本项目的《开标一览表》和《分项价格表》予以公示，公示的方式由</w:t>
      </w:r>
      <w:r>
        <w:rPr>
          <w:rFonts w:hint="eastAsia" w:ascii="宋体" w:hAnsi="宋体" w:cs="宋体"/>
          <w:sz w:val="24"/>
          <w:szCs w:val="24"/>
          <w:highlight w:val="none"/>
          <w:lang w:eastAsia="zh-CN"/>
        </w:rPr>
        <w:t xml:space="preserve">江苏立标项目管理有限公司</w:t>
      </w:r>
      <w:r>
        <w:rPr>
          <w:rFonts w:hint="eastAsia" w:ascii="宋体" w:hAnsi="宋体" w:cs="宋体"/>
          <w:sz w:val="24"/>
          <w:szCs w:val="24"/>
          <w:highlight w:val="none"/>
        </w:rPr>
        <w:t xml:space="preserve">确定。</w:t>
      </w:r>
      <w:r/>
    </w:p>
    <w:p>
      <w:pPr>
        <w:ind w:right="29" w:firstLine="600"/>
        <w:rPr>
          <w:rFonts w:hint="eastAsia" w:ascii="宋体" w:hAnsi="宋体" w:cs="宋体"/>
          <w:sz w:val="24"/>
          <w:szCs w:val="24"/>
          <w:highlight w:val="none"/>
        </w:rPr>
      </w:pPr>
      <w:r>
        <w:rPr>
          <w:rFonts w:hint="eastAsia" w:ascii="宋体" w:hAnsi="宋体" w:cs="宋体"/>
          <w:sz w:val="24"/>
          <w:szCs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rPr>
          <w:rFonts w:hint="eastAsia" w:ascii="宋体" w:hAnsi="宋体" w:cs="宋体"/>
          <w:sz w:val="24"/>
          <w:szCs w:val="24"/>
          <w:highlight w:val="none"/>
        </w:rPr>
      </w:pPr>
      <w:r>
        <w:rPr>
          <w:rFonts w:hint="eastAsia" w:ascii="宋体" w:hAnsi="宋体" w:cs="宋体"/>
          <w:sz w:val="24"/>
          <w:szCs w:val="24"/>
          <w:highlight w:val="none"/>
        </w:rPr>
        <w:t xml:space="preserve">9. 与本投标有关的一切正式往来信函请寄：</w:t>
      </w:r>
      <w:r/>
    </w:p>
    <w:p>
      <w:pPr>
        <w:ind w:firstLine="1200"/>
        <w:rPr>
          <w:rFonts w:hint="eastAsia" w:ascii="宋体" w:hAnsi="宋体" w:cs="宋体"/>
          <w:sz w:val="24"/>
          <w:szCs w:val="24"/>
          <w:highlight w:val="none"/>
        </w:rPr>
      </w:pPr>
      <w:r>
        <w:rPr>
          <w:rFonts w:hint="eastAsia" w:ascii="宋体" w:hAnsi="宋体" w:cs="宋体"/>
          <w:sz w:val="24"/>
          <w:szCs w:val="24"/>
          <w:highlight w:val="none"/>
        </w:rPr>
        <w:t xml:space="preserve">地址： </w:t>
      </w:r>
      <w:r/>
    </w:p>
    <w:p>
      <w:pPr>
        <w:ind w:firstLine="1200"/>
        <w:rPr>
          <w:rFonts w:hint="eastAsia" w:ascii="宋体" w:hAnsi="宋体" w:cs="宋体"/>
          <w:sz w:val="24"/>
          <w:szCs w:val="24"/>
          <w:highlight w:val="none"/>
        </w:rPr>
      </w:pPr>
      <w:r>
        <w:rPr>
          <w:rFonts w:hint="eastAsia" w:ascii="宋体" w:hAnsi="宋体" w:cs="宋体"/>
          <w:sz w:val="24"/>
          <w:szCs w:val="24"/>
          <w:highlight w:val="none"/>
        </w:rPr>
        <w:t xml:space="preserve">电话： </w:t>
      </w:r>
      <w:r/>
    </w:p>
    <w:p>
      <w:pPr>
        <w:ind w:firstLine="1200"/>
        <w:rPr>
          <w:rFonts w:hint="eastAsia" w:ascii="宋体" w:hAnsi="宋体" w:cs="宋体"/>
          <w:sz w:val="24"/>
          <w:szCs w:val="24"/>
          <w:highlight w:val="none"/>
        </w:rPr>
      </w:pPr>
      <w:r>
        <w:rPr>
          <w:rFonts w:hint="eastAsia" w:ascii="宋体" w:hAnsi="宋体" w:cs="宋体"/>
          <w:sz w:val="24"/>
          <w:szCs w:val="24"/>
          <w:highlight w:val="none"/>
        </w:rPr>
        <w:t xml:space="preserve">传真： </w:t>
      </w:r>
      <w:r/>
    </w:p>
    <w:p>
      <w:pPr>
        <w:ind w:firstLine="2700"/>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w:t>
      </w:r>
      <w:r/>
    </w:p>
    <w:p>
      <w:pPr>
        <w:ind w:firstLine="600"/>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4500"/>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jc w:val="center"/>
        <w:spacing w:line="480" w:lineRule="exact"/>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cs="宋体"/>
          <w:b/>
          <w:bCs/>
          <w:sz w:val="24"/>
          <w:szCs w:val="24"/>
          <w:highlight w:val="none"/>
        </w:rPr>
        <w:t xml:space="preserve">二、开标一览表格式</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52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铜山区2026年度“安康关爱”保险项目</w:t>
      </w:r>
      <w:r>
        <w:rPr>
          <w:rFonts w:hint="eastAsia" w:ascii="宋体" w:hAnsi="宋体" w:cs="宋体"/>
          <w:sz w:val="24"/>
          <w:szCs w:val="24"/>
          <w:highlight w:val="none"/>
        </w:rPr>
        <w:t xml:space="preserve"> </w:t>
      </w:r>
      <w:r/>
    </w:p>
    <w:p>
      <w:pPr>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项目编号：</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详见苏采云系统。</w:t>
      </w:r>
      <w:r/>
    </w:p>
    <w:p>
      <w:pPr>
        <w:pStyle w:val="974"/>
        <w:ind w:left="1470" w:right="1470"/>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974"/>
        <w:ind w:left="1470" w:right="1470"/>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ind w:firstLine="1500"/>
        <w:spacing w:line="479" w:lineRule="atLeas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w:t>
      </w:r>
      <w:r/>
    </w:p>
    <w:p>
      <w:pPr>
        <w:ind w:firstLine="5100"/>
        <w:spacing w:line="479" w:lineRule="atLeas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日期： 年 月 日</w:t>
      </w:r>
      <w:r/>
    </w:p>
    <w:p>
      <w:pPr>
        <w:spacing w:line="479" w:lineRule="atLeas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p>
      <w:pPr>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p>
      <w:pPr>
        <w:jc w:val="center"/>
        <w:widowControl/>
        <w:rPr>
          <w:rFonts w:ascii="黑体" w:hAnsi="黑体" w:eastAsia="黑体"/>
          <w:sz w:val="24"/>
          <w:szCs w:val="24"/>
          <w:highlight w:val="none"/>
        </w:rPr>
      </w:pPr>
      <w:r>
        <w:rPr>
          <w:rFonts w:hint="eastAsia" w:ascii="宋体" w:hAnsi="宋体" w:cs="宋体"/>
          <w:sz w:val="24"/>
          <w:szCs w:val="24"/>
          <w:highlight w:val="none"/>
        </w:rPr>
        <w:br w:type="page" w:clear="all"/>
      </w:r>
      <w:r>
        <w:rPr>
          <w:rFonts w:hint="eastAsia" w:ascii="宋体" w:hAnsi="宋体" w:eastAsia="宋体" w:cs="宋体"/>
          <w:b/>
          <w:bCs/>
          <w:sz w:val="24"/>
          <w:szCs w:val="24"/>
          <w:highlight w:val="none"/>
        </w:rPr>
        <w:t xml:space="preserve">三、分项价格表格式</w:t>
      </w:r>
      <w:r/>
    </w:p>
    <w:p>
      <w:pPr>
        <w:ind w:firstLine="60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铜山区2026年度“安康关爱”保险项目</w:t>
      </w:r>
      <w:r>
        <w:rPr>
          <w:rFonts w:hint="eastAsia" w:ascii="宋体" w:hAnsi="宋体" w:eastAsia="宋体" w:cs="宋体"/>
          <w:sz w:val="24"/>
          <w:szCs w:val="24"/>
          <w:highlight w:val="none"/>
        </w:rPr>
        <w:t xml:space="preserve">  </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货币单位：人民币元</w:t>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格式自拟。</w:t>
      </w:r>
      <w:r/>
    </w:p>
    <w:p>
      <w:pPr>
        <w:ind w:firstLine="285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4"/>
        <w:ind w:left="1470" w:right="147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85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39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1229" w:hanging="511"/>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注：①如果不提供详细分项报价的，将视为没有实质性响应招标文件。</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②投标人对以上数据的真实性负责。</w:t>
      </w:r>
      <w:r/>
    </w:p>
    <w:p>
      <w:pPr>
        <w:ind w:firstLine="964"/>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采购人或采购代理机构有权将以上内容进行公示。</w:t>
      </w:r>
      <w:r/>
    </w:p>
    <w:p>
      <w:pPr>
        <w:jc w:val="center"/>
        <w:spacing w:line="480" w:lineRule="exact"/>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、偏离表格式</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80" w:lineRule="exact"/>
        <w:rPr>
          <w:rFonts w:hint="eastAsia" w:ascii="宋体" w:hAnsi="宋体" w:cs="宋体"/>
          <w:sz w:val="24"/>
          <w:szCs w:val="24"/>
          <w:highlight w:val="none"/>
          <w:lang w:eastAsia="zh-CN"/>
        </w:rPr>
      </w:pP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铜山区2026年度“安康关爱”保险项目</w:t>
      </w:r>
      <w:r/>
    </w:p>
    <w:p>
      <w:pPr>
        <w:spacing w:line="480" w:lineRule="exact"/>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 xml:space="preserve">项目编号：</w:t>
      </w:r>
      <w:r/>
    </w:p>
    <w:p>
      <w:pPr>
        <w:rPr>
          <w:rFonts w:hint="eastAsia" w:ascii="宋体" w:hAnsi="宋体" w:cs="宋体"/>
          <w:sz w:val="24"/>
          <w:szCs w:val="24"/>
          <w:highlight w:val="none"/>
          <w:u w:val="single"/>
        </w:rPr>
      </w:pPr>
      <w:r>
        <w:rPr>
          <w:rFonts w:hint="eastAsia" w:ascii="宋体" w:hAnsi="宋体" w:cs="宋体"/>
          <w:sz w:val="24"/>
          <w:szCs w:val="24"/>
          <w:highlight w:val="none"/>
          <w:u w:val="single"/>
        </w:rPr>
      </w:r>
      <w:r/>
    </w:p>
    <w:tbl>
      <w:tblPr>
        <w:tblStyle w:val="7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caps/>
                <w:sz w:val="24"/>
                <w:szCs w:val="24"/>
                <w:highlight w:val="none"/>
              </w:rPr>
              <w:t xml:space="preserve">序号</w:t>
            </w:r>
            <w:r/>
          </w:p>
        </w:tc>
        <w:tc>
          <w:tcPr>
            <w:tcW w:w="1404"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caps/>
                <w:sz w:val="24"/>
                <w:szCs w:val="24"/>
                <w:highlight w:val="none"/>
              </w:rPr>
              <w:t xml:space="preserve">偏离内容</w:t>
            </w:r>
            <w:r/>
          </w:p>
        </w:tc>
        <w:tc>
          <w:tcPr>
            <w:tcW w:w="1476"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sz w:val="24"/>
                <w:szCs w:val="24"/>
                <w:highlight w:val="none"/>
              </w:rPr>
              <w:t xml:space="preserve">招标文件的要求</w:t>
            </w:r>
            <w:r/>
          </w:p>
        </w:tc>
        <w:tc>
          <w:tcPr>
            <w:tcW w:w="1620"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sz w:val="24"/>
                <w:szCs w:val="24"/>
                <w:highlight w:val="none"/>
              </w:rPr>
              <w:t xml:space="preserve">投标文件中的内容</w:t>
            </w:r>
            <w:r/>
          </w:p>
        </w:tc>
        <w:tc>
          <w:tcPr>
            <w:tcW w:w="1260"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caps/>
                <w:sz w:val="24"/>
                <w:szCs w:val="24"/>
                <w:highlight w:val="none"/>
              </w:rPr>
              <w:t xml:space="preserve">（正/负/无）偏离</w:t>
            </w:r>
            <w:r/>
          </w:p>
        </w:tc>
        <w:tc>
          <w:tcPr>
            <w:tcW w:w="2520"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caps/>
                <w:sz w:val="24"/>
                <w:szCs w:val="24"/>
                <w:highlight w:val="none"/>
              </w:rPr>
              <w:t xml:space="preserve">说明</w:t>
            </w:r>
            <w:r/>
          </w:p>
        </w:tc>
      </w:tr>
      <w:tr>
        <w:trPr>
          <w:trHeight w:val="794"/>
        </w:trPr>
        <w:tc>
          <w:tcPr>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r>
        <w:trPr>
          <w:trHeight w:val="794"/>
        </w:trPr>
        <w:tc>
          <w:tcPr>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r>
        <w:trPr>
          <w:trHeight w:val="794"/>
        </w:trPr>
        <w:tc>
          <w:tcPr>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r>
        <w:trPr>
          <w:trHeight w:val="794"/>
        </w:trPr>
        <w:tc>
          <w:tcPr>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r>
        <w:trPr>
          <w:trHeight w:val="794"/>
        </w:trPr>
        <w:tc>
          <w:tcPr>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r>
        <w:trPr>
          <w:trHeight w:val="794"/>
        </w:trPr>
        <w:tc>
          <w:tcPr>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bl>
    <w:p>
      <w:pPr>
        <w:rPr>
          <w:rFonts w:hint="eastAsia" w:ascii="宋体" w:hAnsi="宋体" w:cs="宋体"/>
          <w:sz w:val="24"/>
          <w:szCs w:val="24"/>
          <w:highlight w:val="none"/>
          <w:u w:val="single"/>
        </w:rPr>
      </w:pPr>
      <w:r>
        <w:rPr>
          <w:rFonts w:hint="eastAsia" w:ascii="宋体" w:hAnsi="宋体" w:cs="宋体"/>
          <w:sz w:val="24"/>
          <w:szCs w:val="24"/>
          <w:highlight w:val="none"/>
          <w:u w:val="single"/>
        </w:rPr>
      </w:r>
      <w:r/>
    </w:p>
    <w:p>
      <w:pPr>
        <w:ind w:firstLine="602"/>
        <w:spacing w:line="440" w:lineRule="exact"/>
        <w:rPr>
          <w:rFonts w:hint="eastAsia" w:ascii="宋体" w:hAnsi="宋体" w:cs="宋体"/>
          <w:sz w:val="24"/>
          <w:szCs w:val="24"/>
          <w:highlight w:val="none"/>
        </w:rPr>
      </w:pPr>
      <w:r>
        <w:rPr>
          <w:rFonts w:hint="eastAsia" w:ascii="宋体" w:hAnsi="宋体" w:cs="宋体"/>
          <w:b/>
          <w:sz w:val="24"/>
          <w:szCs w:val="24"/>
          <w:highlight w:val="none"/>
        </w:rPr>
        <w:t xml:space="preserve">注</w:t>
      </w:r>
      <w:r>
        <w:rPr>
          <w:rFonts w:hint="eastAsia" w:ascii="宋体" w:hAnsi="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2850"/>
        <w:spacing w:line="300" w:lineRule="auto"/>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w:t>
      </w:r>
      <w:r/>
    </w:p>
    <w:p>
      <w:pPr>
        <w:ind w:firstLine="600"/>
        <w:spacing w:line="300" w:lineRule="auto"/>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390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ind w:firstLine="600"/>
        <w:spacing w:line="480" w:lineRule="exact"/>
        <w:rPr>
          <w:rFonts w:hint="eastAsia" w:ascii="宋体" w:hAnsi="宋体" w:cs="宋体"/>
          <w:bCs/>
          <w:sz w:val="24"/>
          <w:szCs w:val="24"/>
          <w:highlight w:val="none"/>
        </w:rPr>
      </w:pPr>
      <w:r>
        <w:rPr>
          <w:rFonts w:hint="eastAsia" w:ascii="宋体" w:hAnsi="宋体" w:cs="宋体"/>
          <w:bCs/>
          <w:sz w:val="24"/>
          <w:szCs w:val="24"/>
          <w:highlight w:val="none"/>
        </w:rPr>
      </w:r>
      <w:r/>
    </w:p>
    <w:p>
      <w:pPr>
        <w:ind w:firstLine="600"/>
        <w:spacing w:line="480" w:lineRule="exact"/>
        <w:rPr>
          <w:rFonts w:hint="eastAsia" w:ascii="宋体" w:hAnsi="宋体" w:cs="宋体"/>
          <w:bCs/>
          <w:sz w:val="24"/>
          <w:szCs w:val="24"/>
          <w:highlight w:val="none"/>
        </w:rPr>
      </w:pPr>
      <w:r>
        <w:rPr>
          <w:rFonts w:hint="eastAsia" w:ascii="宋体" w:hAnsi="宋体" w:cs="宋体"/>
          <w:bCs/>
          <w:sz w:val="24"/>
          <w:szCs w:val="24"/>
          <w:highlight w:val="none"/>
        </w:rPr>
      </w:r>
      <w:r/>
    </w:p>
    <w:p>
      <w:pPr>
        <w:jc w:val="center"/>
        <w:widowControl/>
        <w:rPr>
          <w:rFonts w:hint="eastAsia" w:ascii="宋体" w:hAnsi="宋体" w:cs="宋体"/>
          <w:sz w:val="24"/>
          <w:szCs w:val="24"/>
          <w:highlight w:val="none"/>
        </w:rPr>
      </w:pPr>
      <w:r>
        <w:rPr>
          <w:rFonts w:hint="eastAsia" w:ascii="宋体" w:hAnsi="宋体" w:cs="宋体"/>
          <w:bCs/>
          <w:sz w:val="24"/>
          <w:szCs w:val="24"/>
          <w:highlight w:val="none"/>
        </w:rPr>
        <w:br w:type="page" w:clear="all"/>
      </w:r>
      <w:r>
        <w:rPr>
          <w:rFonts w:hint="eastAsia" w:ascii="宋体" w:hAnsi="宋体" w:cs="宋体"/>
          <w:b/>
          <w:bCs w:val="0"/>
          <w:sz w:val="24"/>
          <w:szCs w:val="24"/>
          <w:highlight w:val="none"/>
          <w:lang w:val="en-US" w:eastAsia="zh-CN"/>
        </w:rPr>
        <w:t xml:space="preserve">五</w:t>
      </w:r>
      <w:r>
        <w:rPr>
          <w:rFonts w:hint="eastAsia" w:ascii="宋体" w:hAnsi="宋体" w:eastAsia="宋体" w:cs="宋体"/>
          <w:b/>
          <w:bCs w:val="0"/>
          <w:sz w:val="24"/>
          <w:szCs w:val="24"/>
          <w:highlight w:val="none"/>
        </w:rPr>
        <w:t xml:space="preserve">、法定代表人授权书格式</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委托人：</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地  址：</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法定代表人：               职务：</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统一社会信用代码：</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受托人：                   性别：男（女）  </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年龄：  岁                 民族：   族</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职务：</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身份证号：</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兹委托（       ）全权代表我企业（公司）参与（</w:t>
      </w:r>
      <w:r>
        <w:rPr>
          <w:rFonts w:hint="eastAsia" w:ascii="宋体" w:hAnsi="宋体" w:cs="宋体"/>
          <w:sz w:val="24"/>
          <w:szCs w:val="24"/>
          <w:highlight w:val="none"/>
          <w:lang w:eastAsia="zh-CN"/>
        </w:rPr>
        <w:t xml:space="preserve">铜山区2026年度“安康关爱”保险项目</w:t>
      </w:r>
      <w:r>
        <w:rPr>
          <w:rFonts w:hint="eastAsia" w:ascii="宋体" w:hAnsi="宋体" w:cs="宋体"/>
          <w:sz w:val="24"/>
          <w:szCs w:val="24"/>
          <w:highlight w:val="none"/>
        </w:rPr>
        <w:t xml:space="preserve">）项目（项目编号：）的招、投标活动及签订合同。（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特此授权委托。</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委托人（电子签章）：         受托人（签字或盖章）：</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 </w:t>
      </w:r>
      <w:r/>
    </w:p>
    <w:p>
      <w:pPr>
        <w:ind w:right="600"/>
        <w:jc w:val="righ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年   月   日 </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(受托人身份证扫描件或复印件附后)</w:t>
      </w:r>
      <w:r/>
    </w:p>
    <w:p>
      <w:pPr>
        <w:ind w:firstLine="4470"/>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4470"/>
        <w:rPr>
          <w:rFonts w:hint="eastAsia" w:ascii="宋体" w:hAnsi="宋体" w:cs="宋体"/>
          <w:sz w:val="24"/>
          <w:szCs w:val="24"/>
          <w:highlight w:val="none"/>
        </w:rPr>
      </w:pPr>
      <w:r>
        <w:rPr>
          <w:rFonts w:hint="eastAsia" w:ascii="宋体" w:hAnsi="宋体" w:cs="宋体"/>
          <w:sz w:val="24"/>
          <w:szCs w:val="24"/>
          <w:highlight w:val="none"/>
        </w:rPr>
      </w:r>
      <w:r/>
    </w:p>
    <w:p>
      <w:pPr>
        <w:ind w:firstLine="4470"/>
        <w:rPr>
          <w:rFonts w:hint="eastAsia" w:ascii="宋体" w:hAnsi="宋体" w:cs="宋体"/>
          <w:sz w:val="24"/>
          <w:szCs w:val="24"/>
          <w:highlight w:val="none"/>
        </w:rPr>
      </w:pPr>
      <w:r>
        <w:rPr>
          <w:rFonts w:hint="eastAsia" w:ascii="宋体" w:hAnsi="宋体" w:cs="宋体"/>
          <w:sz w:val="24"/>
          <w:szCs w:val="24"/>
          <w:highlight w:val="none"/>
        </w:rPr>
      </w:r>
      <w:r/>
    </w:p>
    <w:p>
      <w:pPr>
        <w:ind w:firstLine="4470"/>
        <w:rPr>
          <w:rFonts w:hint="eastAsia" w:ascii="宋体" w:hAnsi="宋体" w:cs="宋体"/>
          <w:sz w:val="24"/>
          <w:szCs w:val="24"/>
          <w:highlight w:val="none"/>
        </w:rPr>
      </w:pPr>
      <w:r>
        <w:rPr>
          <w:rFonts w:hint="eastAsia" w:ascii="宋体" w:hAnsi="宋体" w:cs="宋体"/>
          <w:sz w:val="24"/>
          <w:szCs w:val="24"/>
          <w:highlight w:val="none"/>
        </w:rPr>
      </w:r>
      <w:r/>
    </w:p>
    <w:p>
      <w:pPr>
        <w:jc w:val="center"/>
        <w:widowControl/>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cs="宋体"/>
          <w:b/>
          <w:bCs/>
          <w:sz w:val="24"/>
          <w:szCs w:val="24"/>
          <w:highlight w:val="none"/>
          <w:lang w:val="en-US" w:eastAsia="zh-CN"/>
        </w:rPr>
        <w:t xml:space="preserve">六</w:t>
      </w:r>
      <w:r>
        <w:rPr>
          <w:rFonts w:hint="eastAsia" w:ascii="宋体" w:hAnsi="宋体" w:cs="宋体"/>
          <w:b/>
          <w:bCs/>
          <w:sz w:val="24"/>
          <w:szCs w:val="24"/>
          <w:highlight w:val="none"/>
        </w:rPr>
        <w:t xml:space="preserve">、中小企业声明函格式</w:t>
      </w:r>
      <w:r/>
    </w:p>
    <w:p>
      <w:pPr>
        <w:ind w:firstLine="624"/>
        <w:jc w:val="both"/>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项目名称：</w:t>
      </w:r>
      <w:r/>
    </w:p>
    <w:p>
      <w:pPr>
        <w:ind w:firstLine="624"/>
        <w:jc w:val="both"/>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项目编号：</w:t>
      </w:r>
      <w:r/>
    </w:p>
    <w:p>
      <w:pPr>
        <w:ind w:firstLine="600"/>
        <w:jc w:val="both"/>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本公司郑重声明，根据《政府采购促进中小企业发展管理办法》（财库﹝2020﹞46号）的规定，本公司参加</w:t>
      </w:r>
      <w:r>
        <w:rPr>
          <w:rFonts w:hint="eastAsia" w:ascii="宋体" w:hAnsi="宋体" w:cs="宋体"/>
          <w:sz w:val="24"/>
          <w:szCs w:val="24"/>
          <w:highlight w:val="none"/>
          <w:u w:val="single"/>
        </w:rPr>
        <w:t xml:space="preserve">（单位名称）</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采购活动，服务全部由符合政策要求的中小企业承接。相关企业的具体情况如下：</w:t>
      </w:r>
      <w:r/>
    </w:p>
    <w:p>
      <w:pPr>
        <w:ind w:firstLine="600"/>
        <w:jc w:val="both"/>
        <w:keepLines w:val="0"/>
        <w:keepNext w:val="0"/>
        <w:pageBreakBefore w:val="0"/>
        <w:spacing w:line="480" w:lineRule="exact"/>
        <w:widowControl w:val="off"/>
        <w:rPr>
          <w:rFonts w:hint="eastAsia" w:ascii="宋体" w:hAnsi="宋体" w:cs="宋体"/>
          <w:spacing w:val="6"/>
          <w:sz w:val="24"/>
          <w:szCs w:val="24"/>
          <w:highlight w:val="none"/>
        </w:rPr>
      </w:pPr>
      <w:r>
        <w:rPr>
          <w:rFonts w:hint="eastAsia" w:ascii="宋体" w:hAnsi="宋体" w:cs="宋体"/>
          <w:sz w:val="24"/>
          <w:szCs w:val="24"/>
          <w:highlight w:val="none"/>
          <w:u w:val="single"/>
        </w:rPr>
        <w:t xml:space="preserve">（标的名称）</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w:t>
      </w:r>
      <w:r>
        <w:rPr>
          <w:rFonts w:hint="eastAsia" w:ascii="宋体" w:hAnsi="宋体" w:eastAsia="宋体" w:cs="宋体"/>
          <w:b/>
          <w:bCs/>
          <w:sz w:val="24"/>
          <w:szCs w:val="24"/>
          <w:highlight w:val="none"/>
          <w:u w:val="single"/>
        </w:rPr>
        <w:t xml:space="preserve">其他未列明行业</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 承建（承接）企业为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ascii="宋体" w:hAnsi="宋体" w:cs="宋体"/>
          <w:sz w:val="24"/>
          <w:szCs w:val="24"/>
          <w:highlight w:val="none"/>
          <w:u w:val="single"/>
          <w:lang w:val="en-US"/>
        </w:rPr>
        <w:t xml:space="preserve">   </w:t>
      </w:r>
      <w:r>
        <w:rPr>
          <w:rFonts w:hint="eastAsia" w:ascii="宋体" w:hAnsi="宋体" w:cs="宋体"/>
          <w:sz w:val="24"/>
          <w:szCs w:val="24"/>
          <w:highlight w:val="none"/>
        </w:rPr>
        <w:t xml:space="preserve">万元，属于（</w:t>
      </w:r>
      <w:r>
        <w:rPr>
          <w:rFonts w:hint="eastAsia" w:ascii="宋体" w:hAnsi="宋体" w:eastAsia="宋体" w:cs="宋体"/>
          <w:b/>
          <w:color w:val="000000"/>
          <w:sz w:val="24"/>
          <w:szCs w:val="24"/>
          <w:highlight w:val="none"/>
        </w:rPr>
        <w:t xml:space="preserve">□</w:t>
      </w:r>
      <w:r>
        <w:rPr>
          <w:rFonts w:hint="eastAsia" w:ascii="宋体" w:hAnsi="宋体" w:cs="宋体"/>
          <w:sz w:val="24"/>
          <w:szCs w:val="24"/>
          <w:highlight w:val="none"/>
        </w:rPr>
        <w:t xml:space="preserve">中型企业、</w:t>
      </w:r>
      <w:r>
        <w:rPr>
          <w:rFonts w:hint="eastAsia" w:ascii="宋体" w:hAnsi="宋体" w:eastAsia="宋体" w:cs="宋体"/>
          <w:b/>
          <w:color w:val="000000"/>
          <w:sz w:val="24"/>
          <w:szCs w:val="24"/>
          <w:highlight w:val="none"/>
        </w:rPr>
        <w:t xml:space="preserve">□</w:t>
      </w:r>
      <w:r>
        <w:rPr>
          <w:rFonts w:hint="eastAsia" w:ascii="宋体" w:hAnsi="宋体" w:cs="宋体"/>
          <w:sz w:val="24"/>
          <w:szCs w:val="24"/>
          <w:highlight w:val="none"/>
        </w:rPr>
        <w:t xml:space="preserve">小型企业、</w:t>
      </w:r>
      <w:r>
        <w:rPr>
          <w:rFonts w:hint="eastAsia" w:ascii="宋体" w:hAnsi="宋体" w:eastAsia="宋体" w:cs="宋体"/>
          <w:b/>
          <w:color w:val="000000"/>
          <w:sz w:val="24"/>
          <w:szCs w:val="24"/>
          <w:highlight w:val="none"/>
        </w:rPr>
        <w:t xml:space="preserve">□</w:t>
      </w:r>
      <w:r>
        <w:rPr>
          <w:rFonts w:hint="eastAsia" w:ascii="宋体" w:hAnsi="宋体" w:cs="宋体"/>
          <w:sz w:val="24"/>
          <w:szCs w:val="24"/>
          <w:highlight w:val="none"/>
        </w:rPr>
        <w:t xml:space="preserve">微型企</w:t>
      </w:r>
      <w:r>
        <w:rPr>
          <w:rFonts w:hint="eastAsia" w:ascii="宋体" w:hAnsi="宋体" w:eastAsia="宋体" w:cs="宋体"/>
          <w:sz w:val="24"/>
          <w:szCs w:val="24"/>
          <w:highlight w:val="none"/>
        </w:rPr>
        <w:t xml:space="preserve">业，请勾选！）</w:t>
      </w:r>
      <w:r>
        <w:rPr>
          <w:rFonts w:hint="eastAsia" w:ascii="宋体" w:hAnsi="宋体" w:cs="宋体"/>
          <w:sz w:val="24"/>
          <w:szCs w:val="24"/>
          <w:highlight w:val="none"/>
        </w:rPr>
        <w:t xml:space="preserve">）；</w:t>
      </w:r>
      <w:r/>
    </w:p>
    <w:p>
      <w:pPr>
        <w:ind w:firstLine="600"/>
        <w:jc w:val="both"/>
        <w:keepLines w:val="0"/>
        <w:keepNext w:val="0"/>
        <w:pageBreakBefore w:val="0"/>
        <w:spacing w:line="480" w:lineRule="exact"/>
        <w:widowControl w:val="off"/>
        <w:rPr>
          <w:rFonts w:hint="eastAsia" w:ascii="宋体" w:hAnsi="宋体" w:cs="宋体"/>
          <w:spacing w:val="6"/>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ind w:firstLine="600"/>
        <w:jc w:val="both"/>
        <w:keepLines w:val="0"/>
        <w:keepNext w:val="0"/>
        <w:pageBreakBefore w:val="0"/>
        <w:spacing w:line="480" w:lineRule="exact"/>
        <w:widowControl w:val="off"/>
        <w:rPr>
          <w:rFonts w:hint="eastAsia" w:ascii="宋体" w:hAnsi="宋体" w:cs="宋体"/>
          <w:spacing w:val="6"/>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企业名称（盖单位电子签章）：</w:t>
      </w:r>
      <w:r/>
    </w:p>
    <w:p>
      <w:pPr>
        <w:ind w:firstLine="600"/>
        <w:jc w:val="left"/>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                         日期：</w:t>
      </w:r>
      <w:r/>
    </w:p>
    <w:p>
      <w:pPr>
        <w:jc w:val="left"/>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注：本项目采购的服务属于</w:t>
      </w:r>
      <w:r>
        <w:rPr>
          <w:rFonts w:hint="eastAsia" w:ascii="宋体" w:hAnsi="宋体" w:eastAsia="宋体" w:cs="宋体"/>
          <w:b/>
          <w:bCs/>
          <w:sz w:val="24"/>
          <w:szCs w:val="24"/>
          <w:highlight w:val="none"/>
          <w:u w:val="single"/>
        </w:rPr>
        <w:t xml:space="preserve">其他未列明行业</w:t>
      </w:r>
      <w:r>
        <w:rPr>
          <w:rFonts w:hint="eastAsia" w:ascii="宋体" w:hAnsi="宋体" w:cs="宋体"/>
          <w:sz w:val="24"/>
          <w:szCs w:val="24"/>
          <w:highlight w:val="none"/>
        </w:rPr>
        <w:t xml:space="preserve">。</w:t>
      </w:r>
      <w:r/>
    </w:p>
    <w:p>
      <w:pPr>
        <w:pStyle w:val="997"/>
        <w:ind w:firstLine="602"/>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说明：</w:t>
      </w:r>
      <w:r/>
    </w:p>
    <w:p>
      <w:pPr>
        <w:ind w:firstLine="602"/>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2.从业人员、营业收入、资产总额填报供应商上一年度数据，无上一年度数据的新成立企业可不填报。</w:t>
      </w:r>
      <w:r/>
    </w:p>
    <w:p>
      <w:pPr>
        <w:ind w:firstLine="602"/>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w:t>
      </w:r>
      <w:r>
        <w:rPr>
          <w:rFonts w:hint="eastAsia" w:ascii="宋体" w:hAnsi="宋体" w:cs="宋体"/>
          <w:b/>
          <w:bCs/>
          <w:sz w:val="24"/>
          <w:szCs w:val="24"/>
          <w:highlight w:val="none"/>
          <w:lang w:eastAsia="zh-CN"/>
        </w:rPr>
        <w:t xml:space="preserve">中标</w:t>
      </w:r>
      <w:r>
        <w:rPr>
          <w:rFonts w:hint="eastAsia" w:ascii="宋体" w:hAnsi="宋体" w:cs="宋体"/>
          <w:b/>
          <w:bCs/>
          <w:sz w:val="24"/>
          <w:szCs w:val="24"/>
          <w:highlight w:val="none"/>
        </w:rPr>
        <w:t xml:space="preserve">供应商为小型、微型企业的，采购人或者其委托的采购代理机构有权随中标、成交结果同时公告其《中小企业声明函》，接受社会监督。</w:t>
      </w:r>
      <w:r/>
    </w:p>
    <w:p>
      <w:pPr>
        <w:ind w:firstLine="602"/>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4.执行江苏省财政厅关于进一步加大政府采购支持中小企业力度的通知（苏财购〔2022〕45号）的规定。</w:t>
      </w:r>
      <w:r/>
    </w:p>
    <w:p>
      <w:pPr>
        <w:ind w:firstLine="602"/>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5.供应商提供的《中小企业声明函》与事实不符的，依照《政府采购法》第七十七条第一款的规定追究法律责任。</w:t>
      </w:r>
      <w:r/>
    </w:p>
    <w:p>
      <w:pPr>
        <w:ind w:firstLine="602"/>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6.《中小企业声明函》查询渠道用微信搜索“中小企业规模类型自测小程序”。</w:t>
      </w:r>
      <w:r/>
    </w:p>
    <w:p>
      <w:pPr>
        <w:pStyle w:val="968"/>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inline xmlns:wp="http://schemas.openxmlformats.org/drawingml/2006/wordprocessingDrawing" distT="0" distB="0" distL="0" distR="0">
                <wp:extent cx="2331085" cy="437007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4" name="图片 3"/>
                        <pic:cNvPicPr/>
                        <pic:nvPr/>
                      </pic:nvPicPr>
                      <pic:blipFill>
                        <a:blip r:embed="rId16"/>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3.5pt;height:344.1pt;mso-wrap-distance-left:0.0pt;mso-wrap-distance-top:0.0pt;mso-wrap-distance-right:0.0pt;mso-wrap-distance-bottom:0.0pt;" stroked="f">
                <v:path textboxrect="0,0,0,0"/>
                <v:imagedata r:id="rId16" o:title=""/>
              </v:shape>
            </w:pict>
          </mc:Fallback>
        </mc:AlternateContent>
      </w:r>
      <w:r/>
    </w:p>
    <w:p>
      <w:pPr>
        <w:jc w:val="center"/>
        <w:spacing w:line="480" w:lineRule="exact"/>
        <w:rPr>
          <w:rFonts w:hint="eastAsia" w:ascii="宋体" w:hAnsi="宋体" w:cs="宋体"/>
          <w:b/>
          <w:spacing w:val="6"/>
          <w:sz w:val="24"/>
          <w:szCs w:val="24"/>
          <w:highlight w:val="none"/>
        </w:rPr>
      </w:pPr>
      <w:r>
        <w:rPr>
          <w:rFonts w:hint="eastAsia" w:ascii="宋体" w:hAnsi="宋体" w:cs="宋体"/>
          <w:sz w:val="24"/>
          <w:szCs w:val="24"/>
          <w:highlight w:val="none"/>
        </w:rPr>
        <w:br w:type="page" w:clear="all"/>
      </w:r>
      <w:r>
        <w:rPr>
          <w:rFonts w:hint="eastAsia" w:ascii="宋体" w:hAnsi="宋体" w:cs="宋体"/>
          <w:b/>
          <w:bCs/>
          <w:sz w:val="24"/>
          <w:szCs w:val="24"/>
          <w:highlight w:val="none"/>
          <w:lang w:val="en-US" w:eastAsia="zh-CN"/>
        </w:rPr>
        <w:t xml:space="preserve">七</w:t>
      </w:r>
      <w:r>
        <w:rPr>
          <w:rFonts w:hint="eastAsia" w:ascii="宋体" w:hAnsi="宋体" w:cs="宋体"/>
          <w:b/>
          <w:bCs/>
          <w:sz w:val="24"/>
          <w:szCs w:val="24"/>
          <w:highlight w:val="none"/>
        </w:rPr>
        <w:t xml:space="preserve">、残疾人福利性单位声明函格式</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铜山区2026年度“安康关爱”保险项目</w:t>
      </w:r>
      <w:r>
        <w:rPr>
          <w:rFonts w:hint="eastAsia" w:ascii="宋体" w:hAnsi="宋体" w:eastAsia="宋体" w:cs="宋体"/>
          <w:sz w:val="24"/>
          <w:szCs w:val="24"/>
          <w:highlight w:val="none"/>
        </w:rPr>
        <w:t xml:space="preserve"> </w:t>
      </w:r>
      <w:r/>
    </w:p>
    <w:p>
      <w:pPr>
        <w:spacing w:line="480" w:lineRule="exact"/>
        <w:rPr>
          <w:rFonts w:hint="eastAsia" w:ascii="宋体" w:hAnsi="宋体" w:eastAsia="宋体" w:cs="宋体"/>
          <w:spacing w:val="6"/>
          <w:sz w:val="24"/>
          <w:szCs w:val="24"/>
          <w:highlight w:val="none"/>
          <w:lang w:eastAsia="zh-CN"/>
        </w:rPr>
      </w:pPr>
      <w:r>
        <w:rPr>
          <w:rFonts w:hint="eastAsia" w:ascii="宋体" w:hAnsi="宋体" w:eastAsia="宋体" w:cs="宋体"/>
          <w:sz w:val="24"/>
          <w:szCs w:val="24"/>
          <w:highlight w:val="none"/>
        </w:rPr>
        <w:t xml:space="preserve">项目编号：</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z w:val="24"/>
          <w:szCs w:val="24"/>
          <w:highlight w:val="none"/>
        </w:rPr>
        <w:t xml:space="preserve">〔2017〕 141</w:t>
      </w:r>
      <w:r>
        <w:rPr>
          <w:rFonts w:hint="eastAsia" w:ascii="宋体" w:hAnsi="宋体" w:cs="宋体"/>
          <w:spacing w:val="6"/>
          <w:sz w:val="24"/>
          <w:szCs w:val="24"/>
          <w:highlight w:val="none"/>
        </w:rPr>
        <w:t xml:space="preserve">号）的规定，本单位为符合条件的残疾人福利性单位，且本单位参加</w:t>
      </w:r>
      <w:r>
        <w:rPr>
          <w:rFonts w:hint="eastAsia" w:ascii="宋体" w:hAnsi="宋体" w:cs="宋体"/>
          <w:sz w:val="24"/>
          <w:szCs w:val="24"/>
          <w:highlight w:val="none"/>
        </w:rPr>
        <w:t xml:space="preserve">______</w:t>
      </w:r>
      <w:r>
        <w:rPr>
          <w:rFonts w:hint="eastAsia" w:ascii="宋体" w:hAnsi="宋体" w:cs="宋体"/>
          <w:spacing w:val="6"/>
          <w:sz w:val="24"/>
          <w:szCs w:val="24"/>
          <w:highlight w:val="none"/>
        </w:rPr>
        <w:t xml:space="preserve">单位的</w:t>
      </w:r>
      <w:r>
        <w:rPr>
          <w:rFonts w:hint="eastAsia" w:ascii="宋体" w:hAnsi="宋体" w:cs="宋体"/>
          <w:sz w:val="24"/>
          <w:szCs w:val="24"/>
          <w:highlight w:val="none"/>
        </w:rPr>
        <w:t xml:space="preserve">______</w:t>
      </w:r>
      <w:r>
        <w:rPr>
          <w:rFonts w:hint="eastAsia" w:ascii="宋体" w:hAnsi="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本单位对上述声明的真实性负责。如有虚假，将依法承担相应责任。</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r>
      <w:r/>
    </w:p>
    <w:p>
      <w:pPr>
        <w:ind w:firstLine="255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  </w:t>
      </w:r>
      <w:r/>
    </w:p>
    <w:p>
      <w:pPr>
        <w:ind w:firstLine="4500"/>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5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说明：</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中标、成交供应商为残疾人福利性单位的，采购人或者其委托的采购代理机构应当随中标、成交结果同时公告其《残疾人福利性单位声明函》，接受社会监督。</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供应商提供的《残疾人福利性单位声明函》与事实不符的，依照《政府采购法》第七十七条第一款的规定追究法律责任。</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cs="宋体"/>
          <w:b/>
          <w:bCs/>
          <w:sz w:val="24"/>
          <w:szCs w:val="24"/>
          <w:highlight w:val="none"/>
          <w:lang w:val="en-US" w:eastAsia="zh-CN"/>
        </w:rPr>
        <w:t xml:space="preserve">八</w:t>
      </w:r>
      <w:r>
        <w:rPr>
          <w:rFonts w:hint="eastAsia" w:ascii="宋体" w:hAnsi="宋体" w:cs="宋体"/>
          <w:b/>
          <w:bCs/>
          <w:sz w:val="24"/>
          <w:szCs w:val="24"/>
          <w:highlight w:val="none"/>
        </w:rPr>
        <w:t xml:space="preserve">、投标人参加政府采购活动前3年内在经营活动中没有重大违法记录的书面声明格式</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我单位在参加</w:t>
      </w:r>
      <w:r>
        <w:rPr>
          <w:rFonts w:hint="eastAsia" w:ascii="宋体" w:hAnsi="宋体" w:cs="宋体"/>
          <w:sz w:val="24"/>
          <w:szCs w:val="24"/>
          <w:highlight w:val="none"/>
          <w:lang w:eastAsia="zh-CN"/>
        </w:rPr>
        <w:t xml:space="preserve">铜山区2026年度“安康关爱”保险项目</w:t>
      </w:r>
      <w:r>
        <w:rPr>
          <w:rFonts w:hint="eastAsia" w:ascii="宋体" w:hAnsi="宋体" w:cs="宋体"/>
          <w:sz w:val="24"/>
          <w:szCs w:val="24"/>
          <w:highlight w:val="none"/>
        </w:rPr>
        <w:t xml:space="preserve">（项目编号：）政府采购活动前3年内，在经营活动中没有重大违法记录。重大违法记录是指因违法经营受到刑事处罚或者责令停产停业、吊销许可证或者执照、较大数额罚款等行政处罚。</w:t>
      </w:r>
      <w:r/>
    </w:p>
    <w:p>
      <w:pPr>
        <w:pStyle w:val="986"/>
        <w:ind w:firstLine="600"/>
        <w:spacing w:before="0" w:beforeAutospacing="0" w:after="0" w:afterAutospacing="0" w:line="480" w:lineRule="exact"/>
        <w:rPr>
          <w:rFonts w:hint="eastAsia"/>
          <w:sz w:val="24"/>
          <w:szCs w:val="24"/>
          <w:highlight w:val="none"/>
        </w:rPr>
      </w:pPr>
      <w:r>
        <w:rPr>
          <w:rFonts w:hint="eastAsia"/>
          <w:sz w:val="24"/>
          <w:szCs w:val="24"/>
          <w:highlight w:val="none"/>
        </w:rPr>
        <w:t xml:space="preserve">我单位对上述声明的真实性负责。如有虚假，将依法承担相应责任。</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285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  </w:t>
      </w:r>
      <w:r/>
    </w:p>
    <w:p>
      <w:pPr>
        <w:ind w:firstLine="4500"/>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95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pStyle w:val="983"/>
        <w:rPr>
          <w:rFonts w:hint="eastAsia" w:hAnsi="宋体" w:eastAsia="宋体" w:cs="宋体"/>
          <w:sz w:val="24"/>
          <w:szCs w:val="24"/>
          <w:highlight w:val="none"/>
        </w:rPr>
      </w:pPr>
      <w:r>
        <w:rPr>
          <w:rFonts w:hint="eastAsia" w:hAnsi="宋体" w:eastAsia="宋体" w:cs="宋体"/>
          <w:sz w:val="24"/>
          <w:szCs w:val="24"/>
          <w:highlight w:val="none"/>
        </w:rPr>
      </w:r>
      <w:r/>
    </w:p>
    <w:p>
      <w:pPr>
        <w:pStyle w:val="968"/>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983"/>
        <w:rPr>
          <w:rFonts w:hint="eastAsia" w:hAnsi="宋体" w:eastAsia="宋体" w:cs="宋体"/>
          <w:sz w:val="24"/>
          <w:szCs w:val="24"/>
          <w:highlight w:val="none"/>
        </w:rPr>
      </w:pPr>
      <w:r>
        <w:rPr>
          <w:rFonts w:hint="eastAsia" w:hAnsi="宋体" w:eastAsia="宋体" w:cs="宋体"/>
          <w:sz w:val="24"/>
          <w:szCs w:val="24"/>
          <w:highlight w:val="none"/>
        </w:rPr>
      </w:r>
      <w:r/>
    </w:p>
    <w:p>
      <w:pPr>
        <w:pStyle w:val="968"/>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983"/>
        <w:rPr>
          <w:rFonts w:hint="eastAsia" w:hAnsi="宋体" w:eastAsia="宋体" w:cs="宋体"/>
          <w:sz w:val="24"/>
          <w:szCs w:val="24"/>
          <w:highlight w:val="none"/>
        </w:rPr>
      </w:pPr>
      <w:r>
        <w:rPr>
          <w:rFonts w:hint="eastAsia" w:hAnsi="宋体" w:eastAsia="宋体" w:cs="宋体"/>
          <w:sz w:val="24"/>
          <w:szCs w:val="24"/>
          <w:highlight w:val="none"/>
        </w:rPr>
      </w:r>
      <w:r/>
    </w:p>
    <w:p>
      <w:pPr>
        <w:pStyle w:val="968"/>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983"/>
        <w:rPr>
          <w:rFonts w:hint="eastAsia" w:hAnsi="宋体" w:eastAsia="宋体" w:cs="宋体"/>
          <w:sz w:val="24"/>
          <w:szCs w:val="24"/>
          <w:highlight w:val="none"/>
        </w:rPr>
      </w:pPr>
      <w:r>
        <w:rPr>
          <w:rFonts w:hint="eastAsia" w:hAnsi="宋体" w:eastAsia="宋体" w:cs="宋体"/>
          <w:sz w:val="24"/>
          <w:szCs w:val="24"/>
          <w:highlight w:val="none"/>
        </w:rPr>
      </w:r>
      <w:r/>
    </w:p>
    <w:p>
      <w:pPr>
        <w:pStyle w:val="968"/>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983"/>
        <w:rPr>
          <w:rFonts w:hint="eastAsia" w:hAnsi="宋体" w:eastAsia="宋体" w:cs="宋体"/>
          <w:sz w:val="24"/>
          <w:szCs w:val="24"/>
          <w:highlight w:val="none"/>
        </w:rPr>
      </w:pPr>
      <w:r>
        <w:rPr>
          <w:rFonts w:hint="eastAsia" w:hAnsi="宋体" w:eastAsia="宋体" w:cs="宋体"/>
          <w:sz w:val="24"/>
          <w:szCs w:val="24"/>
          <w:highlight w:val="none"/>
        </w:rPr>
      </w:r>
      <w:r/>
    </w:p>
    <w:p>
      <w:pPr>
        <w:pStyle w:val="968"/>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983"/>
        <w:rPr>
          <w:rFonts w:hint="eastAsia" w:hAnsi="宋体" w:eastAsia="宋体" w:cs="宋体"/>
          <w:sz w:val="24"/>
          <w:szCs w:val="24"/>
          <w:highlight w:val="none"/>
        </w:rPr>
      </w:pPr>
      <w:r>
        <w:rPr>
          <w:rFonts w:hint="eastAsia" w:hAnsi="宋体" w:eastAsia="宋体" w:cs="宋体"/>
          <w:sz w:val="24"/>
          <w:szCs w:val="24"/>
          <w:highlight w:val="none"/>
        </w:rPr>
      </w:r>
      <w:r/>
    </w:p>
    <w:p>
      <w:pPr>
        <w:pStyle w:val="968"/>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983"/>
        <w:rPr>
          <w:rFonts w:hint="eastAsia" w:hAnsi="宋体" w:eastAsia="宋体" w:cs="宋体"/>
          <w:sz w:val="24"/>
          <w:szCs w:val="24"/>
          <w:highlight w:val="none"/>
        </w:rPr>
      </w:pPr>
      <w:r>
        <w:rPr>
          <w:rFonts w:hint="eastAsia" w:hAnsi="宋体" w:eastAsia="宋体" w:cs="宋体"/>
          <w:sz w:val="24"/>
          <w:szCs w:val="24"/>
          <w:highlight w:val="none"/>
        </w:rPr>
      </w:r>
      <w:r/>
    </w:p>
    <w:p>
      <w:pPr>
        <w:pStyle w:val="968"/>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983"/>
        <w:rPr>
          <w:rFonts w:hint="eastAsia" w:hAnsi="宋体" w:eastAsia="宋体" w:cs="宋体"/>
          <w:sz w:val="24"/>
          <w:szCs w:val="24"/>
          <w:highlight w:val="none"/>
        </w:rPr>
      </w:pPr>
      <w:r>
        <w:rPr>
          <w:rFonts w:hint="eastAsia" w:hAnsi="宋体" w:eastAsia="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jc w:val="center"/>
        <w:spacing w:line="480" w:lineRule="exact"/>
        <w:rPr>
          <w:rFonts w:hint="eastAsia" w:ascii="宋体" w:hAnsi="宋体" w:cs="宋体"/>
          <w:b/>
          <w:bCs/>
          <w:sz w:val="24"/>
          <w:szCs w:val="24"/>
          <w:highlight w:val="none"/>
        </w:rPr>
      </w:pPr>
      <w:r>
        <w:rPr>
          <w:rFonts w:hint="eastAsia" w:ascii="宋体" w:hAnsi="宋体" w:cs="宋体"/>
          <w:b/>
          <w:sz w:val="24"/>
          <w:szCs w:val="24"/>
          <w:highlight w:val="none"/>
        </w:rPr>
        <w:br w:type="page" w:clear="all"/>
      </w:r>
      <w:r>
        <w:rPr>
          <w:rFonts w:hint="eastAsia" w:ascii="宋体" w:hAnsi="宋体" w:cs="宋体"/>
          <w:b/>
          <w:bCs/>
          <w:sz w:val="24"/>
          <w:szCs w:val="24"/>
          <w:highlight w:val="none"/>
        </w:rPr>
        <w:t xml:space="preserve">九、具备履行合同所必需的设备和专业技术能力的书面声明</w:t>
      </w:r>
      <w:r/>
    </w:p>
    <w:p>
      <w:pPr>
        <w:ind w:firstLine="602"/>
        <w:jc w:val="cente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（附证明材料原件的扫描件）</w:t>
      </w:r>
      <w:r/>
    </w:p>
    <w:p>
      <w:pPr>
        <w:ind w:firstLine="600"/>
        <w:spacing w:line="520" w:lineRule="exact"/>
        <w:rPr>
          <w:rFonts w:hint="eastAsia" w:ascii="宋体" w:hAnsi="宋体" w:cs="宋体"/>
          <w:sz w:val="24"/>
          <w:szCs w:val="24"/>
          <w:highlight w:val="none"/>
          <w:lang w:eastAsia="zh-CN"/>
        </w:rPr>
      </w:pP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徐州市铜山区民政局2026年12366热线服务外包采购</w:t>
      </w:r>
      <w:r/>
    </w:p>
    <w:p>
      <w:pPr>
        <w:ind w:firstLine="60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项目</w:t>
      </w:r>
      <w:r>
        <w:rPr>
          <w:rFonts w:hint="eastAsia" w:ascii="宋体" w:hAnsi="宋体" w:cs="宋体"/>
          <w:sz w:val="24"/>
          <w:szCs w:val="24"/>
          <w:highlight w:val="none"/>
        </w:rPr>
        <w:t xml:space="preserve">编号：</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我单位郑重声明：我单位具备履行合同（项目名称：</w:t>
      </w:r>
      <w:r>
        <w:rPr>
          <w:rFonts w:hint="eastAsia" w:ascii="宋体" w:hAnsi="宋体" w:cs="宋体"/>
          <w:sz w:val="24"/>
          <w:szCs w:val="24"/>
          <w:highlight w:val="none"/>
          <w:lang w:eastAsia="zh-CN"/>
        </w:rPr>
        <w:t xml:space="preserve">铜山区2026年度“安康关爱”保险项目</w:t>
      </w:r>
      <w:r>
        <w:rPr>
          <w:rFonts w:hint="eastAsia" w:ascii="宋体" w:hAnsi="宋体" w:cs="宋体"/>
          <w:sz w:val="24"/>
          <w:szCs w:val="24"/>
          <w:highlight w:val="none"/>
        </w:rPr>
        <w:t xml:space="preserve">，项目编号：）所必需的设备和专业技术能力</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具体为：</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设备：</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（证明材料原件的扫描件附后）</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（证明材料原件的扫描件附后）</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（证明材料原件的扫描件附后）</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专业技术能力：</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（证明材料原件的扫描件附后）</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（证明材料原件的扫描件附后）</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（证明材料原件的扫描件附后）</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特此声明。</w:t>
      </w:r>
      <w:r/>
    </w:p>
    <w:p>
      <w:pPr>
        <w:ind w:firstLine="60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投标人对上述声明的真实性负责。如有虚假，将依法承担相应责任。</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285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  </w:t>
      </w:r>
      <w:r/>
    </w:p>
    <w:p>
      <w:pPr>
        <w:ind w:firstLine="4500"/>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95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jc w:val="center"/>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eastAsia="宋体" w:cs="宋体"/>
          <w:b/>
          <w:bCs/>
          <w:sz w:val="24"/>
          <w:szCs w:val="24"/>
          <w:highlight w:val="none"/>
          <w:lang w:val="en-US" w:eastAsia="zh-CN"/>
        </w:rPr>
        <w:t xml:space="preserve">十</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rPr>
        <w:t xml:space="preserve">预付款保函支付条款模板</w:t>
      </w:r>
      <w:r/>
    </w:p>
    <w:p>
      <w:pPr>
        <w:pStyle w:val="983"/>
        <w:rPr>
          <w:rFonts w:hint="eastAsia" w:hAnsi="宋体" w:eastAsia="宋体" w:cs="宋体"/>
          <w:sz w:val="24"/>
          <w:szCs w:val="24"/>
          <w:highlight w:val="none"/>
        </w:rPr>
      </w:pPr>
      <w:r>
        <w:rPr>
          <w:rFonts w:hint="eastAsia" w:hAnsi="宋体" w:eastAsia="宋体" w:cs="宋体"/>
          <w:sz w:val="24"/>
          <w:szCs w:val="24"/>
          <w:highlight w:val="none"/>
        </w:rPr>
      </w:r>
      <w:r/>
    </w:p>
    <w:p>
      <w:pPr>
        <w:ind w:firstLine="602"/>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符合条件一：提交预付款保函的</w:t>
      </w:r>
      <w:r/>
    </w:p>
    <w:p>
      <w:pPr>
        <w:ind w:firstLine="602"/>
        <w:spacing w:line="48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（1）合同签订且乙方向甲方出具预付款保函后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140" w:firstLine="60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乙方需提交的支付文件：乙方出具的全额正式发票。</w:t>
      </w:r>
      <w:r/>
    </w:p>
    <w:p>
      <w:pPr>
        <w:ind w:left="140" w:firstLine="60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XX（    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605"/>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w:t>
      </w:r>
      <w:r/>
    </w:p>
    <w:p>
      <w:pPr>
        <w:ind w:firstLine="605"/>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符合条件二：不提交预付款保函的</w:t>
      </w:r>
      <w:r/>
    </w:p>
    <w:p>
      <w:pPr>
        <w:ind w:firstLine="602"/>
        <w:spacing w:line="48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XX（    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140" w:firstLine="60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乙方需提交的支付文件：乙方出具的全额正式发票。</w:t>
      </w:r>
      <w:r/>
    </w:p>
    <w:p>
      <w:pPr>
        <w:ind w:left="140" w:firstLine="60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XX（    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140" w:firstLine="605"/>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注:</w:t>
      </w:r>
      <w:r/>
    </w:p>
    <w:p>
      <w:pPr>
        <w:ind w:left="140" w:firstLine="60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000000"/>
          <w:sz w:val="24"/>
          <w:szCs w:val="24"/>
          <w:highlight w:val="none"/>
        </w:rPr>
      </w:pPr>
      <w:r>
        <w:rPr>
          <w:rFonts w:hint="eastAsia" w:ascii="宋体" w:hAnsi="宋体" w:cs="宋体"/>
          <w:sz w:val="24"/>
          <w:szCs w:val="24"/>
          <w:highlight w:val="none"/>
        </w:rPr>
        <w:t xml:space="preserve">2、付款条件二中，预付款比例设定应符合《关于做好政府采购支持企业发展有关事项的通知》(苏财购〔2020〕52号)要求。</w:t>
      </w:r>
      <w:r/>
    </w:p>
    <w:sectPr>
      <w:headerReference w:type="default" r:id="rId11"/>
      <w:footerReference w:type="default" r:id="rId14"/>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w:panose1 w:val="05000000000000000000"/>
  </w:font>
  <w:font w:name="Cambria">
    <w:panose1 w:val="02040503050406030204"/>
  </w:font>
  <w:font w:name="Courier New">
    <w:panose1 w:val="02070309020205020404"/>
  </w:font>
  <w:font w:name="Calibri Light">
    <w:panose1 w:val="020F0302020204030204"/>
  </w:font>
  <w:font w:name="Tahoma">
    <w:panose1 w:val="020B0604030504040204"/>
  </w:font>
  <w:font w:name="仿宋">
    <w:panose1 w:val="02010609060101010101"/>
  </w:font>
  <w:font w:name="新宋体">
    <w:panose1 w:val="02010609030101010101"/>
  </w:font>
  <w:font w:name="Symbol">
    <w:panose1 w:val="05050102010706020507"/>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783"/>
                          </w:pPr>
                          <w:r>
                            <w:fldChar w:fldCharType="begin"/>
                          </w:r>
                          <w:r>
                            <w:instrText xml:space="preserve"> PAGE  \* MERGEFORMAT </w:instrText>
                          </w:r>
                          <w:r>
                            <w:fldChar w:fldCharType="separate"/>
                          </w:r>
                          <w:r>
                            <w:t xml:space="preserve">26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3"/>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16"/>
      </w:rPr>
      <w:framePr w:wrap="around" w:vAnchor="text" w:hAnchor="margin" w:xAlign="center" w:y="1"/>
    </w:pPr>
    <w:r>
      <w:fldChar w:fldCharType="begin"/>
    </w:r>
    <w:r>
      <w:rPr>
        <w:rStyle w:val="1016"/>
      </w:rPr>
      <w:instrText xml:space="preserve">PAGE  </w:instrText>
    </w:r>
    <w:r>
      <w:fldChar w:fldCharType="end"/>
    </w:r>
    <w:r/>
  </w:p>
  <w:p>
    <w:pPr>
      <w:pStyle w:val="10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0052" cy="284773"/>
              <wp:effectExtent l="6350" t="6350" r="6350" b="6350"/>
              <wp:wrapNone/>
              <wp:docPr id="2" name="文本框 1"/>
              <wp:cNvGraphicFramePr/>
              <a:graphic xmlns:a="http://schemas.openxmlformats.org/drawingml/2006/main">
                <a:graphicData uri="http://schemas.microsoft.com/office/word/2010/wordprocessingShape">
                  <wps:wsp>
                    <wps:cNvPr id="0" name=""/>
                    <wps:cNvSpPr txBox="1"/>
                    <wps:spPr bwMode="auto">
                      <a:xfrm flipH="0" flipV="0">
                        <a:off x="0" y="0"/>
                        <a:ext cx="130052" cy="284772"/>
                      </a:xfrm>
                      <a:prstGeom prst="rect">
                        <a:avLst/>
                      </a:prstGeom>
                      <a:noFill/>
                      <a:ln>
                        <a:noFill/>
                      </a:ln>
                    </wps:spPr>
                    <wps:txbx>
                      <w:txbxContent>
                        <w:p>
                          <w:pPr>
                            <w:pStyle w:val="97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0.2pt;height:22.4pt;mso-wrap-distance-left:9.0pt;mso-wrap-distance-top:0.0pt;mso-wrap-distance-right:9.0pt;mso-wrap-distance-bottom:0.0pt;visibility:visible;" filled="f" stroked="f">
              <v:textbox inset="0,0,0,0">
                <w:txbxContent>
                  <w:p>
                    <w:pPr>
                      <w:pStyle w:val="97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70"/>
      <w:isLgl w:val="false"/>
      <w:suff w:val="tab"/>
      <w:lvlText w:val="%1."/>
      <w:lvlJc w:val="left"/>
      <w:pPr>
        <w:ind w:left="358" w:hanging="360"/>
        <w:tabs>
          <w:tab w:val="left" w:pos="780" w:leader="none"/>
        </w:tabs>
      </w:pPr>
    </w:lvl>
    <w:lvl w:ilvl="1">
      <w:start w:val="1"/>
      <w:numFmt w:val="bullet"/>
      <w:isLgl w:val="false"/>
      <w:suff w:val="tab"/>
      <w:lvlText w:val="o"/>
      <w:lvlJc w:val="left"/>
      <w:pPr>
        <w:ind w:left="1018" w:hanging="360"/>
      </w:pPr>
      <w:rPr>
        <w:rFonts w:hint="default" w:ascii="Courier New" w:hAnsi="Courier New" w:eastAsia="Courier New" w:cs="Courier New"/>
      </w:rPr>
    </w:lvl>
    <w:lvl w:ilvl="2">
      <w:start w:val="1"/>
      <w:numFmt w:val="bullet"/>
      <w:isLgl w:val="false"/>
      <w:suff w:val="tab"/>
      <w:lvlText w:val="§"/>
      <w:lvlJc w:val="left"/>
      <w:pPr>
        <w:ind w:left="1738" w:hanging="360"/>
      </w:pPr>
      <w:rPr>
        <w:rFonts w:hint="default" w:ascii="Wingdings" w:hAnsi="Wingdings" w:eastAsia="Wingdings" w:cs="Wingdings"/>
      </w:rPr>
    </w:lvl>
    <w:lvl w:ilvl="3">
      <w:start w:val="1"/>
      <w:numFmt w:val="bullet"/>
      <w:isLgl w:val="false"/>
      <w:suff w:val="tab"/>
      <w:lvlText w:val="·"/>
      <w:lvlJc w:val="left"/>
      <w:pPr>
        <w:ind w:left="2458" w:hanging="360"/>
      </w:pPr>
      <w:rPr>
        <w:rFonts w:hint="default" w:ascii="Symbol" w:hAnsi="Symbol" w:eastAsia="Symbol" w:cs="Symbol"/>
      </w:rPr>
    </w:lvl>
    <w:lvl w:ilvl="4">
      <w:start w:val="1"/>
      <w:numFmt w:val="bullet"/>
      <w:isLgl w:val="false"/>
      <w:suff w:val="tab"/>
      <w:lvlText w:val="o"/>
      <w:lvlJc w:val="left"/>
      <w:pPr>
        <w:ind w:left="3178" w:hanging="360"/>
      </w:pPr>
      <w:rPr>
        <w:rFonts w:hint="default" w:ascii="Courier New" w:hAnsi="Courier New" w:eastAsia="Courier New" w:cs="Courier New"/>
      </w:rPr>
    </w:lvl>
    <w:lvl w:ilvl="5">
      <w:start w:val="1"/>
      <w:numFmt w:val="bullet"/>
      <w:isLgl w:val="false"/>
      <w:suff w:val="tab"/>
      <w:lvlText w:val="§"/>
      <w:lvlJc w:val="left"/>
      <w:pPr>
        <w:ind w:left="3898" w:hanging="360"/>
      </w:pPr>
      <w:rPr>
        <w:rFonts w:hint="default" w:ascii="Wingdings" w:hAnsi="Wingdings" w:eastAsia="Wingdings" w:cs="Wingdings"/>
      </w:rPr>
    </w:lvl>
    <w:lvl w:ilvl="6">
      <w:start w:val="1"/>
      <w:numFmt w:val="bullet"/>
      <w:isLgl w:val="false"/>
      <w:suff w:val="tab"/>
      <w:lvlText w:val="·"/>
      <w:lvlJc w:val="left"/>
      <w:pPr>
        <w:ind w:left="4618" w:hanging="360"/>
      </w:pPr>
      <w:rPr>
        <w:rFonts w:hint="default" w:ascii="Symbol" w:hAnsi="Symbol" w:eastAsia="Symbol" w:cs="Symbol"/>
      </w:rPr>
    </w:lvl>
    <w:lvl w:ilvl="7">
      <w:start w:val="1"/>
      <w:numFmt w:val="bullet"/>
      <w:isLgl w:val="false"/>
      <w:suff w:val="tab"/>
      <w:lvlText w:val="o"/>
      <w:lvlJc w:val="left"/>
      <w:pPr>
        <w:ind w:left="5338" w:hanging="360"/>
      </w:pPr>
      <w:rPr>
        <w:rFonts w:hint="default" w:ascii="Courier New" w:hAnsi="Courier New" w:eastAsia="Courier New" w:cs="Courier New"/>
      </w:rPr>
    </w:lvl>
    <w:lvl w:ilvl="8">
      <w:start w:val="1"/>
      <w:numFmt w:val="bullet"/>
      <w:isLgl w:val="false"/>
      <w:suff w:val="tab"/>
      <w:lvlText w:val="§"/>
      <w:lvlJc w:val="left"/>
      <w:pPr>
        <w:ind w:left="6058"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next w:val="766"/>
    <w:link w:val="10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name w:val="Heading 1"/>
    <w:basedOn w:val="754"/>
    <w:next w:val="754"/>
    <w:link w:val="803"/>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link w:val="804"/>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805"/>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link w:val="806"/>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68"/>
    <w:link w:val="807"/>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808"/>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10"/>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11"/>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customStyle="1">
    <w:name w:val="目录 11"/>
    <w:basedOn w:val="767"/>
    <w:next w:val="754"/>
    <w:uiPriority w:val="0"/>
    <w:qFormat/>
    <w:pPr>
      <w:jc w:val="left"/>
      <w:spacing w:after="100" w:line="259" w:lineRule="auto"/>
      <w:widowControl/>
    </w:pPr>
    <w:rPr>
      <w:rFonts w:ascii="Calibri" w:hAnsi="Calibri"/>
      <w:sz w:val="22"/>
      <w:szCs w:val="22"/>
    </w:rPr>
  </w:style>
  <w:style w:type="paragraph" w:styleId="767" w:customStyle="1">
    <w:name w:val="正文11"/>
    <w:next w:val="766"/>
    <w:link w:val="9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8">
    <w:name w:val="Normal (Web)"/>
    <w:basedOn w:val="754"/>
    <w:uiPriority w:val="99"/>
    <w:semiHidden/>
    <w:unhideWhenUsed/>
    <w:qFormat/>
    <w:rPr>
      <w:sz w:val="24"/>
    </w:rPr>
  </w:style>
  <w:style w:type="paragraph" w:styleId="769">
    <w:name w:val="toc 7"/>
    <w:basedOn w:val="754"/>
    <w:next w:val="754"/>
    <w:uiPriority w:val="39"/>
    <w:unhideWhenUsed/>
    <w:qFormat/>
    <w:pPr>
      <w:ind w:left="1701" w:right="0" w:firstLine="0"/>
      <w:spacing w:after="57"/>
    </w:pPr>
  </w:style>
  <w:style w:type="paragraph" w:styleId="770">
    <w:name w:val="List Number 2"/>
    <w:basedOn w:val="754"/>
    <w:uiPriority w:val="99"/>
    <w:semiHidden/>
    <w:unhideWhenUsed/>
    <w:qFormat/>
    <w:pPr>
      <w:numPr>
        <w:ilvl w:val="0"/>
        <w:numId w:val="1"/>
      </w:numPr>
    </w:pPr>
  </w:style>
  <w:style w:type="paragraph" w:styleId="771">
    <w:name w:val="Normal Indent"/>
    <w:basedOn w:val="754"/>
    <w:uiPriority w:val="0"/>
    <w:qFormat/>
    <w:pPr>
      <w:ind w:firstLine="420"/>
    </w:pPr>
  </w:style>
  <w:style w:type="paragraph" w:styleId="772">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3">
    <w:name w:val="annotation text"/>
    <w:basedOn w:val="754"/>
    <w:uiPriority w:val="99"/>
    <w:semiHidden/>
    <w:unhideWhenUsed/>
    <w:qFormat/>
    <w:pPr>
      <w:jc w:val="left"/>
    </w:pPr>
  </w:style>
  <w:style w:type="paragraph" w:styleId="774">
    <w:name w:val="Body Text"/>
    <w:basedOn w:val="754"/>
    <w:next w:val="775"/>
    <w:uiPriority w:val="0"/>
    <w:qFormat/>
  </w:style>
  <w:style w:type="paragraph" w:styleId="77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76">
    <w:name w:val="Body Text Indent"/>
    <w:basedOn w:val="754"/>
    <w:next w:val="777"/>
    <w:uiPriority w:val="99"/>
    <w:unhideWhenUsed/>
    <w:qFormat/>
    <w:pPr>
      <w:ind w:left="420"/>
      <w:spacing w:after="120"/>
    </w:pPr>
  </w:style>
  <w:style w:type="paragraph" w:styleId="777">
    <w:name w:val="envelope return"/>
    <w:basedOn w:val="754"/>
    <w:uiPriority w:val="99"/>
    <w:unhideWhenUsed/>
    <w:qFormat/>
    <w:rPr>
      <w:rFonts w:ascii="Arial" w:hAnsi="Arial"/>
    </w:rPr>
  </w:style>
  <w:style w:type="paragraph" w:styleId="778">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779">
    <w:name w:val="toc 5"/>
    <w:basedOn w:val="754"/>
    <w:next w:val="754"/>
    <w:uiPriority w:val="39"/>
    <w:unhideWhenUsed/>
    <w:qFormat/>
    <w:pPr>
      <w:ind w:left="1134" w:right="0" w:firstLine="0"/>
      <w:spacing w:after="57"/>
    </w:pPr>
  </w:style>
  <w:style w:type="paragraph" w:styleId="780">
    <w:name w:val="toc 3"/>
    <w:basedOn w:val="754"/>
    <w:next w:val="754"/>
    <w:uiPriority w:val="39"/>
    <w:unhideWhenUsed/>
    <w:qFormat/>
    <w:pPr>
      <w:ind w:left="567" w:right="0" w:firstLine="0"/>
      <w:spacing w:after="57"/>
    </w:pPr>
  </w:style>
  <w:style w:type="paragraph" w:styleId="781">
    <w:name w:val="toc 8"/>
    <w:basedOn w:val="754"/>
    <w:next w:val="754"/>
    <w:uiPriority w:val="39"/>
    <w:unhideWhenUsed/>
    <w:qFormat/>
    <w:pPr>
      <w:ind w:left="1984" w:right="0" w:firstLine="0"/>
      <w:spacing w:after="57"/>
    </w:pPr>
  </w:style>
  <w:style w:type="paragraph" w:styleId="782">
    <w:name w:val="endnote text"/>
    <w:basedOn w:val="754"/>
    <w:link w:val="949"/>
    <w:uiPriority w:val="99"/>
    <w:semiHidden/>
    <w:unhideWhenUsed/>
    <w:qFormat/>
    <w:pPr>
      <w:spacing w:after="0" w:line="240" w:lineRule="auto"/>
    </w:pPr>
    <w:rPr>
      <w:sz w:val="20"/>
    </w:rPr>
  </w:style>
  <w:style w:type="paragraph" w:styleId="783">
    <w:name w:val="Footer"/>
    <w:basedOn w:val="754"/>
    <w:link w:val="822"/>
    <w:uiPriority w:val="99"/>
    <w:unhideWhenUsed/>
    <w:qFormat/>
    <w:pPr>
      <w:spacing w:after="0" w:line="240" w:lineRule="auto"/>
      <w:tabs>
        <w:tab w:val="center" w:pos="7143" w:leader="none"/>
        <w:tab w:val="right" w:pos="14287" w:leader="none"/>
      </w:tabs>
    </w:pPr>
  </w:style>
  <w:style w:type="paragraph" w:styleId="784">
    <w:name w:val="Header"/>
    <w:basedOn w:val="754"/>
    <w:link w:val="820"/>
    <w:uiPriority w:val="99"/>
    <w:unhideWhenUsed/>
    <w:qFormat/>
    <w:pPr>
      <w:spacing w:after="0" w:line="240" w:lineRule="auto"/>
      <w:tabs>
        <w:tab w:val="center" w:pos="7143" w:leader="none"/>
        <w:tab w:val="right" w:pos="14287" w:leader="none"/>
      </w:tabs>
    </w:pPr>
  </w:style>
  <w:style w:type="paragraph" w:styleId="785">
    <w:name w:val="toc 1"/>
    <w:basedOn w:val="754"/>
    <w:next w:val="754"/>
    <w:uiPriority w:val="39"/>
    <w:unhideWhenUsed/>
    <w:qFormat/>
    <w:pPr>
      <w:ind w:left="0" w:right="0" w:firstLine="0"/>
      <w:spacing w:after="57"/>
    </w:pPr>
  </w:style>
  <w:style w:type="paragraph" w:styleId="786">
    <w:name w:val="toc 4"/>
    <w:basedOn w:val="754"/>
    <w:next w:val="754"/>
    <w:uiPriority w:val="39"/>
    <w:unhideWhenUsed/>
    <w:qFormat/>
    <w:pPr>
      <w:ind w:left="850" w:right="0" w:firstLine="0"/>
      <w:spacing w:after="57"/>
    </w:pPr>
  </w:style>
  <w:style w:type="paragraph" w:styleId="787">
    <w:name w:val="Subtitle"/>
    <w:basedOn w:val="754"/>
    <w:next w:val="754"/>
    <w:link w:val="815"/>
    <w:uiPriority w:val="11"/>
    <w:qFormat/>
    <w:pPr>
      <w:spacing w:before="200" w:after="200"/>
    </w:pPr>
    <w:rPr>
      <w:sz w:val="24"/>
      <w:szCs w:val="24"/>
    </w:rPr>
  </w:style>
  <w:style w:type="paragraph" w:styleId="788">
    <w:name w:val="footnote text"/>
    <w:basedOn w:val="754"/>
    <w:link w:val="948"/>
    <w:uiPriority w:val="99"/>
    <w:semiHidden/>
    <w:unhideWhenUsed/>
    <w:qFormat/>
    <w:pPr>
      <w:spacing w:after="40" w:line="240" w:lineRule="auto"/>
    </w:pPr>
    <w:rPr>
      <w:sz w:val="18"/>
    </w:rPr>
  </w:style>
  <w:style w:type="paragraph" w:styleId="789">
    <w:name w:val="toc 6"/>
    <w:basedOn w:val="754"/>
    <w:next w:val="754"/>
    <w:uiPriority w:val="39"/>
    <w:unhideWhenUsed/>
    <w:qFormat/>
    <w:pPr>
      <w:ind w:left="1417" w:right="0" w:firstLine="0"/>
      <w:spacing w:after="57"/>
    </w:pPr>
  </w:style>
  <w:style w:type="paragraph" w:styleId="790">
    <w:name w:val="table of figures"/>
    <w:basedOn w:val="754"/>
    <w:next w:val="754"/>
    <w:uiPriority w:val="99"/>
    <w:unhideWhenUsed/>
    <w:qFormat/>
    <w:pPr>
      <w:spacing w:after="0" w:afterAutospacing="0"/>
    </w:pPr>
  </w:style>
  <w:style w:type="paragraph" w:styleId="791">
    <w:name w:val="toc 2"/>
    <w:basedOn w:val="754"/>
    <w:next w:val="754"/>
    <w:uiPriority w:val="39"/>
    <w:unhideWhenUsed/>
    <w:qFormat/>
    <w:pPr>
      <w:ind w:left="283" w:right="0" w:firstLine="0"/>
      <w:spacing w:after="57"/>
    </w:pPr>
  </w:style>
  <w:style w:type="paragraph" w:styleId="792">
    <w:name w:val="toc 9"/>
    <w:basedOn w:val="754"/>
    <w:next w:val="754"/>
    <w:uiPriority w:val="39"/>
    <w:unhideWhenUsed/>
    <w:qFormat/>
    <w:pPr>
      <w:ind w:left="2268" w:right="0" w:firstLine="0"/>
      <w:spacing w:after="57"/>
    </w:pPr>
  </w:style>
  <w:style w:type="paragraph" w:styleId="793">
    <w:name w:val="Title"/>
    <w:basedOn w:val="754"/>
    <w:next w:val="754"/>
    <w:link w:val="814"/>
    <w:uiPriority w:val="10"/>
    <w:qFormat/>
    <w:pPr>
      <w:contextualSpacing/>
      <w:spacing w:before="300" w:after="200"/>
    </w:pPr>
    <w:rPr>
      <w:sz w:val="48"/>
      <w:szCs w:val="48"/>
    </w:rPr>
  </w:style>
  <w:style w:type="paragraph" w:styleId="794">
    <w:name w:val="Body Text First Indent"/>
    <w:basedOn w:val="774"/>
    <w:next w:val="795"/>
    <w:uiPriority w:val="99"/>
    <w:qFormat/>
    <w:pPr>
      <w:ind w:firstLine="420"/>
    </w:pPr>
  </w:style>
  <w:style w:type="paragraph" w:styleId="795">
    <w:name w:val="Body Text First Indent 2"/>
    <w:basedOn w:val="776"/>
    <w:next w:val="794"/>
    <w:uiPriority w:val="99"/>
    <w:qFormat/>
    <w:pPr>
      <w:ind w:firstLine="420"/>
      <w:jc w:val="left"/>
      <w:spacing w:line="360" w:lineRule="auto"/>
    </w:pPr>
    <w:rPr>
      <w:sz w:val="24"/>
      <w:szCs w:val="21"/>
      <w:lang w:val="zh-CN"/>
    </w:rPr>
  </w:style>
  <w:style w:type="table" w:styleId="7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Strong"/>
    <w:basedOn w:val="764"/>
    <w:uiPriority w:val="22"/>
    <w:qFormat/>
    <w:rPr>
      <w:b/>
    </w:rPr>
  </w:style>
  <w:style w:type="character" w:styleId="798">
    <w:name w:val="endnote reference"/>
    <w:uiPriority w:val="99"/>
    <w:semiHidden/>
    <w:unhideWhenUsed/>
    <w:qFormat/>
    <w:rPr>
      <w:vertAlign w:val="superscript"/>
    </w:rPr>
  </w:style>
  <w:style w:type="character" w:styleId="799">
    <w:name w:val="page number"/>
    <w:basedOn w:val="764"/>
    <w:uiPriority w:val="0"/>
    <w:qFormat/>
    <w:rPr>
      <w:rFonts w:ascii="黑体" w:hAnsi="黑体" w:eastAsia="黑体" w:cs="Times New Roman"/>
      <w:color w:val="auto"/>
      <w:sz w:val="22"/>
      <w:szCs w:val="22"/>
    </w:rPr>
  </w:style>
  <w:style w:type="character" w:styleId="800">
    <w:name w:val="Hyperlink"/>
    <w:uiPriority w:val="99"/>
    <w:unhideWhenUsed/>
    <w:qFormat/>
    <w:rPr>
      <w:color w:val="0000ff" w:themeColor="hyperlink"/>
      <w:u w:val="single"/>
      <w14:textFill>
        <w14:solidFill>
          <w14:schemeClr w14:val="hlink"/>
        </w14:solidFill>
      </w14:textFill>
    </w:rPr>
  </w:style>
  <w:style w:type="character" w:styleId="801">
    <w:name w:val="footnote reference"/>
    <w:uiPriority w:val="99"/>
    <w:unhideWhenUsed/>
    <w:qFormat/>
    <w:rPr>
      <w:vertAlign w:val="superscript"/>
    </w:rPr>
  </w:style>
  <w:style w:type="paragraph" w:styleId="802"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character" w:styleId="803" w:customStyle="1">
    <w:name w:val="Heading 1 Char"/>
    <w:link w:val="755"/>
    <w:uiPriority w:val="9"/>
    <w:qFormat/>
    <w:rPr>
      <w:rFonts w:ascii="Arial" w:hAnsi="Arial" w:eastAsia="Arial" w:cs="Arial"/>
      <w:sz w:val="40"/>
      <w:szCs w:val="40"/>
    </w:rPr>
  </w:style>
  <w:style w:type="character" w:styleId="804" w:customStyle="1">
    <w:name w:val="Heading 2 Char"/>
    <w:link w:val="756"/>
    <w:uiPriority w:val="9"/>
    <w:qFormat/>
    <w:rPr>
      <w:rFonts w:ascii="Arial" w:hAnsi="Arial" w:eastAsia="Arial" w:cs="Arial"/>
      <w:sz w:val="34"/>
    </w:rPr>
  </w:style>
  <w:style w:type="character" w:styleId="805" w:customStyle="1">
    <w:name w:val="Heading 3 Char"/>
    <w:link w:val="757"/>
    <w:uiPriority w:val="9"/>
    <w:qFormat/>
    <w:rPr>
      <w:rFonts w:ascii="Arial" w:hAnsi="Arial" w:eastAsia="Arial" w:cs="Arial"/>
      <w:sz w:val="30"/>
      <w:szCs w:val="30"/>
    </w:rPr>
  </w:style>
  <w:style w:type="character" w:styleId="806" w:customStyle="1">
    <w:name w:val="Heading 4 Char"/>
    <w:link w:val="758"/>
    <w:uiPriority w:val="9"/>
    <w:qFormat/>
    <w:rPr>
      <w:rFonts w:ascii="Arial" w:hAnsi="Arial" w:eastAsia="Arial" w:cs="Arial"/>
      <w:b/>
      <w:bCs/>
      <w:sz w:val="26"/>
      <w:szCs w:val="26"/>
    </w:rPr>
  </w:style>
  <w:style w:type="character" w:styleId="807" w:customStyle="1">
    <w:name w:val="Heading 5 Char"/>
    <w:link w:val="759"/>
    <w:uiPriority w:val="9"/>
    <w:qFormat/>
    <w:rPr>
      <w:rFonts w:ascii="Arial" w:hAnsi="Arial" w:eastAsia="Arial" w:cs="Arial"/>
      <w:b/>
      <w:bCs/>
      <w:sz w:val="24"/>
      <w:szCs w:val="24"/>
    </w:rPr>
  </w:style>
  <w:style w:type="character" w:styleId="808" w:customStyle="1">
    <w:name w:val="Heading 6 Char"/>
    <w:link w:val="760"/>
    <w:uiPriority w:val="9"/>
    <w:qFormat/>
    <w:rPr>
      <w:rFonts w:ascii="Arial" w:hAnsi="Arial" w:eastAsia="Arial" w:cs="Arial"/>
      <w:b/>
      <w:bCs/>
      <w:sz w:val="22"/>
      <w:szCs w:val="22"/>
    </w:rPr>
  </w:style>
  <w:style w:type="character" w:styleId="809" w:customStyle="1">
    <w:name w:val="Heading 7 Char"/>
    <w:link w:val="761"/>
    <w:uiPriority w:val="9"/>
    <w:qFormat/>
    <w:rPr>
      <w:rFonts w:ascii="Arial" w:hAnsi="Arial" w:eastAsia="Arial" w:cs="Arial"/>
      <w:b/>
      <w:bCs/>
      <w:i/>
      <w:iCs/>
      <w:sz w:val="22"/>
      <w:szCs w:val="22"/>
    </w:rPr>
  </w:style>
  <w:style w:type="character" w:styleId="810" w:customStyle="1">
    <w:name w:val="Heading 8 Char"/>
    <w:link w:val="762"/>
    <w:uiPriority w:val="9"/>
    <w:qFormat/>
    <w:rPr>
      <w:rFonts w:ascii="Arial" w:hAnsi="Arial" w:eastAsia="Arial" w:cs="Arial"/>
      <w:i/>
      <w:iCs/>
      <w:sz w:val="22"/>
      <w:szCs w:val="22"/>
    </w:rPr>
  </w:style>
  <w:style w:type="character" w:styleId="811" w:customStyle="1">
    <w:name w:val="Heading 9 Char"/>
    <w:link w:val="763"/>
    <w:uiPriority w:val="9"/>
    <w:qFormat/>
    <w:rPr>
      <w:rFonts w:ascii="Arial" w:hAnsi="Arial" w:eastAsia="Arial" w:cs="Arial"/>
      <w:i/>
      <w:iCs/>
      <w:sz w:val="21"/>
      <w:szCs w:val="21"/>
    </w:rPr>
  </w:style>
  <w:style w:type="paragraph" w:styleId="812">
    <w:name w:val="List Paragraph"/>
    <w:basedOn w:val="754"/>
    <w:uiPriority w:val="34"/>
    <w:qFormat/>
    <w:pPr>
      <w:contextualSpacing/>
      <w:ind w:left="720"/>
    </w:pPr>
  </w:style>
  <w:style w:type="paragraph" w:styleId="813">
    <w:name w:val="No Spacing"/>
    <w:uiPriority w:val="1"/>
    <w:qFormat/>
    <w:pPr>
      <w:spacing w:before="0" w:after="0" w:line="240" w:lineRule="auto"/>
    </w:pPr>
    <w:rPr>
      <w:rFonts w:hint="default" w:ascii="Times New Roman" w:hAnsi="Times New Roman" w:eastAsia="宋体" w:cs="Times New Roman"/>
    </w:rPr>
  </w:style>
  <w:style w:type="character" w:styleId="814" w:customStyle="1">
    <w:name w:val="Title Char"/>
    <w:link w:val="793"/>
    <w:uiPriority w:val="10"/>
    <w:qFormat/>
    <w:rPr>
      <w:sz w:val="48"/>
      <w:szCs w:val="48"/>
    </w:rPr>
  </w:style>
  <w:style w:type="character" w:styleId="815" w:customStyle="1">
    <w:name w:val="Subtitle Char"/>
    <w:link w:val="787"/>
    <w:uiPriority w:val="11"/>
    <w:qFormat/>
    <w:rPr>
      <w:sz w:val="24"/>
      <w:szCs w:val="24"/>
    </w:rPr>
  </w:style>
  <w:style w:type="paragraph" w:styleId="816">
    <w:name w:val="Quote"/>
    <w:basedOn w:val="754"/>
    <w:next w:val="754"/>
    <w:link w:val="817"/>
    <w:uiPriority w:val="29"/>
    <w:qFormat/>
    <w:pPr>
      <w:ind w:left="720" w:right="720"/>
    </w:pPr>
    <w:rPr>
      <w:i/>
    </w:rPr>
  </w:style>
  <w:style w:type="character" w:styleId="817" w:customStyle="1">
    <w:name w:val="Quote Char"/>
    <w:link w:val="816"/>
    <w:uiPriority w:val="29"/>
    <w:qFormat/>
    <w:rPr>
      <w:i/>
    </w:rPr>
  </w:style>
  <w:style w:type="paragraph" w:styleId="818">
    <w:name w:val="Intense Quote"/>
    <w:basedOn w:val="754"/>
    <w:next w:val="754"/>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Intense Quote Char"/>
    <w:link w:val="818"/>
    <w:uiPriority w:val="30"/>
    <w:qFormat/>
    <w:rPr>
      <w:i/>
    </w:rPr>
  </w:style>
  <w:style w:type="character" w:styleId="820" w:customStyle="1">
    <w:name w:val="Header Char"/>
    <w:link w:val="784"/>
    <w:uiPriority w:val="99"/>
    <w:qFormat/>
  </w:style>
  <w:style w:type="character" w:styleId="821" w:customStyle="1">
    <w:name w:val="Footer Char"/>
    <w:link w:val="783"/>
    <w:uiPriority w:val="99"/>
    <w:qFormat/>
  </w:style>
  <w:style w:type="character" w:styleId="822" w:customStyle="1">
    <w:name w:val="Caption Char"/>
    <w:link w:val="783"/>
    <w:uiPriority w:val="99"/>
    <w:qFormat/>
  </w:style>
  <w:style w:type="table" w:styleId="8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Footnote Text Char"/>
    <w:link w:val="788"/>
    <w:uiPriority w:val="99"/>
    <w:qFormat/>
    <w:rPr>
      <w:sz w:val="18"/>
    </w:rPr>
  </w:style>
  <w:style w:type="character" w:styleId="949" w:customStyle="1">
    <w:name w:val="Endnote Text Char"/>
    <w:link w:val="782"/>
    <w:uiPriority w:val="99"/>
    <w:qFormat/>
    <w:rPr>
      <w:sz w:val="20"/>
    </w:rPr>
  </w:style>
  <w:style w:type="paragraph" w:styleId="950" w:customStyle="1">
    <w:name w:val="TOC Heading"/>
    <w:uiPriority w:val="39"/>
    <w:unhideWhenUsed/>
    <w:qFormat/>
    <w:rPr>
      <w:rFonts w:hint="default" w:ascii="Times New Roman" w:hAnsi="Times New Roman" w:eastAsia="宋体" w:cs="Times New Roman"/>
    </w:rPr>
  </w:style>
  <w:style w:type="paragraph" w:styleId="951" w:customStyle="1">
    <w:name w:val="标题 11"/>
    <w:basedOn w:val="754"/>
    <w:next w:val="754"/>
    <w:link w:val="964"/>
    <w:uiPriority w:val="0"/>
    <w:qFormat/>
    <w:pPr>
      <w:jc w:val="center"/>
      <w:keepLines/>
      <w:keepNext/>
      <w:spacing w:line="578" w:lineRule="auto"/>
      <w:outlineLvl w:val="0"/>
    </w:pPr>
    <w:rPr>
      <w:rFonts w:eastAsia="新宋体"/>
      <w:b/>
      <w:bCs/>
      <w:sz w:val="30"/>
      <w:szCs w:val="44"/>
    </w:rPr>
  </w:style>
  <w:style w:type="paragraph" w:styleId="952" w:customStyle="1">
    <w:name w:val="标题 21"/>
    <w:basedOn w:val="754"/>
    <w:next w:val="754"/>
    <w:uiPriority w:val="99"/>
    <w:qFormat/>
    <w:pPr>
      <w:jc w:val="center"/>
      <w:keepLines/>
      <w:keepNext/>
      <w:spacing w:before="260" w:after="260" w:line="360" w:lineRule="auto"/>
      <w:outlineLvl w:val="1"/>
    </w:pPr>
    <w:rPr>
      <w:rFonts w:ascii="Arial" w:hAnsi="Arial" w:eastAsia="仿宋"/>
      <w:bCs/>
      <w:sz w:val="24"/>
      <w:szCs w:val="32"/>
    </w:rPr>
  </w:style>
  <w:style w:type="paragraph" w:styleId="953" w:customStyle="1">
    <w:name w:val="标题 31"/>
    <w:basedOn w:val="754"/>
    <w:next w:val="754"/>
    <w:link w:val="965"/>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954" w:customStyle="1">
    <w:name w:val="标题 411"/>
    <w:basedOn w:val="754"/>
    <w:next w:val="754"/>
    <w:link w:val="966"/>
    <w:uiPriority w:val="0"/>
    <w:qFormat/>
    <w:pPr>
      <w:keepLines/>
      <w:keepNext/>
      <w:spacing w:before="280" w:after="290" w:line="376" w:lineRule="auto"/>
      <w:outlineLvl w:val="3"/>
    </w:pPr>
    <w:rPr>
      <w:rFonts w:ascii="Calibri Light" w:hAnsi="Calibri Light" w:eastAsia="宋体" w:cs="Times New Roman"/>
      <w:b/>
      <w:bCs/>
      <w:sz w:val="28"/>
      <w:szCs w:val="28"/>
    </w:rPr>
  </w:style>
  <w:style w:type="character" w:styleId="955" w:customStyle="1">
    <w:name w:val="默认段落字体11"/>
    <w:link w:val="754"/>
    <w:uiPriority w:val="1"/>
    <w:unhideWhenUsed/>
    <w:qFormat/>
  </w:style>
  <w:style w:type="table" w:styleId="956" w:customStyle="1">
    <w:name w:val="普通表格1"/>
    <w:uiPriority w:val="99"/>
    <w:unhideWhenUsed/>
    <w:qFormat/>
    <w:tblPr/>
  </w:style>
  <w:style w:type="paragraph" w:styleId="957" w:customStyle="1">
    <w:name w:val="正文文本11"/>
    <w:basedOn w:val="767"/>
    <w:next w:val="754"/>
    <w:uiPriority w:val="0"/>
    <w:qFormat/>
    <w:pPr>
      <w:spacing w:after="120"/>
    </w:pPr>
  </w:style>
  <w:style w:type="paragraph" w:styleId="958" w:customStyle="1">
    <w:name w:val="正文首行缩进1"/>
    <w:basedOn w:val="959"/>
    <w:uiPriority w:val="0"/>
    <w:qFormat/>
    <w:pPr>
      <w:ind w:firstLine="420"/>
      <w:spacing w:after="120"/>
    </w:pPr>
    <w:rPr>
      <w:rFonts w:ascii="Times New Roman"/>
      <w:szCs w:val="24"/>
    </w:rPr>
  </w:style>
  <w:style w:type="paragraph" w:styleId="959" w:customStyle="1">
    <w:name w:val="正文文本1"/>
    <w:basedOn w:val="767"/>
    <w:next w:val="958"/>
    <w:uiPriority w:val="0"/>
    <w:qFormat/>
    <w:pPr>
      <w:spacing w:after="120"/>
    </w:pPr>
    <w:rPr>
      <w:lang w:eastAsia="en-US"/>
    </w:rPr>
  </w:style>
  <w:style w:type="character" w:styleId="960" w:customStyle="1">
    <w:name w:val="16"/>
    <w:basedOn w:val="961"/>
    <w:link w:val="767"/>
    <w:uiPriority w:val="0"/>
    <w:qFormat/>
    <w:rPr>
      <w:rFonts w:ascii="Times New Roman" w:hAnsi="Times New Roman" w:eastAsia="宋体" w:cs="Times New Roman"/>
      <w:sz w:val="21"/>
      <w:szCs w:val="24"/>
      <w:lang w:val="en-US" w:eastAsia="zh-CN" w:bidi="ar-SA"/>
    </w:rPr>
  </w:style>
  <w:style w:type="character" w:styleId="961" w:customStyle="1">
    <w:name w:val="默认段落字体1"/>
    <w:link w:val="767"/>
    <w:uiPriority w:val="0"/>
    <w:semiHidden/>
    <w:qFormat/>
  </w:style>
  <w:style w:type="paragraph" w:styleId="962" w:customStyle="1">
    <w:name w:val="标题 211"/>
    <w:basedOn w:val="963"/>
    <w:next w:val="767"/>
    <w:uiPriority w:val="0"/>
    <w:qFormat/>
    <w:pPr>
      <w:keepLines/>
      <w:keepNext/>
      <w:spacing w:before="260" w:after="260" w:line="416" w:lineRule="auto"/>
      <w:outlineLvl w:val="1"/>
    </w:pPr>
    <w:rPr>
      <w:rFonts w:ascii="Calibri Light" w:hAnsi="Calibri Light"/>
      <w:bCs/>
      <w:sz w:val="32"/>
      <w:szCs w:val="32"/>
    </w:rPr>
  </w:style>
  <w:style w:type="paragraph" w:styleId="963" w:customStyle="1">
    <w:name w:val="正文1111"/>
    <w:next w:val="96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64" w:customStyle="1">
    <w:name w:val="标题 1 字符"/>
    <w:link w:val="951"/>
    <w:uiPriority w:val="0"/>
    <w:qFormat/>
    <w:rPr>
      <w:rFonts w:eastAsia="新宋体"/>
      <w:b/>
      <w:bCs/>
      <w:sz w:val="30"/>
      <w:szCs w:val="44"/>
    </w:rPr>
  </w:style>
  <w:style w:type="character" w:styleId="965" w:customStyle="1">
    <w:name w:val="标题 3 字符"/>
    <w:link w:val="953"/>
    <w:uiPriority w:val="9"/>
    <w:qFormat/>
    <w:rPr>
      <w:rFonts w:ascii="Tahoma" w:hAnsi="Tahoma" w:eastAsia="微软雅黑" w:cs="Times New Roman"/>
      <w:b/>
      <w:bCs/>
      <w:sz w:val="32"/>
      <w:szCs w:val="32"/>
    </w:rPr>
  </w:style>
  <w:style w:type="character" w:styleId="966" w:customStyle="1">
    <w:name w:val="标题 4 字符"/>
    <w:link w:val="954"/>
    <w:uiPriority w:val="0"/>
    <w:semiHidden/>
    <w:qFormat/>
    <w:rPr>
      <w:rFonts w:ascii="Calibri Light" w:hAnsi="Calibri Light" w:eastAsia="宋体" w:cs="Times New Roman"/>
      <w:b/>
      <w:bCs/>
      <w:sz w:val="28"/>
      <w:szCs w:val="28"/>
    </w:rPr>
  </w:style>
  <w:style w:type="paragraph" w:styleId="967" w:customStyle="1">
    <w:name w:val="正文缩进1"/>
    <w:basedOn w:val="754"/>
    <w:uiPriority w:val="0"/>
    <w:qFormat/>
    <w:pPr>
      <w:ind w:firstLine="420"/>
    </w:pPr>
  </w:style>
  <w:style w:type="paragraph" w:styleId="968" w:customStyle="1">
    <w:name w:val="索引 5111"/>
    <w:basedOn w:val="754"/>
    <w:next w:val="754"/>
    <w:uiPriority w:val="0"/>
    <w:qFormat/>
    <w:pPr>
      <w:ind w:left="798"/>
      <w:jc w:val="left"/>
    </w:pPr>
    <w:rPr>
      <w:rFonts w:ascii="Calibri" w:hAnsi="Calibri"/>
    </w:rPr>
  </w:style>
  <w:style w:type="paragraph" w:styleId="969" w:customStyle="1">
    <w:name w:val="批注文字1"/>
    <w:basedOn w:val="754"/>
    <w:link w:val="970"/>
    <w:uiPriority w:val="99"/>
    <w:qFormat/>
    <w:pPr>
      <w:jc w:val="left"/>
    </w:pPr>
  </w:style>
  <w:style w:type="character" w:styleId="970" w:customStyle="1">
    <w:name w:val="批注文字 字符"/>
    <w:link w:val="969"/>
    <w:uiPriority w:val="99"/>
    <w:qFormat/>
    <w:rPr>
      <w:sz w:val="21"/>
      <w:szCs w:val="24"/>
    </w:rPr>
  </w:style>
  <w:style w:type="paragraph" w:styleId="971" w:customStyle="1">
    <w:name w:val="正文文本12"/>
    <w:basedOn w:val="754"/>
    <w:next w:val="754"/>
    <w:uiPriority w:val="0"/>
    <w:qFormat/>
    <w:pPr>
      <w:spacing w:after="120"/>
    </w:pPr>
  </w:style>
  <w:style w:type="paragraph" w:styleId="972" w:customStyle="1">
    <w:name w:val="正文文本缩进12"/>
    <w:basedOn w:val="754"/>
    <w:next w:val="973"/>
    <w:uiPriority w:val="0"/>
    <w:qFormat/>
    <w:pPr>
      <w:ind w:left="420"/>
      <w:spacing w:after="120"/>
    </w:pPr>
    <w:rPr>
      <w:rFonts w:ascii="Calibri" w:hAnsi="Calibri"/>
    </w:rPr>
  </w:style>
  <w:style w:type="paragraph" w:styleId="973" w:customStyle="1">
    <w:name w:val="寄信人地址11"/>
    <w:basedOn w:val="754"/>
    <w:uiPriority w:val="0"/>
    <w:qFormat/>
    <w:rPr>
      <w:rFonts w:ascii="Arial" w:hAnsi="Arial"/>
    </w:rPr>
  </w:style>
  <w:style w:type="paragraph" w:styleId="974" w:customStyle="1">
    <w:name w:val="文本块12"/>
    <w:basedOn w:val="754"/>
    <w:next w:val="754"/>
    <w:uiPriority w:val="6"/>
    <w:unhideWhenUsed/>
    <w:qFormat/>
    <w:pPr>
      <w:ind w:left="1440" w:right="1440"/>
      <w:spacing w:after="120"/>
    </w:pPr>
  </w:style>
  <w:style w:type="paragraph" w:styleId="975" w:customStyle="1">
    <w:name w:val="纯文本11"/>
    <w:basedOn w:val="754"/>
    <w:uiPriority w:val="0"/>
    <w:qFormat/>
    <w:rPr>
      <w:rFonts w:ascii="宋体" w:hAnsi="Courier New"/>
      <w:szCs w:val="20"/>
    </w:rPr>
  </w:style>
  <w:style w:type="paragraph" w:styleId="976" w:customStyle="1">
    <w:name w:val="日期1"/>
    <w:basedOn w:val="754"/>
    <w:next w:val="754"/>
    <w:uiPriority w:val="0"/>
    <w:qFormat/>
    <w:rPr>
      <w:rFonts w:eastAsia="仿宋_GB2312"/>
      <w:sz w:val="28"/>
      <w:szCs w:val="20"/>
    </w:rPr>
  </w:style>
  <w:style w:type="paragraph" w:styleId="977" w:customStyle="1">
    <w:name w:val="批注框文本1"/>
    <w:basedOn w:val="754"/>
    <w:link w:val="978"/>
    <w:uiPriority w:val="0"/>
    <w:qFormat/>
    <w:rPr>
      <w:sz w:val="18"/>
      <w:szCs w:val="18"/>
    </w:rPr>
  </w:style>
  <w:style w:type="character" w:styleId="978" w:customStyle="1">
    <w:name w:val="批注框文本 字符"/>
    <w:link w:val="977"/>
    <w:uiPriority w:val="0"/>
    <w:qFormat/>
    <w:rPr>
      <w:rFonts w:ascii="Times New Roman" w:hAnsi="Times New Roman" w:eastAsia="宋体" w:cs="Times New Roman"/>
      <w:sz w:val="18"/>
      <w:szCs w:val="18"/>
    </w:rPr>
  </w:style>
  <w:style w:type="paragraph" w:styleId="979" w:customStyle="1">
    <w:name w:val="页脚111"/>
    <w:basedOn w:val="754"/>
    <w:link w:val="980"/>
    <w:uiPriority w:val="99"/>
    <w:qFormat/>
    <w:pPr>
      <w:jc w:val="left"/>
      <w:tabs>
        <w:tab w:val="center" w:pos="4153" w:leader="none"/>
        <w:tab w:val="right" w:pos="8306" w:leader="none"/>
      </w:tabs>
    </w:pPr>
    <w:rPr>
      <w:sz w:val="18"/>
      <w:szCs w:val="18"/>
    </w:rPr>
  </w:style>
  <w:style w:type="character" w:styleId="980" w:customStyle="1">
    <w:name w:val="页脚 字符"/>
    <w:link w:val="979"/>
    <w:uiPriority w:val="99"/>
    <w:qFormat/>
    <w:rPr>
      <w:rFonts w:ascii="Times New Roman" w:hAnsi="Times New Roman" w:eastAsia="宋体" w:cs="Times New Roman"/>
      <w:sz w:val="18"/>
      <w:szCs w:val="18"/>
    </w:rPr>
  </w:style>
  <w:style w:type="paragraph" w:styleId="981" w:customStyle="1">
    <w:name w:val="页眉1"/>
    <w:basedOn w:val="754"/>
    <w:uiPriority w:val="99"/>
    <w:qFormat/>
    <w:pPr>
      <w:jc w:val="center"/>
      <w:tabs>
        <w:tab w:val="center" w:pos="4153" w:leader="none"/>
        <w:tab w:val="right" w:pos="8306" w:leader="none"/>
      </w:tabs>
      <w:pBdr>
        <w:bottom w:val="single" w:color="000000" w:sz="6" w:space="1"/>
      </w:pBdr>
    </w:pPr>
    <w:rPr>
      <w:sz w:val="18"/>
      <w:szCs w:val="18"/>
    </w:rPr>
  </w:style>
  <w:style w:type="paragraph" w:styleId="982" w:customStyle="1">
    <w:name w:val="目录 11111"/>
    <w:basedOn w:val="754"/>
    <w:next w:val="754"/>
    <w:uiPriority w:val="39"/>
    <w:qFormat/>
  </w:style>
  <w:style w:type="paragraph" w:styleId="983" w:customStyle="1">
    <w:name w:val="脚注文本111"/>
    <w:basedOn w:val="754"/>
    <w:next w:val="968"/>
    <w:link w:val="984"/>
    <w:uiPriority w:val="99"/>
    <w:qFormat/>
    <w:pPr>
      <w:jc w:val="left"/>
    </w:pPr>
    <w:rPr>
      <w:rFonts w:ascii="宋体" w:eastAsia="Times New Roman"/>
      <w:sz w:val="18"/>
      <w:szCs w:val="18"/>
    </w:rPr>
  </w:style>
  <w:style w:type="character" w:styleId="984" w:customStyle="1">
    <w:name w:val="脚注文本 字符"/>
    <w:link w:val="983"/>
    <w:uiPriority w:val="99"/>
    <w:qFormat/>
    <w:rPr>
      <w:rFonts w:ascii="宋体" w:hAnsi="Times New Roman" w:eastAsia="Times New Roman" w:cs="Times New Roman"/>
      <w:sz w:val="18"/>
      <w:szCs w:val="18"/>
    </w:rPr>
  </w:style>
  <w:style w:type="paragraph" w:styleId="985" w:customStyle="1">
    <w:name w:val="目录 21"/>
    <w:basedOn w:val="754"/>
    <w:next w:val="754"/>
    <w:uiPriority w:val="0"/>
    <w:unhideWhenUsed/>
    <w:qFormat/>
    <w:pPr>
      <w:ind w:left="420"/>
    </w:pPr>
  </w:style>
  <w:style w:type="paragraph" w:styleId="986" w:customStyle="1">
    <w:name w:val="普通(网站)1"/>
    <w:basedOn w:val="754"/>
    <w:uiPriority w:val="99"/>
    <w:qFormat/>
    <w:pPr>
      <w:jc w:val="left"/>
      <w:spacing w:before="100" w:beforeAutospacing="1" w:after="100" w:afterAutospacing="1"/>
      <w:widowControl/>
    </w:pPr>
    <w:rPr>
      <w:rFonts w:ascii="宋体" w:hAnsi="宋体" w:cs="宋体"/>
      <w:sz w:val="24"/>
    </w:rPr>
  </w:style>
  <w:style w:type="paragraph" w:styleId="987" w:customStyle="1">
    <w:name w:val="批注主题1"/>
    <w:basedOn w:val="969"/>
    <w:next w:val="969"/>
    <w:link w:val="988"/>
    <w:uiPriority w:val="0"/>
    <w:unhideWhenUsed/>
    <w:qFormat/>
    <w:rPr>
      <w:b/>
      <w:bCs/>
    </w:rPr>
  </w:style>
  <w:style w:type="character" w:styleId="988" w:customStyle="1">
    <w:name w:val="批注主题 字符"/>
    <w:link w:val="987"/>
    <w:uiPriority w:val="0"/>
    <w:semiHidden/>
    <w:qFormat/>
    <w:rPr>
      <w:b/>
      <w:bCs/>
      <w:sz w:val="21"/>
      <w:szCs w:val="24"/>
    </w:rPr>
  </w:style>
  <w:style w:type="paragraph" w:styleId="989" w:customStyle="1">
    <w:name w:val="正文首行缩进 21"/>
    <w:basedOn w:val="972"/>
    <w:uiPriority w:val="0"/>
    <w:qFormat/>
    <w:pPr>
      <w:ind w:firstLine="420"/>
    </w:pPr>
  </w:style>
  <w:style w:type="table" w:styleId="990" w:customStyle="1">
    <w:name w:val="网格型1"/>
    <w:basedOn w:val="956"/>
    <w:uiPriority w:val="39"/>
    <w:qFormat/>
    <w:tblPr/>
  </w:style>
  <w:style w:type="character" w:styleId="991" w:customStyle="1">
    <w:name w:val="要点1"/>
    <w:basedOn w:val="955"/>
    <w:link w:val="754"/>
    <w:uiPriority w:val="0"/>
    <w:qFormat/>
    <w:rPr>
      <w:b/>
    </w:rPr>
  </w:style>
  <w:style w:type="character" w:styleId="992" w:customStyle="1">
    <w:name w:val="页码11"/>
    <w:link w:val="754"/>
    <w:uiPriority w:val="0"/>
    <w:qFormat/>
  </w:style>
  <w:style w:type="character" w:styleId="993" w:customStyle="1">
    <w:name w:val="超链接111"/>
    <w:link w:val="754"/>
    <w:uiPriority w:val="99"/>
    <w:unhideWhenUsed/>
    <w:qFormat/>
    <w:rPr>
      <w:color w:val="0000ff"/>
      <w:u w:val="single"/>
    </w:rPr>
  </w:style>
  <w:style w:type="character" w:styleId="994" w:customStyle="1">
    <w:name w:val="批注引用1"/>
    <w:link w:val="754"/>
    <w:uiPriority w:val="0"/>
    <w:unhideWhenUsed/>
    <w:qFormat/>
    <w:rPr>
      <w:sz w:val="21"/>
      <w:szCs w:val="21"/>
    </w:rPr>
  </w:style>
  <w:style w:type="paragraph" w:styleId="995" w:customStyle="1">
    <w:name w:val="正文首行缩进11"/>
    <w:basedOn w:val="754"/>
    <w:next w:val="996"/>
    <w:uiPriority w:val="0"/>
    <w:qFormat/>
    <w:pPr>
      <w:ind w:firstLine="420"/>
    </w:pPr>
    <w:rPr>
      <w:rFonts w:ascii="仿宋_GB2312" w:hAnsi="Times New Roman" w:eastAsia="仿宋_GB2312"/>
      <w:sz w:val="30"/>
      <w:szCs w:val="30"/>
    </w:rPr>
  </w:style>
  <w:style w:type="paragraph" w:styleId="996" w:customStyle="1">
    <w:name w:val="正文首行缩进 211"/>
    <w:basedOn w:val="997"/>
    <w:next w:val="998"/>
    <w:uiPriority w:val="0"/>
    <w:qFormat/>
    <w:pPr>
      <w:ind w:firstLine="420"/>
    </w:pPr>
    <w:rPr>
      <w:sz w:val="24"/>
    </w:rPr>
  </w:style>
  <w:style w:type="paragraph" w:styleId="997" w:customStyle="1">
    <w:name w:val="正文文本缩进11"/>
    <w:basedOn w:val="998"/>
    <w:next w:val="998"/>
    <w:uiPriority w:val="0"/>
    <w:qFormat/>
    <w:pPr>
      <w:ind w:firstLine="425"/>
      <w:spacing w:line="360" w:lineRule="auto"/>
    </w:pPr>
  </w:style>
  <w:style w:type="paragraph" w:styleId="998" w:customStyle="1">
    <w:name w:val="正文112"/>
    <w:next w:val="958"/>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99" w:customStyle="1">
    <w:name w:val="font141"/>
    <w:link w:val="754"/>
    <w:uiPriority w:val="0"/>
    <w:qFormat/>
    <w:rPr>
      <w:rFonts w:hint="eastAsia" w:ascii="仿宋" w:hAnsi="仿宋" w:eastAsia="仿宋" w:cs="仿宋"/>
      <w:color w:val="000000"/>
      <w:sz w:val="22"/>
      <w:szCs w:val="22"/>
      <w:u w:val="none"/>
    </w:rPr>
  </w:style>
  <w:style w:type="character" w:styleId="1000" w:customStyle="1">
    <w:name w:val="超链接1"/>
    <w:link w:val="754"/>
    <w:uiPriority w:val="0"/>
    <w:qFormat/>
    <w:rPr>
      <w:sz w:val="21"/>
      <w:szCs w:val="24"/>
      <w:lang w:val="en-US" w:eastAsia="zh-CN" w:bidi="ar-SA"/>
    </w:rPr>
  </w:style>
  <w:style w:type="paragraph" w:styleId="1001" w:customStyle="1">
    <w:name w:val="正文12"/>
    <w:next w:val="100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02" w:customStyle="1">
    <w:name w:val="文本块11"/>
    <w:basedOn w:val="1001"/>
    <w:uiPriority w:val="0"/>
    <w:qFormat/>
    <w:pPr>
      <w:ind w:left="420" w:right="33"/>
      <w:jc w:val="left"/>
    </w:pPr>
    <w:rPr>
      <w:sz w:val="24"/>
      <w:szCs w:val="20"/>
    </w:rPr>
  </w:style>
  <w:style w:type="character" w:styleId="1003" w:customStyle="1">
    <w:name w:val="font121"/>
    <w:link w:val="754"/>
    <w:uiPriority w:val="0"/>
    <w:qFormat/>
    <w:rPr>
      <w:rFonts w:hint="eastAsia" w:ascii="宋体" w:hAnsi="宋体" w:eastAsia="宋体" w:cs="宋体"/>
      <w:color w:val="000000"/>
      <w:sz w:val="20"/>
      <w:szCs w:val="20"/>
      <w:u w:val="none"/>
    </w:rPr>
  </w:style>
  <w:style w:type="character" w:styleId="1004" w:customStyle="1">
    <w:name w:val="超链接11"/>
    <w:link w:val="1005"/>
    <w:uiPriority w:val="0"/>
    <w:qFormat/>
    <w:rPr>
      <w:sz w:val="21"/>
      <w:szCs w:val="24"/>
    </w:rPr>
  </w:style>
  <w:style w:type="paragraph" w:styleId="1005" w:customStyle="1">
    <w:name w:val="正文1"/>
    <w:basedOn w:val="767"/>
    <w:next w:val="1006"/>
    <w:link w:val="1004"/>
    <w:uiPriority w:val="0"/>
    <w:qFormat/>
    <w:pPr>
      <w:jc w:val="both"/>
      <w:widowControl w:val="off"/>
    </w:pPr>
    <w:rPr>
      <w:sz w:val="21"/>
      <w:szCs w:val="24"/>
      <w:lang w:val="en-US" w:eastAsia="zh-CN" w:bidi="ar-SA"/>
    </w:rPr>
  </w:style>
  <w:style w:type="paragraph" w:styleId="1006" w:customStyle="1">
    <w:name w:val="脚注文本1"/>
    <w:basedOn w:val="1007"/>
    <w:next w:val="1009"/>
    <w:uiPriority w:val="0"/>
    <w:qFormat/>
    <w:pPr>
      <w:jc w:val="left"/>
    </w:pPr>
    <w:rPr>
      <w:rFonts w:ascii="宋体" w:eastAsia="Times New Roman"/>
      <w:sz w:val="18"/>
      <w:szCs w:val="18"/>
    </w:rPr>
  </w:style>
  <w:style w:type="paragraph" w:styleId="1007" w:customStyle="1">
    <w:name w:val="正文111"/>
    <w:next w:val="10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8" w:customStyle="1">
    <w:name w:val="目录 111"/>
    <w:basedOn w:val="1005"/>
    <w:next w:val="754"/>
    <w:uiPriority w:val="0"/>
    <w:qFormat/>
    <w:pPr>
      <w:jc w:val="left"/>
      <w:spacing w:after="100" w:line="259" w:lineRule="auto"/>
      <w:widowControl/>
    </w:pPr>
    <w:rPr>
      <w:rFonts w:ascii="Calibri" w:hAnsi="Calibri"/>
      <w:sz w:val="22"/>
      <w:szCs w:val="22"/>
    </w:rPr>
  </w:style>
  <w:style w:type="paragraph" w:styleId="1009" w:customStyle="1">
    <w:name w:val="索引 51"/>
    <w:basedOn w:val="1005"/>
    <w:next w:val="1005"/>
    <w:uiPriority w:val="0"/>
    <w:qFormat/>
    <w:pPr>
      <w:ind w:left="798"/>
      <w:jc w:val="left"/>
    </w:pPr>
    <w:rPr>
      <w:rFonts w:ascii="Calibri" w:hAnsi="Calibri"/>
    </w:rPr>
  </w:style>
  <w:style w:type="paragraph" w:styleId="1010" w:customStyle="1">
    <w:name w:val="文本块1"/>
    <w:basedOn w:val="767"/>
    <w:uiPriority w:val="0"/>
    <w:qFormat/>
    <w:pPr>
      <w:ind w:left="1440" w:right="1440"/>
      <w:spacing w:after="120"/>
    </w:pPr>
  </w:style>
  <w:style w:type="paragraph" w:styleId="1011" w:customStyle="1">
    <w:name w:val="标题 41"/>
    <w:basedOn w:val="1012"/>
    <w:next w:val="1007"/>
    <w:uiPriority w:val="0"/>
    <w:qFormat/>
    <w:pPr>
      <w:keepLines/>
      <w:keepNext/>
      <w:spacing w:before="280" w:after="290" w:line="376" w:lineRule="auto"/>
      <w:outlineLvl w:val="3"/>
    </w:pPr>
    <w:rPr>
      <w:rFonts w:ascii="Cambria" w:hAnsi="Cambria"/>
      <w:sz w:val="28"/>
      <w:szCs w:val="28"/>
    </w:rPr>
  </w:style>
  <w:style w:type="paragraph" w:styleId="1012" w:customStyle="1">
    <w:name w:val="标题1"/>
    <w:basedOn w:val="1007"/>
    <w:next w:val="998"/>
    <w:uiPriority w:val="0"/>
    <w:qFormat/>
    <w:pPr>
      <w:jc w:val="center"/>
      <w:spacing w:before="300" w:after="300"/>
      <w:outlineLvl w:val="0"/>
    </w:pPr>
    <w:rPr>
      <w:rFonts w:ascii="Cambria" w:hAnsi="Cambria" w:eastAsia="仿宋_GB2312"/>
      <w:b/>
      <w:bCs/>
      <w:sz w:val="36"/>
      <w:szCs w:val="32"/>
    </w:rPr>
  </w:style>
  <w:style w:type="paragraph" w:styleId="1013" w:customStyle="1">
    <w:name w:val="一级条标题"/>
    <w:basedOn w:val="1014"/>
    <w:next w:val="10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4" w:customStyle="1">
    <w:name w:val="章标题"/>
    <w:basedOn w:val="754"/>
    <w:next w:val="75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15" w:customStyle="1">
    <w:name w:val="段"/>
    <w:basedOn w:val="1005"/>
    <w:next w:val="754"/>
    <w:uiPriority w:val="0"/>
    <w:qFormat/>
    <w:pPr>
      <w:ind w:firstLine="200"/>
      <w:widowControl/>
    </w:pPr>
    <w:rPr>
      <w:rFonts w:hint="eastAsia" w:ascii="宋体"/>
    </w:rPr>
  </w:style>
  <w:style w:type="character" w:styleId="1016" w:customStyle="1">
    <w:name w:val="页码1"/>
    <w:link w:val="754"/>
    <w:uiPriority w:val="0"/>
    <w:qFormat/>
  </w:style>
  <w:style w:type="character" w:styleId="1017" w:customStyle="1">
    <w:name w:val="font01"/>
    <w:link w:val="754"/>
    <w:uiPriority w:val="0"/>
    <w:qFormat/>
    <w:rPr>
      <w:rFonts w:hint="eastAsia" w:ascii="宋体" w:hAnsi="宋体" w:eastAsia="宋体" w:cs="宋体"/>
      <w:b/>
      <w:color w:val="000000"/>
      <w:sz w:val="20"/>
      <w:szCs w:val="20"/>
      <w:u w:val="none"/>
    </w:rPr>
  </w:style>
  <w:style w:type="character" w:styleId="1018" w:customStyle="1">
    <w:name w:val="NormalCharacter1"/>
    <w:link w:val="754"/>
    <w:uiPriority w:val="0"/>
    <w:semiHidden/>
    <w:qFormat/>
    <w:rPr>
      <w:sz w:val="28"/>
      <w:lang w:val="en-US" w:eastAsia="zh-CN" w:bidi="ar-SA"/>
    </w:rPr>
  </w:style>
  <w:style w:type="paragraph" w:styleId="1019" w:customStyle="1">
    <w:name w:val="179"/>
    <w:basedOn w:val="754"/>
    <w:uiPriority w:val="0"/>
    <w:qFormat/>
    <w:pPr>
      <w:ind w:firstLine="420"/>
      <w:jc w:val="left"/>
      <w:widowControl/>
    </w:pPr>
    <w:rPr>
      <w:rFonts w:ascii="宋体" w:hAnsi="宋体"/>
      <w:sz w:val="24"/>
    </w:rPr>
  </w:style>
  <w:style w:type="paragraph" w:styleId="1020" w:customStyle="1">
    <w:name w:val="p0"/>
    <w:basedOn w:val="767"/>
    <w:uiPriority w:val="0"/>
    <w:qFormat/>
    <w:pPr>
      <w:widowControl/>
    </w:pPr>
    <w:rPr>
      <w:szCs w:val="21"/>
    </w:rPr>
  </w:style>
  <w:style w:type="paragraph" w:styleId="1021" w:customStyle="1">
    <w:name w:val="Table Paragraph"/>
    <w:basedOn w:val="754"/>
    <w:uiPriority w:val="1"/>
    <w:qFormat/>
    <w:pPr>
      <w:jc w:val="left"/>
    </w:pPr>
    <w:rPr>
      <w:rFonts w:ascii="Arial Unicode MS" w:hAnsi="Arial Unicode MS" w:eastAsia="Arial Unicode MS" w:cs="Arial Unicode MS"/>
      <w:sz w:val="22"/>
      <w:szCs w:val="22"/>
      <w:lang w:val="zh-CN" w:bidi="zh-CN"/>
    </w:rPr>
  </w:style>
  <w:style w:type="paragraph" w:styleId="1022" w:customStyle="1">
    <w:name w:val="列出段落"/>
    <w:basedOn w:val="754"/>
    <w:uiPriority w:val="34"/>
    <w:qFormat/>
    <w:pPr>
      <w:ind w:firstLine="420"/>
    </w:pPr>
  </w:style>
  <w:style w:type="paragraph" w:styleId="1023" w:customStyle="1">
    <w:name w:val="目录 1111"/>
    <w:basedOn w:val="754"/>
    <w:next w:val="754"/>
    <w:uiPriority w:val="39"/>
    <w:unhideWhenUsed/>
    <w:qFormat/>
    <w:pPr>
      <w:jc w:val="left"/>
      <w:spacing w:after="100" w:line="259" w:lineRule="auto"/>
      <w:widowControl/>
    </w:pPr>
    <w:rPr>
      <w:rFonts w:ascii="Calibri" w:hAnsi="Calibri" w:eastAsia="宋体"/>
      <w:sz w:val="22"/>
      <w:szCs w:val="22"/>
    </w:rPr>
  </w:style>
  <w:style w:type="paragraph" w:styleId="1024" w:customStyle="1">
    <w:name w:val="BlockQuote1"/>
    <w:basedOn w:val="1007"/>
    <w:uiPriority w:val="0"/>
    <w:qFormat/>
    <w:pPr>
      <w:ind w:left="256" w:right="6" w:firstLine="624"/>
    </w:pPr>
    <w:rPr>
      <w:rFonts w:eastAsia="仿宋_GB2312"/>
      <w:sz w:val="28"/>
    </w:rPr>
  </w:style>
  <w:style w:type="paragraph" w:styleId="102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6" w:customStyle="1">
    <w:name w:val="*正文"/>
    <w:basedOn w:val="754"/>
    <w:uiPriority w:val="0"/>
    <w:qFormat/>
    <w:pPr>
      <w:ind w:firstLine="480"/>
      <w:spacing w:line="440" w:lineRule="exact"/>
    </w:pPr>
    <w:rPr>
      <w:rFonts w:ascii="仿宋" w:hAnsi="仿宋" w:eastAsia="仿宋"/>
      <w:sz w:val="24"/>
    </w:rPr>
  </w:style>
  <w:style w:type="paragraph" w:styleId="1027" w:customStyle="1">
    <w:name w:val="页脚1"/>
    <w:basedOn w:val="1005"/>
    <w:uiPriority w:val="0"/>
    <w:qFormat/>
    <w:pPr>
      <w:jc w:val="left"/>
      <w:tabs>
        <w:tab w:val="center" w:pos="4153" w:leader="none"/>
        <w:tab w:val="right" w:pos="8306" w:leader="none"/>
      </w:tabs>
    </w:pPr>
    <w:rPr>
      <w:sz w:val="18"/>
      <w:szCs w:val="18"/>
    </w:rPr>
  </w:style>
  <w:style w:type="paragraph" w:styleId="1028" w:customStyle="1">
    <w:name w:val="页眉11"/>
    <w:basedOn w:val="963"/>
    <w:uiPriority w:val="0"/>
    <w:qFormat/>
    <w:pPr>
      <w:jc w:val="center"/>
      <w:tabs>
        <w:tab w:val="center" w:pos="4153" w:leader="none"/>
        <w:tab w:val="right" w:pos="8306" w:leader="none"/>
      </w:tabs>
      <w:pBdr>
        <w:bottom w:val="single" w:color="000000" w:sz="6" w:space="1"/>
      </w:pBdr>
    </w:pPr>
    <w:rPr>
      <w:sz w:val="18"/>
      <w:szCs w:val="18"/>
    </w:rPr>
  </w:style>
  <w:style w:type="paragraph" w:styleId="1029" w:customStyle="1">
    <w:name w:val="页脚11"/>
    <w:basedOn w:val="963"/>
    <w:uiPriority w:val="0"/>
    <w:qFormat/>
    <w:pPr>
      <w:jc w:val="left"/>
      <w:tabs>
        <w:tab w:val="center" w:pos="4153" w:leader="none"/>
        <w:tab w:val="right" w:pos="8306" w:leader="none"/>
      </w:tabs>
    </w:pPr>
    <w:rPr>
      <w:sz w:val="18"/>
      <w:szCs w:val="18"/>
    </w:rPr>
  </w:style>
  <w:style w:type="paragraph" w:styleId="1030" w:customStyle="1">
    <w:name w:val="标准"/>
    <w:basedOn w:val="754"/>
    <w:uiPriority w:val="0"/>
    <w:qFormat/>
    <w:pPr>
      <w:ind w:firstLine="200"/>
      <w:spacing w:line="360" w:lineRule="auto"/>
    </w:pPr>
    <w:rPr>
      <w:rFonts w:cs="宋体"/>
      <w:szCs w:val="21"/>
    </w:rPr>
  </w:style>
  <w:style w:type="paragraph" w:styleId="1031" w:customStyle="1">
    <w:name w:val="列出段落2"/>
    <w:basedOn w:val="754"/>
    <w:uiPriority w:val="34"/>
    <w:qFormat/>
    <w:pPr>
      <w:ind w:firstLine="420"/>
    </w:pPr>
  </w:style>
  <w:style w:type="paragraph" w:styleId="1032" w:customStyle="1">
    <w:name w:val="目录 1112"/>
    <w:basedOn w:val="754"/>
    <w:next w:val="754"/>
    <w:uiPriority w:val="39"/>
    <w:qFormat/>
  </w:style>
  <w:style w:type="paragraph" w:styleId="1033" w:customStyle="1">
    <w:name w:val="脚注文本11"/>
    <w:basedOn w:val="754"/>
    <w:next w:val="1034"/>
    <w:uiPriority w:val="0"/>
    <w:unhideWhenUsed/>
    <w:qFormat/>
    <w:pPr>
      <w:spacing w:after="40"/>
    </w:pPr>
    <w:rPr>
      <w:sz w:val="18"/>
    </w:rPr>
  </w:style>
  <w:style w:type="paragraph" w:styleId="1034" w:customStyle="1">
    <w:name w:val="索引 511"/>
    <w:basedOn w:val="754"/>
    <w:next w:val="754"/>
    <w:uiPriority w:val="0"/>
    <w:qFormat/>
    <w:pPr>
      <w:ind w:left="798"/>
      <w:jc w:val="left"/>
    </w:pPr>
    <w:rPr>
      <w:rFonts w:ascii="Calibri" w:hAnsi="Calibri"/>
      <w:sz w:val="21"/>
    </w:rPr>
  </w:style>
  <w:style w:type="paragraph" w:styleId="1035" w:customStyle="1">
    <w:name w:val="样式 样式 样式 样式 小四 左 首行缩进:  2 字符 + 首行缩进:  2 字符 Char + 右  0 字符1 + 首行缩...3"/>
    <w:basedOn w:val="754"/>
    <w:uiPriority w:val="99"/>
    <w:qFormat/>
    <w:pPr>
      <w:ind w:firstLine="480"/>
      <w:jc w:val="left"/>
      <w:spacing w:line="360" w:lineRule="auto"/>
    </w:pPr>
    <w:rPr>
      <w:sz w:val="24"/>
    </w:rPr>
  </w:style>
  <w:style w:type="paragraph" w:styleId="1036" w:customStyle="1">
    <w:name w:val="纯文本1"/>
    <w:basedOn w:val="1007"/>
    <w:uiPriority w:val="0"/>
    <w:qFormat/>
    <w:rPr>
      <w:rFonts w:ascii="宋体" w:hAnsi="Courier New"/>
      <w:szCs w:val="21"/>
    </w:rPr>
  </w:style>
  <w:style w:type="paragraph" w:styleId="1037" w:customStyle="1">
    <w:name w:val="Table Text"/>
    <w:basedOn w:val="754"/>
    <w:uiPriority w:val="0"/>
    <w:semiHidden/>
    <w:qFormat/>
    <w:rPr>
      <w:rFonts w:ascii="宋体" w:hAnsi="宋体" w:eastAsia="宋体" w:cs="宋体"/>
      <w:sz w:val="32"/>
      <w:szCs w:val="32"/>
      <w:lang w:val="en-US" w:eastAsia="en-US" w:bidi="ar-SA"/>
    </w:rPr>
  </w:style>
  <w:style w:type="paragraph" w:styleId="1038" w:customStyle="1">
    <w:name w:val="Heading21"/>
    <w:basedOn w:val="754"/>
    <w:next w:val="754"/>
    <w:uiPriority w:val="0"/>
    <w:qFormat/>
    <w:pPr>
      <w:jc w:val="left"/>
      <w:keepLines/>
      <w:keepNext/>
      <w:spacing w:before="260" w:after="260" w:line="416" w:lineRule="auto"/>
    </w:pPr>
    <w:rPr>
      <w:rFonts w:ascii="Calibri Light" w:hAnsi="Calibri Light"/>
      <w:b/>
      <w:bCs/>
      <w:sz w:val="24"/>
      <w:szCs w:val="32"/>
    </w:rPr>
  </w:style>
  <w:style w:type="paragraph" w:styleId="1039" w:customStyle="1">
    <w:name w:val="文本块111"/>
    <w:basedOn w:val="754"/>
    <w:next w:val="754"/>
    <w:uiPriority w:val="6"/>
    <w:unhideWhenUsed/>
    <w:qFormat/>
    <w:pPr>
      <w:ind w:left="1440" w:right="1440"/>
      <w:spacing w:after="120"/>
    </w:pPr>
  </w:style>
  <w:style w:type="paragraph" w:styleId="1040" w:customStyle="1">
    <w:name w:val="正文文本缩进1"/>
    <w:basedOn w:val="1005"/>
    <w:next w:val="1041"/>
    <w:uiPriority w:val="0"/>
    <w:qFormat/>
    <w:pPr>
      <w:ind w:left="420"/>
      <w:spacing w:after="120"/>
    </w:pPr>
  </w:style>
  <w:style w:type="paragraph" w:styleId="1041" w:customStyle="1">
    <w:name w:val="寄信人地址1"/>
    <w:basedOn w:val="767"/>
    <w:uiPriority w:val="0"/>
    <w:qFormat/>
    <w:rPr>
      <w:rFonts w:ascii="Arial" w:hAnsi="Arial"/>
    </w:rPr>
  </w:style>
  <w:style w:type="paragraph" w:styleId="1042" w:customStyle="1">
    <w:name w:val="17"/>
    <w:uiPriority w:val="0"/>
    <w:qFormat/>
    <w:pPr>
      <w:jc w:val="both"/>
      <w:widowControl w:val="off"/>
    </w:pPr>
    <w:rPr>
      <w:rFonts w:hint="default" w:ascii="Calibri" w:hAnsi="Calibri" w:eastAsia="宋体" w:cs="Times New Roman"/>
      <w:sz w:val="21"/>
      <w:szCs w:val="22"/>
      <w:lang w:val="en-US" w:eastAsia="zh-CN" w:bidi="ar-SA"/>
    </w:rPr>
  </w:style>
  <w:style w:type="paragraph" w:styleId="1043" w:customStyle="1">
    <w:name w:val="15_0"/>
    <w:basedOn w:val="754"/>
    <w:uiPriority w:val="0"/>
    <w:qFormat/>
    <w:pPr>
      <w:jc w:val="left"/>
      <w:spacing w:after="0" w:line="240" w:lineRule="auto"/>
      <w:widowControl/>
    </w:pPr>
    <w:rPr>
      <w:rFonts w:eastAsia="Times New Roman"/>
      <w:sz w:val="24"/>
      <w:lang w:eastAsia="en-US"/>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江涛</cp:lastModifiedBy>
  <cp:revision>13</cp:revision>
  <dcterms:created xsi:type="dcterms:W3CDTF">2025-11-05T03:23:00Z</dcterms:created>
  <dcterms:modified xsi:type="dcterms:W3CDTF">2026-08-04T09:23:29Z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eyJoZGlkIjoiYmQzZjE3NmJiMGI4ZDVkZDZmY2Q1MjczMmVhMjc4NGEiLCJ1c2VySWQiOiI1Mjk5MjUwODcifQ==</vt:lpwstr>
  </property>
  <property fmtid="{D5CDD505-2E9C-101B-9397-08002B2CF9AE}" pid="3" name="KSOProductBuildVer">
    <vt:lpwstr>2052-12.1.0.15374</vt:lpwstr>
  </property>
  <property fmtid="{D5CDD505-2E9C-101B-9397-08002B2CF9AE}" pid="4" name="ICV">
    <vt:lpwstr>D74E5E1B613935672DF6386A769CAFA8_43</vt:lpwstr>
  </property>
</Properties>
</file>