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7"/>
        <w:ind w:firstLine="0"/>
        <w:rPr>
          <w:rFonts w:hint="eastAsia" w:ascii="宋体" w:hAnsi="宋体" w:cs="宋体"/>
          <w:color w:val="000000"/>
          <w:sz w:val="84"/>
          <w:highlight w:val="none"/>
        </w:rPr>
      </w:pPr>
      <w:r>
        <w:rPr>
          <w:rFonts w:hint="eastAsia" w:ascii="宋体" w:hAnsi="宋体" w:cs="宋体"/>
          <w:color w:val="000000"/>
          <w:sz w:val="84"/>
          <w:highlight w:val="none"/>
        </w:rPr>
      </w:r>
      <w:r/>
    </w:p>
    <w:p>
      <w:pPr>
        <w:pStyle w:val="1013"/>
        <w:jc w:val="center"/>
        <w:rPr>
          <w:rFonts w:hint="eastAsia" w:ascii="黑体" w:hAnsi="黑体" w:eastAsia="黑体" w:cs="黑体"/>
          <w:color w:val="000000"/>
          <w:sz w:val="96"/>
          <w:szCs w:val="96"/>
          <w:highlight w:val="none"/>
        </w:rPr>
      </w:pPr>
      <w:r>
        <w:rPr>
          <w:rFonts w:hint="eastAsia" w:ascii="黑体" w:hAnsi="黑体" w:eastAsia="黑体" w:cs="黑体"/>
          <w:color w:val="000000"/>
          <w:sz w:val="96"/>
          <w:szCs w:val="96"/>
          <w:highlight w:val="none"/>
        </w:rPr>
        <w:t xml:space="preserve">招　标　文　件</w:t>
      </w:r>
      <w:r>
        <w:rPr>
          <w:rFonts w:hint="eastAsia" w:ascii="黑体" w:hAnsi="黑体" w:eastAsia="黑体" w:cs="黑体"/>
          <w:color w:val="000000"/>
          <w:sz w:val="96"/>
          <w:szCs w:val="96"/>
          <w:highlight w:val="none"/>
        </w:rPr>
      </w:r>
      <w:r/>
    </w:p>
    <w:p>
      <w:pPr>
        <w:pStyle w:val="1013"/>
        <w:jc w:val="center"/>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pStyle w:val="1013"/>
        <w:jc w:val="center"/>
        <w:rPr>
          <w:rFonts w:hint="eastAsia" w:ascii="黑体" w:hAnsi="黑体" w:eastAsia="黑体" w:cs="黑体"/>
          <w:color w:val="000000"/>
          <w:sz w:val="52"/>
          <w:szCs w:val="52"/>
          <w:highlight w:val="none"/>
        </w:rPr>
      </w:pPr>
      <w:r>
        <w:rPr>
          <w:rFonts w:hint="eastAsia" w:ascii="黑体" w:hAnsi="黑体" w:eastAsia="黑体" w:cs="黑体"/>
          <w:color w:val="000000"/>
          <w:sz w:val="52"/>
          <w:szCs w:val="52"/>
          <w:highlight w:val="none"/>
        </w:rPr>
        <w:t xml:space="preserve">（服务类）</w:t>
      </w:r>
      <w:r>
        <w:rPr>
          <w:rFonts w:hint="eastAsia" w:ascii="黑体" w:hAnsi="黑体" w:eastAsia="黑体" w:cs="黑体"/>
          <w:color w:val="000000"/>
          <w:sz w:val="52"/>
          <w:szCs w:val="52"/>
          <w:highlight w:val="none"/>
        </w:rPr>
      </w:r>
      <w:r/>
    </w:p>
    <w:p>
      <w:pPr>
        <w:pStyle w:val="1087"/>
        <w:ind w:firstLine="1600"/>
        <w:rPr>
          <w:rFonts w:hint="eastAsia" w:ascii="宋体" w:hAnsi="宋体" w:cs="宋体"/>
          <w:color w:val="000000"/>
          <w:sz w:val="32"/>
          <w:highlight w:val="none"/>
        </w:rPr>
      </w:pPr>
      <w:r>
        <w:rPr>
          <w:rFonts w:hint="eastAsia" w:ascii="宋体" w:hAnsi="宋体" w:cs="宋体"/>
          <w:color w:val="000000"/>
          <w:sz w:val="32"/>
          <w:highlight w:val="none"/>
        </w:rPr>
      </w:r>
      <w:r/>
    </w:p>
    <w:p>
      <w:pPr>
        <w:pStyle w:val="1087"/>
        <w:ind w:firstLine="0"/>
        <w:jc w:val="center"/>
        <w:rPr>
          <w:rFonts w:ascii="黑体" w:hAnsi="黑体" w:eastAsia="黑体" w:cs="黑体"/>
          <w:color w:val="000000"/>
          <w:sz w:val="32"/>
          <w:highlight w:val="none"/>
        </w:rPr>
      </w:pPr>
      <w:r/>
      <w:bookmarkStart w:id="0" w:name="_Toc5939"/>
      <w:r/>
      <w:bookmarkStart w:id="1" w:name="_Toc21520"/>
      <w:r>
        <w:rPr>
          <w:rFonts w:hint="eastAsia" w:ascii="黑体" w:hAnsi="黑体" w:eastAsia="黑体" w:cs="黑体"/>
          <w:color w:val="000000"/>
          <w:sz w:val="32"/>
          <w:highlight w:val="none"/>
        </w:rPr>
        <w:t xml:space="preserve">项目名称：</w:t>
      </w:r>
      <w:bookmarkEnd w:id="0"/>
      <w:r/>
      <w:bookmarkEnd w:id="1"/>
      <w:r/>
      <w:bookmarkStart w:id="2" w:name="_Toc19122"/>
      <w:r/>
      <w:bookmarkStart w:id="3" w:name="_Toc31166"/>
      <w:r>
        <w:rPr>
          <w:rFonts w:hint="eastAsia" w:ascii="黑体" w:hAnsi="黑体" w:eastAsia="黑体" w:cs="黑体"/>
          <w:color w:val="000000"/>
          <w:sz w:val="32"/>
          <w:highlight w:val="none"/>
        </w:rPr>
        <w:t xml:space="preserve">京东数字商贸产业学院二期项目AI丝路电商实训平台</w:t>
      </w:r>
      <w:r>
        <w:rPr>
          <w:rFonts w:ascii="黑体" w:hAnsi="黑体" w:eastAsia="黑体" w:cs="黑体"/>
          <w:color w:val="000000"/>
          <w:sz w:val="32"/>
          <w:highlight w:val="none"/>
        </w:rPr>
      </w:r>
      <w:r/>
    </w:p>
    <w:p>
      <w:pPr>
        <w:pStyle w:val="1087"/>
        <w:ind w:firstLine="0"/>
        <w:jc w:val="center"/>
        <w:rPr>
          <w:rFonts w:hint="eastAsia" w:ascii="黑体" w:hAnsi="黑体" w:eastAsia="黑体" w:cs="黑体"/>
          <w:color w:val="000000"/>
          <w:sz w:val="32"/>
          <w:highlight w:val="none"/>
          <w:lang w:eastAsia="zh-CN"/>
        </w:rPr>
      </w:pPr>
      <w:r/>
      <w:bookmarkEnd w:id="2"/>
      <w:r/>
      <w:bookmarkEnd w:id="3"/>
      <w:r>
        <w:rPr>
          <w:rFonts w:hint="eastAsia" w:ascii="黑体" w:hAnsi="黑体" w:eastAsia="黑体" w:cs="黑体"/>
          <w:color w:val="000000"/>
          <w:sz w:val="32"/>
          <w:highlight w:val="none"/>
        </w:rPr>
        <w:t xml:space="preserve">项目编号：</w:t>
      </w:r>
      <w:r>
        <w:rPr>
          <w:rFonts w:hint="eastAsia" w:ascii="黑体" w:hAnsi="黑体" w:eastAsia="黑体" w:cs="黑体"/>
          <w:color w:val="000000"/>
          <w:sz w:val="32"/>
          <w:highlight w:val="none"/>
          <w:lang w:eastAsia="zh-CN"/>
        </w:rPr>
        <w:t xml:space="preserve">JSZC-320000-JSQC-G2026-0032</w:t>
      </w:r>
      <w:r>
        <w:rPr>
          <w:rFonts w:hint="eastAsia" w:ascii="黑体" w:hAnsi="黑体" w:eastAsia="黑体" w:cs="黑体"/>
          <w:color w:val="000000"/>
          <w:sz w:val="32"/>
          <w:highlight w:val="none"/>
          <w:lang w:eastAsia="zh-CN"/>
        </w:rPr>
      </w:r>
      <w:r/>
    </w:p>
    <w:p>
      <w:pPr>
        <w:pStyle w:val="1087"/>
        <w:ind w:firstLine="0"/>
        <w:jc w:val="center"/>
        <w:rPr>
          <w:rFonts w:hint="eastAsia" w:ascii="黑体" w:hAnsi="黑体" w:eastAsia="黑体" w:cs="黑体"/>
          <w:color w:val="000000"/>
          <w:sz w:val="32"/>
          <w:highlight w:val="none"/>
        </w:rPr>
      </w:pPr>
      <w:r>
        <w:rPr>
          <w:rFonts w:hint="eastAsia" w:ascii="黑体" w:hAnsi="黑体" w:eastAsia="黑体" w:cs="黑体"/>
          <w:color w:val="000000"/>
          <w:sz w:val="32"/>
          <w:highlight w:val="none"/>
        </w:rPr>
        <w:t xml:space="preserve">招标文件编号：QC-2026071233C</w:t>
      </w:r>
      <w:r>
        <w:rPr>
          <w:rFonts w:hint="eastAsia" w:ascii="黑体" w:hAnsi="黑体" w:eastAsia="黑体" w:cs="黑体"/>
          <w:color w:val="000000"/>
          <w:sz w:val="32"/>
          <w:highlight w:val="none"/>
        </w:rPr>
      </w:r>
      <w:r/>
    </w:p>
    <w:p>
      <w:pPr>
        <w:pStyle w:val="1013"/>
        <w:ind w:left="2100" w:hanging="2100"/>
        <w:rPr>
          <w:rFonts w:hint="eastAsia" w:ascii="宋体" w:hAnsi="宋体" w:cs="宋体"/>
          <w:color w:val="000000"/>
          <w:sz w:val="30"/>
          <w:szCs w:val="30"/>
          <w:highlight w:val="none"/>
        </w:rPr>
      </w:pPr>
      <w:r>
        <w:rPr>
          <w:rFonts w:hint="eastAsia" w:ascii="宋体" w:hAnsi="宋体" w:cs="宋体"/>
          <w:color w:val="000000"/>
          <w:highlight w:val="none"/>
        </w:rPr>
        <w:t xml:space="preserve">           </w:t>
      </w:r>
      <w:r>
        <w:rPr>
          <w:rFonts w:hint="eastAsia" w:ascii="宋体" w:hAnsi="宋体" w:cs="宋体"/>
          <w:color w:val="000000"/>
          <w:sz w:val="30"/>
          <w:szCs w:val="30"/>
          <w:highlight w:val="none"/>
        </w:rPr>
        <w:t xml:space="preserve">   </w:t>
      </w:r>
      <w:r>
        <w:rPr>
          <w:rFonts w:hint="eastAsia" w:ascii="宋体" w:hAnsi="宋体" w:cs="宋体"/>
          <w:color w:val="000000"/>
          <w:highlight w:val="none"/>
        </w:rPr>
        <w:t xml:space="preserve">  </w:t>
      </w:r>
      <w:r>
        <w:rPr>
          <w:rFonts w:hint="eastAsia" w:ascii="宋体" w:hAnsi="宋体" w:cs="宋体"/>
          <w:color w:val="000000"/>
          <w:sz w:val="30"/>
          <w:szCs w:val="30"/>
          <w:highlight w:val="none"/>
        </w:rPr>
      </w:r>
      <w:r/>
    </w:p>
    <w:p>
      <w:pPr>
        <w:pStyle w:val="1087"/>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87"/>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87"/>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87"/>
        <w:ind w:firstLine="0"/>
        <w:jc w:val="center"/>
        <w:rPr>
          <w:rFonts w:hint="eastAsia" w:ascii="黑体" w:hAnsi="黑体" w:eastAsia="黑体" w:cs="黑体"/>
          <w:color w:val="000000"/>
          <w:sz w:val="32"/>
          <w:highlight w:val="none"/>
        </w:rPr>
      </w:pPr>
      <w:r/>
      <w:bookmarkStart w:id="4" w:name="_Toc5072"/>
      <w:r/>
      <w:bookmarkStart w:id="5" w:name="_Toc1928"/>
      <w:r>
        <w:rPr>
          <w:rFonts w:hint="eastAsia" w:ascii="黑体" w:hAnsi="黑体" w:eastAsia="黑体" w:cs="黑体"/>
          <w:color w:val="000000"/>
          <w:sz w:val="32"/>
          <w:highlight w:val="none"/>
        </w:rPr>
        <w:t xml:space="preserve">采购人名称：</w:t>
      </w:r>
      <w:bookmarkEnd w:id="4"/>
      <w:r>
        <w:rPr>
          <w:rFonts w:hint="eastAsia" w:ascii="黑体" w:hAnsi="黑体" w:eastAsia="黑体" w:cs="黑体"/>
          <w:color w:val="000000"/>
          <w:sz w:val="32"/>
          <w:highlight w:val="none"/>
        </w:rPr>
        <w:t xml:space="preserve">无锡工艺职业技术学院</w:t>
      </w:r>
      <w:r>
        <w:rPr>
          <w:rFonts w:hint="eastAsia" w:ascii="黑体" w:hAnsi="黑体" w:eastAsia="黑体" w:cs="黑体"/>
          <w:color w:val="000000"/>
          <w:sz w:val="32"/>
          <w:highlight w:val="none"/>
        </w:rPr>
      </w:r>
      <w:r/>
    </w:p>
    <w:p>
      <w:pPr>
        <w:pStyle w:val="1087"/>
        <w:ind w:firstLine="0"/>
        <w:jc w:val="center"/>
        <w:rPr>
          <w:rFonts w:hint="eastAsia" w:ascii="黑体" w:hAnsi="黑体" w:eastAsia="黑体" w:cs="黑体"/>
          <w:color w:val="000000"/>
          <w:sz w:val="32"/>
          <w:highlight w:val="none"/>
        </w:rPr>
      </w:pPr>
      <w:r>
        <w:rPr>
          <w:rFonts w:hint="eastAsia" w:ascii="黑体" w:hAnsi="黑体" w:eastAsia="黑体" w:cs="黑体"/>
          <w:color w:val="000000"/>
          <w:sz w:val="32"/>
          <w:highlight w:val="none"/>
        </w:rPr>
        <w:t xml:space="preserve">采购代理机构：江苏柒采招标代理有限公司</w:t>
      </w:r>
      <w:bookmarkEnd w:id="5"/>
      <w:r>
        <w:rPr>
          <w:rFonts w:hint="eastAsia" w:ascii="黑体" w:hAnsi="黑体" w:eastAsia="黑体" w:cs="黑体"/>
          <w:color w:val="000000"/>
          <w:sz w:val="32"/>
          <w:highlight w:val="none"/>
        </w:rPr>
      </w:r>
      <w:r/>
    </w:p>
    <w:p>
      <w:pPr>
        <w:pStyle w:val="1087"/>
        <w:ind w:firstLine="0"/>
        <w:jc w:val="center"/>
        <w:rPr>
          <w:rFonts w:hint="eastAsia" w:ascii="黑体" w:hAnsi="黑体" w:eastAsia="黑体" w:cs="黑体"/>
          <w:color w:val="000000"/>
          <w:sz w:val="32"/>
          <w:highlight w:val="none"/>
        </w:rPr>
      </w:pPr>
      <w:r>
        <w:rPr>
          <w:rFonts w:hint="eastAsia" w:ascii="黑体" w:hAnsi="黑体" w:eastAsia="黑体" w:cs="黑体"/>
          <w:color w:val="000000"/>
          <w:sz w:val="32"/>
          <w:highlight w:val="none"/>
        </w:rPr>
        <w:t xml:space="preserve">2026年7月</w:t>
      </w:r>
      <w:r>
        <w:rPr>
          <w:rFonts w:hint="eastAsia" w:ascii="黑体" w:hAnsi="黑体" w:eastAsia="黑体" w:cs="黑体"/>
          <w:color w:val="000000"/>
          <w:sz w:val="32"/>
          <w:highlight w:val="none"/>
        </w:rPr>
      </w:r>
      <w:r/>
    </w:p>
    <w:p>
      <w:pPr>
        <w:pStyle w:val="1087"/>
        <w:ind w:firstLine="0"/>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13"/>
        <w:jc w:val="center"/>
        <w:rPr>
          <w:rFonts w:hint="eastAsia" w:ascii="宋体" w:hAnsi="宋体" w:cs="宋体"/>
          <w:color w:val="000000"/>
          <w:sz w:val="44"/>
          <w:highlight w:val="none"/>
        </w:rPr>
        <w:outlineLvl w:val="0"/>
      </w:pPr>
      <w:r>
        <w:rPr>
          <w:rFonts w:hint="eastAsia" w:ascii="宋体" w:hAnsi="宋体" w:cs="宋体"/>
          <w:color w:val="000000"/>
          <w:highlight w:val="none"/>
        </w:rPr>
        <w:br w:type="page" w:clear="all"/>
      </w:r>
      <w:bookmarkStart w:id="6" w:name="_Toc13987"/>
      <w:r/>
      <w:bookmarkStart w:id="7" w:name="_Toc16989"/>
      <w:r/>
      <w:bookmarkStart w:id="8" w:name="_Toc25371"/>
      <w:r/>
      <w:bookmarkStart w:id="9" w:name="_Toc11488"/>
      <w:r/>
      <w:bookmarkStart w:id="10" w:name="_Toc22799"/>
      <w:r/>
      <w:bookmarkStart w:id="11" w:name="_Toc668"/>
      <w:r/>
      <w:bookmarkStart w:id="12" w:name="_Toc10310"/>
      <w:r/>
      <w:bookmarkStart w:id="13" w:name="_Toc3759"/>
      <w:r/>
      <w:bookmarkStart w:id="14" w:name="_Toc5433"/>
      <w:r/>
      <w:bookmarkStart w:id="15" w:name="_Toc25694"/>
      <w:r/>
      <w:bookmarkStart w:id="16" w:name="_Toc15115"/>
      <w:r/>
      <w:bookmarkStart w:id="17" w:name="_Toc1055"/>
      <w:r/>
      <w:bookmarkStart w:id="18" w:name="_Toc20620"/>
      <w:r/>
      <w:bookmarkStart w:id="19" w:name="_Toc29617"/>
      <w:r/>
      <w:bookmarkStart w:id="20" w:name="_Toc21405"/>
      <w:r/>
      <w:bookmarkStart w:id="21" w:name="_Toc6863"/>
      <w:r/>
      <w:bookmarkStart w:id="22" w:name="_Toc28121"/>
      <w:r/>
      <w:bookmarkStart w:id="23" w:name="_Toc16714"/>
      <w:r/>
      <w:bookmarkStart w:id="24" w:name="_Toc18480"/>
      <w:r/>
      <w:bookmarkStart w:id="25" w:name="_Toc13100"/>
      <w:r/>
      <w:bookmarkStart w:id="26" w:name="_Toc24790"/>
      <w:r/>
      <w:bookmarkStart w:id="27" w:name="_Toc15616"/>
      <w:r/>
      <w:bookmarkStart w:id="28" w:name="_Toc26061"/>
      <w:r/>
      <w:bookmarkStart w:id="29" w:name="_Toc5920"/>
      <w:r/>
      <w:bookmarkStart w:id="30" w:name="_Toc120614210"/>
      <w:r/>
      <w:bookmarkStart w:id="31" w:name="_Toc20823272"/>
      <w:r/>
      <w:bookmarkStart w:id="32" w:name="_Toc523127445"/>
      <w:r/>
      <w:bookmarkStart w:id="33" w:name="_Toc513029200"/>
      <w:r/>
      <w:bookmarkStart w:id="34" w:name="_Toc16938516"/>
      <w:r/>
      <w:bookmarkStart w:id="35" w:name="_Toc479757206"/>
      <w:r>
        <w:rPr>
          <w:rFonts w:hint="eastAsia" w:ascii="黑体" w:hAnsi="黑体" w:eastAsia="黑体" w:cs="黑体"/>
          <w:color w:val="000000"/>
          <w:sz w:val="44"/>
          <w:szCs w:val="44"/>
          <w:highlight w:val="none"/>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rFonts w:hint="eastAsia" w:ascii="宋体" w:hAnsi="宋体" w:cs="宋体"/>
          <w:color w:val="000000"/>
          <w:sz w:val="44"/>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TOC \o "1-2" \h \u </w:instrText>
      </w:r>
      <w:r>
        <w:rPr>
          <w:rFonts w:hint="eastAsia" w:cs="宋体"/>
          <w:color w:val="000000"/>
          <w:sz w:val="22"/>
          <w:szCs w:val="22"/>
          <w:highlight w:val="none"/>
        </w:rPr>
        <w:fldChar w:fldCharType="separate"/>
      </w: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_Toc27547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第一章  投标邀请</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_Toc27547 \h </w:instrText>
      </w:r>
      <w:r>
        <w:rPr>
          <w:color w:val="000000"/>
          <w:sz w:val="22"/>
          <w:szCs w:val="22"/>
          <w:highlight w:val="none"/>
        </w:rPr>
        <w:fldChar w:fldCharType="separate"/>
      </w:r>
      <w:r>
        <w:rPr>
          <w:color w:val="000000"/>
          <w:sz w:val="22"/>
          <w:szCs w:val="22"/>
          <w:highlight w:val="none"/>
        </w:rPr>
        <w:t xml:space="preserve">1</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_Toc32127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一、项目基本情况</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_Toc32127 \h </w:instrText>
      </w:r>
      <w:r>
        <w:rPr>
          <w:color w:val="000000"/>
          <w:sz w:val="22"/>
          <w:szCs w:val="22"/>
          <w:highlight w:val="none"/>
        </w:rPr>
        <w:fldChar w:fldCharType="separate"/>
      </w:r>
      <w:r>
        <w:rPr>
          <w:color w:val="000000"/>
          <w:sz w:val="22"/>
          <w:szCs w:val="22"/>
          <w:highlight w:val="none"/>
        </w:rPr>
        <w:t xml:space="preserve">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_Toc26948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二、投标人的资格要求</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_Toc26948 \h </w:instrText>
      </w:r>
      <w:r>
        <w:rPr>
          <w:color w:val="000000"/>
          <w:sz w:val="22"/>
          <w:szCs w:val="22"/>
          <w:highlight w:val="none"/>
        </w:rPr>
        <w:fldChar w:fldCharType="separate"/>
      </w:r>
      <w:r>
        <w:rPr>
          <w:color w:val="000000"/>
          <w:sz w:val="22"/>
          <w:szCs w:val="22"/>
          <w:highlight w:val="none"/>
        </w:rPr>
        <w:t xml:space="preserve">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_Toc23831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三、获取招标文件时间、地点、方式</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_Toc23831 \h </w:instrText>
      </w:r>
      <w:r>
        <w:rPr>
          <w:color w:val="000000"/>
          <w:sz w:val="22"/>
          <w:szCs w:val="22"/>
          <w:highlight w:val="none"/>
        </w:rPr>
        <w:fldChar w:fldCharType="separate"/>
      </w:r>
      <w:r>
        <w:rPr>
          <w:color w:val="000000"/>
          <w:sz w:val="22"/>
          <w:szCs w:val="22"/>
          <w:highlight w:val="none"/>
        </w:rPr>
        <w:t xml:space="preserve">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_Toc18925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四、提交投标文件截止时间、开标时间和地点</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_Toc18925 \h </w:instrText>
      </w:r>
      <w:r>
        <w:rPr>
          <w:color w:val="000000"/>
          <w:sz w:val="22"/>
          <w:szCs w:val="22"/>
          <w:highlight w:val="none"/>
        </w:rPr>
        <w:fldChar w:fldCharType="separate"/>
      </w:r>
      <w:r>
        <w:rPr>
          <w:color w:val="000000"/>
          <w:sz w:val="22"/>
          <w:szCs w:val="22"/>
          <w:highlight w:val="none"/>
        </w:rPr>
        <w:t xml:space="preserve">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_Toc8551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五、投标人访问“苏采云”系统的网络地址和方法</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_Toc8551 \h </w:instrText>
      </w:r>
      <w:r>
        <w:rPr>
          <w:color w:val="000000"/>
          <w:sz w:val="22"/>
          <w:szCs w:val="22"/>
          <w:highlight w:val="none"/>
        </w:rPr>
        <w:fldChar w:fldCharType="separate"/>
      </w:r>
      <w:r>
        <w:rPr>
          <w:color w:val="000000"/>
          <w:sz w:val="22"/>
          <w:szCs w:val="22"/>
          <w:highlight w:val="none"/>
        </w:rPr>
        <w:t xml:space="preserve">4</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_Toc7219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六、公告期限</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_Toc7219 \h </w:instrText>
      </w:r>
      <w:r>
        <w:rPr>
          <w:color w:val="000000"/>
          <w:sz w:val="22"/>
          <w:szCs w:val="22"/>
          <w:highlight w:val="none"/>
        </w:rPr>
        <w:fldChar w:fldCharType="separate"/>
      </w:r>
      <w:r>
        <w:rPr>
          <w:color w:val="000000"/>
          <w:sz w:val="22"/>
          <w:szCs w:val="22"/>
          <w:highlight w:val="none"/>
        </w:rPr>
        <w:t xml:space="preserve">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_Toc22166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七、其他补充事宜</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_Toc22166 \h </w:instrText>
      </w:r>
      <w:r>
        <w:rPr>
          <w:color w:val="000000"/>
          <w:sz w:val="22"/>
          <w:szCs w:val="22"/>
          <w:highlight w:val="none"/>
        </w:rPr>
        <w:fldChar w:fldCharType="separate"/>
      </w:r>
      <w:r>
        <w:rPr>
          <w:color w:val="000000"/>
          <w:sz w:val="22"/>
          <w:szCs w:val="22"/>
          <w:highlight w:val="none"/>
        </w:rPr>
        <w:t xml:space="preserve">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_Toc23499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八、本次招标联系方式</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_Toc23499 \h </w:instrText>
      </w:r>
      <w:r>
        <w:rPr>
          <w:color w:val="000000"/>
          <w:sz w:val="22"/>
          <w:szCs w:val="22"/>
          <w:highlight w:val="none"/>
        </w:rPr>
        <w:fldChar w:fldCharType="separate"/>
      </w:r>
      <w:r>
        <w:rPr>
          <w:color w:val="000000"/>
          <w:sz w:val="22"/>
          <w:szCs w:val="22"/>
          <w:highlight w:val="none"/>
        </w:rPr>
        <w:t xml:space="preserve">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_Toc20734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九、其他</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_Toc20734 \h </w:instrText>
      </w:r>
      <w:r>
        <w:rPr>
          <w:color w:val="000000"/>
          <w:sz w:val="22"/>
          <w:szCs w:val="22"/>
          <w:highlight w:val="none"/>
        </w:rPr>
        <w:fldChar w:fldCharType="separate"/>
      </w:r>
      <w:r>
        <w:rPr>
          <w:color w:val="000000"/>
          <w:sz w:val="22"/>
          <w:szCs w:val="22"/>
          <w:highlight w:val="none"/>
        </w:rPr>
        <w:t xml:space="preserve">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_Toc15650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第二章  投标人须知</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_Toc15650 \h </w:instrText>
      </w:r>
      <w:r>
        <w:rPr>
          <w:color w:val="000000"/>
          <w:sz w:val="22"/>
          <w:szCs w:val="22"/>
          <w:highlight w:val="none"/>
        </w:rPr>
        <w:fldChar w:fldCharType="separate"/>
      </w:r>
      <w:r>
        <w:rPr>
          <w:color w:val="000000"/>
          <w:sz w:val="22"/>
          <w:szCs w:val="22"/>
          <w:highlight w:val="none"/>
        </w:rPr>
        <w:t xml:space="preserve">7</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_Toc18157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投标人须知前附表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_Toc18157 \h </w:instrText>
      </w:r>
      <w:r>
        <w:rPr>
          <w:color w:val="000000"/>
          <w:sz w:val="22"/>
          <w:szCs w:val="22"/>
          <w:highlight w:val="none"/>
        </w:rPr>
        <w:fldChar w:fldCharType="separate"/>
      </w:r>
      <w:r>
        <w:rPr>
          <w:color w:val="000000"/>
          <w:sz w:val="22"/>
          <w:szCs w:val="22"/>
          <w:highlight w:val="none"/>
        </w:rPr>
        <w:t xml:space="preserve">7</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_Toc27286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一、总则</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_Toc27286 \h </w:instrText>
      </w:r>
      <w:r>
        <w:rPr>
          <w:color w:val="000000"/>
          <w:sz w:val="22"/>
          <w:szCs w:val="22"/>
          <w:highlight w:val="none"/>
        </w:rPr>
        <w:fldChar w:fldCharType="separate"/>
      </w:r>
      <w:r>
        <w:rPr>
          <w:color w:val="000000"/>
          <w:sz w:val="22"/>
          <w:szCs w:val="22"/>
          <w:highlight w:val="none"/>
        </w:rPr>
        <w:t xml:space="preserve">9</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_Toc31085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二、招标文件</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_Toc31085 \h </w:instrText>
      </w:r>
      <w:r>
        <w:rPr>
          <w:color w:val="000000"/>
          <w:sz w:val="22"/>
          <w:szCs w:val="22"/>
          <w:highlight w:val="none"/>
        </w:rPr>
        <w:fldChar w:fldCharType="separate"/>
      </w:r>
      <w:r>
        <w:rPr>
          <w:color w:val="000000"/>
          <w:sz w:val="22"/>
          <w:szCs w:val="22"/>
          <w:highlight w:val="none"/>
        </w:rPr>
        <w:t xml:space="preserve">10</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_Toc26788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三、投标文件的编制</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_Toc26788 \h </w:instrText>
      </w:r>
      <w:r>
        <w:rPr>
          <w:color w:val="000000"/>
          <w:sz w:val="22"/>
          <w:szCs w:val="22"/>
          <w:highlight w:val="none"/>
        </w:rPr>
        <w:fldChar w:fldCharType="separate"/>
      </w:r>
      <w:r>
        <w:rPr>
          <w:color w:val="000000"/>
          <w:sz w:val="22"/>
          <w:szCs w:val="22"/>
          <w:highlight w:val="none"/>
        </w:rPr>
        <w:t xml:space="preserve">11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_Toc27700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四、投标文件的递交</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_Toc27700 \h </w:instrText>
      </w:r>
      <w:r>
        <w:rPr>
          <w:color w:val="000000"/>
          <w:sz w:val="22"/>
          <w:szCs w:val="22"/>
          <w:highlight w:val="none"/>
        </w:rPr>
        <w:fldChar w:fldCharType="separate"/>
      </w:r>
      <w:r>
        <w:rPr>
          <w:color w:val="000000"/>
          <w:sz w:val="22"/>
          <w:szCs w:val="22"/>
          <w:highlight w:val="none"/>
        </w:rPr>
        <w:t xml:space="preserve">12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_Toc16534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五、开标与评标</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_Toc16534 \h </w:instrText>
      </w:r>
      <w:r>
        <w:rPr>
          <w:color w:val="000000"/>
          <w:sz w:val="22"/>
          <w:szCs w:val="22"/>
          <w:highlight w:val="none"/>
        </w:rPr>
        <w:fldChar w:fldCharType="separate"/>
      </w:r>
      <w:r>
        <w:rPr>
          <w:color w:val="000000"/>
          <w:sz w:val="22"/>
          <w:szCs w:val="22"/>
          <w:highlight w:val="none"/>
        </w:rPr>
        <w:t xml:space="preserve">12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_Toc28204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六、定标</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_Toc28204 \h </w:instrText>
      </w:r>
      <w:r>
        <w:rPr>
          <w:color w:val="000000"/>
          <w:sz w:val="22"/>
          <w:szCs w:val="22"/>
          <w:highlight w:val="none"/>
        </w:rPr>
        <w:fldChar w:fldCharType="separate"/>
      </w:r>
      <w:r>
        <w:rPr>
          <w:color w:val="000000"/>
          <w:sz w:val="22"/>
          <w:szCs w:val="22"/>
          <w:highlight w:val="none"/>
        </w:rPr>
        <w:t xml:space="preserve">15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_Toc19813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七、授予合同</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_Toc19813 \h </w:instrText>
      </w:r>
      <w:r>
        <w:rPr>
          <w:color w:val="000000"/>
          <w:sz w:val="22"/>
          <w:szCs w:val="22"/>
          <w:highlight w:val="none"/>
        </w:rPr>
        <w:fldChar w:fldCharType="separate"/>
      </w:r>
      <w:r>
        <w:rPr>
          <w:color w:val="000000"/>
          <w:sz w:val="22"/>
          <w:szCs w:val="22"/>
          <w:highlight w:val="none"/>
        </w:rPr>
        <w:t xml:space="preserve">17</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_Toc32570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第三章  合同文本</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_Toc32570 \h </w:instrText>
      </w:r>
      <w:r>
        <w:rPr>
          <w:color w:val="000000"/>
          <w:sz w:val="22"/>
          <w:szCs w:val="22"/>
          <w:highlight w:val="none"/>
        </w:rPr>
        <w:fldChar w:fldCharType="separate"/>
      </w:r>
      <w:r>
        <w:rPr>
          <w:color w:val="000000"/>
          <w:sz w:val="22"/>
          <w:szCs w:val="22"/>
          <w:highlight w:val="none"/>
        </w:rPr>
        <w:t xml:space="preserve">18</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_Toc9455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第一部分 合同书</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_Toc9455 \h </w:instrText>
      </w:r>
      <w:r>
        <w:rPr>
          <w:color w:val="000000"/>
          <w:sz w:val="22"/>
          <w:szCs w:val="22"/>
          <w:highlight w:val="none"/>
        </w:rPr>
        <w:fldChar w:fldCharType="separate"/>
      </w:r>
      <w:r>
        <w:rPr>
          <w:color w:val="000000"/>
          <w:sz w:val="22"/>
          <w:szCs w:val="22"/>
          <w:highlight w:val="none"/>
        </w:rPr>
        <w:t xml:space="preserve">19</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_Toc17699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第二部分 合同一般条款</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_Toc17699 \h </w:instrText>
      </w:r>
      <w:r>
        <w:rPr>
          <w:color w:val="000000"/>
          <w:sz w:val="22"/>
          <w:szCs w:val="22"/>
          <w:highlight w:val="none"/>
        </w:rPr>
        <w:fldChar w:fldCharType="separate"/>
      </w:r>
      <w:r>
        <w:rPr>
          <w:color w:val="000000"/>
          <w:sz w:val="22"/>
          <w:szCs w:val="22"/>
          <w:highlight w:val="none"/>
        </w:rPr>
        <w:t xml:space="preserve">22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_Toc10171 </w:instrText>
      </w:r>
      <w:r>
        <w:rPr>
          <w:rFonts w:hint="eastAsia" w:ascii="宋体" w:hAnsi="宋体" w:cs="宋体"/>
          <w:color w:val="000000"/>
          <w:sz w:val="22"/>
          <w:szCs w:val="22"/>
          <w:highlight w:val="none"/>
        </w:rPr>
        <w:fldChar w:fldCharType="separate"/>
      </w:r>
      <w:r>
        <w:rPr>
          <w:rFonts w:hint="eastAsia" w:ascii="黑体" w:hAnsi="黑体" w:eastAsia="黑体" w:cs="黑体"/>
          <w:bCs/>
          <w:color w:val="000000"/>
          <w:sz w:val="22"/>
          <w:szCs w:val="22"/>
          <w:highlight w:val="none"/>
        </w:rPr>
        <w:t xml:space="preserve">第三部分 合同专用条款</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_Toc10171 \h </w:instrText>
      </w:r>
      <w:r>
        <w:rPr>
          <w:color w:val="000000"/>
          <w:sz w:val="22"/>
          <w:szCs w:val="22"/>
          <w:highlight w:val="none"/>
        </w:rPr>
        <w:fldChar w:fldCharType="separate"/>
      </w:r>
      <w:r>
        <w:rPr>
          <w:color w:val="000000"/>
          <w:sz w:val="22"/>
          <w:szCs w:val="22"/>
          <w:highlight w:val="none"/>
        </w:rPr>
        <w:t xml:space="preserve">25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_Toc4297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第四章 </w:t>
      </w:r>
      <w:r>
        <w:rPr>
          <w:rFonts w:hint="eastAsia" w:ascii="黑体" w:hAnsi="黑体" w:eastAsia="黑体" w:cs="黑体"/>
          <w:color w:val="000000"/>
          <w:sz w:val="22"/>
          <w:szCs w:val="22"/>
          <w:highlight w:val="none"/>
          <w:lang w:val="en-US" w:eastAsia="zh-CN"/>
        </w:rPr>
        <w:t xml:space="preserve"> </w:t>
      </w:r>
      <w:r>
        <w:rPr>
          <w:rFonts w:hint="eastAsia" w:ascii="黑体" w:hAnsi="黑体" w:eastAsia="黑体" w:cs="黑体"/>
          <w:color w:val="000000"/>
          <w:sz w:val="22"/>
          <w:szCs w:val="22"/>
          <w:highlight w:val="none"/>
          <w:lang w:eastAsia="zh-CN"/>
        </w:rPr>
        <w:t xml:space="preserve">采购需求</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_Toc4297 \h </w:instrText>
      </w:r>
      <w:r>
        <w:rPr>
          <w:color w:val="000000"/>
          <w:sz w:val="22"/>
          <w:szCs w:val="22"/>
          <w:highlight w:val="none"/>
        </w:rPr>
        <w:fldChar w:fldCharType="separate"/>
      </w:r>
      <w:r>
        <w:rPr>
          <w:color w:val="000000"/>
          <w:sz w:val="22"/>
          <w:szCs w:val="22"/>
          <w:highlight w:val="none"/>
        </w:rPr>
        <w:t xml:space="preserve">26</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_Toc21457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一、技术要求</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_Toc21457 \h </w:instrText>
      </w:r>
      <w:r>
        <w:rPr>
          <w:color w:val="000000"/>
          <w:sz w:val="22"/>
          <w:szCs w:val="22"/>
          <w:highlight w:val="none"/>
        </w:rPr>
        <w:fldChar w:fldCharType="separate"/>
      </w:r>
      <w:r>
        <w:rPr>
          <w:color w:val="000000"/>
          <w:sz w:val="22"/>
          <w:szCs w:val="22"/>
          <w:highlight w:val="none"/>
        </w:rPr>
        <w:t xml:space="preserve">26</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_Toc15888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二、商务要求</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_Toc15888 \h </w:instrText>
      </w:r>
      <w:r>
        <w:rPr>
          <w:color w:val="000000"/>
          <w:sz w:val="22"/>
          <w:szCs w:val="22"/>
          <w:highlight w:val="none"/>
        </w:rPr>
        <w:fldChar w:fldCharType="separate"/>
      </w:r>
      <w:r>
        <w:rPr>
          <w:color w:val="000000"/>
          <w:sz w:val="22"/>
          <w:szCs w:val="22"/>
          <w:highlight w:val="none"/>
        </w:rPr>
        <w:t xml:space="preserve">60</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_Toc7037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第五章  评标方法与评标标准</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_Toc7037 \h </w:instrText>
      </w:r>
      <w:r>
        <w:rPr>
          <w:color w:val="000000"/>
          <w:sz w:val="22"/>
          <w:szCs w:val="22"/>
          <w:highlight w:val="none"/>
        </w:rPr>
        <w:fldChar w:fldCharType="separate"/>
      </w:r>
      <w:r>
        <w:rPr>
          <w:color w:val="000000"/>
          <w:sz w:val="22"/>
          <w:szCs w:val="22"/>
          <w:highlight w:val="none"/>
        </w:rPr>
        <w:t xml:space="preserve">63</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_Toc19499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一、定标办法</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_Toc19499 \h </w:instrText>
      </w:r>
      <w:r>
        <w:rPr>
          <w:color w:val="000000"/>
          <w:sz w:val="22"/>
          <w:szCs w:val="22"/>
          <w:highlight w:val="none"/>
        </w:rPr>
        <w:fldChar w:fldCharType="separate"/>
      </w:r>
      <w:r>
        <w:rPr>
          <w:color w:val="000000"/>
          <w:sz w:val="22"/>
          <w:szCs w:val="22"/>
          <w:highlight w:val="none"/>
        </w:rPr>
        <w:t xml:space="preserve">63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_Toc18160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二、政府采购政策功能落实</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_Toc18160 \h </w:instrText>
      </w:r>
      <w:r>
        <w:rPr>
          <w:color w:val="000000"/>
          <w:sz w:val="22"/>
          <w:szCs w:val="22"/>
          <w:highlight w:val="none"/>
        </w:rPr>
        <w:fldChar w:fldCharType="separate"/>
      </w:r>
      <w:r>
        <w:rPr>
          <w:color w:val="000000"/>
          <w:sz w:val="22"/>
          <w:szCs w:val="22"/>
          <w:highlight w:val="none"/>
        </w:rPr>
        <w:t xml:space="preserve">63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_Toc14632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三、政府采购异常低价问题处理方式</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_Toc14632 \h </w:instrText>
      </w:r>
      <w:r>
        <w:rPr>
          <w:color w:val="000000"/>
          <w:sz w:val="22"/>
          <w:szCs w:val="22"/>
          <w:highlight w:val="none"/>
        </w:rPr>
        <w:fldChar w:fldCharType="separate"/>
      </w:r>
      <w:r>
        <w:rPr>
          <w:color w:val="000000"/>
          <w:sz w:val="22"/>
          <w:szCs w:val="22"/>
          <w:highlight w:val="none"/>
        </w:rPr>
        <w:t xml:space="preserve">64</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_Toc24600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四、对本国产品的支持政策</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_Toc24600 \h </w:instrText>
      </w:r>
      <w:r>
        <w:rPr>
          <w:color w:val="000000"/>
          <w:sz w:val="22"/>
          <w:szCs w:val="22"/>
          <w:highlight w:val="none"/>
        </w:rPr>
        <w:fldChar w:fldCharType="separate"/>
      </w:r>
      <w:r>
        <w:rPr>
          <w:color w:val="000000"/>
          <w:sz w:val="22"/>
          <w:szCs w:val="22"/>
          <w:highlight w:val="none"/>
        </w:rPr>
        <w:t xml:space="preserve">64</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_Toc17132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五、评标办法和评标标准</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_Toc17132 \h </w:instrText>
      </w:r>
      <w:r>
        <w:rPr>
          <w:color w:val="000000"/>
          <w:sz w:val="22"/>
          <w:szCs w:val="22"/>
          <w:highlight w:val="none"/>
        </w:rPr>
        <w:fldChar w:fldCharType="separate"/>
      </w:r>
      <w:r>
        <w:rPr>
          <w:color w:val="000000"/>
          <w:sz w:val="22"/>
          <w:szCs w:val="22"/>
          <w:highlight w:val="none"/>
        </w:rPr>
        <w:t xml:space="preserve">65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49"/>
        <w:spacing w:before="0" w:after="0" w:line="276" w:lineRule="auto"/>
        <w:tabs>
          <w:tab w:val="right" w:pos="9180" w:leader="dot"/>
        </w:tabs>
        <w:rPr>
          <w:color w:val="000000"/>
          <w:sz w:val="22"/>
          <w:szCs w:val="22"/>
          <w:highlight w:val="none"/>
        </w:rPr>
      </w:pPr>
      <w:r>
        <w:rPr>
          <w:rFonts w:hint="eastAsia" w:cs="宋体"/>
          <w:color w:val="000000"/>
          <w:sz w:val="22"/>
          <w:szCs w:val="22"/>
          <w:highlight w:val="none"/>
        </w:rPr>
        <w:fldChar w:fldCharType="begin"/>
      </w:r>
      <w:r>
        <w:rPr>
          <w:rFonts w:hint="eastAsia" w:cs="宋体"/>
          <w:color w:val="000000"/>
          <w:sz w:val="22"/>
          <w:szCs w:val="22"/>
          <w:highlight w:val="none"/>
        </w:rPr>
        <w:instrText xml:space="preserve"> HYPERLINK \l _Toc25140 </w:instrText>
      </w:r>
      <w:r>
        <w:rPr>
          <w:rFonts w:hint="eastAsia" w:cs="宋体"/>
          <w:color w:val="000000"/>
          <w:sz w:val="22"/>
          <w:szCs w:val="22"/>
          <w:highlight w:val="none"/>
        </w:rPr>
        <w:fldChar w:fldCharType="separate"/>
      </w:r>
      <w:r>
        <w:rPr>
          <w:rFonts w:hint="eastAsia" w:ascii="黑体" w:hAnsi="黑体" w:eastAsia="黑体" w:cs="黑体"/>
          <w:color w:val="000000"/>
          <w:sz w:val="22"/>
          <w:szCs w:val="22"/>
          <w:highlight w:val="none"/>
        </w:rPr>
        <w:t xml:space="preserve">第六章  投标文件格式</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_Toc25140 \h </w:instrText>
      </w:r>
      <w:r>
        <w:rPr>
          <w:color w:val="000000"/>
          <w:sz w:val="22"/>
          <w:szCs w:val="22"/>
          <w:highlight w:val="none"/>
        </w:rPr>
        <w:fldChar w:fldCharType="separate"/>
      </w:r>
      <w:r>
        <w:rPr>
          <w:color w:val="000000"/>
          <w:sz w:val="22"/>
          <w:szCs w:val="22"/>
          <w:highlight w:val="none"/>
        </w:rPr>
        <w:t xml:space="preserve">70</w:t>
      </w:r>
      <w:r>
        <w:rPr>
          <w:color w:val="000000"/>
          <w:sz w:val="22"/>
          <w:szCs w:val="22"/>
          <w:highlight w:val="none"/>
        </w:rPr>
        <w:fldChar w:fldCharType="end"/>
      </w:r>
      <w:r>
        <w:rPr>
          <w:rFonts w:hint="eastAsia"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_Toc257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资格证明文件</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_Toc257 \h </w:instrText>
      </w:r>
      <w:r>
        <w:rPr>
          <w:color w:val="000000"/>
          <w:sz w:val="22"/>
          <w:szCs w:val="22"/>
          <w:highlight w:val="none"/>
        </w:rPr>
        <w:fldChar w:fldCharType="separate"/>
      </w:r>
      <w:r>
        <w:rPr>
          <w:color w:val="000000"/>
          <w:sz w:val="22"/>
          <w:szCs w:val="22"/>
          <w:highlight w:val="none"/>
        </w:rPr>
        <w:t xml:space="preserve">71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_Toc29407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一、具有独立承担民事责任的能力</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_Toc29407 \h </w:instrText>
      </w:r>
      <w:r>
        <w:rPr>
          <w:color w:val="000000"/>
          <w:sz w:val="22"/>
          <w:szCs w:val="22"/>
          <w:highlight w:val="none"/>
        </w:rPr>
        <w:fldChar w:fldCharType="separate"/>
      </w:r>
      <w:r>
        <w:rPr>
          <w:color w:val="000000"/>
          <w:sz w:val="22"/>
          <w:szCs w:val="22"/>
          <w:highlight w:val="none"/>
        </w:rPr>
        <w:t xml:space="preserve">71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_Toc9698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二、具有良好的商业信誉和健全的财务会计制度</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_Toc9698 \h </w:instrText>
      </w:r>
      <w:r>
        <w:rPr>
          <w:color w:val="000000"/>
          <w:sz w:val="22"/>
          <w:szCs w:val="22"/>
          <w:highlight w:val="none"/>
        </w:rPr>
        <w:fldChar w:fldCharType="separate"/>
      </w:r>
      <w:r>
        <w:rPr>
          <w:color w:val="000000"/>
          <w:sz w:val="22"/>
          <w:szCs w:val="22"/>
          <w:highlight w:val="none"/>
        </w:rPr>
        <w:t xml:space="preserve">71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_Toc22705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三、有依法缴纳税收和社会保障资金的良好记录</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_Toc22705 \h </w:instrText>
      </w:r>
      <w:r>
        <w:rPr>
          <w:color w:val="000000"/>
          <w:sz w:val="22"/>
          <w:szCs w:val="22"/>
          <w:highlight w:val="none"/>
        </w:rPr>
        <w:fldChar w:fldCharType="separate"/>
      </w:r>
      <w:r>
        <w:rPr>
          <w:color w:val="000000"/>
          <w:sz w:val="22"/>
          <w:szCs w:val="22"/>
          <w:highlight w:val="none"/>
        </w:rPr>
        <w:t xml:space="preserve">71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_Toc27567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四、具备履行合同所必需的设备和专业技术能力的书面声明</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_Toc27567 \h </w:instrText>
      </w:r>
      <w:r>
        <w:rPr>
          <w:color w:val="000000"/>
          <w:sz w:val="22"/>
          <w:szCs w:val="22"/>
          <w:highlight w:val="none"/>
        </w:rPr>
        <w:fldChar w:fldCharType="separate"/>
      </w:r>
      <w:r>
        <w:rPr>
          <w:color w:val="000000"/>
          <w:sz w:val="22"/>
          <w:szCs w:val="22"/>
          <w:highlight w:val="none"/>
        </w:rPr>
        <w:t xml:space="preserve">72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_Toc17315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五、参加政府采购活动前 3 年内在经营活动中没有重大违法记录的书面声明</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_Toc17315 \h </w:instrText>
      </w:r>
      <w:r>
        <w:rPr>
          <w:color w:val="000000"/>
          <w:sz w:val="22"/>
          <w:szCs w:val="22"/>
          <w:highlight w:val="none"/>
        </w:rPr>
        <w:fldChar w:fldCharType="separate"/>
      </w:r>
      <w:r>
        <w:rPr>
          <w:color w:val="000000"/>
          <w:sz w:val="22"/>
          <w:szCs w:val="22"/>
          <w:highlight w:val="none"/>
        </w:rPr>
        <w:t xml:space="preserve">72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_Toc3947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六、特定资格要求的证明文件</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_Toc3947 \h </w:instrText>
      </w:r>
      <w:r>
        <w:rPr>
          <w:color w:val="000000"/>
          <w:sz w:val="22"/>
          <w:szCs w:val="22"/>
          <w:highlight w:val="none"/>
        </w:rPr>
        <w:fldChar w:fldCharType="separate"/>
      </w:r>
      <w:r>
        <w:rPr>
          <w:color w:val="000000"/>
          <w:sz w:val="22"/>
          <w:szCs w:val="22"/>
          <w:highlight w:val="none"/>
        </w:rPr>
        <w:t xml:space="preserve">73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_Toc24025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七、声明书</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_Toc24025 \h </w:instrText>
      </w:r>
      <w:r>
        <w:rPr>
          <w:color w:val="000000"/>
          <w:sz w:val="22"/>
          <w:szCs w:val="22"/>
          <w:highlight w:val="none"/>
        </w:rPr>
        <w:fldChar w:fldCharType="separate"/>
      </w:r>
      <w:r>
        <w:rPr>
          <w:color w:val="000000"/>
          <w:sz w:val="22"/>
          <w:szCs w:val="22"/>
          <w:highlight w:val="none"/>
        </w:rPr>
        <w:t xml:space="preserve">74</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_Toc5934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八、法定代表人授权委托书</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_Toc5934 \h </w:instrText>
      </w:r>
      <w:r>
        <w:rPr>
          <w:color w:val="000000"/>
          <w:sz w:val="22"/>
          <w:szCs w:val="22"/>
          <w:highlight w:val="none"/>
        </w:rPr>
        <w:fldChar w:fldCharType="separate"/>
      </w:r>
      <w:r>
        <w:rPr>
          <w:color w:val="000000"/>
          <w:sz w:val="22"/>
          <w:szCs w:val="22"/>
          <w:highlight w:val="none"/>
        </w:rPr>
        <w:t xml:space="preserve">75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_Toc3972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九、投标函</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_Toc3972 \h </w:instrText>
      </w:r>
      <w:r>
        <w:rPr>
          <w:color w:val="000000"/>
          <w:sz w:val="22"/>
          <w:szCs w:val="22"/>
          <w:highlight w:val="none"/>
        </w:rPr>
        <w:fldChar w:fldCharType="separate"/>
      </w:r>
      <w:r>
        <w:rPr>
          <w:color w:val="000000"/>
          <w:sz w:val="22"/>
          <w:szCs w:val="22"/>
          <w:highlight w:val="none"/>
        </w:rPr>
        <w:t xml:space="preserve">76</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_Toc17142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十、中小企业声明函（服务类）</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_Toc17142 \h </w:instrText>
      </w:r>
      <w:r>
        <w:rPr>
          <w:color w:val="000000"/>
          <w:sz w:val="22"/>
          <w:szCs w:val="22"/>
          <w:highlight w:val="none"/>
        </w:rPr>
        <w:fldChar w:fldCharType="separate"/>
      </w:r>
      <w:r>
        <w:rPr>
          <w:color w:val="000000"/>
          <w:sz w:val="22"/>
          <w:szCs w:val="22"/>
          <w:highlight w:val="none"/>
        </w:rPr>
        <w:t xml:space="preserve">77</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_Toc30448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十一、残疾人福利性单位声明函</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_Toc30448 \h </w:instrText>
      </w:r>
      <w:r>
        <w:rPr>
          <w:color w:val="000000"/>
          <w:sz w:val="22"/>
          <w:szCs w:val="22"/>
          <w:highlight w:val="none"/>
        </w:rPr>
        <w:fldChar w:fldCharType="separate"/>
      </w:r>
      <w:r>
        <w:rPr>
          <w:color w:val="000000"/>
          <w:sz w:val="22"/>
          <w:szCs w:val="22"/>
          <w:highlight w:val="none"/>
        </w:rPr>
        <w:t xml:space="preserve">79</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_Toc17664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十二、监狱企业证明</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_Toc17664 \h </w:instrText>
      </w:r>
      <w:r>
        <w:rPr>
          <w:color w:val="000000"/>
          <w:sz w:val="22"/>
          <w:szCs w:val="22"/>
          <w:highlight w:val="none"/>
        </w:rPr>
        <w:fldChar w:fldCharType="separate"/>
      </w:r>
      <w:r>
        <w:rPr>
          <w:color w:val="000000"/>
          <w:sz w:val="22"/>
          <w:szCs w:val="22"/>
          <w:highlight w:val="none"/>
        </w:rPr>
        <w:t xml:space="preserve">79</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_Toc24070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十三、</w:t>
      </w:r>
      <w:r>
        <w:rPr>
          <w:rFonts w:hint="eastAsia" w:ascii="黑体" w:hAnsi="黑体" w:eastAsia="黑体" w:cs="黑体"/>
          <w:color w:val="000000"/>
          <w:sz w:val="22"/>
          <w:szCs w:val="22"/>
          <w:highlight w:val="none"/>
          <w:shd w:val="clear" w:color="auto" w:fill="ffffff"/>
        </w:rPr>
        <w:t xml:space="preserve">关于符合本国产品标准的声明函</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_Toc24070 \h </w:instrText>
      </w:r>
      <w:r>
        <w:rPr>
          <w:color w:val="000000"/>
          <w:sz w:val="22"/>
          <w:szCs w:val="22"/>
          <w:highlight w:val="none"/>
        </w:rPr>
        <w:fldChar w:fldCharType="separate"/>
      </w:r>
      <w:r>
        <w:rPr>
          <w:color w:val="000000"/>
          <w:sz w:val="22"/>
          <w:szCs w:val="22"/>
          <w:highlight w:val="none"/>
        </w:rPr>
        <w:t xml:space="preserve">80</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_Toc1477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十四、开标一览表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_Toc1477 \h </w:instrText>
      </w:r>
      <w:r>
        <w:rPr>
          <w:color w:val="000000"/>
          <w:sz w:val="22"/>
          <w:szCs w:val="22"/>
          <w:highlight w:val="none"/>
        </w:rPr>
        <w:fldChar w:fldCharType="separate"/>
      </w:r>
      <w:r>
        <w:rPr>
          <w:color w:val="000000"/>
          <w:sz w:val="22"/>
          <w:szCs w:val="22"/>
          <w:highlight w:val="none"/>
        </w:rPr>
        <w:t xml:space="preserve">81</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_Toc193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十五、分项报价表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_Toc193 \h </w:instrText>
      </w:r>
      <w:r>
        <w:rPr>
          <w:color w:val="000000"/>
          <w:sz w:val="22"/>
          <w:szCs w:val="22"/>
          <w:highlight w:val="none"/>
        </w:rPr>
        <w:fldChar w:fldCharType="separate"/>
      </w:r>
      <w:r>
        <w:rPr>
          <w:color w:val="000000"/>
          <w:sz w:val="22"/>
          <w:szCs w:val="22"/>
          <w:highlight w:val="none"/>
        </w:rPr>
        <w:t xml:space="preserve">82</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_Toc6422 </w:instrText>
      </w:r>
      <w:r>
        <w:rPr>
          <w:rFonts w:hint="eastAsia" w:ascii="宋体" w:hAnsi="宋体" w:cs="宋体"/>
          <w:color w:val="000000"/>
          <w:sz w:val="22"/>
          <w:szCs w:val="22"/>
          <w:highlight w:val="none"/>
        </w:rPr>
        <w:fldChar w:fldCharType="separate"/>
      </w:r>
      <w:r>
        <w:rPr>
          <w:rFonts w:hint="eastAsia" w:ascii="黑体" w:hAnsi="黑体" w:eastAsia="黑体" w:cs="黑体"/>
          <w:color w:val="000000"/>
          <w:sz w:val="22"/>
          <w:szCs w:val="22"/>
          <w:highlight w:val="none"/>
        </w:rPr>
        <w:t xml:space="preserve">十六、货物说明一览表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_Toc6422 \h </w:instrText>
      </w:r>
      <w:r>
        <w:rPr>
          <w:color w:val="000000"/>
          <w:sz w:val="22"/>
          <w:szCs w:val="22"/>
          <w:highlight w:val="none"/>
        </w:rPr>
        <w:fldChar w:fldCharType="separate"/>
      </w:r>
      <w:r>
        <w:rPr>
          <w:color w:val="000000"/>
          <w:sz w:val="22"/>
          <w:szCs w:val="22"/>
          <w:highlight w:val="none"/>
        </w:rPr>
        <w:t xml:space="preserve">83</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_Toc21608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十七、技术要求响应及偏离表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_Toc21608 \h </w:instrText>
      </w:r>
      <w:r>
        <w:rPr>
          <w:color w:val="000000"/>
          <w:sz w:val="22"/>
          <w:szCs w:val="22"/>
          <w:highlight w:val="none"/>
        </w:rPr>
        <w:fldChar w:fldCharType="separate"/>
      </w:r>
      <w:r>
        <w:rPr>
          <w:color w:val="000000"/>
          <w:sz w:val="22"/>
          <w:szCs w:val="22"/>
          <w:highlight w:val="none"/>
        </w:rPr>
        <w:t xml:space="preserve">84</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_Toc29937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十八、商务要求响应及偏离表</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_Toc29937 \h </w:instrText>
      </w:r>
      <w:r>
        <w:rPr>
          <w:color w:val="000000"/>
          <w:sz w:val="22"/>
          <w:szCs w:val="22"/>
          <w:highlight w:val="none"/>
        </w:rPr>
        <w:fldChar w:fldCharType="separate"/>
      </w:r>
      <w:r>
        <w:rPr>
          <w:color w:val="000000"/>
          <w:sz w:val="22"/>
          <w:szCs w:val="22"/>
          <w:highlight w:val="none"/>
        </w:rPr>
        <w:t xml:space="preserve">85</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56"/>
        <w:spacing w:line="276" w:lineRule="auto"/>
        <w:tabs>
          <w:tab w:val="right" w:pos="9180" w:leader="dot"/>
        </w:tabs>
        <w:rPr>
          <w:color w:val="000000"/>
          <w:sz w:val="22"/>
          <w:szCs w:val="22"/>
          <w:highlight w:val="none"/>
        </w:rPr>
      </w:pPr>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 HYPERLINK \l _Toc15760 </w:instrText>
      </w:r>
      <w:r>
        <w:rPr>
          <w:rFonts w:hint="eastAsia" w:ascii="宋体" w:hAnsi="宋体" w:cs="宋体"/>
          <w:color w:val="000000"/>
          <w:sz w:val="22"/>
          <w:szCs w:val="22"/>
          <w:highlight w:val="none"/>
        </w:rPr>
        <w:fldChar w:fldCharType="separate"/>
      </w:r>
      <w:r>
        <w:rPr>
          <w:rFonts w:hint="eastAsia" w:ascii="黑体" w:hAnsi="黑体" w:eastAsia="黑体" w:cs="黑体"/>
          <w:iCs/>
          <w:color w:val="000000"/>
          <w:sz w:val="22"/>
          <w:szCs w:val="22"/>
          <w:highlight w:val="none"/>
        </w:rPr>
        <w:t xml:space="preserve">十九、其他证明文件</w:t>
      </w:r>
      <w:r>
        <w:rPr>
          <w:color w:val="000000"/>
          <w:sz w:val="22"/>
          <w:szCs w:val="22"/>
          <w:highlight w:val="none"/>
        </w:rPr>
        <w:tab/>
      </w:r>
      <w:r>
        <w:rPr>
          <w:color w:val="000000"/>
          <w:sz w:val="22"/>
          <w:szCs w:val="22"/>
          <w:highlight w:val="none"/>
        </w:rPr>
        <w:fldChar w:fldCharType="begin"/>
      </w:r>
      <w:r>
        <w:rPr>
          <w:color w:val="000000"/>
          <w:sz w:val="22"/>
          <w:szCs w:val="22"/>
          <w:highlight w:val="none"/>
        </w:rPr>
        <w:instrText xml:space="preserve"> PAGEREF _Toc15760 \h </w:instrText>
      </w:r>
      <w:r>
        <w:rPr>
          <w:color w:val="000000"/>
          <w:sz w:val="22"/>
          <w:szCs w:val="22"/>
          <w:highlight w:val="none"/>
        </w:rPr>
        <w:fldChar w:fldCharType="separate"/>
      </w:r>
      <w:r>
        <w:rPr>
          <w:color w:val="000000"/>
          <w:sz w:val="22"/>
          <w:szCs w:val="22"/>
          <w:highlight w:val="none"/>
        </w:rPr>
        <w:t xml:space="preserve">86</w:t>
      </w:r>
      <w:r>
        <w:rPr>
          <w:color w:val="000000"/>
          <w:sz w:val="22"/>
          <w:szCs w:val="22"/>
          <w:highlight w:val="none"/>
        </w:rPr>
        <w:fldChar w:fldCharType="end"/>
      </w:r>
      <w:r>
        <w:rPr>
          <w:rFonts w:hint="eastAsia" w:ascii="宋体" w:hAnsi="宋体" w:cs="宋体"/>
          <w:color w:val="000000"/>
          <w:sz w:val="22"/>
          <w:szCs w:val="22"/>
          <w:highlight w:val="none"/>
        </w:rPr>
        <w:fldChar w:fldCharType="end"/>
      </w:r>
      <w:r>
        <w:rPr>
          <w:color w:val="000000"/>
          <w:sz w:val="22"/>
          <w:szCs w:val="22"/>
          <w:highlight w:val="none"/>
        </w:rPr>
      </w:r>
      <w:r/>
    </w:p>
    <w:p>
      <w:pPr>
        <w:pStyle w:val="1013"/>
        <w:spacing w:line="276" w:lineRule="auto"/>
        <w:rPr>
          <w:rFonts w:hint="eastAsia" w:ascii="宋体" w:hAnsi="宋体" w:cs="宋体"/>
          <w:color w:val="000000"/>
          <w:highlight w:val="none"/>
        </w:rPr>
      </w:pPr>
      <w:r>
        <w:rPr>
          <w:rFonts w:hint="eastAsia" w:ascii="宋体" w:hAnsi="宋体" w:cs="宋体"/>
          <w:color w:val="000000"/>
          <w:sz w:val="22"/>
          <w:szCs w:val="22"/>
          <w:highlight w:val="none"/>
        </w:rPr>
        <w:fldChar w:fldCharType="end"/>
      </w:r>
      <w:r>
        <w:rPr>
          <w:rFonts w:hint="eastAsia" w:ascii="宋体" w:hAnsi="宋体" w:cs="宋体"/>
          <w:color w:val="000000"/>
          <w:highlight w:val="none"/>
        </w:rPr>
      </w:r>
      <w:r/>
    </w:p>
    <w:p>
      <w:pPr>
        <w:pStyle w:val="1014"/>
        <w:rPr>
          <w:rFonts w:hint="eastAsia" w:ascii="宋体" w:hAnsi="宋体" w:eastAsia="宋体" w:cs="宋体"/>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36" w:name="_Toc10055"/>
      <w:r>
        <w:rPr>
          <w:rFonts w:hint="eastAsia" w:ascii="宋体" w:hAnsi="宋体" w:eastAsia="宋体" w:cs="宋体"/>
          <w:b w:val="0"/>
          <w:bCs w:val="0"/>
          <w:color w:val="000000"/>
          <w:sz w:val="40"/>
          <w:szCs w:val="40"/>
          <w:highlight w:val="none"/>
        </w:rPr>
      </w:r>
      <w:r/>
    </w:p>
    <w:p>
      <w:pPr>
        <w:pStyle w:val="1014"/>
        <w:rPr>
          <w:rFonts w:hint="eastAsia" w:ascii="黑体" w:hAnsi="黑体" w:eastAsia="黑体" w:cs="黑体"/>
          <w:color w:val="000000"/>
          <w:sz w:val="40"/>
          <w:szCs w:val="40"/>
          <w:highlight w:val="none"/>
        </w:rPr>
      </w:pPr>
      <w:r/>
      <w:bookmarkStart w:id="37" w:name="_Toc27547"/>
      <w:r>
        <w:rPr>
          <w:rFonts w:hint="eastAsia" w:ascii="黑体" w:hAnsi="黑体" w:eastAsia="黑体" w:cs="黑体"/>
          <w:color w:val="000000"/>
          <w:sz w:val="40"/>
          <w:szCs w:val="40"/>
          <w:highlight w:val="none"/>
        </w:rPr>
        <w:t xml:space="preserve">第一章  </w:t>
      </w:r>
      <w:bookmarkEnd w:id="30"/>
      <w:r>
        <w:rPr>
          <w:rFonts w:hint="eastAsia" w:ascii="黑体" w:hAnsi="黑体" w:eastAsia="黑体" w:cs="黑体"/>
          <w:color w:val="000000"/>
          <w:sz w:val="40"/>
          <w:szCs w:val="40"/>
          <w:highlight w:val="none"/>
        </w:rPr>
        <w:t xml:space="preserve">投标邀请</w:t>
      </w:r>
      <w:bookmarkEnd w:id="36"/>
      <w:r/>
      <w:bookmarkEnd w:id="37"/>
      <w:r>
        <w:rPr>
          <w:rFonts w:hint="eastAsia" w:ascii="黑体" w:hAnsi="黑体" w:eastAsia="黑体" w:cs="黑体"/>
          <w:color w:val="000000"/>
          <w:sz w:val="40"/>
          <w:szCs w:val="40"/>
          <w:highlight w:val="none"/>
        </w:rPr>
      </w:r>
      <w:r/>
    </w:p>
    <w:p>
      <w:pPr>
        <w:pStyle w:val="1013"/>
        <w:ind w:firstLine="480"/>
        <w:spacing w:line="44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受无锡工艺职业技术学院的委托，江苏柒采招标代理有限公司就</w:t>
      </w:r>
      <w:r>
        <w:rPr>
          <w:rFonts w:hint="eastAsia"/>
          <w:color w:val="000000"/>
          <w:sz w:val="24"/>
          <w:szCs w:val="24"/>
          <w:highlight w:val="none"/>
        </w:rPr>
        <w:t xml:space="preserve">京东数字商贸产业学院二期项目AI丝路电商实训平台项目</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JSZC-320000-JSQC-G2026-0032</w:t>
      </w:r>
      <w:r>
        <w:rPr>
          <w:rFonts w:hint="eastAsia" w:ascii="宋体" w:hAnsi="宋体" w:cs="宋体"/>
          <w:color w:val="000000"/>
          <w:sz w:val="24"/>
          <w:szCs w:val="24"/>
          <w:highlight w:val="none"/>
        </w:rPr>
        <w:t xml:space="preserve">/招标文件编号：QC-2026071233C)进行公开招标采购，欢迎符合条件的投标人参加投标。</w:t>
      </w:r>
      <w:r>
        <w:rPr>
          <w:rFonts w:hint="eastAsia" w:ascii="宋体" w:hAnsi="宋体" w:cs="宋体"/>
          <w:color w:val="000000"/>
          <w:highlight w:val="none"/>
        </w:rPr>
      </w:r>
      <w:r/>
    </w:p>
    <w:p>
      <w:pPr>
        <w:pStyle w:val="1013"/>
        <w:spacing w:line="440" w:lineRule="exact"/>
        <w:rPr>
          <w:rFonts w:hint="eastAsia" w:ascii="黑体" w:hAnsi="黑体" w:eastAsia="黑体" w:cs="黑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京东数字商贸产业学院二期项目AI丝路电商实训平台项目的潜在投标人应在江苏政府采购网“苏采云”系统</w:t>
      </w:r>
      <w:bookmarkStart w:id="38" w:name="OLE_LINK180"/>
      <w:r/>
      <w:bookmarkStart w:id="39" w:name="OLE_LINK178"/>
      <w:r>
        <w:rPr>
          <w:rFonts w:hint="eastAsia" w:ascii="宋体" w:hAnsi="宋体" w:cs="宋体"/>
          <w:color w:val="000000"/>
          <w:sz w:val="24"/>
          <w:szCs w:val="24"/>
          <w:highlight w:val="none"/>
        </w:rPr>
        <w:t xml:space="preserve">中</w:t>
      </w:r>
      <w:bookmarkEnd w:id="38"/>
      <w:r/>
      <w:bookmarkStart w:id="40" w:name="OLE_LINK179"/>
      <w:r>
        <w:rPr>
          <w:rFonts w:hint="eastAsia" w:ascii="宋体" w:hAnsi="宋体" w:cs="宋体"/>
          <w:color w:val="000000"/>
          <w:sz w:val="24"/>
          <w:szCs w:val="24"/>
          <w:highlight w:val="none"/>
        </w:rPr>
        <w:t xml:space="preserve">免费</w:t>
      </w:r>
      <w:bookmarkEnd w:id="40"/>
      <w:r>
        <w:rPr>
          <w:rFonts w:hint="eastAsia" w:ascii="宋体" w:hAnsi="宋体" w:cs="宋体"/>
          <w:color w:val="000000"/>
          <w:sz w:val="24"/>
          <w:szCs w:val="24"/>
          <w:highlight w:val="none"/>
        </w:rPr>
        <w:t xml:space="preserve">下载</w:t>
      </w:r>
      <w:bookmarkEnd w:id="39"/>
      <w:r>
        <w:rPr>
          <w:rFonts w:hint="eastAsia" w:ascii="宋体" w:hAnsi="宋体" w:cs="宋体"/>
          <w:color w:val="000000"/>
          <w:sz w:val="24"/>
          <w:szCs w:val="24"/>
          <w:highlight w:val="none"/>
        </w:rPr>
        <w:t xml:space="preserve">招标文件，并于</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14时00分（北京时间）前上传加密版电子投标文件。</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41" w:name="_Toc32127"/>
      <w:r/>
      <w:bookmarkStart w:id="42" w:name="_Toc9101"/>
      <w:r/>
      <w:bookmarkStart w:id="43" w:name="_Toc38985263"/>
      <w:r/>
      <w:bookmarkStart w:id="44" w:name="_Toc35393621"/>
      <w:r/>
      <w:bookmarkStart w:id="45" w:name="_Toc28359079"/>
      <w:r/>
      <w:bookmarkStart w:id="46" w:name="_Toc28359002"/>
      <w:r/>
      <w:bookmarkStart w:id="47" w:name="_Toc22120"/>
      <w:r/>
      <w:bookmarkStart w:id="48" w:name="_Toc35393790"/>
      <w:r/>
      <w:bookmarkStart w:id="49" w:name="_Toc20325"/>
      <w:r/>
      <w:bookmarkStart w:id="50" w:name="_Hlk24379207"/>
      <w:r/>
      <w:bookmarkStart w:id="51" w:name="_Toc7805"/>
      <w:r>
        <w:rPr>
          <w:rFonts w:hint="eastAsia" w:ascii="黑体" w:hAnsi="黑体" w:eastAsia="黑体" w:cs="黑体"/>
          <w:b w:val="0"/>
          <w:bCs w:val="0"/>
          <w:color w:val="000000"/>
          <w:sz w:val="28"/>
          <w:szCs w:val="28"/>
          <w:highlight w:val="none"/>
        </w:rPr>
        <w:t xml:space="preserve">一、项目基本情况</w:t>
      </w:r>
      <w:bookmarkEnd w:id="41"/>
      <w:r/>
      <w:bookmarkEnd w:id="42"/>
      <w:r/>
      <w:bookmarkEnd w:id="43"/>
      <w:r/>
      <w:bookmarkEnd w:id="44"/>
      <w:r/>
      <w:bookmarkEnd w:id="45"/>
      <w:r/>
      <w:bookmarkEnd w:id="46"/>
      <w:r/>
      <w:bookmarkEnd w:id="47"/>
      <w:r/>
      <w:bookmarkEnd w:id="48"/>
      <w:r/>
      <w:bookmarkEnd w:id="49"/>
      <w:r/>
      <w:bookmarkEnd w:id="51"/>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1.1项目编号：</w:t>
      </w:r>
      <w:r>
        <w:rPr>
          <w:rFonts w:hint="eastAsia" w:ascii="宋体" w:hAnsi="宋体" w:cs="宋体"/>
          <w:color w:val="000000"/>
          <w:sz w:val="24"/>
          <w:szCs w:val="24"/>
          <w:highlight w:val="none"/>
          <w:lang w:eastAsia="zh-CN"/>
        </w:rPr>
        <w:t xml:space="preserve">JSZC-320000-JSQC-G2026-0032</w:t>
      </w:r>
      <w:r>
        <w:rPr>
          <w:rFonts w:hint="eastAsia" w:ascii="宋体" w:hAnsi="宋体" w:cs="宋体"/>
          <w:color w:val="000000"/>
          <w:sz w:val="24"/>
          <w:szCs w:val="24"/>
          <w:highlight w:val="none"/>
        </w:rPr>
        <w:t xml:space="preserve">/招标文件编号：QC-2026071233C</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1.2项目名称：京东数字商贸产业学院二期项目AI丝路电商实训平台项目</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bookmarkEnd w:id="50"/>
      <w:r>
        <w:rPr>
          <w:rFonts w:hint="eastAsia" w:ascii="宋体" w:hAnsi="宋体" w:cs="宋体"/>
          <w:color w:val="000000"/>
          <w:sz w:val="24"/>
          <w:szCs w:val="24"/>
          <w:highlight w:val="none"/>
        </w:rPr>
        <w:t xml:space="preserve">1.3预算金额（含税）：人民币230万元整</w:t>
      </w:r>
      <w:r>
        <w:rPr>
          <w:rFonts w:hint="eastAsia" w:ascii="宋体" w:hAnsi="宋体" w:cs="宋体"/>
          <w:color w:val="000000"/>
          <w:sz w:val="24"/>
          <w:szCs w:val="24"/>
          <w:highlight w:val="none"/>
        </w:rPr>
      </w:r>
      <w:r/>
    </w:p>
    <w:p>
      <w:pPr>
        <w:pStyle w:val="1013"/>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1.4最高限价（含税）：人民币230万元整</w:t>
      </w:r>
      <w:r>
        <w:rPr>
          <w:rFonts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采购需求：无锡工艺职业技术学院为进一步改善数字经济学院实训中心实训条件，实现教学全流程的数字化与信息化，现需采购跨境电商及AI数字人综合实训系统及服务（包含：AI+数智化电商推广与趋势分析实训平台、Al+数字人直播高校实训平台、跨境电商综合实训软件、跨境直播运营与销售软件、商务数据分析与应用软件、跨境电商运营决策沙盘软件、《</w:t>
      </w:r>
      <w:r>
        <w:rPr>
          <w:rFonts w:hint="eastAsia" w:ascii="宋体" w:hAnsi="宋体" w:cs="宋体"/>
          <w:color w:val="000000"/>
          <w:sz w:val="24"/>
          <w:szCs w:val="24"/>
          <w:highlight w:val="none"/>
        </w:rPr>
        <w:t xml:space="preserve">速卖通平台运营专项》课程资源包、《跨境电商基础与实务》课程资源包、《跨境电商营销推广》课程资源包、《跨境电商运营实务》课程资源包、《跨境电商直播》课程资源包、《AI电商认知与素养》课程资源包、《AI电商综合实战》课程资源包、电子商务专业国际化标准认证服务），平台及课程通过其丰富的功能和特点，为教师和学生提供全面的教学支持和学习体验，提升教学效果和效率，促进教育的数字化转型和创新，通过一站式教学、自学、实训、考试和评价等功能，提供全面的教学流程支持和国际化标准认证服务。具体详情见招标文件“第四章 采购需求”。</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1.6合同履行期限：合同签订后60个自然日内完成部署，并正式上线运行。</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1.7实施地点：无锡宜兴市荆邑南路99号（无锡工艺职业技术学院）。</w:t>
      </w:r>
      <w:r>
        <w:rPr>
          <w:rFonts w:hint="eastAsia" w:ascii="宋体" w:hAnsi="宋体" w:cs="宋体"/>
          <w:color w:val="000000"/>
          <w:sz w:val="24"/>
          <w:szCs w:val="24"/>
          <w:highlight w:val="none"/>
        </w:rPr>
      </w:r>
      <w:r/>
    </w:p>
    <w:p>
      <w:pPr>
        <w:pStyle w:val="1013"/>
        <w:ind w:firstLine="480"/>
        <w:spacing w:line="440" w:lineRule="exact"/>
        <w:rPr>
          <w:rFonts w:ascii="宋体" w:hAnsi="宋体" w:cs="宋体"/>
          <w:color w:val="000000"/>
          <w:sz w:val="24"/>
          <w:szCs w:val="24"/>
          <w:highlight w:val="none"/>
        </w:rPr>
      </w:pPr>
      <w:r/>
      <w:bookmarkStart w:id="52" w:name="_Toc38985264"/>
      <w:r/>
      <w:bookmarkStart w:id="53" w:name="_Toc35393622"/>
      <w:r/>
      <w:bookmarkStart w:id="54" w:name="_Toc11258"/>
      <w:r/>
      <w:bookmarkStart w:id="55" w:name="_Toc28359080"/>
      <w:r/>
      <w:bookmarkStart w:id="56" w:name="_Toc35393791"/>
      <w:r/>
      <w:bookmarkStart w:id="57" w:name="_Toc28359003"/>
      <w:r>
        <w:rPr>
          <w:rFonts w:hint="eastAsia" w:ascii="宋体" w:hAnsi="宋体" w:cs="宋体"/>
          <w:color w:val="000000"/>
          <w:sz w:val="24"/>
          <w:szCs w:val="24"/>
          <w:highlight w:val="none"/>
        </w:rPr>
        <w:t xml:space="preserve">1.8本项目是否采购节能产品、环境标志产品：否。</w:t>
      </w:r>
      <w:r>
        <w:rPr>
          <w:rFonts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本项目所属行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58" w:name="_Toc26948"/>
      <w:r/>
      <w:bookmarkStart w:id="59" w:name="_Toc774"/>
      <w:r/>
      <w:bookmarkStart w:id="60" w:name="_Toc10946"/>
      <w:r/>
      <w:bookmarkStart w:id="61" w:name="_Toc32148"/>
      <w:r>
        <w:rPr>
          <w:rFonts w:hint="eastAsia" w:ascii="黑体" w:hAnsi="黑体" w:eastAsia="黑体" w:cs="黑体"/>
          <w:b w:val="0"/>
          <w:bCs w:val="0"/>
          <w:color w:val="000000"/>
          <w:sz w:val="28"/>
          <w:szCs w:val="28"/>
          <w:highlight w:val="none"/>
        </w:rPr>
        <w:t xml:space="preserve">二、投标人的资格要求</w:t>
      </w:r>
      <w:bookmarkEnd w:id="52"/>
      <w:r/>
      <w:bookmarkEnd w:id="53"/>
      <w:r/>
      <w:bookmarkEnd w:id="54"/>
      <w:r/>
      <w:bookmarkEnd w:id="55"/>
      <w:r/>
      <w:bookmarkEnd w:id="56"/>
      <w:r/>
      <w:bookmarkEnd w:id="57"/>
      <w:r/>
      <w:bookmarkEnd w:id="58"/>
      <w:r/>
      <w:bookmarkEnd w:id="59"/>
      <w:r/>
      <w:bookmarkEnd w:id="60"/>
      <w:r/>
      <w:bookmarkEnd w:id="61"/>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黑体" w:hAnsi="黑体" w:eastAsia="黑体" w:cs="黑体"/>
          <w:color w:val="000000"/>
          <w:sz w:val="24"/>
          <w:szCs w:val="24"/>
          <w:highlight w:val="none"/>
        </w:rPr>
      </w:pPr>
      <w:r/>
      <w:bookmarkStart w:id="62" w:name="_Toc38985265"/>
      <w:r/>
      <w:bookmarkStart w:id="63" w:name="_Toc35393623"/>
      <w:r/>
      <w:bookmarkStart w:id="64" w:name="_Toc28359004"/>
      <w:r/>
      <w:bookmarkStart w:id="65" w:name="_Toc28359081"/>
      <w:r/>
      <w:bookmarkStart w:id="66" w:name="_Toc35393792"/>
      <w:r>
        <w:rPr>
          <w:rFonts w:hint="eastAsia" w:ascii="黑体" w:hAnsi="黑体" w:eastAsia="黑体" w:cs="黑体"/>
          <w:color w:val="000000"/>
          <w:sz w:val="24"/>
          <w:szCs w:val="24"/>
          <w:highlight w:val="none"/>
        </w:rPr>
        <w:t xml:space="preserve">2.1满足《中华人民共和国政府采购法》第二十二条规定，并提供下列材料：</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具有独立承担民事责任的能力（提供法人或者其他组织的营业执照等证明材料，自然人的身份证明）；</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有依法缴纳税收和社会保障资金的良好记录（提供提交投标文件截止时间前1年内至少一个月依法缴纳税收及缴纳社会保障资金的证明材料。投标人依法享受缓缴、免缴税收、社会保障资金的提供证明材料）；</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2.1.4具备履行合同所必需的设备和专业技术能力的书面声明；</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2.1.5参加政府采购活动前3年内在经营活动中没有重大违法记录的书面声明；</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2.1.6法律、行政法规规定的其他条件。</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（1）第2.1.5条所称重大违法记录，是指投标人因违法经营受到刑事处罚或者责令停产停业、吊销许可证或者执照、较大数额罚款等行政处罚。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（2）投标人在参加政府采购活动前3年内因违法经营被禁止在一定期限内参加政府采购活动，期限届满的，可以参加政府采购活动。</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2.2落实政府采购政策需满足的资格要求：无，本项目不属于专门面向中小企业采购项目。</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2.3本项目的特定资格要求：无。</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2.4本项目不接受联合体投标。</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2.5本项目不允许分包、转包。</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2.6本项目不接受进口产品投标。（注：本文件所称进口产品是指通过中国海关报关验放进入中国境内且产自关境外的产品）</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2.7拒绝下述投标人参加本次采购活动：</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（1）单位负责人为同一人或者存在直接控股、管理关系的不同投标人，不得参加同一合同项下的政府采购活动。</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（2）投标人被“信用中国”（www.creditchina.gov.cn）、“中国政府采购网”(www.ccgp.gov.cn）等网站列入失信被执行人、重大税收违法失信主体名单、政府采购严重违法失信行为记录名单。</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（3）拒绝为采购项目提供整体设计、规范编制或者项目管理、监理、检测等服务的投标人参加本项目的采购活动。</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End w:id="62"/>
      <w:r/>
      <w:bookmarkEnd w:id="63"/>
      <w:r/>
      <w:bookmarkEnd w:id="64"/>
      <w:r/>
      <w:bookmarkEnd w:id="65"/>
      <w:r/>
      <w:bookmarkEnd w:id="66"/>
      <w:r/>
      <w:bookmarkStart w:id="67" w:name="_Toc23404"/>
      <w:r/>
      <w:bookmarkStart w:id="68" w:name="_Toc30251"/>
      <w:r/>
      <w:bookmarkStart w:id="69" w:name="_Toc29442"/>
      <w:r/>
      <w:bookmarkStart w:id="70" w:name="_Toc23831"/>
      <w:r/>
      <w:bookmarkStart w:id="71" w:name="_Toc30920"/>
      <w:r/>
      <w:bookmarkStart w:id="72" w:name="OLE_LINK22"/>
      <w:r/>
      <w:bookmarkStart w:id="73" w:name="_Toc35393625"/>
      <w:r/>
      <w:bookmarkStart w:id="74" w:name="_Toc38985267"/>
      <w:r/>
      <w:bookmarkStart w:id="75" w:name="_Toc28359084"/>
      <w:r/>
      <w:bookmarkStart w:id="76" w:name="_Toc35393794"/>
      <w:r/>
      <w:bookmarkStart w:id="77" w:name="_Toc28359007"/>
      <w:r>
        <w:rPr>
          <w:rFonts w:hint="eastAsia" w:ascii="黑体" w:hAnsi="黑体" w:eastAsia="黑体" w:cs="黑体"/>
          <w:b w:val="0"/>
          <w:bCs w:val="0"/>
          <w:color w:val="000000"/>
          <w:sz w:val="28"/>
          <w:szCs w:val="28"/>
          <w:highlight w:val="none"/>
        </w:rPr>
        <w:t xml:space="preserve">三、获取招标文件</w:t>
      </w:r>
      <w:bookmarkEnd w:id="67"/>
      <w:r/>
      <w:bookmarkEnd w:id="68"/>
      <w:r>
        <w:rPr>
          <w:rFonts w:hint="eastAsia" w:ascii="黑体" w:hAnsi="黑体" w:eastAsia="黑体" w:cs="黑体"/>
          <w:b w:val="0"/>
          <w:bCs w:val="0"/>
          <w:color w:val="000000"/>
          <w:sz w:val="28"/>
          <w:szCs w:val="28"/>
          <w:highlight w:val="none"/>
        </w:rPr>
        <w:t xml:space="preserve">时间、地点、方式</w:t>
      </w:r>
      <w:bookmarkEnd w:id="69"/>
      <w:r/>
      <w:bookmarkEnd w:id="70"/>
      <w:r/>
      <w:bookmarkEnd w:id="71"/>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bookmarkEnd w:id="72"/>
      <w:r/>
      <w:bookmarkStart w:id="78" w:name="_Toc28359082"/>
      <w:r/>
      <w:bookmarkStart w:id="79" w:name="_Toc35393793"/>
      <w:r/>
      <w:bookmarkStart w:id="80" w:name="_Toc35393624"/>
      <w:r/>
      <w:bookmarkStart w:id="81" w:name="_Toc7070"/>
      <w:r/>
      <w:bookmarkStart w:id="82" w:name="_Toc38985266"/>
      <w:r/>
      <w:bookmarkStart w:id="83" w:name="_Toc28359005"/>
      <w:r>
        <w:rPr>
          <w:rFonts w:hint="eastAsia" w:ascii="宋体" w:hAnsi="宋体" w:cs="宋体"/>
          <w:color w:val="000000"/>
          <w:sz w:val="24"/>
          <w:szCs w:val="24"/>
          <w:highlight w:val="none"/>
        </w:rPr>
        <w:t xml:space="preserve">3.1获取时间：自招标公告发布之日起5个工作日。</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3.2获取地点：</w:t>
      </w:r>
      <w:bookmarkStart w:id="84" w:name="OLE_LINK177"/>
      <w:r>
        <w:rPr>
          <w:rFonts w:hint="eastAsia" w:ascii="宋体" w:hAnsi="宋体" w:cs="宋体"/>
          <w:color w:val="000000"/>
          <w:sz w:val="24"/>
          <w:szCs w:val="24"/>
          <w:highlight w:val="none"/>
        </w:rPr>
        <w:t xml:space="preserve">江苏政府采购网“苏采云”系统</w:t>
      </w:r>
      <w:bookmarkEnd w:id="8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3.3获取方式：</w:t>
      </w:r>
      <w:bookmarkStart w:id="85" w:name="OLE_LINK212"/>
      <w:r>
        <w:rPr>
          <w:rFonts w:hint="eastAsia" w:ascii="宋体" w:hAnsi="宋体" w:cs="宋体"/>
          <w:color w:val="000000"/>
          <w:sz w:val="24"/>
          <w:szCs w:val="24"/>
          <w:highlight w:val="none"/>
        </w:rPr>
        <w:t xml:space="preserve">①投标人登录江苏政府采购网，在网站首页点击“苏采云”系统自行免费下载。②步骤为投标人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86" w:name="OLE_LINK85"/>
      <w:r>
        <w:rPr>
          <w:rFonts w:hint="eastAsia" w:ascii="宋体" w:hAnsi="宋体" w:cs="宋体"/>
          <w:color w:val="000000"/>
          <w:sz w:val="24"/>
          <w:szCs w:val="24"/>
          <w:highlight w:val="none"/>
        </w:rPr>
        <w:t xml:space="preserve">作</w:t>
      </w:r>
      <w:bookmarkEnd w:id="8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bookmarkEnd w:id="85"/>
      <w:r>
        <w:rPr>
          <w:rFonts w:hint="eastAsia" w:ascii="宋体" w:hAnsi="宋体" w:cs="宋体"/>
          <w:color w:val="000000"/>
          <w:sz w:val="24"/>
          <w:szCs w:val="24"/>
          <w:highlight w:val="none"/>
        </w:rPr>
        <w:t xml:space="preserve">3.4招标文件工本费（售价）：人民币0元/份。</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87" w:name="_Toc18925"/>
      <w:r/>
      <w:bookmarkStart w:id="88" w:name="_Toc2970"/>
      <w:r/>
      <w:bookmarkStart w:id="89" w:name="_Toc19261"/>
      <w:r/>
      <w:bookmarkStart w:id="90" w:name="OLE_LINK23"/>
      <w:r/>
      <w:bookmarkStart w:id="91" w:name="_Toc32336"/>
      <w:r>
        <w:rPr>
          <w:rFonts w:hint="eastAsia" w:ascii="黑体" w:hAnsi="黑体" w:eastAsia="黑体" w:cs="黑体"/>
          <w:b w:val="0"/>
          <w:bCs w:val="0"/>
          <w:color w:val="000000"/>
          <w:sz w:val="28"/>
          <w:szCs w:val="28"/>
          <w:highlight w:val="none"/>
        </w:rPr>
        <w:t xml:space="preserve">四、提交投标文件</w:t>
      </w:r>
      <w:bookmarkEnd w:id="78"/>
      <w:r/>
      <w:bookmarkEnd w:id="83"/>
      <w:r>
        <w:rPr>
          <w:rFonts w:hint="eastAsia" w:ascii="黑体" w:hAnsi="黑体" w:eastAsia="黑体" w:cs="黑体"/>
          <w:b w:val="0"/>
          <w:bCs w:val="0"/>
          <w:color w:val="000000"/>
          <w:sz w:val="28"/>
          <w:szCs w:val="28"/>
          <w:highlight w:val="none"/>
        </w:rPr>
        <w:t xml:space="preserve">截止时间、开标时间和地点</w:t>
      </w:r>
      <w:bookmarkEnd w:id="79"/>
      <w:r/>
      <w:bookmarkEnd w:id="80"/>
      <w:r/>
      <w:bookmarkEnd w:id="81"/>
      <w:r/>
      <w:bookmarkEnd w:id="82"/>
      <w:r/>
      <w:bookmarkEnd w:id="87"/>
      <w:r/>
      <w:bookmarkEnd w:id="88"/>
      <w:r/>
      <w:bookmarkEnd w:id="89"/>
      <w:r/>
      <w:bookmarkEnd w:id="91"/>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bookmarkEnd w:id="90"/>
      <w:r>
        <w:rPr>
          <w:rFonts w:hint="eastAsia" w:ascii="宋体" w:hAnsi="宋体" w:cs="宋体"/>
          <w:color w:val="000000"/>
          <w:sz w:val="24"/>
          <w:szCs w:val="24"/>
          <w:highlight w:val="none"/>
        </w:rPr>
        <w:t xml:space="preserve">提交投标文件截止时间、开</w:t>
      </w:r>
      <w:bookmarkStart w:id="92" w:name="OLE_LINK201"/>
      <w:r>
        <w:rPr>
          <w:rFonts w:hint="eastAsia" w:ascii="宋体" w:hAnsi="宋体" w:cs="宋体"/>
          <w:color w:val="000000"/>
          <w:sz w:val="24"/>
          <w:szCs w:val="24"/>
          <w:highlight w:val="none"/>
        </w:rPr>
        <w:t xml:space="preserve">标</w:t>
      </w:r>
      <w:bookmarkEnd w:id="92"/>
      <w:r>
        <w:rPr>
          <w:rFonts w:hint="eastAsia" w:ascii="宋体" w:hAnsi="宋体" w:cs="宋体"/>
          <w:color w:val="000000"/>
          <w:sz w:val="24"/>
          <w:szCs w:val="24"/>
          <w:highlight w:val="none"/>
        </w:rPr>
        <w:t xml:space="preserve">时间：</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14:00（北京时间）</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提交投标文件地点：江苏省政府采购管理交易系统（苏采云）（以下简称“苏采云”）（网址</w:t>
      </w:r>
      <w:bookmarkStart w:id="93" w:name="OLE_LINK99"/>
      <w:r>
        <w:rPr>
          <w:rFonts w:hint="eastAsia" w:ascii="宋体" w:hAnsi="宋体" w:cs="宋体"/>
          <w:color w:val="000000"/>
          <w:sz w:val="24"/>
          <w:szCs w:val="24"/>
          <w:highlight w:val="none"/>
        </w:rPr>
        <w:t xml:space="preserve">：</w:t>
      </w:r>
      <w:bookmarkEnd w:id="93"/>
      <w:r>
        <w:rPr>
          <w:rFonts w:hint="eastAsia" w:ascii="宋体" w:hAnsi="宋体" w:cs="宋体"/>
          <w:color w:val="000000"/>
          <w:sz w:val="24"/>
          <w:szCs w:val="24"/>
          <w:highlight w:val="none"/>
        </w:rPr>
        <w:t xml:space="preserve">http://jszfcg.jsczt.cn）。</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开标地点：</w:t>
      </w:r>
      <w:bookmarkStart w:id="94" w:name="OLE_LINK170"/>
      <w:r/>
      <w:bookmarkStart w:id="95" w:name="OLE_LINK213"/>
      <w:r>
        <w:rPr>
          <w:rFonts w:hint="eastAsia" w:ascii="宋体" w:hAnsi="宋体" w:cs="宋体"/>
          <w:color w:val="000000"/>
          <w:sz w:val="24"/>
          <w:szCs w:val="24"/>
          <w:highlight w:val="none"/>
        </w:rPr>
        <w:t xml:space="preserve">江苏省政府采购交易系统（以下简称“苏采云系统”）</w:t>
      </w:r>
      <w:bookmarkEnd w:id="94"/>
      <w:r>
        <w:rPr>
          <w:rFonts w:hint="eastAsia" w:ascii="宋体" w:hAnsi="宋体" w:cs="宋体"/>
          <w:color w:val="000000"/>
          <w:sz w:val="24"/>
          <w:szCs w:val="24"/>
          <w:highlight w:val="none"/>
        </w:rPr>
        <w:t xml:space="preserve">网上开标大厅。</w:t>
      </w:r>
      <w:bookmarkEnd w:id="95"/>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注释：</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1.线上开标：开标当日，投标人不必抵达开标现场，仅需在任意地点通过</w:t>
      </w:r>
      <w:bookmarkStart w:id="96" w:name="OLE_LINK109"/>
      <w:r>
        <w:rPr>
          <w:rFonts w:hint="eastAsia" w:ascii="宋体" w:hAnsi="宋体" w:cs="宋体"/>
          <w:color w:val="000000"/>
          <w:sz w:val="24"/>
          <w:szCs w:val="24"/>
          <w:highlight w:val="none"/>
        </w:rPr>
        <w:t xml:space="preserve">“苏采云”系统</w:t>
      </w:r>
      <w:bookmarkEnd w:id="96"/>
      <w:r>
        <w:rPr>
          <w:rFonts w:hint="eastAsia" w:ascii="宋体" w:hAnsi="宋体" w:cs="宋体"/>
          <w:color w:val="000000"/>
          <w:sz w:val="24"/>
          <w:szCs w:val="24"/>
          <w:highlight w:val="none"/>
        </w:rPr>
        <w:t xml:space="preserve">（网址：http://jszfcg.jsczt.cn）“开标大厅”参与开标过程）。</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2.投标文件的解密：开标当天各投标人应及时登录</w:t>
      </w:r>
      <w:bookmarkStart w:id="97" w:name="OLE_LINK119"/>
      <w:r>
        <w:rPr>
          <w:rFonts w:hint="eastAsia" w:ascii="宋体" w:hAnsi="宋体" w:cs="宋体"/>
          <w:color w:val="000000"/>
          <w:sz w:val="24"/>
          <w:szCs w:val="24"/>
          <w:highlight w:val="none"/>
        </w:rPr>
        <w:t xml:space="preserve">“苏采云”系统</w:t>
      </w:r>
      <w:bookmarkEnd w:id="97"/>
      <w:r>
        <w:rPr>
          <w:rFonts w:hint="eastAsia" w:ascii="宋体" w:hAnsi="宋体" w:cs="宋体"/>
          <w:color w:val="000000"/>
          <w:sz w:val="24"/>
          <w:szCs w:val="24"/>
          <w:highlight w:val="none"/>
        </w:rPr>
        <w:t xml:space="preserve">进入开标大厅，投标文件递交截止时间后，招标代理机构将在“苏采云”系统内通过开标大厅发出电子投标文件解密的指令。</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①投标人在开标大厅按规定时间自行实施远程解密，投标人解密限定在开标后30分钟之内完成。</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因投标人网络与电源不稳定、未按操作手册要求配置软硬件、解密锁发生故障或用错、故意不按要求时限内完成解密等自身原因，导致电子投标文件在规定时间内未能解密、解密失败或解密超时，视为投标人撤销其电子投标文件，系统内电子投标文件将被退回。</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③因招标代理机构原因或</w:t>
      </w:r>
      <w:bookmarkStart w:id="98" w:name="OLE_LINK123"/>
      <w:r>
        <w:rPr>
          <w:rFonts w:hint="eastAsia" w:ascii="宋体" w:hAnsi="宋体" w:cs="宋体"/>
          <w:color w:val="000000"/>
          <w:sz w:val="24"/>
          <w:szCs w:val="24"/>
          <w:highlight w:val="none"/>
        </w:rPr>
        <w:t xml:space="preserve">“苏采云”系统</w:t>
      </w:r>
      <w:bookmarkEnd w:id="98"/>
      <w:r>
        <w:rPr>
          <w:rFonts w:hint="eastAsia" w:ascii="宋体" w:hAnsi="宋体" w:cs="宋体"/>
          <w:color w:val="000000"/>
          <w:sz w:val="24"/>
          <w:szCs w:val="24"/>
          <w:highlight w:val="none"/>
        </w:rPr>
        <w:t xml:space="preserve">发生故障，导致无法按时完成电子投标文件解密或开、评标工作无法进行的，可根据实际情况相应延迟解密时间或调整开、评标时间。</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3.本项目在限定的解密时间内，只要有一家投标人解密成功，即视为</w:t>
      </w:r>
      <w:bookmarkStart w:id="99" w:name="OLE_LINK125"/>
      <w:r>
        <w:rPr>
          <w:rFonts w:hint="eastAsia" w:ascii="宋体" w:hAnsi="宋体" w:cs="宋体"/>
          <w:color w:val="000000"/>
          <w:sz w:val="24"/>
          <w:szCs w:val="24"/>
          <w:highlight w:val="none"/>
        </w:rPr>
        <w:t xml:space="preserve">“苏采云”系统</w:t>
      </w:r>
      <w:bookmarkEnd w:id="99"/>
      <w:r>
        <w:rPr>
          <w:rFonts w:hint="eastAsia" w:ascii="宋体" w:hAnsi="宋体" w:cs="宋体"/>
          <w:color w:val="000000"/>
          <w:sz w:val="24"/>
          <w:szCs w:val="24"/>
          <w:highlight w:val="none"/>
        </w:rPr>
        <w:t xml:space="preserve">运行无故障。</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4.若投标人已领取副锁（含多把副锁）请注意正、副锁的使用差别。</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人未按时加入开标大厅并完成登录操作的或未能在开标大厅内全程参与交互的，视为放弃交互和放弃对开评标全过程提疑的权利，投标人将无法看到解密指令、异议回复、唱标等实时情况，并承担由此导致的一切后果。</w:t>
      </w:r>
      <w:bookmarkStart w:id="100" w:name="OLE_LINK171"/>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101" w:name="_Toc8551"/>
      <w:r/>
      <w:bookmarkStart w:id="102" w:name="_Toc27930"/>
      <w:r/>
      <w:bookmarkStart w:id="103" w:name="_Toc19975"/>
      <w:r>
        <w:rPr>
          <w:rFonts w:hint="eastAsia" w:ascii="黑体" w:hAnsi="黑体" w:eastAsia="黑体" w:cs="黑体"/>
          <w:b w:val="0"/>
          <w:bCs w:val="0"/>
          <w:color w:val="000000"/>
          <w:sz w:val="28"/>
          <w:szCs w:val="28"/>
          <w:highlight w:val="none"/>
        </w:rPr>
        <w:t xml:space="preserve">五、投标人访问“苏采云”系统的网络地址和方法</w:t>
      </w:r>
      <w:bookmarkEnd w:id="101"/>
      <w:r/>
      <w:bookmarkEnd w:id="102"/>
      <w:r/>
      <w:bookmarkEnd w:id="103"/>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bookmarkEnd w:id="100"/>
      <w:r/>
      <w:bookmarkStart w:id="104" w:name="OLE_LINK214"/>
      <w:r>
        <w:rPr>
          <w:rFonts w:hint="eastAsia" w:ascii="宋体" w:hAnsi="宋体" w:cs="宋体"/>
          <w:color w:val="000000"/>
          <w:sz w:val="24"/>
          <w:szCs w:val="24"/>
          <w:highlight w:val="none"/>
        </w:rPr>
        <w:t xml:space="preserve">5.1</w:t>
      </w:r>
      <w:bookmarkStart w:id="105" w:name="OLE_LINK173"/>
      <w:r>
        <w:rPr>
          <w:rFonts w:hint="eastAsia" w:ascii="宋体" w:hAnsi="宋体" w:cs="宋体"/>
          <w:color w:val="000000"/>
          <w:sz w:val="24"/>
          <w:szCs w:val="24"/>
          <w:highlight w:val="none"/>
        </w:rPr>
        <w:t xml:space="preserve">投标人应通过“苏采云”系统（网址：http://jszfcg.jsczt.cn）参与政府采购项目。</w:t>
      </w:r>
      <w:bookmarkEnd w:id="105"/>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投标人操作手册》。下载地址：</w:t>
      </w:r>
      <w:bookmarkStart w:id="106" w:name="OLE_LINK172"/>
      <w:r>
        <w:rPr>
          <w:rFonts w:hint="eastAsia" w:ascii="宋体" w:hAnsi="宋体" w:cs="宋体"/>
          <w:color w:val="000000"/>
          <w:sz w:val="24"/>
          <w:szCs w:val="24"/>
          <w:highlight w:val="none"/>
        </w:rPr>
        <w:t xml:space="preserve">http://www.ccgp-jiangsu.gov.cn/jiangsu/zlxz/ee/ee3a4bc5a3454aa2b0d9312230633ce9.html</w:t>
      </w:r>
      <w:bookmarkEnd w:id="106"/>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5.3“CA数字证书”的获取：</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办理CA锁，“苏采云”系统目前仅支持政务CA、方正签章，省内各地区办理的用于“苏采云”平台的政务CA、方正签章全省通用。“CA数字证书”的办理方法详见江苏政府采购网—资料下载中《江苏省政府采购数字证书（投标人）CA及电子签章办理指南》。下载地址：http://jsxcmm.com/help/gys.html</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5.4电子投标文件（后缀名为“.kedt”）、投标人操作手册及政府采购客户端工具可通过“苏采云”系统--已报名项目--报名详情页面内相应链接进行下载。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5.5招标代理机构将数据电文形式的招标文件加载至“苏采云”系统，供潜在投标人下载或者查阅。</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5.6请潜在投标人提前安装相应的控件（详见《江苏省政府采购管理交易系统（苏采云）投标人操作手册》）并使用谷歌浏览器登录“苏采云”系统参加项目线上开评标</w:t>
      </w:r>
      <w:bookmarkEnd w:id="1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107" w:name="_Toc19232"/>
      <w:r/>
      <w:bookmarkStart w:id="108" w:name="_Toc9567"/>
      <w:r/>
      <w:bookmarkStart w:id="109" w:name="_Toc23939"/>
      <w:r/>
      <w:bookmarkStart w:id="110" w:name="_Toc7219"/>
      <w:r>
        <w:rPr>
          <w:rFonts w:hint="eastAsia" w:ascii="黑体" w:hAnsi="黑体" w:eastAsia="黑体" w:cs="黑体"/>
          <w:b w:val="0"/>
          <w:bCs w:val="0"/>
          <w:color w:val="000000"/>
          <w:sz w:val="28"/>
          <w:szCs w:val="28"/>
          <w:highlight w:val="none"/>
        </w:rPr>
        <w:t xml:space="preserve">六、公告期限</w:t>
      </w:r>
      <w:bookmarkEnd w:id="73"/>
      <w:r/>
      <w:bookmarkEnd w:id="74"/>
      <w:r/>
      <w:bookmarkEnd w:id="75"/>
      <w:r/>
      <w:bookmarkEnd w:id="76"/>
      <w:r/>
      <w:bookmarkEnd w:id="77"/>
      <w:r/>
      <w:bookmarkEnd w:id="107"/>
      <w:r/>
      <w:bookmarkEnd w:id="108"/>
      <w:r/>
      <w:bookmarkEnd w:id="109"/>
      <w:r/>
      <w:bookmarkEnd w:id="110"/>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bookmarkStart w:id="111" w:name="_Toc35393626"/>
      <w:r/>
      <w:bookmarkStart w:id="112" w:name="_Toc38985268"/>
      <w:r/>
      <w:bookmarkStart w:id="113" w:name="_Toc35393795"/>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114" w:name="_Toc21286"/>
      <w:r/>
      <w:bookmarkStart w:id="115" w:name="_Toc3494"/>
      <w:r/>
      <w:bookmarkStart w:id="116" w:name="_Toc31981"/>
      <w:r/>
      <w:bookmarkStart w:id="117" w:name="_Toc29029"/>
      <w:r/>
      <w:bookmarkStart w:id="118" w:name="_Toc22166"/>
      <w:r>
        <w:rPr>
          <w:rFonts w:hint="eastAsia" w:ascii="黑体" w:hAnsi="黑体" w:eastAsia="黑体" w:cs="黑体"/>
          <w:b w:val="0"/>
          <w:bCs w:val="0"/>
          <w:color w:val="000000"/>
          <w:sz w:val="28"/>
          <w:szCs w:val="28"/>
          <w:highlight w:val="none"/>
        </w:rPr>
        <w:t xml:space="preserve">七、其他补充事宜</w:t>
      </w:r>
      <w:bookmarkEnd w:id="111"/>
      <w:r/>
      <w:bookmarkEnd w:id="112"/>
      <w:r/>
      <w:bookmarkEnd w:id="113"/>
      <w:r/>
      <w:bookmarkEnd w:id="114"/>
      <w:r/>
      <w:bookmarkEnd w:id="115"/>
      <w:r/>
      <w:bookmarkEnd w:id="116"/>
      <w:r/>
      <w:bookmarkEnd w:id="117"/>
      <w:r/>
      <w:bookmarkEnd w:id="118"/>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宋体" w:hAnsi="宋体" w:cs="宋体"/>
          <w:color w:val="000000"/>
          <w:sz w:val="24"/>
          <w:szCs w:val="24"/>
          <w:highlight w:val="none"/>
        </w:rPr>
      </w:pPr>
      <w:r/>
      <w:bookmarkStart w:id="119" w:name="_Toc38985269"/>
      <w:r/>
      <w:bookmarkStart w:id="120" w:name="_Toc35393796"/>
      <w:r/>
      <w:bookmarkStart w:id="121" w:name="_Toc28359085"/>
      <w:r/>
      <w:bookmarkStart w:id="122" w:name="_Toc17611"/>
      <w:r/>
      <w:bookmarkStart w:id="123" w:name="_Toc28359008"/>
      <w:r/>
      <w:bookmarkStart w:id="124" w:name="_Toc14169"/>
      <w:r/>
      <w:bookmarkStart w:id="125" w:name="_Toc35393627"/>
      <w:r>
        <w:rPr>
          <w:rFonts w:hint="eastAsia" w:ascii="宋体" w:hAnsi="宋体" w:cs="宋体"/>
          <w:color w:val="000000"/>
          <w:sz w:val="24"/>
          <w:szCs w:val="24"/>
          <w:highlight w:val="none"/>
        </w:rPr>
        <w:t xml:space="preserve">7.1公示媒体：江苏政府采购网、中国政府采购网。</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7.2有关本次招标事项若存在变动或修改，敬请及时关注江苏柒采招标代理有限公司在江苏政府采购网、中国政府采购网发布的更正公告。</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7.3投标人对项目招标文件（投标人的资格要求、服务合同、采购需求、评标办法和评标标准）的询问、质疑由招标代理机构接收、答复。</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Start w:id="126" w:name="_Toc2395"/>
      <w:r/>
      <w:bookmarkStart w:id="127" w:name="_Toc29916"/>
      <w:r/>
      <w:bookmarkStart w:id="128" w:name="_Toc23499"/>
      <w:r>
        <w:rPr>
          <w:rFonts w:hint="eastAsia" w:ascii="黑体" w:hAnsi="黑体" w:eastAsia="黑体" w:cs="黑体"/>
          <w:b w:val="0"/>
          <w:bCs w:val="0"/>
          <w:color w:val="000000"/>
          <w:sz w:val="28"/>
          <w:szCs w:val="28"/>
          <w:highlight w:val="none"/>
        </w:rPr>
        <w:t xml:space="preserve">八、本次招标联系方式</w:t>
      </w:r>
      <w:bookmarkEnd w:id="119"/>
      <w:r/>
      <w:bookmarkEnd w:id="120"/>
      <w:r/>
      <w:bookmarkEnd w:id="121"/>
      <w:r/>
      <w:bookmarkEnd w:id="122"/>
      <w:r/>
      <w:bookmarkEnd w:id="123"/>
      <w:r/>
      <w:bookmarkEnd w:id="124"/>
      <w:r/>
      <w:bookmarkEnd w:id="125"/>
      <w:r/>
      <w:bookmarkEnd w:id="126"/>
      <w:r/>
      <w:bookmarkEnd w:id="127"/>
      <w:r/>
      <w:bookmarkEnd w:id="128"/>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黑体" w:hAnsi="黑体" w:eastAsia="黑体" w:cs="黑体"/>
          <w:color w:val="000000"/>
          <w:sz w:val="24"/>
          <w:szCs w:val="24"/>
          <w:highlight w:val="none"/>
        </w:rPr>
      </w:pPr>
      <w:r/>
      <w:bookmarkStart w:id="129" w:name="_Toc28359010"/>
      <w:r/>
      <w:bookmarkStart w:id="130" w:name="_Toc28359087"/>
      <w:r>
        <w:rPr>
          <w:rFonts w:hint="eastAsia" w:ascii="黑体" w:hAnsi="黑体" w:eastAsia="黑体" w:cs="黑体"/>
          <w:color w:val="000000"/>
          <w:sz w:val="24"/>
          <w:szCs w:val="24"/>
          <w:highlight w:val="none"/>
        </w:rPr>
        <w:t xml:space="preserve">8.1采购人信息</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名称：无锡工艺职业技术学院</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地址：无锡宜兴市荆邑南路99号</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联系人：赵老师</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联系方式：0510-81710078</w:t>
      </w:r>
      <w:r>
        <w:rPr>
          <w:rFonts w:hint="eastAsia" w:ascii="宋体" w:hAnsi="宋体" w:cs="宋体"/>
          <w:color w:val="000000"/>
          <w:sz w:val="24"/>
          <w:szCs w:val="24"/>
          <w:highlight w:val="none"/>
        </w:rPr>
      </w:r>
      <w:r/>
    </w:p>
    <w:p>
      <w:pPr>
        <w:pStyle w:val="1013"/>
        <w:ind w:firstLine="480"/>
        <w:spacing w:line="4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8.2招标代理信息</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名称：江苏柒采招标代理有限公司</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地址：南京市建邺区奥体大街68号（新城科技园国际研发总部园）3幢6楼</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联系人：李可鑫/李金楠/张明立</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联系方式：025-83370296-707/025-83370296</w:t>
      </w:r>
      <w:r>
        <w:rPr>
          <w:rFonts w:hint="eastAsia" w:ascii="宋体" w:hAnsi="宋体" w:cs="宋体"/>
          <w:color w:val="000000"/>
          <w:sz w:val="24"/>
          <w:szCs w:val="24"/>
          <w:highlight w:val="none"/>
        </w:rPr>
      </w:r>
      <w:r/>
    </w:p>
    <w:p>
      <w:pPr>
        <w:pStyle w:val="1015"/>
        <w:jc w:val="left"/>
        <w:spacing w:before="0" w:after="0" w:line="440" w:lineRule="exact"/>
        <w:rPr>
          <w:rFonts w:hint="eastAsia" w:ascii="黑体" w:hAnsi="黑体" w:eastAsia="黑体" w:cs="黑体"/>
          <w:b w:val="0"/>
          <w:bCs w:val="0"/>
          <w:color w:val="000000"/>
          <w:sz w:val="28"/>
          <w:szCs w:val="28"/>
          <w:highlight w:val="none"/>
        </w:rPr>
      </w:pPr>
      <w:r/>
      <w:bookmarkEnd w:id="129"/>
      <w:r/>
      <w:bookmarkEnd w:id="130"/>
      <w:r/>
      <w:bookmarkStart w:id="131" w:name="_Toc10509"/>
      <w:r/>
      <w:bookmarkStart w:id="132" w:name="_Toc12625"/>
      <w:r/>
      <w:bookmarkStart w:id="133" w:name="_Toc20734"/>
      <w:r/>
      <w:bookmarkStart w:id="134" w:name="_Toc28692"/>
      <w:r/>
      <w:bookmarkStart w:id="135" w:name="_Toc5689"/>
      <w:r>
        <w:rPr>
          <w:rFonts w:hint="eastAsia" w:ascii="黑体" w:hAnsi="黑体" w:eastAsia="黑体" w:cs="黑体"/>
          <w:b w:val="0"/>
          <w:bCs w:val="0"/>
          <w:color w:val="000000"/>
          <w:sz w:val="28"/>
          <w:szCs w:val="28"/>
          <w:highlight w:val="none"/>
        </w:rPr>
        <w:t xml:space="preserve">九、其他</w:t>
      </w:r>
      <w:bookmarkEnd w:id="131"/>
      <w:r/>
      <w:bookmarkEnd w:id="132"/>
      <w:r/>
      <w:bookmarkEnd w:id="133"/>
      <w:r/>
      <w:bookmarkEnd w:id="134"/>
      <w:r/>
      <w:bookmarkEnd w:id="135"/>
      <w:r>
        <w:rPr>
          <w:rFonts w:hint="eastAsia" w:ascii="黑体" w:hAnsi="黑体" w:eastAsia="黑体" w:cs="黑体"/>
          <w:b w:val="0"/>
          <w:bCs w:val="0"/>
          <w:color w:val="000000"/>
          <w:sz w:val="28"/>
          <w:szCs w:val="28"/>
          <w:highlight w:val="none"/>
        </w:rPr>
      </w:r>
      <w:r/>
    </w:p>
    <w:p>
      <w:pPr>
        <w:pStyle w:val="1013"/>
        <w:ind w:firstLine="480"/>
        <w:spacing w:line="4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9.1采购项目需要落实的政府采购政策</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bookmarkStart w:id="136" w:name="OLE_LINK215"/>
      <w:r>
        <w:rPr>
          <w:rFonts w:hint="eastAsia" w:ascii="宋体" w:hAnsi="宋体" w:cs="宋体"/>
          <w:color w:val="000000"/>
          <w:sz w:val="24"/>
          <w:szCs w:val="24"/>
          <w:highlight w:val="none"/>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bookmarkEnd w:id="136"/>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9.2请投标人在获取招标文件后，认真阅读各项内容，按照招标文件的要求详细填写和编制投标文件，进行必要的准备，并按招标文件确定的时间、地点准时参加开标活动。</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9.3代理费发票申请，请登录“江苏柒采招标代理有限公司”官网（http://www.jsqczb.cn/sy），点击“下载专区”，获取“开票信息填写”文件。</w:t>
      </w:r>
      <w:r>
        <w:rPr>
          <w:rFonts w:hint="eastAsia" w:ascii="宋体" w:hAnsi="宋体" w:cs="宋体"/>
          <w:color w:val="000000"/>
          <w:sz w:val="24"/>
          <w:szCs w:val="24"/>
          <w:highlight w:val="none"/>
        </w:rPr>
      </w:r>
      <w:r/>
    </w:p>
    <w:p>
      <w:pPr>
        <w:pStyle w:val="1014"/>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br w:type="page" w:clear="all"/>
      </w:r>
      <w:bookmarkStart w:id="137" w:name="_Toc120614211"/>
      <w:r/>
      <w:bookmarkStart w:id="138" w:name="_Toc15650"/>
      <w:r/>
      <w:bookmarkStart w:id="139" w:name="_Toc738"/>
      <w:r>
        <w:rPr>
          <w:rFonts w:hint="eastAsia" w:ascii="黑体" w:hAnsi="黑体" w:eastAsia="黑体" w:cs="黑体"/>
          <w:color w:val="000000"/>
          <w:sz w:val="40"/>
          <w:szCs w:val="40"/>
          <w:highlight w:val="none"/>
        </w:rPr>
        <w:t xml:space="preserve">第二章  </w:t>
      </w:r>
      <w:bookmarkEnd w:id="31"/>
      <w:r/>
      <w:bookmarkEnd w:id="32"/>
      <w:r/>
      <w:bookmarkEnd w:id="33"/>
      <w:r/>
      <w:bookmarkEnd w:id="34"/>
      <w:r/>
      <w:bookmarkEnd w:id="35"/>
      <w:r/>
      <w:bookmarkEnd w:id="137"/>
      <w:r/>
      <w:bookmarkStart w:id="140" w:name="_Toc20823274"/>
      <w:r/>
      <w:bookmarkStart w:id="141" w:name="_Toc16938518"/>
      <w:r/>
      <w:bookmarkStart w:id="142" w:name="_Toc120614213"/>
      <w:r/>
      <w:bookmarkStart w:id="143" w:name="_Toc513029202"/>
      <w:r>
        <w:rPr>
          <w:rFonts w:hint="eastAsia" w:ascii="黑体" w:hAnsi="黑体" w:eastAsia="黑体" w:cs="黑体"/>
          <w:color w:val="000000"/>
          <w:sz w:val="40"/>
          <w:szCs w:val="40"/>
          <w:highlight w:val="none"/>
        </w:rPr>
        <w:t xml:space="preserve">投标人须知</w:t>
      </w:r>
      <w:bookmarkEnd w:id="138"/>
      <w:r/>
      <w:bookmarkEnd w:id="139"/>
      <w:r/>
      <w:bookmarkEnd w:id="140"/>
      <w:r/>
      <w:bookmarkEnd w:id="141"/>
      <w:r/>
      <w:bookmarkEnd w:id="142"/>
      <w:r/>
      <w:bookmarkEnd w:id="143"/>
      <w:r>
        <w:rPr>
          <w:rFonts w:hint="eastAsia" w:ascii="宋体" w:hAnsi="宋体" w:eastAsia="宋体" w:cs="宋体"/>
          <w:b w:val="0"/>
          <w:bCs w:val="0"/>
          <w:color w:val="000000"/>
          <w:sz w:val="44"/>
          <w:szCs w:val="44"/>
          <w:highlight w:val="none"/>
        </w:rPr>
      </w:r>
      <w:r/>
    </w:p>
    <w:p>
      <w:pPr>
        <w:pStyle w:val="1013"/>
        <w:jc w:val="center"/>
        <w:spacing w:before="145" w:line="360" w:lineRule="auto"/>
        <w:widowControl/>
        <w:rPr>
          <w:rFonts w:hint="eastAsia" w:ascii="黑体" w:hAnsi="黑体" w:eastAsia="黑体" w:cs="黑体"/>
          <w:color w:val="000000"/>
          <w:sz w:val="28"/>
          <w:szCs w:val="28"/>
          <w:highlight w:val="none"/>
        </w:rPr>
        <w:outlineLvl w:val="1"/>
      </w:pPr>
      <w:r/>
      <w:bookmarkStart w:id="144" w:name="_Toc5325"/>
      <w:r/>
      <w:bookmarkStart w:id="145" w:name="_Toc18157"/>
      <w:r/>
      <w:bookmarkStart w:id="146" w:name="_Toc20823275"/>
      <w:r/>
      <w:bookmarkStart w:id="147" w:name="_Toc24056"/>
      <w:r/>
      <w:bookmarkStart w:id="148" w:name="_Toc16938519"/>
      <w:r/>
      <w:bookmarkStart w:id="149" w:name="_Toc120614214"/>
      <w:r/>
      <w:bookmarkStart w:id="150" w:name="_Toc513029203"/>
      <w:r>
        <w:rPr>
          <w:rFonts w:hint="eastAsia" w:ascii="黑体" w:hAnsi="黑体" w:eastAsia="黑体" w:cs="黑体"/>
          <w:color w:val="000000"/>
          <w:sz w:val="28"/>
          <w:szCs w:val="28"/>
          <w:highlight w:val="none"/>
        </w:rPr>
        <w:t xml:space="preserve">投标人须知前附表</w:t>
      </w:r>
      <w:bookmarkEnd w:id="144"/>
      <w:r/>
      <w:bookmarkEnd w:id="145"/>
      <w:r>
        <w:rPr>
          <w:rFonts w:hint="eastAsia" w:ascii="黑体" w:hAnsi="黑体" w:eastAsia="黑体" w:cs="黑体"/>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90"/>
        </w:trPr>
        <w:tc>
          <w:tcPr>
            <w:tcW w:w="720"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2143"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名  称</w:t>
            </w:r>
            <w:r>
              <w:rPr>
                <w:rFonts w:hint="eastAsia" w:ascii="黑体" w:hAnsi="黑体" w:eastAsia="黑体" w:cs="黑体"/>
                <w:color w:val="000000"/>
                <w:sz w:val="24"/>
                <w:szCs w:val="24"/>
                <w:highlight w:val="none"/>
              </w:rPr>
            </w:r>
            <w:r/>
          </w:p>
        </w:tc>
        <w:tc>
          <w:tcPr>
            <w:tcW w:w="7080"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内  容</w:t>
            </w:r>
            <w:r>
              <w:rPr>
                <w:rFonts w:hint="eastAsia" w:ascii="黑体" w:hAnsi="黑体" w:eastAsia="黑体" w:cs="黑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rPr>
            </w:r>
            <w:r/>
          </w:p>
        </w:tc>
        <w:tc>
          <w:tcPr>
            <w:tcW w:w="7080" w:type="dxa"/>
            <w:vAlign w:val="center"/>
            <w:textDirection w:val="lrTb"/>
            <w:noWrap w:val="false"/>
          </w:tcPr>
          <w:p>
            <w:pPr>
              <w:pStyle w:val="101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名称：无锡工艺职业技术学院</w:t>
            </w:r>
            <w:r>
              <w:rPr>
                <w:rFonts w:hint="eastAsia" w:ascii="宋体" w:hAnsi="宋体" w:cs="宋体"/>
                <w:color w:val="000000"/>
                <w:sz w:val="24"/>
                <w:szCs w:val="24"/>
                <w:highlight w:val="none"/>
              </w:rPr>
            </w:r>
            <w:r/>
          </w:p>
          <w:p>
            <w:pPr>
              <w:pStyle w:val="101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地址：无锡宜兴市荆邑南路99号</w:t>
            </w:r>
            <w:r>
              <w:rPr>
                <w:rFonts w:hint="eastAsia" w:ascii="宋体" w:hAnsi="宋体" w:cs="宋体"/>
                <w:color w:val="000000"/>
                <w:sz w:val="24"/>
                <w:szCs w:val="24"/>
                <w:highlight w:val="none"/>
              </w:rPr>
            </w:r>
            <w:r/>
          </w:p>
          <w:p>
            <w:pPr>
              <w:pStyle w:val="101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联系人：赵老师</w:t>
            </w:r>
            <w:r>
              <w:rPr>
                <w:rFonts w:hint="eastAsia" w:ascii="宋体" w:hAnsi="宋体" w:cs="宋体"/>
                <w:color w:val="000000"/>
                <w:sz w:val="24"/>
                <w:szCs w:val="24"/>
                <w:highlight w:val="none"/>
              </w:rPr>
            </w:r>
            <w:r/>
          </w:p>
          <w:p>
            <w:pPr>
              <w:pStyle w:val="101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联系方式：0510-81710078</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招标代理机构</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名称：江苏柒采招标代理有限公司</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地址：江苏省南京市建邺区奥体大街68号（新城科技园国际研发总部园）3幢6楼</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联系人：李可鑫/李金楠/张明立</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联系方式：025-83370296-707/025-83370296</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京东数字商贸产业学院二期项目AI丝路电商实训平台项目</w:t>
            </w:r>
            <w:r>
              <w:rPr>
                <w:rFonts w:hint="eastAsia" w:ascii="宋体" w:hAnsi="宋体" w:cs="宋体"/>
                <w:color w:val="000000"/>
                <w:sz w:val="24"/>
                <w:szCs w:val="24"/>
                <w:highlight w:val="none"/>
              </w:rPr>
            </w:r>
            <w:r/>
          </w:p>
        </w:tc>
      </w:tr>
      <w:tr>
        <w:trPr/>
        <w:tc>
          <w:tcPr>
            <w:tcW w:w="720" w:type="dxa"/>
            <w:vAlign w:val="center"/>
            <w:vMerge w:val="restart"/>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JSZC-320000-JSQC-G2026-0032</w:t>
            </w:r>
            <w:r>
              <w:rPr>
                <w:rFonts w:hint="eastAsia" w:ascii="宋体" w:hAnsi="宋体" w:eastAsia="宋体" w:cs="宋体"/>
                <w:color w:val="000000"/>
                <w:sz w:val="24"/>
                <w:szCs w:val="24"/>
                <w:highlight w:val="none"/>
                <w:lang w:eastAsia="zh-CN"/>
              </w:rPr>
            </w:r>
            <w:r/>
          </w:p>
        </w:tc>
      </w:tr>
      <w:tr>
        <w:trPr/>
        <w:tc>
          <w:tcPr>
            <w:tcW w:w="720" w:type="dxa"/>
            <w:vAlign w:val="center"/>
            <w:vMerge w:val="continue"/>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招标文件编号</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QC-2026071233C</w:t>
            </w:r>
            <w:r>
              <w:rPr>
                <w:rFonts w:hint="eastAsia" w:ascii="宋体" w:hAnsi="宋体" w:cs="宋体"/>
                <w:color w:val="000000"/>
                <w:sz w:val="24"/>
                <w:szCs w:val="24"/>
                <w:highlight w:val="none"/>
              </w:rPr>
            </w:r>
            <w:r/>
          </w:p>
        </w:tc>
      </w:tr>
      <w:tr>
        <w:trPr/>
        <w:tc>
          <w:tcPr>
            <w:tcW w:w="720" w:type="dxa"/>
            <w:vAlign w:val="center"/>
            <w:vMerge w:val="restart"/>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预算金额（含税）</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人民币230万元</w:t>
            </w:r>
            <w:r>
              <w:rPr>
                <w:rFonts w:hint="eastAsia" w:ascii="宋体" w:hAnsi="宋体" w:cs="宋体"/>
                <w:color w:val="000000"/>
                <w:sz w:val="24"/>
                <w:szCs w:val="24"/>
                <w:highlight w:val="none"/>
              </w:rPr>
            </w:r>
            <w:r/>
          </w:p>
        </w:tc>
      </w:tr>
      <w:tr>
        <w:trPr/>
        <w:tc>
          <w:tcPr>
            <w:tcW w:w="720" w:type="dxa"/>
            <w:vAlign w:val="center"/>
            <w:vMerge w:val="continue"/>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最高限价（含税）</w:t>
            </w:r>
            <w:r>
              <w:rPr>
                <w:rFonts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人民币230万元</w:t>
            </w:r>
            <w:r>
              <w:rPr>
                <w:rFonts w:hint="eastAsia" w:ascii="宋体" w:hAnsi="宋体" w:cs="宋体"/>
                <w:color w:val="000000"/>
                <w:sz w:val="24"/>
                <w:szCs w:val="24"/>
                <w:highlight w:val="none"/>
              </w:rPr>
            </w:r>
            <w:r/>
          </w:p>
        </w:tc>
      </w:tr>
      <w:tr>
        <w:trPr/>
        <w:tc>
          <w:tcPr>
            <w:tcW w:w="720" w:type="dxa"/>
            <w:vAlign w:val="center"/>
            <w:vMerge w:val="continue"/>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政府采购异常低价问题处理方式</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1.根据《关于推动解决政府采购异常低价问题的通知》(财库〔2026〕2号)要求，政府采购评标中出现下列情形之一的，评标委员会应当启动异常低价投标审查程序:</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（1）投标报价低于全部通过符合性审查投标人投标报价平均值50%的，即投标报价&lt;全部通过符合性审查投标人投标报价平均值×50%；</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（2）投标报价低于通过符合性审查的次低报价投标人投标报价50%的，即投标报价&lt;通过符合性审查的次低报价投标人投标报价×50%；</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（3）投标报价低于采购项目最高限价45%的，即投标报价&lt;采购项目最高限价×45%；</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（4）评标委员会基于专业判断，认为投标人报价过低，有可能影响产品质量或者不能诚信履约的其他情形。</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评标委员会启动异常低价响应审查后，属于前述第1项至第4项情形的，应当要求相关投标人在评标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标现场可不再重复提交。</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评标委员会应当将其作为无效响应处理。</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异常低价响应审查的启动原因、审查意见和审查结果应当在评标报告中记录，并随投标人提供的相关书面说明及证明材料，以及评标委员会有关互联网浏览、查询历史一并归档。</w:t>
            </w:r>
            <w:r>
              <w:rPr>
                <w:rFonts w:hint="eastAsia" w:ascii="宋体" w:hAnsi="宋体" w:cs="宋体"/>
                <w:color w:val="000000"/>
                <w:sz w:val="24"/>
                <w:szCs w:val="24"/>
                <w:highlight w:val="none"/>
              </w:rPr>
            </w:r>
            <w:r/>
          </w:p>
        </w:tc>
      </w:tr>
      <w:tr>
        <w:trPr>
          <w:trHeight w:val="416"/>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项目实施地点</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无锡宜兴市荆邑南路99号（无锡工艺职业技术学院）。</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踏勘现场/答疑</w:t>
            </w:r>
            <w:r>
              <w:rPr>
                <w:rFonts w:ascii="宋体" w:hAnsi="宋体" w:cs="宋体"/>
                <w:b/>
                <w:bCs/>
                <w:color w:val="000000"/>
                <w:sz w:val="24"/>
                <w:szCs w:val="24"/>
                <w:highlight w:val="none"/>
              </w:rPr>
            </w:r>
            <w:r/>
          </w:p>
        </w:tc>
        <w:tc>
          <w:tcPr>
            <w:tcW w:w="7080" w:type="dxa"/>
            <w:vAlign w:val="center"/>
            <w:textDirection w:val="lrTb"/>
            <w:noWrap w:val="false"/>
          </w:tcPr>
          <w:p>
            <w:pPr>
              <w:pStyle w:val="1013"/>
              <w:jc w:val="lef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本项目不组织集中勘察及集中答疑，投标人如对采购需求有疑问，请咨询采购单位联系人。</w:t>
            </w:r>
            <w:r>
              <w:rPr>
                <w:rFonts w:hint="eastAsia" w:ascii="宋体" w:hAnsi="宋体" w:cs="宋体"/>
                <w:b/>
                <w:bCs/>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rPr>
                <w:rFonts w:hint="eastAsia" w:ascii="宋体" w:hAnsi="宋体" w:cs="宋体"/>
                <w:color w:val="000000"/>
                <w:sz w:val="24"/>
                <w:szCs w:val="24"/>
                <w:highlight w:val="none"/>
              </w:rPr>
            </w:r>
            <w:r/>
          </w:p>
        </w:tc>
        <w:tc>
          <w:tcPr>
            <w:tcW w:w="7080" w:type="dxa"/>
            <w:vAlign w:val="center"/>
            <w:textDirection w:val="lrTb"/>
            <w:noWrap w:val="false"/>
          </w:tcPr>
          <w:p>
            <w:pPr>
              <w:pStyle w:val="1013"/>
              <w:widowControl/>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cs="宋体"/>
                <w:color w:val="000000"/>
                <w:sz w:val="24"/>
                <w:szCs w:val="24"/>
                <w:highlight w:val="none"/>
              </w:rPr>
              <w:t xml:space="preserve">不要求提供</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要求提供。数额不得超过采购项目预算金额的2%，本项目的投标保证金为人民币______元，提交方式为______。</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收款人户名：</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w:t>
            </w:r>
            <w:r>
              <w:rPr>
                <w:rFonts w:hint="eastAsia" w:ascii="宋体" w:hAnsi="宋体" w:cs="宋体"/>
                <w:color w:val="000000"/>
                <w:sz w:val="24"/>
                <w:szCs w:val="24"/>
                <w:highlight w:val="none"/>
              </w:rPr>
            </w:r>
            <w:r/>
          </w:p>
          <w:p>
            <w:pPr>
              <w:pStyle w:val="1013"/>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注：以电汇方式递交投标保证金须在电汇凭据附言栏中写明项目编号、分包号及用途(投标保证金)。</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电子投标文件接收截止时间</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电子投标文件接收截止时间：</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14:00（北京时间）</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接收地点：江苏省政府采购管理交易系统（苏采云）（以下简称“苏采云”）（网址：http://jszfcg.jsczt.cn）。</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电子投标文件解密开始时间</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电子投标文件解密开始时间：</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14:00（北京时间）</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解密地点：江苏省政府采购交易系统（以下简称“苏采云系统”）网上开标大厅。</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电子投标文件数量</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电子投标文件：1份。</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投标文件有效期</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响应截止时间后60天。</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招标代理服务费</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支付主体：项目的招标代理服务费由中标人支付，在中标公告发布后7个工作日内一次性支付予招标代理公司；投标人报价应包含招标代理服务费。</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支付原因：项目预算中包含招标代理服务费。</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收取方式：网上银行转账或银行电汇（不接受其他形式，并在转账或电汇时，备注“33C+代理费”字样。）</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收费依据及标准：参照国家发展和改革委员会发布的计价格〔2002〕1980号文件所附的招标代理业务</w:t>
            </w:r>
            <w:r>
              <w:rPr>
                <w:rFonts w:hint="eastAsia" w:ascii="宋体" w:hAnsi="宋体" w:cs="宋体"/>
                <w:color w:val="000000"/>
                <w:sz w:val="24"/>
                <w:szCs w:val="24"/>
                <w:highlight w:val="none"/>
              </w:rPr>
              <w:t xml:space="preserve">收费标准并按照无锡工艺职业技术学院招标代理服务合同【锡工院合同字</w:t>
            </w:r>
            <w:r>
              <w:rPr>
                <w:rFonts w:ascii="SimSun" w:hAnsi="SimSun" w:eastAsia="SimSun" w:cs="SimSun"/>
                <w:color w:val="000000"/>
                <w:sz w:val="24"/>
              </w:rPr>
              <w:t xml:space="preserve">第2026-024（1-1）号</w:t>
            </w:r>
            <w:r>
              <w:rPr>
                <w:rFonts w:hint="eastAsia" w:ascii="宋体" w:hAnsi="宋体" w:cs="宋体"/>
                <w:color w:val="000000"/>
                <w:sz w:val="24"/>
                <w:szCs w:val="24"/>
                <w:highlight w:val="none"/>
              </w:rPr>
            </w:r>
            <w:r>
              <w:rPr>
                <w:rFonts w:hint="eastAsia" w:ascii="宋体" w:hAnsi="宋体" w:cs="宋体"/>
                <w:color w:val="000000"/>
                <w:sz w:val="24"/>
                <w:szCs w:val="24"/>
                <w:highlight w:val="none"/>
              </w:rPr>
              <w:t xml:space="preserve">】规定的折扣率50%执行。</w:t>
            </w:r>
            <w:r>
              <w:rPr>
                <w:rFonts w:hint="eastAsia" w:ascii="宋体" w:hAnsi="宋体" w:cs="宋体"/>
                <w:color w:val="000000"/>
                <w:sz w:val="24"/>
                <w:szCs w:val="24"/>
                <w:highlight w:val="none"/>
              </w:rPr>
            </w:r>
            <w:r/>
          </w:p>
        </w:tc>
      </w:tr>
      <w:tr>
        <w:trPr/>
        <w:tc>
          <w:tcPr>
            <w:tcW w:w="720" w:type="dxa"/>
            <w:vAlign w:val="center"/>
            <w:textDirection w:val="lrTb"/>
            <w:noWrap w:val="false"/>
          </w:tcPr>
          <w:p>
            <w:pPr>
              <w:pStyle w:val="1013"/>
              <w:jc w:val="center"/>
              <w:widowControl/>
              <w:rPr>
                <w:rFonts w:ascii="宋体" w:hAnsi="宋体" w:cs="宋体"/>
                <w:color w:val="000000"/>
                <w:sz w:val="24"/>
                <w:szCs w:val="24"/>
                <w:highlight w:val="none"/>
              </w:rPr>
            </w:pPr>
            <w:r/>
            <w:bookmarkStart w:id="151" w:name="_Toc32075"/>
            <w:r/>
            <w:bookmarkStart w:id="152" w:name="_Toc8664"/>
            <w:r/>
            <w:bookmarkStart w:id="153" w:name="_Toc26263"/>
            <w:r/>
            <w:bookmarkStart w:id="154" w:name="_Toc12682"/>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W w:w="21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专家评审费</w:t>
            </w:r>
            <w:r>
              <w:rPr>
                <w:rFonts w:hint="eastAsia" w:ascii="宋体" w:hAnsi="宋体" w:cs="宋体"/>
                <w:color w:val="000000"/>
                <w:sz w:val="24"/>
                <w:szCs w:val="24"/>
                <w:highlight w:val="none"/>
              </w:rPr>
            </w:r>
            <w:r/>
          </w:p>
        </w:tc>
        <w:tc>
          <w:tcPr>
            <w:tcW w:w="7080" w:type="dxa"/>
            <w:vAlign w:val="center"/>
            <w:textDirection w:val="lrTb"/>
            <w:noWrap w:val="false"/>
          </w:tcPr>
          <w:p>
            <w:pPr>
              <w:pStyle w:val="10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项目的专家评审劳务费由招标代理机构先行垫付支付于评审专家，采购人每半年一次与招标代理机构结算专家评审劳务费。</w:t>
            </w:r>
            <w:r>
              <w:rPr>
                <w:rFonts w:hint="eastAsia" w:ascii="宋体" w:hAnsi="宋体" w:eastAsia="宋体" w:cs="宋体"/>
                <w:color w:val="000000"/>
                <w:sz w:val="24"/>
                <w:szCs w:val="24"/>
                <w:highlight w:val="none"/>
              </w:rPr>
            </w:r>
            <w:r/>
          </w:p>
          <w:p>
            <w:pPr>
              <w:pStyle w:val="101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付费标准：参照《关于规范江苏省政府采购专家评审费标准的通知》（苏财购〔2016〕48号）。</w:t>
            </w:r>
            <w:r>
              <w:rPr>
                <w:rFonts w:hint="eastAsia" w:ascii="宋体" w:hAnsi="宋体" w:eastAsia="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付费金额：半天500元/人，超过半天的，每超过1小时增加100元/人，据实结算。</w:t>
            </w:r>
            <w:r>
              <w:rPr>
                <w:rFonts w:hint="eastAsia" w:ascii="宋体" w:hAnsi="宋体" w:cs="宋体"/>
                <w:color w:val="000000"/>
                <w:sz w:val="24"/>
                <w:szCs w:val="24"/>
                <w:highlight w:val="none"/>
              </w:rPr>
            </w:r>
            <w:r/>
          </w:p>
        </w:tc>
      </w:tr>
    </w:tbl>
    <w:p>
      <w:pPr>
        <w:pStyle w:val="1013"/>
        <w:spacing w:line="360" w:lineRule="auto"/>
        <w:rPr>
          <w:rFonts w:hint="eastAsia" w:ascii="黑体" w:hAnsi="黑体" w:eastAsia="黑体" w:cs="黑体"/>
          <w:b/>
          <w:color w:val="000000"/>
          <w:sz w:val="28"/>
          <w:szCs w:val="28"/>
          <w:highlight w:val="none"/>
        </w:rPr>
        <w:outlineLvl w:val="1"/>
      </w:pPr>
      <w:r/>
      <w:bookmarkEnd w:id="146"/>
      <w:r/>
      <w:bookmarkEnd w:id="147"/>
      <w:r/>
      <w:bookmarkEnd w:id="148"/>
      <w:r/>
      <w:bookmarkEnd w:id="149"/>
      <w:r/>
      <w:bookmarkEnd w:id="150"/>
      <w:r/>
      <w:bookmarkEnd w:id="151"/>
      <w:r/>
      <w:bookmarkEnd w:id="152"/>
      <w:r/>
      <w:bookmarkEnd w:id="153"/>
      <w:r/>
      <w:bookmarkEnd w:id="154"/>
      <w:r/>
      <w:bookmarkStart w:id="155" w:name="_Toc27123"/>
      <w:r/>
      <w:bookmarkStart w:id="156" w:name="_Toc27286"/>
      <w:r/>
      <w:bookmarkStart w:id="157" w:name="_Toc16938553"/>
      <w:r/>
      <w:bookmarkStart w:id="158" w:name="_Toc513029237"/>
      <w:r/>
      <w:bookmarkStart w:id="159" w:name="_Toc20823309"/>
      <w:r>
        <w:rPr>
          <w:rFonts w:hint="eastAsia" w:ascii="黑体" w:hAnsi="黑体" w:eastAsia="黑体" w:cs="黑体"/>
          <w:b/>
          <w:color w:val="000000"/>
          <w:sz w:val="28"/>
          <w:szCs w:val="28"/>
          <w:highlight w:val="none"/>
        </w:rPr>
        <w:t xml:space="preserve">一、总则</w:t>
      </w:r>
      <w:bookmarkEnd w:id="155"/>
      <w:r/>
      <w:bookmarkEnd w:id="156"/>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160" w:name="_Hlt16619475"/>
      <w:r/>
      <w:bookmarkEnd w:id="160"/>
      <w:r/>
      <w:bookmarkStart w:id="161" w:name="_Toc458694821"/>
      <w:r/>
      <w:bookmarkStart w:id="162" w:name="_Toc16938520"/>
      <w:r/>
      <w:bookmarkStart w:id="163" w:name="_Toc20823276"/>
      <w:r/>
      <w:bookmarkStart w:id="164" w:name="_Toc513029204"/>
      <w:r>
        <w:rPr>
          <w:rFonts w:hint="eastAsia" w:ascii="黑体" w:hAnsi="黑体" w:cs="黑体"/>
          <w:b w:val="0"/>
          <w:bCs w:val="0"/>
          <w:color w:val="000000"/>
          <w:sz w:val="24"/>
          <w:szCs w:val="24"/>
          <w:highlight w:val="none"/>
        </w:rPr>
        <w:t xml:space="preserve">1</w:t>
      </w:r>
      <w:bookmarkEnd w:id="161"/>
      <w:r>
        <w:rPr>
          <w:rFonts w:hint="eastAsia" w:ascii="黑体" w:hAnsi="黑体" w:cs="黑体"/>
          <w:b w:val="0"/>
          <w:bCs w:val="0"/>
          <w:color w:val="000000"/>
          <w:sz w:val="24"/>
          <w:szCs w:val="24"/>
          <w:highlight w:val="none"/>
        </w:rPr>
        <w:t xml:space="preserve">.招标方式</w:t>
      </w:r>
      <w:bookmarkEnd w:id="162"/>
      <w:r/>
      <w:bookmarkEnd w:id="163"/>
      <w:r/>
      <w:bookmarkEnd w:id="164"/>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rPr>
        <w:t xml:space="preserve">1.1 本次招标采取公开招标方式，本招标文件仅适用于招标公告中所述项目。</w:t>
      </w:r>
      <w:r>
        <w:rPr>
          <w:rFonts w:hint="eastAsia" w:ascii="宋体" w:hAnsi="宋体" w:cs="宋体"/>
          <w:color w:val="000000"/>
          <w:sz w:val="24"/>
          <w:szCs w:val="24"/>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165" w:name="_Toc20823277"/>
      <w:r/>
      <w:bookmarkStart w:id="166" w:name="_Toc16938521"/>
      <w:r/>
      <w:bookmarkStart w:id="167" w:name="_Toc513029205"/>
      <w:r>
        <w:rPr>
          <w:rFonts w:hint="eastAsia" w:ascii="黑体" w:hAnsi="黑体" w:cs="黑体"/>
          <w:b w:val="0"/>
          <w:bCs w:val="0"/>
          <w:color w:val="000000"/>
          <w:sz w:val="24"/>
          <w:szCs w:val="24"/>
          <w:highlight w:val="none"/>
        </w:rPr>
        <w:t xml:space="preserve">2.合格的</w:t>
      </w:r>
      <w:bookmarkEnd w:id="165"/>
      <w:r/>
      <w:bookmarkEnd w:id="166"/>
      <w:r/>
      <w:bookmarkEnd w:id="167"/>
      <w:r>
        <w:rPr>
          <w:rFonts w:hint="eastAsia" w:ascii="黑体" w:hAnsi="黑体" w:cs="黑体"/>
          <w:b w:val="0"/>
          <w:bCs w:val="0"/>
          <w:color w:val="000000"/>
          <w:sz w:val="24"/>
          <w:szCs w:val="24"/>
          <w:highlight w:val="none"/>
        </w:rPr>
        <w:t xml:space="preserve">投标人</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 满足招标公告中投标人的资格要求的规定。</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 满足本文件实质性条款的规定。</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168" w:name="_Toc513029206"/>
      <w:r/>
      <w:bookmarkStart w:id="169" w:name="_Toc16938522"/>
      <w:r/>
      <w:bookmarkStart w:id="170" w:name="_Toc20823278"/>
      <w:r>
        <w:rPr>
          <w:rFonts w:hint="eastAsia" w:ascii="黑体" w:hAnsi="黑体" w:cs="黑体"/>
          <w:b w:val="0"/>
          <w:bCs w:val="0"/>
          <w:color w:val="000000"/>
          <w:sz w:val="24"/>
          <w:szCs w:val="24"/>
          <w:highlight w:val="none"/>
        </w:rPr>
        <w:t xml:space="preserve">3.适用法律</w:t>
      </w:r>
      <w:bookmarkEnd w:id="168"/>
      <w:r/>
      <w:bookmarkEnd w:id="169"/>
      <w:r/>
      <w:bookmarkEnd w:id="170"/>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bookmarkStart w:id="171" w:name="_Toc16938523"/>
      <w:r/>
      <w:bookmarkStart w:id="172" w:name="_Toc20823279"/>
      <w:r/>
      <w:bookmarkStart w:id="173" w:name="_Toc513029207"/>
      <w:r/>
      <w:bookmarkStart w:id="174" w:name="_Toc462564067"/>
      <w:r>
        <w:rPr>
          <w:rFonts w:hint="eastAsia" w:ascii="宋体" w:hAnsi="宋体" w:cs="宋体"/>
          <w:color w:val="000000"/>
          <w:sz w:val="22"/>
          <w:szCs w:val="22"/>
          <w:highlight w:val="none"/>
        </w:rPr>
        <w:t xml:space="preserve">3.1</w:t>
      </w:r>
      <w:r>
        <w:rPr>
          <w:rFonts w:hint="eastAsia" w:ascii="宋体" w:hAnsi="宋体" w:cs="宋体"/>
          <w:color w:val="000000"/>
          <w:sz w:val="22"/>
          <w:szCs w:val="22"/>
          <w:highlight w:val="none"/>
          <w:lang w:val="zh-CN"/>
        </w:rPr>
        <w:t xml:space="preserve">《中华人民共和国政府采购法》《中华人民共和国政府采购法实施条例》《政府采购货物和服务招标投标管理办法》等有关法律、规章和规定等。</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4.政策功能</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政府采购促进中小企业发展，在政府采购活动中，投标人提供的服务符合下列情形的，享受中小企业扶持政策：</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（1）在服务采购项目中，服务由中小企业承接，即提供服务的人员为中小企业依照《中华人民共和国劳动合同法》订立劳动合同的从业人员。</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（2）以联合体形式参加政府采购活动，联合体各方均为中小企业的，联合体视同中小企业。其中，联合体各方均为小微企业的，联合体视同小微企业。</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（3）中小企业投标人参加政府采购活动，应当出具《中小企业声明函》(格式见后附件)，否则不得享受相关中小企业扶持政策。</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4.5 提供的产品属于信息安全产品的，投标人应当选择经国家认证的信息安全产品投标，并提供由中国信息安全认证中心按国家标准认证颁发的有效认证证书复印件。</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4.6 提供的产品属于政府强制采购节能产品的，投标人应当选择依据国家标准中二级能效 (水效)指标认证的节能产品投标，并提供有效的节能产品认证证书复印件。</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4.7 提供的产品属于环境标志产品的,投标人应当选择依据相关标准的最新版本认证的环境标志产品投标,并提供有效的环境标志产品认证证书复印件。</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4.8未按要求提供相关材料的，不享受相关政策。</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5.投标费用</w:t>
      </w:r>
      <w:bookmarkEnd w:id="171"/>
      <w:r/>
      <w:bookmarkEnd w:id="172"/>
      <w:r/>
      <w:bookmarkEnd w:id="173"/>
      <w:r/>
      <w:bookmarkEnd w:id="174"/>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 投标人应自行承担所有与参加投标有关的费用，无论投标过程中的做法和结果如何，江苏柒采招标代理有限公司（以下简称招标代理）在任何情况下均无义务和责任承担这些费用。</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5.2本次招标代理收取中标服务费，具体详见第一章 投标邀请及第二章 投标人须知前附表。</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6.招标文件的约束力</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 投标人一旦参加本项目采购活动，即被认为接受了本招标文件的规定和约束。</w:t>
      </w:r>
      <w:r>
        <w:rPr>
          <w:rFonts w:hint="eastAsia" w:ascii="宋体" w:hAnsi="宋体" w:cs="宋体"/>
          <w:color w:val="000000"/>
          <w:sz w:val="22"/>
          <w:szCs w:val="22"/>
          <w:highlight w:val="none"/>
        </w:rPr>
      </w:r>
      <w:r/>
    </w:p>
    <w:p>
      <w:pPr>
        <w:pStyle w:val="1013"/>
        <w:spacing w:line="360" w:lineRule="auto"/>
        <w:rPr>
          <w:rFonts w:hint="eastAsia" w:ascii="黑体" w:hAnsi="黑体" w:eastAsia="黑体" w:cs="黑体"/>
          <w:b/>
          <w:color w:val="000000"/>
          <w:sz w:val="28"/>
          <w:szCs w:val="28"/>
          <w:highlight w:val="none"/>
        </w:rPr>
        <w:outlineLvl w:val="1"/>
      </w:pPr>
      <w:r/>
      <w:bookmarkStart w:id="175" w:name="_Toc120614215"/>
      <w:r/>
      <w:bookmarkStart w:id="176" w:name="_Toc24838"/>
      <w:r/>
      <w:bookmarkStart w:id="177" w:name="_Toc16938525"/>
      <w:r/>
      <w:bookmarkStart w:id="178" w:name="_Toc31085"/>
      <w:r/>
      <w:bookmarkStart w:id="179" w:name="_Toc29366"/>
      <w:r/>
      <w:bookmarkStart w:id="180" w:name="_Toc4042"/>
      <w:r/>
      <w:bookmarkStart w:id="181" w:name="_Toc17643"/>
      <w:r/>
      <w:bookmarkStart w:id="182" w:name="_Toc28264"/>
      <w:r/>
      <w:bookmarkStart w:id="183" w:name="_Toc513029209"/>
      <w:r/>
      <w:bookmarkStart w:id="184" w:name="_Toc20823281"/>
      <w:r>
        <w:rPr>
          <w:rFonts w:hint="eastAsia" w:ascii="黑体" w:hAnsi="黑体" w:eastAsia="黑体" w:cs="黑体"/>
          <w:b/>
          <w:color w:val="000000"/>
          <w:sz w:val="28"/>
          <w:szCs w:val="28"/>
          <w:highlight w:val="none"/>
        </w:rPr>
        <w:t xml:space="preserve">二、招标文件</w:t>
      </w:r>
      <w:bookmarkEnd w:id="175"/>
      <w:r/>
      <w:bookmarkEnd w:id="176"/>
      <w:r/>
      <w:bookmarkEnd w:id="177"/>
      <w:r/>
      <w:bookmarkEnd w:id="178"/>
      <w:r/>
      <w:bookmarkEnd w:id="179"/>
      <w:r/>
      <w:bookmarkEnd w:id="180"/>
      <w:r/>
      <w:bookmarkEnd w:id="181"/>
      <w:r/>
      <w:bookmarkEnd w:id="182"/>
      <w:r/>
      <w:bookmarkEnd w:id="183"/>
      <w:r/>
      <w:bookmarkEnd w:id="184"/>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185" w:name="_Toc513029210"/>
      <w:r/>
      <w:bookmarkStart w:id="186" w:name="_Toc16938526"/>
      <w:r/>
      <w:bookmarkStart w:id="187" w:name="_Toc20823282"/>
      <w:r>
        <w:rPr>
          <w:rFonts w:hint="eastAsia" w:ascii="黑体" w:hAnsi="黑体" w:cs="黑体"/>
          <w:b w:val="0"/>
          <w:bCs w:val="0"/>
          <w:color w:val="000000"/>
          <w:sz w:val="24"/>
          <w:szCs w:val="24"/>
          <w:highlight w:val="none"/>
        </w:rPr>
        <w:t xml:space="preserve">7.招标文件构成</w:t>
      </w:r>
      <w:bookmarkEnd w:id="185"/>
      <w:r/>
      <w:bookmarkEnd w:id="186"/>
      <w:r/>
      <w:bookmarkEnd w:id="187"/>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 招标文件由以下部分组成：</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（1）招标公告</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（2）投标人须知</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（3）合同文本</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（4）采购需求</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（5）评审方法与评审标准</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（6）投标文件格式</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请仔细检查招标文件是否齐全，如有缺漏请立即与招标代理联系解决。</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188" w:name="_Toc462564070"/>
      <w:r/>
      <w:bookmarkStart w:id="189" w:name="_Toc20823283"/>
      <w:r/>
      <w:bookmarkStart w:id="190" w:name="_Toc513029211"/>
      <w:r/>
      <w:bookmarkStart w:id="191" w:name="_Toc16938527"/>
      <w:r>
        <w:rPr>
          <w:rFonts w:hint="eastAsia" w:ascii="宋体" w:hAnsi="宋体" w:cs="宋体"/>
          <w:color w:val="000000"/>
          <w:sz w:val="22"/>
          <w:szCs w:val="22"/>
          <w:highlight w:val="none"/>
        </w:rPr>
      </w:r>
      <w:r/>
    </w:p>
    <w:p>
      <w:pPr>
        <w:pStyle w:val="1013"/>
        <w:ind w:firstLine="480"/>
        <w:spacing w:line="288" w:lineRule="auto"/>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8.招标文件的澄清</w:t>
      </w:r>
      <w:bookmarkEnd w:id="188"/>
      <w:r/>
      <w:bookmarkEnd w:id="189"/>
      <w:r/>
      <w:bookmarkEnd w:id="190"/>
      <w:r/>
      <w:bookmarkEnd w:id="191"/>
      <w:r>
        <w:rPr>
          <w:rFonts w:hint="eastAsia" w:ascii="黑体" w:hAnsi="黑体" w:eastAsia="黑体" w:cs="黑体"/>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 任何要求对招标文件进行澄清的投标人，应在投标截止期十日前按招标公告中的通讯地址，以书面形式通知招标代理。</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192" w:name="_Toc20823284"/>
      <w:r/>
      <w:bookmarkStart w:id="193" w:name="_Toc16938528"/>
      <w:r/>
      <w:bookmarkStart w:id="194" w:name="_Toc513029212"/>
      <w:r/>
      <w:bookmarkStart w:id="195" w:name="_Toc462564071"/>
      <w:r>
        <w:rPr>
          <w:rFonts w:hint="eastAsia" w:ascii="黑体" w:hAnsi="黑体" w:cs="黑体"/>
          <w:b w:val="0"/>
          <w:bCs w:val="0"/>
          <w:color w:val="000000"/>
          <w:sz w:val="24"/>
          <w:szCs w:val="24"/>
          <w:highlight w:val="none"/>
        </w:rPr>
        <w:t xml:space="preserve">9.招标文件的修改</w:t>
      </w:r>
      <w:bookmarkEnd w:id="192"/>
      <w:r/>
      <w:bookmarkEnd w:id="193"/>
      <w:r/>
      <w:bookmarkEnd w:id="194"/>
      <w:r/>
      <w:bookmarkEnd w:id="195"/>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 在投标截止时间之前，招标代理可以对招标文件进行修改。</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9.2 招标代理有权按照法定的要求推迟投标截止日期和开标日期。</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9.3 招标文件的修改将在“江苏政府采购网、中国政府采购网”公布，补充文件将作为招标文件的组成部分，并对投标人具有约束力。</w:t>
      </w:r>
      <w:r>
        <w:rPr>
          <w:rFonts w:hint="eastAsia" w:ascii="宋体" w:hAnsi="宋体" w:cs="宋体"/>
          <w:color w:val="000000"/>
          <w:sz w:val="22"/>
          <w:szCs w:val="22"/>
          <w:highlight w:val="none"/>
        </w:rPr>
      </w:r>
      <w:r/>
    </w:p>
    <w:p>
      <w:pPr>
        <w:pStyle w:val="1013"/>
        <w:spacing w:line="360" w:lineRule="auto"/>
        <w:rPr>
          <w:rFonts w:hint="eastAsia" w:ascii="黑体" w:hAnsi="黑体" w:eastAsia="黑体" w:cs="黑体"/>
          <w:b/>
          <w:color w:val="000000"/>
          <w:sz w:val="28"/>
          <w:szCs w:val="28"/>
          <w:highlight w:val="none"/>
        </w:rPr>
        <w:outlineLvl w:val="1"/>
      </w:pPr>
      <w:r/>
      <w:bookmarkStart w:id="196" w:name="_Toc120614216"/>
      <w:r/>
      <w:bookmarkStart w:id="197" w:name="_Toc19095"/>
      <w:r/>
      <w:bookmarkStart w:id="198" w:name="_Toc26352"/>
      <w:r/>
      <w:bookmarkStart w:id="199" w:name="_Toc462564072"/>
      <w:r/>
      <w:bookmarkStart w:id="200" w:name="_Toc16938529"/>
      <w:r/>
      <w:bookmarkStart w:id="201" w:name="_Toc3814"/>
      <w:r/>
      <w:bookmarkStart w:id="202" w:name="_Toc26788"/>
      <w:r/>
      <w:bookmarkStart w:id="203" w:name="_Toc8361"/>
      <w:r/>
      <w:bookmarkStart w:id="204" w:name="_Toc16724"/>
      <w:r/>
      <w:bookmarkStart w:id="205" w:name="_Toc6318"/>
      <w:r/>
      <w:bookmarkStart w:id="206" w:name="_Toc20823285"/>
      <w:r/>
      <w:bookmarkStart w:id="207" w:name="_Toc513029213"/>
      <w:r>
        <w:rPr>
          <w:rFonts w:hint="eastAsia" w:ascii="黑体" w:hAnsi="黑体" w:eastAsia="黑体" w:cs="黑体"/>
          <w:b/>
          <w:color w:val="000000"/>
          <w:sz w:val="28"/>
          <w:szCs w:val="28"/>
          <w:highlight w:val="none"/>
        </w:rPr>
        <w:t xml:space="preserve">三、投标文件的编制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208" w:name="_Toc16938530"/>
      <w:r/>
      <w:bookmarkStart w:id="209" w:name="_Toc462564073"/>
      <w:r/>
      <w:bookmarkStart w:id="210" w:name="_Toc513029214"/>
      <w:r/>
      <w:bookmarkStart w:id="211" w:name="_Toc20823286"/>
      <w:r>
        <w:rPr>
          <w:rFonts w:hint="eastAsia" w:ascii="黑体" w:hAnsi="黑体" w:cs="黑体"/>
          <w:b w:val="0"/>
          <w:bCs w:val="0"/>
          <w:color w:val="000000"/>
          <w:sz w:val="24"/>
          <w:szCs w:val="24"/>
          <w:highlight w:val="none"/>
        </w:rPr>
        <w:t xml:space="preserve">10.投标文件的语言及度量衡单位</w:t>
      </w:r>
      <w:bookmarkEnd w:id="208"/>
      <w:r/>
      <w:bookmarkEnd w:id="209"/>
      <w:r/>
      <w:bookmarkEnd w:id="210"/>
      <w:r/>
      <w:bookmarkEnd w:id="211"/>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 投标人提交的投标文件以及投标人与招标代理就有关投标的所有来往通知、函件和文件均应使用简体中文。</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 除技术性能另有规定外，投标文件所使用的度量衡单位，均须采用国家法定计量单位。</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212" w:name="_Toc20823287"/>
      <w:r/>
      <w:bookmarkStart w:id="213" w:name="_Toc16938531"/>
      <w:r/>
      <w:bookmarkStart w:id="214" w:name="_Toc462564074"/>
      <w:r/>
      <w:bookmarkStart w:id="215" w:name="_Toc513029215"/>
      <w:r>
        <w:rPr>
          <w:rFonts w:hint="eastAsia" w:ascii="黑体" w:hAnsi="黑体" w:cs="黑体"/>
          <w:b w:val="0"/>
          <w:bCs w:val="0"/>
          <w:color w:val="000000"/>
          <w:sz w:val="24"/>
          <w:szCs w:val="24"/>
          <w:highlight w:val="none"/>
        </w:rPr>
        <w:t xml:space="preserve">11.投标文件构成</w:t>
      </w:r>
      <w:bookmarkEnd w:id="212"/>
      <w:r/>
      <w:bookmarkEnd w:id="213"/>
      <w:r/>
      <w:bookmarkEnd w:id="214"/>
      <w:r/>
      <w:bookmarkEnd w:id="215"/>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 投标人编写的投标文件应包括资格证明文件、</w:t>
      </w:r>
      <w:bookmarkStart w:id="216" w:name="_Toc513029219"/>
      <w:r/>
      <w:bookmarkStart w:id="217" w:name="_Toc14577357"/>
      <w:r/>
      <w:bookmarkStart w:id="218" w:name="_Toc49090509"/>
      <w:r/>
      <w:bookmarkStart w:id="219" w:name="_Toc14577354"/>
      <w:r/>
      <w:bookmarkStart w:id="220" w:name="_Toc49090507"/>
      <w:r/>
      <w:bookmarkStart w:id="221" w:name="_Toc513029216"/>
      <w:r/>
      <w:bookmarkStart w:id="222" w:name="_Hlt26670360"/>
      <w:r/>
      <w:bookmarkEnd w:id="222"/>
      <w:r/>
      <w:bookmarkStart w:id="223" w:name="_Hlt26668975"/>
      <w:r/>
      <w:bookmarkEnd w:id="223"/>
      <w:r/>
      <w:bookmarkStart w:id="224" w:name="_Hlt26954838"/>
      <w:r/>
      <w:bookmarkEnd w:id="224"/>
      <w:r>
        <w:rPr>
          <w:rFonts w:hint="eastAsia" w:ascii="宋体" w:hAnsi="宋体" w:cs="宋体"/>
          <w:color w:val="000000"/>
          <w:sz w:val="22"/>
          <w:szCs w:val="22"/>
          <w:highlight w:val="none"/>
        </w:rPr>
        <w:t xml:space="preserve">法人授权委托书、投标函、开标一览表、技术及商务要求响应及偏离表、其他证明文件等部分。</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 投标人应将投标文件按顺序装订成册，并编制投标文件资料目录。</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12.证明投标人及投标标的符合招标文件规定的文件</w:t>
      </w:r>
      <w:bookmarkEnd w:id="216"/>
      <w:r/>
      <w:bookmarkEnd w:id="217"/>
      <w:r/>
      <w:bookmarkEnd w:id="218"/>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bookmarkEnd w:id="219"/>
      <w:r/>
      <w:bookmarkEnd w:id="220"/>
      <w:r/>
      <w:bookmarkEnd w:id="221"/>
      <w:r/>
      <w:bookmarkStart w:id="225" w:name="_Toc14577355"/>
      <w:r/>
      <w:bookmarkStart w:id="226" w:name="_Toc49090508"/>
      <w:r>
        <w:rPr>
          <w:rFonts w:hint="eastAsia" w:ascii="宋体" w:hAnsi="宋体" w:cs="宋体"/>
          <w:color w:val="000000"/>
          <w:sz w:val="22"/>
          <w:szCs w:val="22"/>
          <w:highlight w:val="none"/>
        </w:rPr>
        <w:t xml:space="preserve">12.1 投标人应按照法律法规、规章和规范性文件以及招标文件要求提交证明文件，证明其及投标标的符合招标文件规定。</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12.2招标文件对证明文件无明确形式要求的，证明文件可以以文字资料、图纸和数据等形式提交。</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End w:id="225"/>
      <w:r/>
      <w:bookmarkEnd w:id="226"/>
      <w:r/>
      <w:bookmarkStart w:id="227" w:name="_Hlt26954848"/>
      <w:r/>
      <w:bookmarkEnd w:id="227"/>
      <w:r/>
      <w:bookmarkStart w:id="228" w:name="_Hlt26670486"/>
      <w:r/>
      <w:bookmarkEnd w:id="228"/>
      <w:r/>
      <w:bookmarkStart w:id="229" w:name="_Hlt26668983"/>
      <w:r/>
      <w:bookmarkEnd w:id="229"/>
      <w:r/>
      <w:bookmarkStart w:id="230" w:name="_Hlt26670482"/>
      <w:r/>
      <w:bookmarkEnd w:id="230"/>
      <w:r/>
      <w:bookmarkStart w:id="231" w:name="_Hlt26954731"/>
      <w:r/>
      <w:bookmarkEnd w:id="231"/>
      <w:r/>
      <w:bookmarkStart w:id="232" w:name="_Hlt26954846"/>
      <w:r/>
      <w:bookmarkEnd w:id="232"/>
      <w:r/>
      <w:bookmarkStart w:id="233" w:name="_Hlt26954842"/>
      <w:r/>
      <w:bookmarkEnd w:id="233"/>
      <w:r/>
      <w:bookmarkStart w:id="234" w:name="_Hlt26670425"/>
      <w:r/>
      <w:bookmarkEnd w:id="234"/>
      <w:r/>
      <w:bookmarkStart w:id="235" w:name="_Hlt26954844"/>
      <w:r/>
      <w:bookmarkEnd w:id="235"/>
      <w:r/>
      <w:bookmarkStart w:id="236" w:name="_Hlt26670403"/>
      <w:r/>
      <w:bookmarkEnd w:id="236"/>
      <w:r>
        <w:rPr>
          <w:rFonts w:hint="eastAsia" w:ascii="黑体" w:hAnsi="黑体" w:cs="黑体"/>
          <w:b w:val="0"/>
          <w:bCs w:val="0"/>
          <w:color w:val="000000"/>
          <w:sz w:val="24"/>
          <w:szCs w:val="24"/>
          <w:highlight w:val="none"/>
        </w:rPr>
        <w:t xml:space="preserve">13.技术及商务要求响应及偏离表</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lang w:val="zh-CN"/>
        </w:rPr>
        <w:t xml:space="preserve">.1 投标人需对招标文件中的技术要求与商务要求逐项作出响应或偏离，并说明原因。</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13</w:t>
      </w:r>
      <w:r>
        <w:rPr>
          <w:rFonts w:hint="eastAsia" w:ascii="宋体" w:hAnsi="宋体" w:cs="宋体"/>
          <w:color w:val="000000"/>
          <w:sz w:val="22"/>
          <w:szCs w:val="22"/>
          <w:highlight w:val="none"/>
          <w:lang w:val="zh-CN"/>
        </w:rPr>
        <w:t xml:space="preserve">.2 投标人可在投标文件中提供认为需要的其他技术文件或</w:t>
      </w:r>
      <w:r>
        <w:rPr>
          <w:rFonts w:hint="eastAsia" w:ascii="宋体" w:hAnsi="宋体" w:cs="宋体"/>
          <w:color w:val="000000"/>
          <w:sz w:val="22"/>
          <w:szCs w:val="22"/>
          <w:highlight w:val="none"/>
        </w:rPr>
        <w:t xml:space="preserve">商务</w:t>
      </w:r>
      <w:r>
        <w:rPr>
          <w:rFonts w:hint="eastAsia" w:ascii="宋体" w:hAnsi="宋体" w:cs="宋体"/>
          <w:color w:val="000000"/>
          <w:sz w:val="22"/>
          <w:szCs w:val="22"/>
          <w:highlight w:val="none"/>
          <w:lang w:val="zh-CN"/>
        </w:rPr>
        <w:t xml:space="preserve">说明。</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237" w:name="_Toc49090510"/>
      <w:r/>
      <w:bookmarkStart w:id="238" w:name="_Toc14577359"/>
      <w:r>
        <w:rPr>
          <w:rFonts w:hint="eastAsia" w:ascii="黑体" w:hAnsi="黑体" w:cs="黑体"/>
          <w:b w:val="0"/>
          <w:bCs w:val="0"/>
          <w:color w:val="000000"/>
          <w:sz w:val="24"/>
          <w:szCs w:val="24"/>
          <w:highlight w:val="none"/>
        </w:rPr>
        <w:t xml:space="preserve">14.投标函和开标一览表</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 投标人应按照招标文件中提供的格式完整、正确填写投标函、开标一览表。</w:t>
      </w:r>
      <w:r>
        <w:rPr>
          <w:rFonts w:hint="eastAsia" w:ascii="宋体" w:hAnsi="宋体" w:cs="宋体"/>
          <w:color w:val="000000"/>
          <w:sz w:val="22"/>
          <w:szCs w:val="22"/>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 开标一览表中的投标总报价应与其他章节中所提到报价的地方一致，如不一致，不作为无效投标处理，但评标时按开标一览表中价格为准。</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End w:id="237"/>
      <w:r/>
      <w:bookmarkEnd w:id="238"/>
      <w:r/>
      <w:bookmarkStart w:id="239" w:name="_Hlt26954734"/>
      <w:r/>
      <w:bookmarkEnd w:id="239"/>
      <w:r/>
      <w:bookmarkStart w:id="240" w:name="_Hlt26954850"/>
      <w:r/>
      <w:bookmarkEnd w:id="240"/>
      <w:r/>
      <w:bookmarkStart w:id="241" w:name="_Hlt26670489"/>
      <w:r/>
      <w:bookmarkEnd w:id="241"/>
      <w:r/>
      <w:bookmarkStart w:id="242" w:name="_Toc14577360"/>
      <w:r/>
      <w:bookmarkStart w:id="243" w:name="_Toc49090511"/>
      <w:r>
        <w:rPr>
          <w:rFonts w:hint="eastAsia" w:ascii="黑体" w:hAnsi="黑体" w:cs="黑体"/>
          <w:b w:val="0"/>
          <w:bCs w:val="0"/>
          <w:color w:val="000000"/>
          <w:sz w:val="24"/>
          <w:szCs w:val="24"/>
          <w:highlight w:val="none"/>
        </w:rPr>
        <w:t xml:space="preserve">15.投标有效期</w:t>
      </w:r>
      <w:bookmarkEnd w:id="242"/>
      <w:r/>
      <w:bookmarkEnd w:id="243"/>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 投标有效期为招标代理规定的开标之日后</w:t>
      </w:r>
      <w:r>
        <w:rPr>
          <w:rFonts w:hint="eastAsia" w:ascii="宋体" w:hAnsi="宋体" w:cs="宋体"/>
          <w:color w:val="000000"/>
          <w:sz w:val="22"/>
          <w:szCs w:val="22"/>
          <w:highlight w:val="none"/>
          <w:u w:val="single"/>
        </w:rPr>
        <w:t xml:space="preserve">六十（60）天</w:t>
      </w:r>
      <w:r>
        <w:rPr>
          <w:rFonts w:hint="eastAsia" w:ascii="宋体" w:hAnsi="宋体" w:cs="宋体"/>
          <w:color w:val="000000"/>
          <w:sz w:val="22"/>
          <w:szCs w:val="22"/>
          <w:highlight w:val="none"/>
        </w:rPr>
        <w:t xml:space="preserve">。投标有效期比规定短的将被视为未实质性响应招标文件而予以拒绝。</w:t>
      </w:r>
      <w:r>
        <w:rPr>
          <w:rFonts w:hint="eastAsia" w:ascii="宋体" w:hAnsi="宋体" w:cs="宋体"/>
          <w:color w:val="000000"/>
          <w:sz w:val="22"/>
          <w:szCs w:val="22"/>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16.投标有效期的延长</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lang w:val="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4" w:name="_Toc26450"/>
      <w:r/>
      <w:bookmarkStart w:id="245" w:name="_Toc3311"/>
      <w:r/>
      <w:bookmarkStart w:id="246" w:name="_Toc3221"/>
      <w:r/>
      <w:bookmarkStart w:id="247" w:name="_Toc29101"/>
      <w:r/>
      <w:bookmarkStart w:id="248" w:name="_Toc21072"/>
      <w:r/>
      <w:bookmarkStart w:id="249" w:name="_Toc23632"/>
      <w:r/>
      <w:bookmarkStart w:id="250" w:name="_Toc1772"/>
      <w:r/>
      <w:bookmarkStart w:id="251" w:name="_Toc17254"/>
      <w:r/>
      <w:bookmarkStart w:id="252" w:name="_Toc453781895"/>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17.投标文件份数和签署</w:t>
      </w:r>
      <w:bookmarkEnd w:id="244"/>
      <w:r/>
      <w:bookmarkEnd w:id="245"/>
      <w:r/>
      <w:bookmarkEnd w:id="246"/>
      <w:r/>
      <w:bookmarkEnd w:id="247"/>
      <w:r/>
      <w:bookmarkEnd w:id="248"/>
      <w:r/>
      <w:bookmarkEnd w:id="249"/>
      <w:r/>
      <w:bookmarkEnd w:id="250"/>
      <w:r/>
      <w:bookmarkEnd w:id="251"/>
      <w:r/>
      <w:bookmarkEnd w:id="252"/>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lang w:val="zh-CN"/>
        </w:rPr>
        <w:t xml:space="preserve">.1 投标人应严格按照招标公告</w:t>
      </w:r>
      <w:r>
        <w:rPr>
          <w:rFonts w:hint="eastAsia" w:ascii="宋体" w:hAnsi="宋体" w:cs="宋体"/>
          <w:color w:val="000000"/>
          <w:sz w:val="22"/>
          <w:szCs w:val="22"/>
          <w:highlight w:val="none"/>
        </w:rPr>
        <w:t xml:space="preserve">/招标文件</w:t>
      </w:r>
      <w:r>
        <w:rPr>
          <w:rFonts w:hint="eastAsia" w:ascii="宋体" w:hAnsi="宋体" w:cs="宋体"/>
          <w:color w:val="000000"/>
          <w:sz w:val="22"/>
          <w:szCs w:val="22"/>
          <w:highlight w:val="none"/>
          <w:lang w:val="zh-CN"/>
        </w:rPr>
        <w:t xml:space="preserve">要求的份数准备投标文件，每份投标文件须清楚地标明“正本”或“副本”或“电子投标文件”字样。一旦正本和副本不符，以正本为准。</w:t>
      </w:r>
      <w:r>
        <w:rPr>
          <w:rFonts w:hint="eastAsia" w:ascii="宋体" w:hAnsi="宋体" w:cs="宋体"/>
          <w:color w:val="000000"/>
          <w:sz w:val="22"/>
          <w:szCs w:val="22"/>
          <w:highlight w:val="none"/>
        </w:rPr>
        <w:t xml:space="preserve">电子版与纸质版文件不符，以纸质版为准。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lang w:val="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rPr>
        <w:t xml:space="preserve">17</w:t>
      </w:r>
      <w:r>
        <w:rPr>
          <w:rFonts w:hint="eastAsia" w:ascii="宋体" w:hAnsi="宋体" w:cs="宋体"/>
          <w:color w:val="000000"/>
          <w:sz w:val="22"/>
          <w:szCs w:val="22"/>
          <w:highlight w:val="none"/>
          <w:lang w:val="zh-CN"/>
        </w:rPr>
        <w:t xml:space="preserve">.3 除投标人对错处做必要修改外，投标文件不得行间插字、涂改或增删。如有修改错漏处，必须由投标文件签署人签字或盖章。</w:t>
      </w:r>
      <w:r>
        <w:rPr>
          <w:rFonts w:hint="eastAsia" w:ascii="宋体" w:hAnsi="宋体" w:cs="宋体"/>
          <w:color w:val="000000"/>
          <w:sz w:val="24"/>
          <w:szCs w:val="24"/>
          <w:highlight w:val="none"/>
        </w:rPr>
      </w:r>
      <w:r/>
    </w:p>
    <w:p>
      <w:pPr>
        <w:pStyle w:val="1013"/>
        <w:spacing w:line="360" w:lineRule="auto"/>
        <w:rPr>
          <w:rFonts w:hint="eastAsia" w:ascii="黑体" w:hAnsi="黑体" w:eastAsia="黑体" w:cs="黑体"/>
          <w:b/>
          <w:color w:val="000000"/>
          <w:sz w:val="28"/>
          <w:szCs w:val="28"/>
          <w:highlight w:val="none"/>
        </w:rPr>
        <w:outlineLvl w:val="1"/>
      </w:pPr>
      <w:r/>
      <w:bookmarkStart w:id="253" w:name="_Toc27700"/>
      <w:r/>
      <w:bookmarkStart w:id="254" w:name="_Toc9130"/>
      <w:r/>
      <w:bookmarkStart w:id="255" w:name="_Toc21917"/>
      <w:r/>
      <w:bookmarkStart w:id="256" w:name="_Toc513029224"/>
      <w:r/>
      <w:bookmarkStart w:id="257" w:name="_Toc20823296"/>
      <w:r/>
      <w:bookmarkStart w:id="258" w:name="_Toc17812"/>
      <w:r/>
      <w:bookmarkStart w:id="259" w:name="_Toc1045"/>
      <w:r/>
      <w:bookmarkStart w:id="260" w:name="_Toc26516"/>
      <w:r/>
      <w:bookmarkStart w:id="261" w:name="_Toc16938540"/>
      <w:r/>
      <w:bookmarkStart w:id="262" w:name="_Toc21897"/>
      <w:r/>
      <w:bookmarkStart w:id="263" w:name="_Toc120614217"/>
      <w:r/>
      <w:bookmarkStart w:id="264" w:name="_Hlt26954852"/>
      <w:r/>
      <w:bookmarkEnd w:id="264"/>
      <w:r/>
      <w:bookmarkStart w:id="265" w:name="_Hlt26954739"/>
      <w:r/>
      <w:bookmarkEnd w:id="265"/>
      <w:r>
        <w:rPr>
          <w:rFonts w:hint="eastAsia" w:ascii="黑体" w:hAnsi="黑体" w:eastAsia="黑体" w:cs="黑体"/>
          <w:b/>
          <w:color w:val="000000"/>
          <w:sz w:val="28"/>
          <w:szCs w:val="28"/>
          <w:highlight w:val="none"/>
        </w:rPr>
        <w:t xml:space="preserve">四、投标文件的递交</w:t>
      </w:r>
      <w:bookmarkEnd w:id="253"/>
      <w:r/>
      <w:bookmarkEnd w:id="254"/>
      <w:r/>
      <w:bookmarkEnd w:id="255"/>
      <w:r/>
      <w:bookmarkEnd w:id="256"/>
      <w:r/>
      <w:bookmarkEnd w:id="257"/>
      <w:r/>
      <w:bookmarkEnd w:id="258"/>
      <w:r/>
      <w:bookmarkEnd w:id="259"/>
      <w:r/>
      <w:bookmarkEnd w:id="260"/>
      <w:r/>
      <w:bookmarkEnd w:id="261"/>
      <w:r/>
      <w:bookmarkEnd w:id="262"/>
      <w:r/>
      <w:bookmarkEnd w:id="263"/>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266" w:name="_Toc30326"/>
      <w:r/>
      <w:bookmarkStart w:id="267" w:name="_Toc2792"/>
      <w:r/>
      <w:bookmarkStart w:id="268" w:name="_Toc4062"/>
      <w:r/>
      <w:bookmarkStart w:id="269" w:name="_Toc1292"/>
      <w:r/>
      <w:bookmarkStart w:id="270" w:name="_Toc10597"/>
      <w:r/>
      <w:bookmarkStart w:id="271" w:name="_Toc453781897"/>
      <w:r/>
      <w:bookmarkStart w:id="272" w:name="_Toc16938542"/>
      <w:r/>
      <w:bookmarkStart w:id="273" w:name="_Toc20823298"/>
      <w:r/>
      <w:bookmarkStart w:id="274" w:name="_Toc513029226"/>
      <w:r/>
      <w:bookmarkStart w:id="275" w:name="_Toc2314"/>
      <w:r/>
      <w:bookmarkStart w:id="276" w:name="_Toc5198"/>
      <w:r/>
      <w:bookmarkStart w:id="277" w:name="_Toc21137"/>
      <w:r>
        <w:rPr>
          <w:rFonts w:hint="eastAsia" w:ascii="黑体" w:hAnsi="黑体" w:cs="黑体"/>
          <w:b w:val="0"/>
          <w:bCs w:val="0"/>
          <w:color w:val="000000"/>
          <w:sz w:val="24"/>
          <w:szCs w:val="24"/>
          <w:highlight w:val="none"/>
        </w:rPr>
        <w:t xml:space="preserve">18.投标文件的密封和标记</w:t>
      </w:r>
      <w:bookmarkEnd w:id="266"/>
      <w:r/>
      <w:bookmarkEnd w:id="267"/>
      <w:r/>
      <w:bookmarkEnd w:id="268"/>
      <w:r/>
      <w:bookmarkEnd w:id="269"/>
      <w:r/>
      <w:bookmarkEnd w:id="270"/>
      <w:r/>
      <w:bookmarkEnd w:id="271"/>
      <w:r/>
      <w:bookmarkEnd w:id="275"/>
      <w:r/>
      <w:bookmarkEnd w:id="276"/>
      <w:r/>
      <w:bookmarkEnd w:id="277"/>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lang w:val="zh-CN"/>
        </w:rPr>
        <w:t xml:space="preserve">.1投标人应将投标文件正本、副本、电子版投标文件密封，不论投标人中标与否，投标文件均不退回。</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18</w:t>
      </w:r>
      <w:r>
        <w:rPr>
          <w:rFonts w:hint="eastAsia" w:ascii="宋体" w:hAnsi="宋体" w:cs="宋体"/>
          <w:color w:val="000000"/>
          <w:sz w:val="22"/>
          <w:szCs w:val="22"/>
          <w:highlight w:val="none"/>
          <w:lang w:val="zh-CN"/>
        </w:rPr>
        <w:t xml:space="preserve">.2 密封的投标文件应：</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（1）注明投标人名称，如因标注不清而产生的后果由投标人自负。按招标公告中注明的地址送达；</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（2）注明投标项目名称、标书编号及</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val="zh-CN"/>
        </w:rPr>
        <w:t xml:space="preserve">包号（</w:t>
      </w:r>
      <w:r>
        <w:rPr>
          <w:rFonts w:hint="eastAsia" w:ascii="宋体" w:hAnsi="宋体" w:cs="宋体"/>
          <w:color w:val="000000"/>
          <w:sz w:val="22"/>
          <w:szCs w:val="22"/>
          <w:highlight w:val="none"/>
        </w:rPr>
        <w:t xml:space="preserve">包括分包名称</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lang w:val="zh-CN"/>
        </w:rPr>
        <w:t xml:space="preserve">（3）未按要求密封和加写标记，招标代理机构对误投或过早启封概不负责。对由此造成提前开封的投标文件，招标代理机构将予以拒绝，作无效投标处理。</w:t>
      </w:r>
      <w:r>
        <w:rPr>
          <w:rFonts w:hint="eastAsia" w:ascii="宋体" w:hAnsi="宋体" w:cs="宋体"/>
          <w:color w:val="000000"/>
          <w:sz w:val="24"/>
          <w:szCs w:val="24"/>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19.投标截止</w:t>
      </w:r>
      <w:bookmarkEnd w:id="272"/>
      <w:r/>
      <w:bookmarkEnd w:id="273"/>
      <w:r/>
      <w:bookmarkEnd w:id="274"/>
      <w:r>
        <w:rPr>
          <w:rFonts w:hint="eastAsia" w:ascii="黑体" w:hAnsi="黑体" w:cs="黑体"/>
          <w:b w:val="0"/>
          <w:bCs w:val="0"/>
          <w:color w:val="000000"/>
          <w:sz w:val="24"/>
          <w:szCs w:val="24"/>
          <w:highlight w:val="none"/>
        </w:rPr>
        <w:t xml:space="preserve">时间</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bookmarkStart w:id="278" w:name="_Toc513029227"/>
      <w:r/>
      <w:bookmarkStart w:id="279" w:name="_Toc20823299"/>
      <w:r/>
      <w:bookmarkStart w:id="280" w:name="_Toc16938543"/>
      <w:r>
        <w:rPr>
          <w:rFonts w:hint="eastAsia" w:ascii="宋体" w:hAnsi="宋体" w:cs="宋体"/>
          <w:color w:val="000000"/>
          <w:sz w:val="22"/>
          <w:szCs w:val="22"/>
          <w:highlight w:val="none"/>
        </w:rPr>
        <w:t xml:space="preserve">19</w:t>
      </w:r>
      <w:r>
        <w:rPr>
          <w:rFonts w:hint="eastAsia" w:ascii="宋体" w:hAnsi="宋体" w:cs="宋体"/>
          <w:color w:val="000000"/>
          <w:sz w:val="22"/>
          <w:szCs w:val="22"/>
          <w:highlight w:val="none"/>
          <w:lang w:val="zh-CN"/>
        </w:rPr>
        <w:t xml:space="preserve">.1 招标代理机构收到投标文件的时间不得迟于招标公告</w:t>
      </w:r>
      <w:r>
        <w:rPr>
          <w:rFonts w:hint="eastAsia" w:ascii="宋体" w:hAnsi="宋体" w:cs="宋体"/>
          <w:color w:val="000000"/>
          <w:sz w:val="22"/>
          <w:szCs w:val="22"/>
          <w:highlight w:val="none"/>
        </w:rPr>
        <w:t xml:space="preserve">/招标文件</w:t>
      </w:r>
      <w:r>
        <w:rPr>
          <w:rFonts w:hint="eastAsia" w:ascii="宋体" w:hAnsi="宋体" w:cs="宋体"/>
          <w:color w:val="000000"/>
          <w:sz w:val="22"/>
          <w:szCs w:val="22"/>
          <w:highlight w:val="none"/>
          <w:lang w:val="zh-CN"/>
        </w:rPr>
        <w:t xml:space="preserve">中规定的截止时间。</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19</w:t>
      </w:r>
      <w:r>
        <w:rPr>
          <w:rFonts w:hint="eastAsia" w:ascii="宋体" w:hAnsi="宋体" w:cs="宋体"/>
          <w:color w:val="000000"/>
          <w:sz w:val="22"/>
          <w:szCs w:val="22"/>
          <w:highlight w:val="none"/>
          <w:lang w:val="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20.投标文件</w:t>
      </w:r>
      <w:bookmarkEnd w:id="278"/>
      <w:r/>
      <w:bookmarkEnd w:id="279"/>
      <w:r/>
      <w:bookmarkEnd w:id="280"/>
      <w:r>
        <w:rPr>
          <w:rFonts w:hint="eastAsia" w:ascii="黑体" w:hAnsi="黑体" w:cs="黑体"/>
          <w:b w:val="0"/>
          <w:bCs w:val="0"/>
          <w:color w:val="000000"/>
          <w:sz w:val="24"/>
          <w:szCs w:val="24"/>
          <w:highlight w:val="none"/>
        </w:rPr>
        <w:t xml:space="preserve">的拒收</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20</w:t>
      </w:r>
      <w:r>
        <w:rPr>
          <w:rFonts w:hint="eastAsia" w:ascii="宋体" w:hAnsi="宋体" w:cs="宋体"/>
          <w:color w:val="000000"/>
          <w:sz w:val="22"/>
          <w:szCs w:val="22"/>
          <w:highlight w:val="none"/>
          <w:lang w:val="zh-CN"/>
        </w:rPr>
        <w:t xml:space="preserve">.1招标代理拒绝接收在其规定的投标截止时间后递交的任何投标文件。</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281" w:name="_Toc32741"/>
      <w:r/>
      <w:bookmarkStart w:id="282" w:name="_Toc12489"/>
      <w:r/>
      <w:bookmarkStart w:id="283" w:name="_Toc7363"/>
      <w:r/>
      <w:bookmarkStart w:id="284" w:name="_Toc24846"/>
      <w:r/>
      <w:bookmarkStart w:id="285" w:name="_Toc28912"/>
      <w:r/>
      <w:bookmarkStart w:id="286" w:name="_Toc13147"/>
      <w:r/>
      <w:bookmarkStart w:id="287" w:name="_Toc453781900"/>
      <w:r/>
      <w:bookmarkStart w:id="288" w:name="_Toc20823300"/>
      <w:r/>
      <w:bookmarkStart w:id="289" w:name="_Toc16938544"/>
      <w:r/>
      <w:bookmarkStart w:id="290" w:name="_Toc30437"/>
      <w:r/>
      <w:bookmarkStart w:id="291" w:name="_Toc513029228"/>
      <w:r/>
      <w:bookmarkStart w:id="292" w:name="_Toc27247"/>
      <w:r>
        <w:rPr>
          <w:rFonts w:hint="eastAsia" w:ascii="黑体" w:hAnsi="黑体" w:cs="黑体"/>
          <w:b w:val="0"/>
          <w:bCs w:val="0"/>
          <w:color w:val="000000"/>
          <w:sz w:val="24"/>
          <w:szCs w:val="24"/>
          <w:highlight w:val="none"/>
        </w:rPr>
        <w:t xml:space="preserve">21.投标文件的修改和撤回</w:t>
      </w:r>
      <w:bookmarkEnd w:id="281"/>
      <w:r/>
      <w:bookmarkEnd w:id="282"/>
      <w:r/>
      <w:bookmarkEnd w:id="283"/>
      <w:r/>
      <w:bookmarkEnd w:id="284"/>
      <w:r/>
      <w:bookmarkEnd w:id="285"/>
      <w:r/>
      <w:bookmarkEnd w:id="286"/>
      <w:r/>
      <w:bookmarkEnd w:id="287"/>
      <w:r/>
      <w:bookmarkEnd w:id="290"/>
      <w:r/>
      <w:bookmarkEnd w:id="292"/>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21</w:t>
      </w:r>
      <w:r>
        <w:rPr>
          <w:rFonts w:hint="eastAsia" w:ascii="宋体" w:hAnsi="宋体" w:cs="宋体"/>
          <w:color w:val="000000"/>
          <w:sz w:val="22"/>
          <w:szCs w:val="22"/>
          <w:highlight w:val="none"/>
          <w:lang w:val="zh-CN"/>
        </w:rPr>
        <w:t xml:space="preserve">.1 投标人在递交投标文件后，可以修改或撤回其投标文件，但这种修改和撤回，必须在规定的投标截止时间前，以书面形式通知招标代理机构，修改或撤回其投标文件。</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21</w:t>
      </w:r>
      <w:r>
        <w:rPr>
          <w:rFonts w:hint="eastAsia" w:ascii="宋体" w:hAnsi="宋体" w:cs="宋体"/>
          <w:color w:val="000000"/>
          <w:sz w:val="22"/>
          <w:szCs w:val="22"/>
          <w:highlight w:val="none"/>
          <w:lang w:val="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21</w:t>
      </w:r>
      <w:r>
        <w:rPr>
          <w:rFonts w:hint="eastAsia" w:ascii="宋体" w:hAnsi="宋体" w:cs="宋体"/>
          <w:color w:val="000000"/>
          <w:sz w:val="22"/>
          <w:szCs w:val="22"/>
          <w:highlight w:val="none"/>
          <w:lang w:val="zh-CN"/>
        </w:rPr>
        <w:t xml:space="preserve">.3 在投标截止时间之后，投标人不得对其投标文件作任何修改。</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21</w:t>
      </w:r>
      <w:r>
        <w:rPr>
          <w:rFonts w:hint="eastAsia" w:ascii="宋体" w:hAnsi="宋体" w:cs="宋体"/>
          <w:color w:val="000000"/>
          <w:sz w:val="22"/>
          <w:szCs w:val="22"/>
          <w:highlight w:val="none"/>
          <w:lang w:val="zh-CN"/>
        </w:rPr>
        <w:t xml:space="preserve">.4 在投标截止时间至招标文件中规定的投标有效期满之间的这段时间内，投标人不得撤回其投标。</w:t>
      </w:r>
      <w:r>
        <w:rPr>
          <w:rFonts w:hint="eastAsia" w:ascii="宋体" w:hAnsi="宋体" w:cs="宋体"/>
          <w:color w:val="000000"/>
          <w:sz w:val="22"/>
          <w:szCs w:val="22"/>
          <w:highlight w:val="none"/>
          <w:lang w:val="zh-CN"/>
        </w:rPr>
      </w:r>
      <w:r/>
    </w:p>
    <w:p>
      <w:pPr>
        <w:pStyle w:val="1013"/>
        <w:spacing w:line="360" w:lineRule="auto"/>
        <w:rPr>
          <w:rFonts w:hint="eastAsia" w:ascii="黑体" w:hAnsi="黑体" w:eastAsia="黑体" w:cs="黑体"/>
          <w:b/>
          <w:color w:val="000000"/>
          <w:sz w:val="28"/>
          <w:szCs w:val="28"/>
          <w:highlight w:val="none"/>
        </w:rPr>
        <w:outlineLvl w:val="1"/>
      </w:pPr>
      <w:r/>
      <w:bookmarkEnd w:id="288"/>
      <w:r/>
      <w:bookmarkEnd w:id="289"/>
      <w:r/>
      <w:bookmarkEnd w:id="291"/>
      <w:r/>
      <w:bookmarkStart w:id="293" w:name="_Toc9578"/>
      <w:r/>
      <w:bookmarkStart w:id="294" w:name="_Toc20823301"/>
      <w:r/>
      <w:bookmarkStart w:id="295" w:name="_Toc16938545"/>
      <w:r/>
      <w:bookmarkStart w:id="296" w:name="_Toc513029229"/>
      <w:r/>
      <w:bookmarkStart w:id="297" w:name="_Toc455"/>
      <w:r/>
      <w:bookmarkStart w:id="298" w:name="_Toc7303"/>
      <w:r/>
      <w:bookmarkStart w:id="299" w:name="_Toc3532"/>
      <w:r/>
      <w:bookmarkStart w:id="300" w:name="_Toc120614218"/>
      <w:r/>
      <w:bookmarkStart w:id="301" w:name="_Toc16292"/>
      <w:r/>
      <w:bookmarkStart w:id="302" w:name="_Toc28761"/>
      <w:r/>
      <w:bookmarkStart w:id="303" w:name="_Toc16534"/>
      <w:r>
        <w:rPr>
          <w:rFonts w:hint="eastAsia" w:ascii="黑体" w:hAnsi="黑体" w:eastAsia="黑体" w:cs="黑体"/>
          <w:b/>
          <w:color w:val="000000"/>
          <w:sz w:val="28"/>
          <w:szCs w:val="28"/>
          <w:highlight w:val="none"/>
        </w:rPr>
        <w:t xml:space="preserve">五、开标与评标</w:t>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304" w:name="_Toc20823302"/>
      <w:r/>
      <w:bookmarkStart w:id="305" w:name="_Toc16938546"/>
      <w:r/>
      <w:bookmarkStart w:id="306" w:name="_Toc513029230"/>
      <w:r>
        <w:rPr>
          <w:rFonts w:hint="eastAsia" w:ascii="黑体" w:hAnsi="黑体" w:cs="黑体"/>
          <w:b w:val="0"/>
          <w:bCs w:val="0"/>
          <w:color w:val="000000"/>
          <w:sz w:val="24"/>
          <w:szCs w:val="24"/>
          <w:highlight w:val="none"/>
        </w:rPr>
        <w:t xml:space="preserve">22.开标</w:t>
      </w:r>
      <w:bookmarkEnd w:id="304"/>
      <w:r/>
      <w:bookmarkEnd w:id="305"/>
      <w:r/>
      <w:bookmarkEnd w:id="306"/>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.1 招标代理将在招标公告中规定的时间和地点组织公开开标。投标人应委派携带有效证件的代表准时参加，参加开标的代表需签名以证明其出席。</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.2开标仪式由招标代理组织，投标人代表参加，必要时</w:t>
      </w:r>
      <w:r>
        <w:rPr>
          <w:rFonts w:hint="eastAsia" w:ascii="宋体" w:hAnsi="宋体" w:cs="宋体"/>
          <w:color w:val="000000"/>
          <w:sz w:val="22"/>
          <w:szCs w:val="22"/>
          <w:highlight w:val="none"/>
        </w:rPr>
        <w:t xml:space="preserve">将会有</w:t>
      </w:r>
      <w:r>
        <w:rPr>
          <w:rFonts w:hint="eastAsia" w:ascii="宋体" w:hAnsi="宋体" w:cs="宋体"/>
          <w:color w:val="000000"/>
          <w:sz w:val="22"/>
          <w:szCs w:val="22"/>
          <w:highlight w:val="none"/>
          <w:lang w:val="zh-CN"/>
        </w:rPr>
        <w:t xml:space="preserve">采购人代表、公证员、监管代表</w:t>
      </w:r>
      <w:r>
        <w:rPr>
          <w:rFonts w:hint="eastAsia" w:ascii="宋体" w:hAnsi="宋体" w:cs="宋体"/>
          <w:color w:val="000000"/>
          <w:sz w:val="22"/>
          <w:szCs w:val="22"/>
          <w:highlight w:val="none"/>
        </w:rPr>
        <w:t xml:space="preserve">等人员</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.3 按照规定同意撤回的投标将不予开封。</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.5 招标代理将指定专人负责开标记录并存档备查。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rPr>
        <w:t xml:space="preserve">22</w:t>
      </w:r>
      <w:r>
        <w:rPr>
          <w:rFonts w:hint="eastAsia" w:ascii="宋体" w:hAnsi="宋体" w:cs="宋体"/>
          <w:color w:val="000000"/>
          <w:sz w:val="22"/>
          <w:szCs w:val="22"/>
          <w:highlight w:val="none"/>
          <w:lang w:val="zh-CN"/>
        </w:rPr>
        <w:t xml:space="preserve">.6 投标人在报价时不允许采用选择性报价，否则将被视为无效投标。</w:t>
      </w:r>
      <w:r>
        <w:rPr>
          <w:rFonts w:hint="eastAsia" w:ascii="宋体" w:hAnsi="宋体" w:cs="宋体"/>
          <w:color w:val="000000"/>
          <w:sz w:val="24"/>
          <w:szCs w:val="24"/>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307" w:name="_Toc16938547"/>
      <w:r/>
      <w:bookmarkStart w:id="308" w:name="_Toc513029231"/>
      <w:r/>
      <w:bookmarkStart w:id="309" w:name="_Toc20823303"/>
      <w:r>
        <w:rPr>
          <w:rFonts w:hint="eastAsia" w:ascii="黑体" w:hAnsi="黑体" w:cs="黑体"/>
          <w:b w:val="0"/>
          <w:bCs w:val="0"/>
          <w:color w:val="000000"/>
          <w:sz w:val="24"/>
          <w:szCs w:val="24"/>
          <w:highlight w:val="none"/>
        </w:rPr>
        <w:t xml:space="preserve">23.评标委员会</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zh-CN"/>
        </w:rPr>
        <w:t xml:space="preserve">.1 开标后，招标代理将立即组织评标委员会（以下简称评委会）进行评标。</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zh-CN"/>
        </w:rPr>
        <w:t xml:space="preserve">.2 评委会由采购人代表和有关技术、经济等方面的专家组成，且人员构成符合政府采购有关规定。</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23</w:t>
      </w:r>
      <w:r>
        <w:rPr>
          <w:rFonts w:hint="eastAsia" w:ascii="宋体" w:hAnsi="宋体" w:cs="宋体"/>
          <w:color w:val="000000"/>
          <w:sz w:val="22"/>
          <w:szCs w:val="22"/>
          <w:highlight w:val="none"/>
          <w:lang w:val="zh-CN"/>
        </w:rPr>
        <w:t xml:space="preserve">.3评委会独立工作，负责评审所有投标文件并推荐中标</w:t>
      </w:r>
      <w:r>
        <w:rPr>
          <w:rFonts w:hint="eastAsia" w:ascii="宋体" w:hAnsi="宋体" w:cs="宋体"/>
          <w:color w:val="000000"/>
          <w:sz w:val="22"/>
          <w:szCs w:val="22"/>
          <w:highlight w:val="none"/>
        </w:rPr>
        <w:t xml:space="preserve">候</w:t>
      </w:r>
      <w:r>
        <w:rPr>
          <w:rFonts w:hint="eastAsia" w:ascii="宋体" w:hAnsi="宋体" w:cs="宋体"/>
          <w:color w:val="000000"/>
          <w:sz w:val="22"/>
          <w:szCs w:val="22"/>
          <w:highlight w:val="none"/>
          <w:lang w:val="zh-CN"/>
        </w:rPr>
        <w:t xml:space="preserve">选人。</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24.评标过程的保密与公正</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bookmarkEnd w:id="307"/>
      <w:r/>
      <w:bookmarkEnd w:id="308"/>
      <w:r/>
      <w:bookmarkEnd w:id="309"/>
      <w:r>
        <w:rPr>
          <w:rFonts w:hint="eastAsia" w:ascii="宋体" w:hAnsi="宋体" w:cs="宋体"/>
          <w:color w:val="000000"/>
          <w:sz w:val="22"/>
          <w:szCs w:val="22"/>
          <w:highlight w:val="none"/>
        </w:rPr>
        <w:t xml:space="preserve">24</w:t>
      </w:r>
      <w:r>
        <w:rPr>
          <w:rFonts w:hint="eastAsia" w:ascii="宋体" w:hAnsi="宋体" w:cs="宋体"/>
          <w:color w:val="000000"/>
          <w:sz w:val="22"/>
          <w:szCs w:val="22"/>
          <w:highlight w:val="none"/>
          <w:lang w:val="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24</w:t>
      </w:r>
      <w:r>
        <w:rPr>
          <w:rFonts w:hint="eastAsia" w:ascii="宋体" w:hAnsi="宋体" w:cs="宋体"/>
          <w:color w:val="000000"/>
          <w:sz w:val="22"/>
          <w:szCs w:val="22"/>
          <w:highlight w:val="none"/>
          <w:lang w:val="zh-CN"/>
        </w:rPr>
        <w:t xml:space="preserve">.2在评标过程中，投标人不得以任何行为影响评标过程，否则其投标文件将被作为无效投标文件。</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rPr>
        <w:t xml:space="preserve">24</w:t>
      </w:r>
      <w:r>
        <w:rPr>
          <w:rFonts w:hint="eastAsia" w:ascii="宋体" w:hAnsi="宋体" w:cs="宋体"/>
          <w:color w:val="000000"/>
          <w:sz w:val="22"/>
          <w:szCs w:val="22"/>
          <w:highlight w:val="none"/>
          <w:lang w:val="zh-CN"/>
        </w:rPr>
        <w:t xml:space="preserve">.3 招标代理和评标委员会不向未中标的投标人解释未中标原因，也不公布评标过程中的相关细节</w:t>
      </w:r>
      <w:r>
        <w:rPr>
          <w:rFonts w:hint="eastAsia" w:ascii="宋体" w:hAnsi="宋体" w:cs="宋体"/>
          <w:color w:val="000000"/>
          <w:sz w:val="22"/>
          <w:szCs w:val="22"/>
          <w:highlight w:val="none"/>
        </w:rPr>
        <w:t xml:space="preserve">或分项得分情况</w:t>
      </w:r>
      <w:r>
        <w:rPr>
          <w:rFonts w:hint="eastAsia" w:ascii="宋体" w:hAnsi="宋体" w:cs="宋体"/>
          <w:color w:val="000000"/>
          <w:sz w:val="22"/>
          <w:szCs w:val="22"/>
          <w:highlight w:val="none"/>
          <w:lang w:val="zh-CN"/>
        </w:rPr>
        <w:t xml:space="preserve">。</w:t>
      </w:r>
      <w:r>
        <w:rPr>
          <w:rFonts w:hint="eastAsia" w:ascii="宋体" w:hAnsi="宋体" w:cs="宋体"/>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24</w:t>
      </w:r>
      <w:r>
        <w:rPr>
          <w:rFonts w:hint="eastAsia" w:ascii="宋体" w:hAnsi="宋体" w:cs="宋体"/>
          <w:color w:val="000000"/>
          <w:sz w:val="22"/>
          <w:szCs w:val="22"/>
          <w:highlight w:val="none"/>
          <w:lang w:val="zh-CN"/>
        </w:rPr>
        <w:t xml:space="preserve">.4 采用综合评分法的项目，未中标的投标人可于中标结果公告之日起向项目负责人咨询自己的评审</w:t>
      </w:r>
      <w:r>
        <w:rPr>
          <w:rFonts w:hint="eastAsia" w:ascii="宋体" w:hAnsi="宋体" w:cs="宋体"/>
          <w:color w:val="000000"/>
          <w:sz w:val="22"/>
          <w:szCs w:val="22"/>
          <w:highlight w:val="none"/>
        </w:rPr>
        <w:t xml:space="preserve">总</w:t>
      </w:r>
      <w:r>
        <w:rPr>
          <w:rFonts w:hint="eastAsia" w:ascii="宋体" w:hAnsi="宋体" w:cs="宋体"/>
          <w:color w:val="000000"/>
          <w:sz w:val="22"/>
          <w:szCs w:val="22"/>
          <w:highlight w:val="none"/>
          <w:lang w:val="zh-CN"/>
        </w:rPr>
        <w:t xml:space="preserve">得分及排序情况。</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25.投标文件的澄清</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25</w:t>
      </w:r>
      <w:r>
        <w:rPr>
          <w:rFonts w:hint="eastAsia" w:ascii="宋体" w:hAnsi="宋体" w:cs="宋体"/>
          <w:color w:val="000000"/>
          <w:sz w:val="22"/>
          <w:szCs w:val="22"/>
          <w:highlight w:val="none"/>
          <w:lang w:val="zh-CN"/>
        </w:rPr>
        <w:t xml:space="preserve">.1评标期间，评委会对投标文件中含义不明确、同类问题表述不一致或者有明显文字和计算错误的内容，有权要求投标人作出必要的澄清、说明或者补正。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投标人的澄清、说明或者补正不得超出投标文件的范围或者改变投标文件的实质性内容。</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评标委员会并非对每个投标人都做澄清要求。</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25</w:t>
      </w:r>
      <w:r>
        <w:rPr>
          <w:rFonts w:hint="eastAsia" w:ascii="宋体" w:hAnsi="宋体" w:cs="宋体"/>
          <w:color w:val="000000"/>
          <w:sz w:val="22"/>
          <w:szCs w:val="22"/>
          <w:highlight w:val="none"/>
          <w:lang w:val="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25</w:t>
      </w:r>
      <w:r>
        <w:rPr>
          <w:rFonts w:hint="eastAsia" w:ascii="宋体" w:hAnsi="宋体" w:cs="宋体"/>
          <w:color w:val="000000"/>
          <w:sz w:val="22"/>
          <w:szCs w:val="22"/>
          <w:highlight w:val="none"/>
          <w:lang w:val="zh-CN"/>
        </w:rPr>
        <w:t xml:space="preserve">.3 接到评委会澄清要求的投标人如未按规定作出澄清，其风险由投标人自行承担。</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310" w:name="_Toc16938549"/>
      <w:r/>
      <w:bookmarkStart w:id="311" w:name="_Toc20823305"/>
      <w:r/>
      <w:bookmarkStart w:id="312" w:name="_Toc513029233"/>
      <w:r>
        <w:rPr>
          <w:rFonts w:hint="eastAsia" w:ascii="黑体" w:hAnsi="黑体" w:cs="黑体"/>
          <w:b w:val="0"/>
          <w:bCs w:val="0"/>
          <w:color w:val="000000"/>
          <w:sz w:val="24"/>
          <w:szCs w:val="24"/>
          <w:highlight w:val="none"/>
        </w:rPr>
        <w:t xml:space="preserve">26.对投标文件的初审</w:t>
      </w:r>
      <w:bookmarkEnd w:id="310"/>
      <w:r/>
      <w:bookmarkEnd w:id="311"/>
      <w:r/>
      <w:bookmarkEnd w:id="312"/>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.1投标文件初审分为资格审查和符合性审查。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.1.3 未通过资格审查或符合性审查的投标人，招标代理将在评审现场告知未通过资格审查或符合性审查的原因。</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.4评委会将对确定为实质性响应的投标进行进一步审核，确定其是否有计算上或累加上的算术错误，修正错误的原则如下：</w:t>
      </w:r>
      <w:r>
        <w:rPr>
          <w:rFonts w:hint="eastAsia" w:ascii="宋体" w:hAnsi="宋体" w:cs="宋体"/>
          <w:color w:val="000000"/>
          <w:sz w:val="22"/>
          <w:szCs w:val="22"/>
          <w:highlight w:val="none"/>
          <w:lang w:val="zh-CN"/>
        </w:rPr>
      </w:r>
      <w:r/>
    </w:p>
    <w:p>
      <w:pPr>
        <w:pStyle w:val="1013"/>
        <w:ind w:firstLine="442"/>
        <w:spacing w:line="288"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（1）投标文件中开标一览表内容与投标文件中相应内容不一致的，以开标一览表为准。</w:t>
      </w:r>
      <w:r>
        <w:rPr>
          <w:rFonts w:hint="eastAsia" w:ascii="宋体" w:hAnsi="宋体" w:cs="宋体"/>
          <w:b/>
          <w:bCs/>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（2）大写金额和小写金额不一致的，以大写金额为准。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（3）单价金额小数点或者百分比有明显错位的，以开标一览表的总价为准，并修改单价。</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（4）总价金额与按单价汇总金额不一致的，以单价金额计算结果为准。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同时出现两种以上错误的，按照前款规定的顺序修正。</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w:t>
      </w:r>
      <w:r>
        <w:rPr>
          <w:rFonts w:hint="eastAsia" w:ascii="宋体" w:hAnsi="宋体" w:cs="宋体"/>
          <w:color w:val="000000"/>
          <w:sz w:val="22"/>
          <w:szCs w:val="22"/>
          <w:highlight w:val="none"/>
          <w:lang w:val="zh-CN"/>
        </w:rPr>
        <w:t xml:space="preserve"> 评委会将允许修正投标文件中不构成重大偏离的、微小的、非正规的、不一致的或不规则的地方，但这些修改不能影响任何投标人相应的名次排列。</w:t>
      </w:r>
      <w:bookmarkStart w:id="313" w:name="_Toc513029234"/>
      <w:r/>
      <w:bookmarkStart w:id="314" w:name="_Toc16938550"/>
      <w:r/>
      <w:bookmarkStart w:id="315" w:name="_Toc20823306"/>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26</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投标人在开、评标全过程中不应远离会场，如授权代表不在会场，应保持通信畅通，随时等待与招标代理及评标委员会联系。</w:t>
      </w:r>
      <w:bookmarkEnd w:id="313"/>
      <w:r/>
      <w:bookmarkEnd w:id="314"/>
      <w:r/>
      <w:bookmarkEnd w:id="315"/>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27.无效投标条款和废标条款</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bookmarkStart w:id="316" w:name="_Toc16938551"/>
      <w:r/>
      <w:bookmarkStart w:id="317" w:name="_Toc513029235"/>
      <w:r/>
      <w:bookmarkStart w:id="318" w:name="_Toc20823307"/>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.1无效投标条款</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）未按照招标文件要求密封、签署、盖章的；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投标人在报价时采用选择性报价的；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）同一投标人提交两个（含两个）以上不同的投标报价的。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）投标人不具备招标文件中规定资格要求的。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）投标人的报价超过了采购预算或最高限价的。</w:t>
      </w:r>
      <w:r>
        <w:rPr>
          <w:rFonts w:hint="eastAsia" w:ascii="宋体" w:hAnsi="宋体" w:cs="宋体"/>
          <w:color w:val="000000"/>
          <w:sz w:val="22"/>
          <w:szCs w:val="22"/>
          <w:highlight w:val="none"/>
          <w:lang w:val="zh-CN"/>
        </w:rPr>
      </w:r>
      <w:r/>
    </w:p>
    <w:p>
      <w:pPr>
        <w:pStyle w:val="1013"/>
        <w:ind w:firstLine="442"/>
        <w:spacing w:line="288"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w:t>
      </w:r>
      <w:r>
        <w:rPr>
          <w:rFonts w:hint="eastAsia" w:ascii="宋体" w:hAnsi="宋体" w:cs="宋体"/>
          <w:b/>
          <w:bCs/>
          <w:color w:val="000000"/>
          <w:sz w:val="22"/>
          <w:szCs w:val="22"/>
          <w:highlight w:val="none"/>
        </w:rPr>
        <w:t xml:space="preserve">6</w:t>
      </w:r>
      <w:r>
        <w:rPr>
          <w:rFonts w:hint="eastAsia" w:ascii="宋体" w:hAnsi="宋体" w:cs="宋体"/>
          <w:b/>
          <w:bCs/>
          <w:color w:val="000000"/>
          <w:sz w:val="22"/>
          <w:szCs w:val="22"/>
          <w:highlight w:val="none"/>
          <w:lang w:val="zh-CN"/>
        </w:rPr>
        <w:t xml:space="preserve">）未通过符合性审查的。</w:t>
      </w:r>
      <w:r>
        <w:rPr>
          <w:rFonts w:hint="eastAsia" w:ascii="宋体" w:hAnsi="宋体" w:cs="宋体"/>
          <w:b/>
          <w:bCs/>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）不符合招标文件中规定的其他实质性要求和条件的。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）投标文件含有采购人不能接受的附加条件的。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lang w:val="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lang w:val="zh-CN"/>
        </w:rPr>
        <w:t xml:space="preserve">）其他法律法规及本招标文件规定的属于无效投标的情形。</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.2废标条款</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）符合资格条件的投标人或者对招标文件作实质响应的投标人不足三家的。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）出现影响采购公正的违法、违规行为的。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）因重大变故，采购任务取消的。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）评标委员会认定招标文件存在歧义、重大缺陷导致评审工作无法进行的。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27</w:t>
      </w:r>
      <w:r>
        <w:rPr>
          <w:rFonts w:hint="eastAsia" w:ascii="宋体" w:hAnsi="宋体" w:cs="宋体"/>
          <w:color w:val="000000"/>
          <w:sz w:val="22"/>
          <w:szCs w:val="22"/>
          <w:highlight w:val="none"/>
          <w:lang w:val="zh-CN"/>
        </w:rPr>
        <w:t xml:space="preserve">.3 投标截止时间结束后参加投标的投标人不足三家的处理：如出现投标截止时间结束后参加投标的投标人或者在评标期间对招标文件做出实质响应的投标人不足三家情况，按政府采购相关规定执行。</w:t>
      </w:r>
      <w:r>
        <w:rPr>
          <w:rFonts w:hint="eastAsia" w:ascii="宋体" w:hAnsi="宋体" w:cs="宋体"/>
          <w:color w:val="000000"/>
          <w:sz w:val="22"/>
          <w:szCs w:val="22"/>
          <w:highlight w:val="none"/>
          <w:lang w:val="zh-CN"/>
        </w:rPr>
      </w:r>
      <w:r/>
    </w:p>
    <w:p>
      <w:pPr>
        <w:pStyle w:val="1013"/>
        <w:spacing w:line="360" w:lineRule="auto"/>
        <w:rPr>
          <w:rFonts w:hint="eastAsia" w:ascii="黑体" w:hAnsi="黑体" w:eastAsia="黑体" w:cs="黑体"/>
          <w:b/>
          <w:color w:val="000000"/>
          <w:sz w:val="28"/>
          <w:szCs w:val="28"/>
          <w:highlight w:val="none"/>
        </w:rPr>
        <w:outlineLvl w:val="1"/>
      </w:pPr>
      <w:r/>
      <w:bookmarkStart w:id="319" w:name="_Toc2109"/>
      <w:r/>
      <w:bookmarkStart w:id="320" w:name="_Toc24911"/>
      <w:r/>
      <w:bookmarkStart w:id="321" w:name="_Toc28204"/>
      <w:r/>
      <w:bookmarkStart w:id="322" w:name="_Toc32447"/>
      <w:r/>
      <w:bookmarkStart w:id="323" w:name="_Toc29435"/>
      <w:r/>
      <w:bookmarkStart w:id="324" w:name="_Toc30637"/>
      <w:r/>
      <w:bookmarkStart w:id="325" w:name="_Toc120614219"/>
      <w:r/>
      <w:bookmarkStart w:id="326" w:name="_Toc30094"/>
      <w:r>
        <w:rPr>
          <w:rFonts w:hint="eastAsia" w:ascii="黑体" w:hAnsi="黑体" w:eastAsia="黑体" w:cs="黑体"/>
          <w:b/>
          <w:color w:val="000000"/>
          <w:sz w:val="28"/>
          <w:szCs w:val="28"/>
          <w:highlight w:val="none"/>
        </w:rPr>
        <w:t xml:space="preserve">六、</w:t>
      </w:r>
      <w:bookmarkEnd w:id="316"/>
      <w:r/>
      <w:bookmarkEnd w:id="317"/>
      <w:r/>
      <w:bookmarkEnd w:id="318"/>
      <w:r>
        <w:rPr>
          <w:rFonts w:hint="eastAsia" w:ascii="黑体" w:hAnsi="黑体" w:eastAsia="黑体" w:cs="黑体"/>
          <w:b/>
          <w:color w:val="000000"/>
          <w:sz w:val="28"/>
          <w:szCs w:val="28"/>
          <w:highlight w:val="none"/>
        </w:rPr>
        <w:t xml:space="preserve">定标</w:t>
      </w:r>
      <w:bookmarkEnd w:id="319"/>
      <w:r/>
      <w:bookmarkEnd w:id="320"/>
      <w:r/>
      <w:bookmarkEnd w:id="321"/>
      <w:r/>
      <w:bookmarkEnd w:id="322"/>
      <w:r/>
      <w:bookmarkEnd w:id="323"/>
      <w:r/>
      <w:bookmarkEnd w:id="324"/>
      <w:r/>
      <w:bookmarkEnd w:id="325"/>
      <w:r/>
      <w:bookmarkEnd w:id="326"/>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Start w:id="327" w:name="_Toc20823310"/>
      <w:r/>
      <w:bookmarkStart w:id="328" w:name="_Toc16938554"/>
      <w:r>
        <w:rPr>
          <w:rFonts w:hint="eastAsia" w:ascii="黑体" w:hAnsi="黑体" w:cs="黑体"/>
          <w:b w:val="0"/>
          <w:bCs w:val="0"/>
          <w:color w:val="000000"/>
          <w:sz w:val="24"/>
          <w:szCs w:val="24"/>
          <w:highlight w:val="none"/>
        </w:rPr>
        <w:t xml:space="preserve">28.确定</w:t>
      </w:r>
      <w:bookmarkEnd w:id="327"/>
      <w:r/>
      <w:bookmarkEnd w:id="328"/>
      <w:r>
        <w:rPr>
          <w:rFonts w:hint="eastAsia" w:ascii="黑体" w:hAnsi="黑体" w:cs="黑体"/>
          <w:b w:val="0"/>
          <w:bCs w:val="0"/>
          <w:color w:val="000000"/>
          <w:sz w:val="24"/>
          <w:szCs w:val="24"/>
          <w:highlight w:val="none"/>
        </w:rPr>
        <w:t xml:space="preserve">中标单位</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28</w:t>
      </w:r>
      <w:r>
        <w:rPr>
          <w:rFonts w:hint="eastAsia" w:ascii="宋体" w:hAnsi="宋体" w:cs="宋体"/>
          <w:color w:val="000000"/>
          <w:sz w:val="22"/>
          <w:szCs w:val="22"/>
          <w:highlight w:val="none"/>
          <w:lang w:val="zh-CN"/>
        </w:rPr>
        <w:t xml:space="preserve">.1中标候选人的选取原则和数量见招标文件第五章规定。 </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28</w:t>
      </w:r>
      <w:r>
        <w:rPr>
          <w:rFonts w:hint="eastAsia" w:ascii="宋体" w:hAnsi="宋体" w:cs="宋体"/>
          <w:color w:val="000000"/>
          <w:sz w:val="22"/>
          <w:szCs w:val="22"/>
          <w:highlight w:val="none"/>
          <w:lang w:val="zh-CN"/>
        </w:rPr>
        <w:t xml:space="preserve">.2 采购人应根据评委会推荐的中标候选人确定中标人。</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28</w:t>
      </w:r>
      <w:r>
        <w:rPr>
          <w:rFonts w:hint="eastAsia" w:ascii="宋体" w:hAnsi="宋体" w:cs="宋体"/>
          <w:color w:val="000000"/>
          <w:sz w:val="22"/>
          <w:szCs w:val="22"/>
          <w:highlight w:val="none"/>
          <w:lang w:val="zh-CN"/>
        </w:rPr>
        <w:t xml:space="preserve">.3 招标代理将在“江苏政府采购网、中国政府采购网”发布中标公告，公告期限为1个工作日。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28</w:t>
      </w:r>
      <w:r>
        <w:rPr>
          <w:rFonts w:hint="eastAsia" w:ascii="宋体" w:hAnsi="宋体" w:cs="宋体"/>
          <w:color w:val="000000"/>
          <w:sz w:val="22"/>
          <w:szCs w:val="22"/>
          <w:highlight w:val="none"/>
          <w:lang w:val="zh-CN"/>
        </w:rPr>
        <w:t xml:space="preserve">.4  若有充分证据证明，中标人出现下列情况之一的，一经查实，将被取消中标资格：</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）提供虚假材料谋取中标的。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）向采购人、招标代理行贿或者提供其他不正当利益的。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）属于本文件规定的无效条件，但在评标过程中又未被评委会发现的。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4"/>
          <w:szCs w:val="24"/>
          <w:highlight w:val="none"/>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）与采购人或者其他投标人恶意串通的。</w:t>
      </w:r>
      <w:r>
        <w:rPr>
          <w:rFonts w:hint="eastAsia" w:ascii="宋体" w:hAnsi="宋体" w:cs="宋体"/>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）采取不正当手段诋毁、排挤其他投标人的。</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bookmarkStart w:id="329" w:name="_Toc200451960"/>
      <w:r>
        <w:rPr>
          <w:rFonts w:hint="eastAsia" w:ascii="宋体" w:hAnsi="宋体" w:cs="宋体"/>
          <w:color w:val="000000"/>
          <w:sz w:val="22"/>
          <w:szCs w:val="22"/>
          <w:highlight w:val="none"/>
        </w:rPr>
        <w:t xml:space="preserve">28</w:t>
      </w:r>
      <w:r>
        <w:rPr>
          <w:rFonts w:hint="eastAsia" w:ascii="宋体" w:hAnsi="宋体" w:cs="宋体"/>
          <w:color w:val="000000"/>
          <w:sz w:val="22"/>
          <w:szCs w:val="22"/>
          <w:highlight w:val="none"/>
          <w:lang w:val="zh-CN"/>
        </w:rPr>
        <w:t xml:space="preserve">.5 有下列情形之一的，视为投标人串通投标，投标无效：</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）不同投标人的投标文件由同一单位或者个人编制。</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）不同投标人委托同一单位或者个人办理投标事宜。</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）不同投标人的投标文件载明的项目管理成员或者联系人员为同一人。</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）不同投标人的投标文件异常一致或者投标报价呈规律性差异。</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29.质疑处理</w:t>
      </w:r>
      <w:bookmarkEnd w:id="329"/>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.1 提出质疑的投标人应当是参与所质疑项目采购活动的投标人。潜在投标人依法获取其可质疑的招标文件的，可以对招标文件提出质疑。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对可以质疑的招标文件提出质疑的，为收到招标文件之日或者招标文件公告期限届满之日；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对采购过程提出质疑的，为各采购程序环节结束之日；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对中标结果提出质疑的，为中标结果公告期限届满之日。</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投标人应当在法定质疑期内一次性提出针对同一采购程序环节的质疑。投标人如在法定期限内对同一采购程序环节提出多次质疑的，招标代理、采购人将只对投标人第一次质疑作出答复。</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质疑必须以参加投标的法定代表人或授权代表（投标文件中所确定的）原件送达的方式提交。</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29.4</w:t>
      </w:r>
      <w:r>
        <w:rPr>
          <w:rFonts w:hint="eastAsia" w:ascii="宋体" w:hAnsi="宋体" w:cs="宋体"/>
          <w:color w:val="000000"/>
          <w:sz w:val="22"/>
          <w:szCs w:val="22"/>
          <w:highlight w:val="none"/>
          <w:lang w:val="zh-CN"/>
        </w:rPr>
        <w:t xml:space="preserve">未参加投标活动的投标人或在投标活动中自身权益未受到损害的投标人所提出的质疑不予受理。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质疑函应当包括下列内容：</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质疑投标人的名称、地址、邮编、联系人、联系电话；</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具体的质疑事项及明确的请求；</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认为自己合法权益受到损害或可能受到损害的相关证据材料；</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提起质疑的日期；</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6招标</w:t>
      </w:r>
      <w:r>
        <w:rPr>
          <w:rFonts w:hint="eastAsia" w:ascii="宋体" w:hAnsi="宋体" w:cs="宋体"/>
          <w:color w:val="000000"/>
          <w:sz w:val="22"/>
          <w:szCs w:val="22"/>
          <w:highlight w:val="none"/>
          <w:lang w:val="zh-CN"/>
        </w:rPr>
        <w:t xml:space="preserve">代理机构收到质疑函后，将对质疑的形式和内容进行审查，如质疑函内容、格式不符合规定，招标代理机构将告知质疑人进行补正。</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7</w:t>
      </w:r>
      <w:r>
        <w:rPr>
          <w:rFonts w:hint="eastAsia" w:ascii="宋体" w:hAnsi="宋体" w:cs="宋体"/>
          <w:color w:val="000000"/>
          <w:sz w:val="22"/>
          <w:szCs w:val="22"/>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8</w:t>
      </w:r>
      <w:r>
        <w:rPr>
          <w:rFonts w:hint="eastAsia" w:ascii="宋体" w:hAnsi="宋体" w:cs="宋体"/>
          <w:color w:val="000000"/>
          <w:sz w:val="22"/>
          <w:szCs w:val="22"/>
          <w:highlight w:val="none"/>
          <w:lang w:val="zh-CN"/>
        </w:rPr>
        <w:t xml:space="preserve"> 以下情形的质疑不予受理</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内容不符合《政府采购质疑和投诉办法》第十二条规定的质疑。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zh-CN"/>
        </w:rPr>
        <w:t xml:space="preserve">）超出政府采购法定期限的质疑。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）以传真、电子邮件等方式递交的非原件形式的质疑。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）未参加投标活动的投标人或在投标活动中自身权益未受到损害的投标人所提出的质疑。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lang w:val="zh-CN"/>
        </w:rPr>
        <w:t xml:space="preserve">）投标人组成联合体参加投标，联合体中任何一方或多方未按要求签字、盖章、加盖公章的质疑。</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29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cs="宋体"/>
          <w:color w:val="000000"/>
          <w:sz w:val="22"/>
          <w:szCs w:val="22"/>
          <w:highlight w:val="none"/>
          <w:lang w:val="zh-CN"/>
        </w:rPr>
      </w:r>
      <w:r/>
    </w:p>
    <w:p>
      <w:pPr>
        <w:pStyle w:val="1017"/>
        <w:ind w:firstLine="360"/>
        <w:spacing w:before="0" w:after="0" w:line="240" w:lineRule="auto"/>
        <w:rPr>
          <w:rFonts w:hint="eastAsia" w:ascii="黑体" w:hAnsi="黑体" w:cs="黑体"/>
          <w:b w:val="0"/>
          <w:bCs w:val="0"/>
          <w:color w:val="000000"/>
          <w:sz w:val="24"/>
          <w:szCs w:val="24"/>
          <w:highlight w:val="none"/>
        </w:rPr>
      </w:pPr>
      <w:r>
        <w:rPr>
          <w:rFonts w:hint="eastAsia" w:ascii="黑体" w:hAnsi="黑体" w:cs="黑体"/>
          <w:b w:val="0"/>
          <w:bCs w:val="0"/>
          <w:color w:val="000000"/>
          <w:sz w:val="24"/>
          <w:szCs w:val="24"/>
          <w:highlight w:val="none"/>
        </w:rPr>
        <w:t xml:space="preserve">30.中标通知书</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30</w:t>
      </w:r>
      <w:r>
        <w:rPr>
          <w:rFonts w:hint="eastAsia" w:ascii="宋体" w:hAnsi="宋体" w:cs="宋体"/>
          <w:color w:val="000000"/>
          <w:sz w:val="22"/>
          <w:szCs w:val="22"/>
          <w:highlight w:val="none"/>
          <w:lang w:val="zh-CN"/>
        </w:rPr>
        <w:t xml:space="preserve">.l 中标结果确定后，招标代理将向中标人发出中标通知书。请中标人在中标结果公示期满后，主动与项目负责人联系领取中标通知书。</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30</w:t>
      </w:r>
      <w:r>
        <w:rPr>
          <w:rFonts w:hint="eastAsia" w:ascii="宋体" w:hAnsi="宋体" w:cs="宋体"/>
          <w:color w:val="000000"/>
          <w:sz w:val="22"/>
          <w:szCs w:val="22"/>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 w:val="22"/>
          <w:szCs w:val="22"/>
          <w:highlight w:val="none"/>
          <w:lang w:val="zh-CN"/>
        </w:rPr>
      </w:r>
      <w:r/>
    </w:p>
    <w:p>
      <w:pPr>
        <w:pStyle w:val="1013"/>
        <w:spacing w:line="360" w:lineRule="auto"/>
        <w:rPr>
          <w:rFonts w:hint="eastAsia" w:ascii="黑体" w:hAnsi="黑体" w:eastAsia="黑体" w:cs="黑体"/>
          <w:b/>
          <w:color w:val="000000"/>
          <w:sz w:val="28"/>
          <w:szCs w:val="28"/>
          <w:highlight w:val="none"/>
        </w:rPr>
        <w:outlineLvl w:val="1"/>
      </w:pPr>
      <w:r/>
      <w:bookmarkStart w:id="330" w:name="_Toc15344"/>
      <w:r/>
      <w:bookmarkStart w:id="331" w:name="_Toc25572"/>
      <w:r/>
      <w:bookmarkStart w:id="332" w:name="_Toc8224"/>
      <w:r/>
      <w:bookmarkStart w:id="333" w:name="_Toc25681"/>
      <w:r/>
      <w:bookmarkStart w:id="334" w:name="_Toc120614220"/>
      <w:r/>
      <w:bookmarkStart w:id="335" w:name="_Toc513029236"/>
      <w:r/>
      <w:bookmarkStart w:id="336" w:name="_Toc16938552"/>
      <w:r/>
      <w:bookmarkStart w:id="337" w:name="_Toc20823308"/>
      <w:r/>
      <w:bookmarkStart w:id="338" w:name="_Toc11356"/>
      <w:r/>
      <w:bookmarkStart w:id="339" w:name="_Toc26114"/>
      <w:r/>
      <w:bookmarkStart w:id="340" w:name="_Toc19813"/>
      <w:r>
        <w:rPr>
          <w:rFonts w:hint="eastAsia" w:ascii="黑体" w:hAnsi="黑体" w:eastAsia="黑体" w:cs="黑体"/>
          <w:b/>
          <w:color w:val="000000"/>
          <w:sz w:val="28"/>
          <w:szCs w:val="28"/>
          <w:highlight w:val="none"/>
        </w:rPr>
        <w:t xml:space="preserve">七、授予合同</w:t>
      </w:r>
      <w:bookmarkEnd w:id="330"/>
      <w:r/>
      <w:bookmarkEnd w:id="331"/>
      <w:r/>
      <w:bookmarkEnd w:id="332"/>
      <w:r/>
      <w:bookmarkEnd w:id="333"/>
      <w:r/>
      <w:bookmarkEnd w:id="334"/>
      <w:r/>
      <w:bookmarkEnd w:id="338"/>
      <w:r/>
      <w:bookmarkEnd w:id="339"/>
      <w:r/>
      <w:bookmarkEnd w:id="340"/>
      <w:r>
        <w:rPr>
          <w:rFonts w:hint="eastAsia" w:ascii="黑体" w:hAnsi="黑体" w:eastAsia="黑体" w:cs="黑体"/>
          <w:b/>
          <w:color w:val="000000"/>
          <w:sz w:val="28"/>
          <w:szCs w:val="28"/>
          <w:highlight w:val="none"/>
        </w:rPr>
      </w:r>
      <w:r/>
    </w:p>
    <w:p>
      <w:pPr>
        <w:pStyle w:val="1017"/>
        <w:ind w:firstLine="360"/>
        <w:spacing w:before="0" w:after="0" w:line="240" w:lineRule="auto"/>
        <w:rPr>
          <w:rFonts w:hint="eastAsia" w:ascii="黑体" w:hAnsi="黑体" w:cs="黑体"/>
          <w:b w:val="0"/>
          <w:bCs w:val="0"/>
          <w:color w:val="000000"/>
          <w:sz w:val="24"/>
          <w:szCs w:val="24"/>
          <w:highlight w:val="none"/>
        </w:rPr>
      </w:pPr>
      <w:r/>
      <w:bookmarkEnd w:id="335"/>
      <w:r/>
      <w:bookmarkEnd w:id="336"/>
      <w:r/>
      <w:bookmarkEnd w:id="337"/>
      <w:r>
        <w:rPr>
          <w:rFonts w:hint="eastAsia" w:ascii="黑体" w:hAnsi="黑体" w:cs="黑体"/>
          <w:b w:val="0"/>
          <w:bCs w:val="0"/>
          <w:color w:val="000000"/>
          <w:sz w:val="24"/>
          <w:szCs w:val="24"/>
          <w:highlight w:val="none"/>
        </w:rPr>
        <w:t xml:space="preserve">31.签订合同</w:t>
      </w:r>
      <w:r>
        <w:rPr>
          <w:rFonts w:hint="eastAsia" w:ascii="黑体" w:hAnsi="黑体" w:cs="黑体"/>
          <w:b w:val="0"/>
          <w:bCs w:val="0"/>
          <w:color w:val="000000"/>
          <w:sz w:val="24"/>
          <w:szCs w:val="24"/>
          <w:highlight w:val="none"/>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.l中标人</w:t>
      </w:r>
      <w:r>
        <w:rPr>
          <w:rFonts w:hint="eastAsia" w:ascii="宋体" w:hAnsi="宋体" w:cs="宋体"/>
          <w:color w:val="000000"/>
          <w:sz w:val="22"/>
          <w:szCs w:val="22"/>
          <w:highlight w:val="none"/>
        </w:rPr>
        <w:t xml:space="preserve">应当自</w:t>
      </w:r>
      <w:r>
        <w:rPr>
          <w:rFonts w:hint="eastAsia" w:ascii="宋体" w:hAnsi="宋体" w:cs="宋体"/>
          <w:color w:val="000000"/>
          <w:sz w:val="22"/>
          <w:szCs w:val="22"/>
          <w:highlight w:val="none"/>
          <w:lang w:val="zh-CN"/>
        </w:rPr>
        <w:t xml:space="preserve">中标公告发布后7个工作日内</w:t>
      </w:r>
      <w:r>
        <w:rPr>
          <w:rFonts w:hint="eastAsia" w:ascii="宋体" w:hAnsi="宋体" w:cs="宋体"/>
          <w:color w:val="000000"/>
          <w:sz w:val="22"/>
          <w:szCs w:val="22"/>
          <w:highlight w:val="none"/>
        </w:rPr>
        <w:t xml:space="preserve">将代理服务费</w:t>
      </w:r>
      <w:r>
        <w:rPr>
          <w:rFonts w:hint="eastAsia" w:ascii="宋体" w:hAnsi="宋体" w:cs="宋体"/>
          <w:color w:val="000000"/>
          <w:sz w:val="22"/>
          <w:szCs w:val="22"/>
          <w:highlight w:val="none"/>
          <w:lang w:val="zh-CN"/>
        </w:rPr>
        <w:t xml:space="preserve">一次性支付于招标代理公司，</w:t>
      </w:r>
      <w:r>
        <w:rPr>
          <w:rFonts w:hint="eastAsia" w:ascii="宋体" w:hAnsi="宋体" w:cs="宋体"/>
          <w:color w:val="000000"/>
          <w:sz w:val="22"/>
          <w:szCs w:val="22"/>
          <w:highlight w:val="none"/>
        </w:rPr>
        <w:t xml:space="preserve">并</w:t>
      </w:r>
      <w:r>
        <w:rPr>
          <w:rFonts w:hint="eastAsia" w:ascii="宋体" w:hAnsi="宋体" w:cs="宋体"/>
          <w:color w:val="000000"/>
          <w:sz w:val="22"/>
          <w:szCs w:val="22"/>
          <w:highlight w:val="none"/>
          <w:lang w:val="zh-CN"/>
        </w:rPr>
        <w:t xml:space="preserve">在中标通知书发出之日起三十日内，按照招标文件确定的事项与采购人签订政府采购合同，</w:t>
      </w:r>
      <w:r>
        <w:rPr>
          <w:rFonts w:hint="eastAsia" w:ascii="宋体" w:hAnsi="宋体" w:cs="宋体"/>
          <w:color w:val="000000"/>
          <w:sz w:val="22"/>
          <w:szCs w:val="22"/>
          <w:highlight w:val="none"/>
        </w:rPr>
        <w:t xml:space="preserve">签订政府采购合同时应持有中标通知书</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.2 招标文件、中标人的投标文件及招标过程中有关澄清、承诺文件均应作为合同附件。</w:t>
      </w:r>
      <w:r>
        <w:rPr>
          <w:rFonts w:hint="eastAsia" w:ascii="宋体" w:hAnsi="宋体" w:cs="宋体"/>
          <w:color w:val="000000"/>
          <w:sz w:val="22"/>
          <w:szCs w:val="22"/>
          <w:highlight w:val="none"/>
          <w:lang w:val="zh-CN"/>
        </w:rPr>
      </w:r>
      <w:r/>
    </w:p>
    <w:p>
      <w:pPr>
        <w:pStyle w:val="1013"/>
        <w:ind w:firstLine="440"/>
        <w:spacing w:line="288" w:lineRule="auto"/>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w:t>
      </w: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2"/>
          <w:szCs w:val="22"/>
          <w:highlight w:val="none"/>
          <w:lang w:val="zh-CN"/>
        </w:rPr>
      </w:r>
      <w:r/>
    </w:p>
    <w:p>
      <w:pPr>
        <w:pStyle w:val="1013"/>
        <w:rPr>
          <w:rFonts w:hint="eastAsia"/>
          <w:color w:val="000000"/>
          <w:highlight w:val="none"/>
        </w:rPr>
      </w:pPr>
      <w:r/>
      <w:bookmarkEnd w:id="157"/>
      <w:r/>
      <w:bookmarkEnd w:id="158"/>
      <w:r/>
      <w:bookmarkEnd w:id="159"/>
      <w:r/>
      <w:bookmarkStart w:id="341" w:name="_Toc513029242"/>
      <w:r/>
      <w:bookmarkStart w:id="342" w:name="_Toc479757207"/>
      <w:r/>
      <w:bookmarkStart w:id="343" w:name="_Toc20823314"/>
      <w:r/>
      <w:bookmarkStart w:id="344" w:name="_Toc120614221"/>
      <w:r/>
      <w:bookmarkStart w:id="345" w:name="_Toc16938558"/>
      <w:r>
        <w:rPr>
          <w:rFonts w:hint="eastAsia"/>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39"/>
        <w:ind w:left="1260"/>
        <w:rPr>
          <w:rFonts w:hint="eastAsia" w:ascii="宋体" w:hAnsi="宋体" w:cs="宋体"/>
          <w:color w:val="000000"/>
          <w:highlight w:val="none"/>
        </w:rPr>
      </w:pPr>
      <w:r>
        <w:rPr>
          <w:rFonts w:hint="eastAsia" w:ascii="宋体" w:hAnsi="宋体" w:cs="宋体"/>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39"/>
        <w:ind w:left="1260"/>
        <w:rPr>
          <w:rFonts w:hint="eastAsia" w:ascii="宋体" w:hAnsi="宋体" w:cs="宋体"/>
          <w:color w:val="000000"/>
          <w:highlight w:val="none"/>
        </w:rPr>
      </w:pPr>
      <w:r>
        <w:rPr>
          <w:rFonts w:hint="eastAsia" w:ascii="宋体" w:hAnsi="宋体" w:cs="宋体"/>
          <w:color w:val="000000"/>
          <w:highlight w:val="none"/>
        </w:rPr>
      </w:r>
      <w:r/>
    </w:p>
    <w:p>
      <w:pPr>
        <w:pStyle w:val="1039"/>
        <w:ind w:left="0"/>
        <w:rPr>
          <w:rFonts w:hint="eastAsia" w:ascii="宋体" w:hAnsi="宋体" w:cs="宋体"/>
          <w:color w:val="000000"/>
          <w:highlight w:val="none"/>
        </w:rPr>
      </w:pPr>
      <w:r>
        <w:rPr>
          <w:rFonts w:hint="eastAsia" w:ascii="宋体" w:hAnsi="宋体" w:cs="宋体"/>
          <w:color w:val="000000"/>
          <w:highlight w:val="none"/>
        </w:rPr>
      </w:r>
      <w:r/>
    </w:p>
    <w:p>
      <w:pPr>
        <w:pStyle w:val="1013"/>
        <w:spacing w:line="360" w:lineRule="auto"/>
        <w:rPr>
          <w:rFonts w:hint="eastAsia" w:ascii="宋体" w:hAnsi="宋体" w:cs="宋体"/>
          <w:color w:val="000000"/>
          <w:sz w:val="24"/>
          <w:szCs w:val="24"/>
          <w:highlight w:val="none"/>
        </w:rPr>
      </w:pPr>
      <w:r/>
      <w:bookmarkEnd w:id="341"/>
      <w:r/>
      <w:bookmarkEnd w:id="342"/>
      <w:r/>
      <w:bookmarkEnd w:id="343"/>
      <w:r/>
      <w:bookmarkEnd w:id="344"/>
      <w:r/>
      <w:bookmarkEnd w:id="345"/>
      <w:r/>
      <w:bookmarkStart w:id="346" w:name="_Toc9460"/>
      <w:r/>
      <w:bookmarkStart w:id="347" w:name="_Toc16938559"/>
      <w:r/>
      <w:bookmarkStart w:id="348" w:name="_Toc513029243"/>
      <w:r/>
      <w:bookmarkStart w:id="349" w:name="_Toc20823315"/>
      <w:r>
        <w:rPr>
          <w:rFonts w:hint="eastAsia" w:ascii="宋体" w:hAnsi="宋体" w:cs="宋体"/>
          <w:color w:val="000000"/>
          <w:sz w:val="24"/>
          <w:szCs w:val="24"/>
          <w:highlight w:val="none"/>
        </w:rPr>
      </w:r>
      <w:r/>
    </w:p>
    <w:p>
      <w:pPr>
        <w:pStyle w:val="1013"/>
        <w:ind w:left="420"/>
        <w:keepNext/>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14"/>
        <w:rPr>
          <w:rFonts w:hint="eastAsia" w:ascii="仿宋" w:hAnsi="仿宋" w:eastAsia="仿宋" w:cs="仿宋"/>
          <w:bCs w:val="0"/>
          <w:color w:val="000000"/>
          <w:sz w:val="44"/>
          <w:highlight w:val="none"/>
        </w:rPr>
      </w:pPr>
      <w:r/>
      <w:bookmarkStart w:id="350" w:name="_Toc27624"/>
      <w:r>
        <w:rPr>
          <w:rFonts w:hint="eastAsia" w:ascii="黑体" w:hAnsi="黑体" w:eastAsia="黑体" w:cs="黑体"/>
          <w:b w:val="0"/>
          <w:bCs w:val="0"/>
          <w:color w:val="000000"/>
          <w:sz w:val="40"/>
          <w:szCs w:val="40"/>
          <w:highlight w:val="none"/>
        </w:rPr>
        <w:br w:type="page" w:clear="all"/>
      </w:r>
      <w:bookmarkEnd w:id="350"/>
      <w:r/>
      <w:bookmarkStart w:id="351" w:name="_Toc32570"/>
      <w:r/>
      <w:bookmarkStart w:id="352" w:name="_Toc21334"/>
      <w:r/>
      <w:bookmarkStart w:id="353" w:name="_Toc29666"/>
      <w:r>
        <w:rPr>
          <w:rFonts w:hint="eastAsia" w:ascii="黑体" w:hAnsi="黑体" w:eastAsia="黑体" w:cs="黑体"/>
          <w:color w:val="000000"/>
          <w:sz w:val="40"/>
          <w:szCs w:val="40"/>
          <w:highlight w:val="none"/>
        </w:rPr>
        <w:t xml:space="preserve">第三章  合同文本</w:t>
      </w:r>
      <w:bookmarkEnd w:id="351"/>
      <w:r/>
      <w:bookmarkEnd w:id="352"/>
      <w:r/>
      <w:bookmarkEnd w:id="353"/>
      <w:r>
        <w:rPr>
          <w:rFonts w:hint="eastAsia" w:ascii="仿宋" w:hAnsi="仿宋" w:eastAsia="仿宋" w:cs="仿宋"/>
          <w:bCs w:val="0"/>
          <w:color w:val="000000"/>
          <w:sz w:val="44"/>
          <w:highlight w:val="none"/>
        </w:rPr>
      </w:r>
      <w:r/>
    </w:p>
    <w:p>
      <w:pPr>
        <w:pStyle w:val="1013"/>
        <w:jc w:val="center"/>
        <w:spacing w:line="480" w:lineRule="auto"/>
        <w:rPr>
          <w:rFonts w:ascii="宋体" w:hAnsi="宋体"/>
          <w:b/>
          <w:color w:val="000000"/>
          <w:sz w:val="24"/>
          <w:szCs w:val="24"/>
          <w:highlight w:val="none"/>
        </w:rPr>
      </w:pPr>
      <w:r>
        <w:rPr>
          <w:rFonts w:ascii="宋体" w:hAnsi="宋体"/>
          <w:b/>
          <w:color w:val="000000"/>
          <w:sz w:val="24"/>
          <w:szCs w:val="24"/>
          <w:highlight w:val="none"/>
        </w:rPr>
      </w:r>
      <w:r/>
    </w:p>
    <w:p>
      <w:pPr>
        <w:pStyle w:val="1013"/>
        <w:jc w:val="center"/>
        <w:spacing w:line="480" w:lineRule="auto"/>
        <w:rPr>
          <w:rFonts w:ascii="宋体" w:hAnsi="宋体"/>
          <w:b/>
          <w:color w:val="000000"/>
          <w:sz w:val="24"/>
          <w:szCs w:val="24"/>
          <w:highlight w:val="none"/>
        </w:rPr>
      </w:pPr>
      <w:r>
        <w:rPr>
          <w:rFonts w:ascii="宋体" w:hAnsi="宋体"/>
          <w:b/>
          <w:color w:val="000000"/>
          <w:sz w:val="24"/>
          <w:szCs w:val="24"/>
          <w:highlight w:val="none"/>
        </w:rPr>
      </w:r>
      <w:r/>
    </w:p>
    <w:p>
      <w:pPr>
        <w:pStyle w:val="1013"/>
        <w:jc w:val="center"/>
        <w:spacing w:line="480" w:lineRule="auto"/>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t xml:space="preserve">采购合同参考范本</w:t>
      </w:r>
      <w:r>
        <w:rPr>
          <w:rFonts w:hint="eastAsia" w:ascii="黑体" w:hAnsi="黑体" w:eastAsia="黑体" w:cs="黑体"/>
          <w:bCs/>
          <w:color w:val="000000"/>
          <w:sz w:val="32"/>
          <w:szCs w:val="32"/>
          <w:highlight w:val="none"/>
        </w:rPr>
      </w:r>
      <w:r/>
    </w:p>
    <w:p>
      <w:pPr>
        <w:pStyle w:val="1013"/>
        <w:jc w:val="center"/>
        <w:spacing w:line="480" w:lineRule="auto"/>
        <w:rPr>
          <w:rFonts w:hint="eastAsia" w:ascii="黑体" w:hAnsi="黑体" w:eastAsia="黑体" w:cs="黑体"/>
          <w:bCs/>
          <w:color w:val="000000"/>
          <w:sz w:val="32"/>
          <w:szCs w:val="32"/>
          <w:highlight w:val="none"/>
        </w:rPr>
      </w:pPr>
      <w:r>
        <w:rPr>
          <w:rFonts w:hint="eastAsia" w:ascii="黑体" w:hAnsi="黑体" w:eastAsia="黑体" w:cs="黑体"/>
          <w:bCs/>
          <w:color w:val="000000"/>
          <w:sz w:val="32"/>
          <w:szCs w:val="32"/>
          <w:highlight w:val="none"/>
        </w:rPr>
        <w:t xml:space="preserve">（服务类）</w:t>
      </w:r>
      <w:r>
        <w:rPr>
          <w:rFonts w:hint="eastAsia" w:ascii="黑体" w:hAnsi="黑体" w:eastAsia="黑体" w:cs="黑体"/>
          <w:bCs/>
          <w:color w:val="000000"/>
          <w:sz w:val="32"/>
          <w:szCs w:val="32"/>
          <w:highlight w:val="none"/>
        </w:rPr>
      </w:r>
      <w:r/>
    </w:p>
    <w:p>
      <w:pPr>
        <w:pStyle w:val="1013"/>
        <w:jc w:val="center"/>
        <w:spacing w:line="480" w:lineRule="auto"/>
        <w:rPr>
          <w:rFonts w:ascii="宋体" w:hAnsi="宋体"/>
          <w:b/>
          <w:color w:val="000000"/>
          <w:sz w:val="24"/>
          <w:szCs w:val="24"/>
          <w:highlight w:val="none"/>
        </w:rPr>
      </w:pPr>
      <w:r>
        <w:rPr>
          <w:rFonts w:ascii="宋体" w:hAnsi="宋体"/>
          <w:b/>
          <w:color w:val="000000"/>
          <w:sz w:val="24"/>
          <w:szCs w:val="24"/>
          <w:highlight w:val="none"/>
        </w:rPr>
      </w:r>
      <w:r/>
    </w:p>
    <w:p>
      <w:pPr>
        <w:pStyle w:val="1013"/>
        <w:jc w:val="center"/>
        <w:spacing w:line="480" w:lineRule="auto"/>
        <w:rPr>
          <w:rFonts w:ascii="宋体" w:hAnsi="宋体"/>
          <w:b/>
          <w:color w:val="000000"/>
          <w:sz w:val="24"/>
          <w:szCs w:val="24"/>
          <w:highlight w:val="none"/>
        </w:rPr>
      </w:pPr>
      <w:r>
        <w:rPr>
          <w:rFonts w:ascii="宋体" w:hAnsi="宋体"/>
          <w:b/>
          <w:color w:val="000000"/>
          <w:sz w:val="24"/>
          <w:szCs w:val="24"/>
          <w:highlight w:val="none"/>
        </w:rPr>
      </w:r>
      <w:r/>
    </w:p>
    <w:p>
      <w:pPr>
        <w:pStyle w:val="1013"/>
        <w:spacing w:line="480" w:lineRule="auto"/>
        <w:rPr>
          <w:rFonts w:ascii="宋体" w:hAnsi="宋体"/>
          <w:b/>
          <w:color w:val="000000"/>
          <w:sz w:val="24"/>
          <w:szCs w:val="24"/>
          <w:highlight w:val="none"/>
        </w:rPr>
      </w:pPr>
      <w:r>
        <w:rPr>
          <w:rFonts w:ascii="宋体" w:hAnsi="宋体"/>
          <w:b/>
          <w:color w:val="000000"/>
          <w:sz w:val="24"/>
          <w:szCs w:val="24"/>
          <w:highlight w:val="none"/>
        </w:rPr>
      </w:r>
      <w:r/>
    </w:p>
    <w:p>
      <w:pPr>
        <w:pStyle w:val="1013"/>
        <w:ind w:left="960" w:firstLine="960"/>
        <w:spacing w:before="120" w:line="48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项目名称：</w:t>
      </w:r>
      <w:r>
        <w:rPr>
          <w:rFonts w:hint="eastAsia" w:ascii="黑体" w:hAnsi="黑体" w:eastAsia="黑体" w:cs="黑体"/>
          <w:color w:val="000000"/>
          <w:sz w:val="24"/>
          <w:szCs w:val="24"/>
          <w:highlight w:val="none"/>
          <w:u w:val="single"/>
        </w:rPr>
        <w:t xml:space="preserve">京东数字商贸产业学院二期项目AI丝路电商实训平台</w:t>
      </w:r>
      <w:r>
        <w:rPr>
          <w:rFonts w:hint="eastAsia" w:ascii="黑体" w:hAnsi="黑体" w:eastAsia="黑体" w:cs="黑体"/>
          <w:color w:val="000000"/>
          <w:sz w:val="24"/>
          <w:szCs w:val="24"/>
          <w:highlight w:val="none"/>
          <w:u w:val="single"/>
        </w:rPr>
      </w:r>
      <w:r/>
    </w:p>
    <w:p>
      <w:pPr>
        <w:pStyle w:val="1013"/>
        <w:ind w:left="960" w:firstLine="960"/>
        <w:spacing w:before="120" w:line="48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项目编号：</w:t>
      </w:r>
      <w:r>
        <w:rPr>
          <w:rFonts w:hint="eastAsia" w:ascii="黑体" w:hAnsi="黑体" w:eastAsia="黑体" w:cs="黑体"/>
          <w:color w:val="000000"/>
          <w:sz w:val="24"/>
          <w:szCs w:val="24"/>
          <w:highlight w:val="none"/>
          <w:u w:val="single"/>
        </w:rPr>
        <w:t xml:space="preserve">QC-2026071233C</w:t>
      </w:r>
      <w:r>
        <w:rPr>
          <w:rFonts w:hint="eastAsia" w:ascii="黑体" w:hAnsi="黑体" w:eastAsia="黑体" w:cs="黑体"/>
          <w:color w:val="000000"/>
          <w:sz w:val="24"/>
          <w:szCs w:val="24"/>
          <w:highlight w:val="none"/>
        </w:rPr>
      </w:r>
      <w:r/>
    </w:p>
    <w:p>
      <w:pPr>
        <w:pStyle w:val="1013"/>
        <w:ind w:left="960" w:firstLine="960"/>
        <w:spacing w:before="120" w:line="48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甲方（采购人）：</w:t>
      </w:r>
      <w:r>
        <w:rPr>
          <w:rFonts w:hint="eastAsia" w:ascii="黑体" w:hAnsi="黑体" w:eastAsia="黑体" w:cs="黑体"/>
          <w:color w:val="000000"/>
          <w:sz w:val="24"/>
          <w:szCs w:val="24"/>
          <w:highlight w:val="none"/>
          <w:u w:val="single"/>
        </w:rPr>
        <w:t xml:space="preserve"> 无锡工艺职业技术学院 </w:t>
      </w:r>
      <w:r>
        <w:rPr>
          <w:rFonts w:hint="eastAsia" w:ascii="黑体" w:hAnsi="黑体" w:eastAsia="黑体" w:cs="黑体"/>
          <w:color w:val="000000"/>
          <w:sz w:val="24"/>
          <w:szCs w:val="24"/>
          <w:highlight w:val="none"/>
          <w:u w:val="single"/>
        </w:rPr>
      </w:r>
      <w:r/>
    </w:p>
    <w:p>
      <w:pPr>
        <w:pStyle w:val="1013"/>
        <w:ind w:left="960" w:firstLine="960"/>
        <w:spacing w:before="120" w:line="48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乙方（中标人）：</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013"/>
        <w:ind w:left="960" w:firstLine="960"/>
        <w:spacing w:before="120" w:line="480" w:lineRule="auto"/>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签订地：</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013"/>
        <w:ind w:left="960" w:firstLine="960"/>
        <w:spacing w:before="120" w:line="48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签订日期：</w:t>
      </w:r>
      <w:r>
        <w:rPr>
          <w:rFonts w:hint="eastAsia" w:ascii="黑体" w:hAnsi="黑体" w:eastAsia="黑体" w:cs="黑体"/>
          <w:color w:val="000000"/>
          <w:sz w:val="24"/>
          <w:szCs w:val="24"/>
          <w:highlight w:val="none"/>
          <w:u w:val="single"/>
        </w:rPr>
        <w:t xml:space="preserve">  2026  </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日</w:t>
      </w:r>
      <w:r>
        <w:rPr>
          <w:rFonts w:hint="eastAsia" w:ascii="黑体" w:hAnsi="黑体" w:eastAsia="黑体" w:cs="黑体"/>
          <w:color w:val="000000"/>
          <w:sz w:val="24"/>
          <w:szCs w:val="24"/>
          <w:highlight w:val="none"/>
        </w:rPr>
      </w:r>
      <w:r/>
    </w:p>
    <w:p>
      <w:pPr>
        <w:pStyle w:val="1013"/>
        <w:jc w:val="center"/>
        <w:spacing w:line="360" w:lineRule="auto"/>
        <w:rPr>
          <w:rFonts w:ascii="宋体" w:hAnsi="宋体"/>
          <w:color w:val="000000"/>
          <w:sz w:val="24"/>
          <w:szCs w:val="24"/>
          <w:highlight w:val="none"/>
        </w:rPr>
        <w:outlineLvl w:val="1"/>
      </w:pPr>
      <w:r>
        <w:rPr>
          <w:rFonts w:ascii="宋体" w:hAnsi="宋体"/>
          <w:color w:val="000000"/>
          <w:sz w:val="24"/>
          <w:szCs w:val="24"/>
          <w:highlight w:val="none"/>
        </w:rPr>
        <w:br w:type="page" w:clear="all"/>
      </w:r>
      <w:bookmarkStart w:id="354" w:name="_Toc9455"/>
      <w:r/>
      <w:bookmarkStart w:id="355" w:name="_Toc29393"/>
      <w:r>
        <w:rPr>
          <w:rFonts w:hint="eastAsia" w:ascii="黑体" w:hAnsi="黑体" w:eastAsia="黑体" w:cs="黑体"/>
          <w:bCs/>
          <w:color w:val="000000"/>
          <w:sz w:val="30"/>
          <w:szCs w:val="30"/>
          <w:highlight w:val="none"/>
        </w:rPr>
        <w:t xml:space="preserve">第一部分 合同书</w:t>
      </w:r>
      <w:bookmarkEnd w:id="354"/>
      <w:r/>
      <w:bookmarkEnd w:id="355"/>
      <w:r>
        <w:rPr>
          <w:rFonts w:ascii="宋体" w:hAnsi="宋体"/>
          <w:color w:val="000000"/>
          <w:sz w:val="24"/>
          <w:szCs w:val="24"/>
          <w:highlight w:val="none"/>
        </w:rPr>
      </w:r>
      <w:r/>
    </w:p>
    <w:p>
      <w:pPr>
        <w:pStyle w:val="1013"/>
        <w:ind w:firstLine="480"/>
        <w:spacing w:line="440" w:lineRule="exact"/>
        <w:rPr>
          <w:rFonts w:ascii="宋体" w:hAnsi="宋体"/>
          <w:color w:val="000000"/>
          <w:sz w:val="24"/>
          <w:highlight w:val="none"/>
        </w:rPr>
      </w:pPr>
      <w:r>
        <w:rPr>
          <w:rFonts w:hint="eastAsia" w:ascii="宋体" w:hAnsi="宋体"/>
          <w:color w:val="000000"/>
          <w:sz w:val="24"/>
          <w:highlight w:val="none"/>
          <w:u w:val="single"/>
        </w:rPr>
        <w:t xml:space="preserve">无锡工艺职业技术学院</w:t>
      </w:r>
      <w:r>
        <w:rPr>
          <w:rFonts w:hint="eastAsia" w:ascii="宋体" w:hAnsi="宋体"/>
          <w:color w:val="000000"/>
          <w:sz w:val="24"/>
          <w:highlight w:val="none"/>
        </w:rPr>
        <w:t xml:space="preserve">（</w:t>
      </w:r>
      <w:r>
        <w:rPr>
          <w:rFonts w:hint="eastAsia" w:ascii="宋体" w:hAnsi="宋体"/>
          <w:color w:val="000000"/>
          <w:sz w:val="24"/>
          <w:szCs w:val="24"/>
          <w:highlight w:val="none"/>
          <w:lang w:val="zh-CN"/>
        </w:rPr>
        <w:t xml:space="preserve">以下简称：甲方</w:t>
      </w:r>
      <w:r>
        <w:rPr>
          <w:rFonts w:hint="eastAsia" w:ascii="宋体" w:hAnsi="宋体"/>
          <w:color w:val="000000"/>
          <w:sz w:val="24"/>
          <w:highlight w:val="none"/>
        </w:rPr>
        <w:t xml:space="preserve">）通过</w:t>
      </w:r>
      <w:r>
        <w:rPr>
          <w:rFonts w:hint="eastAsia" w:ascii="宋体" w:hAnsi="宋体"/>
          <w:color w:val="000000"/>
          <w:sz w:val="24"/>
          <w:highlight w:val="none"/>
          <w:u w:val="single"/>
        </w:rPr>
        <w:t xml:space="preserve">江苏柒采招标代理有限公司</w:t>
      </w:r>
      <w:r>
        <w:rPr>
          <w:rFonts w:hint="eastAsia" w:ascii="宋体" w:hAnsi="宋体"/>
          <w:color w:val="000000"/>
          <w:sz w:val="24"/>
          <w:highlight w:val="none"/>
        </w:rPr>
        <w:t xml:space="preserve">组织的</w:t>
      </w:r>
      <w:r>
        <w:rPr>
          <w:rFonts w:hint="eastAsia" w:ascii="宋体" w:hAnsi="宋体"/>
          <w:color w:val="000000"/>
          <w:sz w:val="24"/>
          <w:highlight w:val="none"/>
          <w:u w:val="single"/>
        </w:rPr>
        <w:t xml:space="preserve">公开招标</w:t>
      </w:r>
      <w:r>
        <w:rPr>
          <w:rFonts w:hint="eastAsia" w:ascii="宋体" w:hAnsi="宋体"/>
          <w:color w:val="000000"/>
          <w:sz w:val="24"/>
          <w:highlight w:val="none"/>
        </w:rPr>
        <w:t xml:space="preserve">方式采购活动，经</w:t>
      </w:r>
      <w:r>
        <w:rPr>
          <w:rFonts w:hint="eastAsia" w:ascii="宋体" w:hAnsi="宋体"/>
          <w:color w:val="000000"/>
          <w:sz w:val="24"/>
          <w:highlight w:val="none"/>
          <w:u w:val="single"/>
        </w:rPr>
        <w:t xml:space="preserve">评审委员会</w:t>
      </w:r>
      <w:r>
        <w:rPr>
          <w:rFonts w:hint="eastAsia" w:ascii="宋体" w:hAnsi="宋体"/>
          <w:color w:val="000000"/>
          <w:sz w:val="24"/>
          <w:highlight w:val="none"/>
        </w:rPr>
        <w:t xml:space="preserve">评定，</w:t>
      </w:r>
      <w:r>
        <w:rPr>
          <w:rFonts w:hint="eastAsia" w:ascii="宋体" w:hAnsi="宋体"/>
          <w:i/>
          <w:iCs/>
          <w:color w:val="000000"/>
          <w:sz w:val="24"/>
          <w:szCs w:val="24"/>
          <w:highlight w:val="none"/>
          <w:u w:val="single"/>
        </w:rPr>
        <w:t xml:space="preserve">（</w:t>
      </w:r>
      <w:r>
        <w:rPr>
          <w:rFonts w:hint="eastAsia" w:ascii="宋体" w:hAnsi="宋体"/>
          <w:b/>
          <w:bCs/>
          <w:i/>
          <w:iCs/>
          <w:color w:val="000000"/>
          <w:sz w:val="24"/>
          <w:szCs w:val="24"/>
          <w:highlight w:val="none"/>
          <w:u w:val="single"/>
        </w:rPr>
        <w:t xml:space="preserve">中标人名称</w:t>
      </w:r>
      <w:r>
        <w:rPr>
          <w:rFonts w:hint="eastAsia" w:ascii="宋体" w:hAnsi="宋体"/>
          <w:i/>
          <w:iCs/>
          <w:color w:val="000000"/>
          <w:sz w:val="24"/>
          <w:szCs w:val="24"/>
          <w:highlight w:val="none"/>
          <w:u w:val="single"/>
        </w:rPr>
        <w:t xml:space="preserve">）</w:t>
      </w:r>
      <w:r>
        <w:rPr>
          <w:rFonts w:hint="eastAsia" w:ascii="宋体" w:hAnsi="宋体"/>
          <w:color w:val="000000"/>
          <w:sz w:val="24"/>
          <w:highlight w:val="none"/>
        </w:rPr>
        <w:t xml:space="preserve">（</w:t>
      </w:r>
      <w:r>
        <w:rPr>
          <w:rFonts w:hint="eastAsia" w:ascii="宋体" w:hAnsi="宋体"/>
          <w:color w:val="000000"/>
          <w:sz w:val="24"/>
          <w:szCs w:val="24"/>
          <w:highlight w:val="none"/>
          <w:lang w:val="zh-CN"/>
        </w:rPr>
        <w:t xml:space="preserve">以下简称：乙方</w:t>
      </w:r>
      <w:r>
        <w:rPr>
          <w:rFonts w:hint="eastAsia" w:ascii="宋体" w:hAnsi="宋体"/>
          <w:color w:val="000000"/>
          <w:sz w:val="24"/>
          <w:highlight w:val="none"/>
        </w:rPr>
        <w:t xml:space="preserve">）为本项目中标人，现</w:t>
      </w:r>
      <w:r>
        <w:rPr>
          <w:rFonts w:hint="eastAsia" w:ascii="宋体" w:hAnsi="宋体"/>
          <w:color w:val="000000"/>
          <w:sz w:val="24"/>
          <w:szCs w:val="24"/>
          <w:highlight w:val="none"/>
        </w:rPr>
        <w:t xml:space="preserve">按照采购文件确定的事项签订本合同。</w:t>
      </w:r>
      <w:r>
        <w:rPr>
          <w:rFonts w:ascii="宋体" w:hAnsi="宋体"/>
          <w:color w:val="000000"/>
          <w:sz w:val="24"/>
          <w:highlight w:val="none"/>
        </w:rPr>
      </w:r>
      <w:r/>
    </w:p>
    <w:p>
      <w:pPr>
        <w:pStyle w:val="1013"/>
        <w:ind w:firstLine="480"/>
        <w:spacing w:line="440" w:lineRule="exact"/>
        <w:rPr>
          <w:rFonts w:ascii="宋体" w:hAnsi="宋体"/>
          <w:color w:val="000000"/>
          <w:sz w:val="24"/>
          <w:szCs w:val="24"/>
          <w:highlight w:val="none"/>
          <w:lang w:val="zh-CN"/>
        </w:rPr>
      </w:pPr>
      <w:r>
        <w:rPr>
          <w:rFonts w:hint="eastAsia" w:ascii="宋体" w:hAnsi="宋体"/>
          <w:color w:val="000000"/>
          <w:sz w:val="24"/>
          <w:highlight w:val="none"/>
        </w:rPr>
        <w:t xml:space="preserve">根据《中华人民共和国民法典》《中华人民共和国政府采购法》《政府采购货物和服务招标投标管理办法》等相关法律法规之规定，按照平等、自愿、公平和诚实信用的原则，经甲方和乙方协商一致，约定以下合同条款，以兹共同遵守、全面履行。</w:t>
      </w:r>
      <w:r>
        <w:rPr>
          <w:rFonts w:ascii="宋体" w:hAnsi="宋体"/>
          <w:color w:val="000000"/>
          <w:sz w:val="24"/>
          <w:szCs w:val="24"/>
          <w:highlight w:val="none"/>
          <w:lang w:val="zh-CN"/>
        </w:rPr>
      </w:r>
      <w:r/>
    </w:p>
    <w:p>
      <w:pPr>
        <w:pStyle w:val="1013"/>
        <w:ind w:firstLine="437"/>
        <w:spacing w:line="440" w:lineRule="exact"/>
        <w:rPr>
          <w:rFonts w:ascii="宋体" w:hAnsi="宋体"/>
          <w:b/>
          <w:bCs/>
          <w:color w:val="000000"/>
          <w:sz w:val="24"/>
          <w:szCs w:val="24"/>
          <w:highlight w:val="none"/>
          <w:lang w:val="zh-CN"/>
        </w:rPr>
        <w:outlineLvl w:val="2"/>
      </w:pPr>
      <w:r/>
      <w:bookmarkStart w:id="356" w:name="_Toc24059"/>
      <w:r/>
      <w:bookmarkStart w:id="357" w:name="_Toc2232"/>
      <w:r/>
      <w:bookmarkStart w:id="358" w:name="_Toc3029"/>
      <w:r>
        <w:rPr>
          <w:rFonts w:hint="eastAsia" w:ascii="宋体" w:hAnsi="宋体"/>
          <w:b/>
          <w:bCs/>
          <w:color w:val="000000"/>
          <w:sz w:val="24"/>
          <w:szCs w:val="24"/>
          <w:highlight w:val="none"/>
          <w:lang w:val="zh-CN"/>
        </w:rPr>
        <w:t xml:space="preserve">1.1</w:t>
      </w:r>
      <w:r>
        <w:rPr>
          <w:rFonts w:ascii="宋体" w:hAnsi="宋体"/>
          <w:b/>
          <w:bCs/>
          <w:color w:val="000000"/>
          <w:sz w:val="24"/>
          <w:szCs w:val="24"/>
          <w:highlight w:val="none"/>
          <w:lang w:val="zh-CN"/>
        </w:rPr>
        <w:t xml:space="preserve"> </w:t>
      </w:r>
      <w:r>
        <w:rPr>
          <w:rFonts w:hint="eastAsia" w:ascii="宋体" w:hAnsi="宋体"/>
          <w:b/>
          <w:bCs/>
          <w:color w:val="000000"/>
          <w:sz w:val="24"/>
          <w:szCs w:val="24"/>
          <w:highlight w:val="none"/>
          <w:lang w:val="zh-CN"/>
        </w:rPr>
        <w:t xml:space="preserve">合同组成部分</w:t>
      </w:r>
      <w:bookmarkEnd w:id="356"/>
      <w:r/>
      <w:bookmarkEnd w:id="357"/>
      <w:r/>
      <w:bookmarkEnd w:id="358"/>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下列文件为本合同的组成部分，并构成一个整体，需综合解释、相互补充。如果下列文件内容出现不一致的情形，那么在保证按照采购文件确定的事项前提下，组成本合同的多个文件的优先适用顺序如下：</w:t>
      </w:r>
      <w:r>
        <w:rPr>
          <w:rFonts w:ascii="宋体" w:hAnsi="宋体"/>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1.1.1本合同及其补充合同、变更协议；</w:t>
      </w:r>
      <w:r>
        <w:rPr>
          <w:rFonts w:ascii="宋体" w:hAnsi="宋体"/>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1.1.2成交通知书；</w:t>
      </w:r>
      <w:r>
        <w:rPr>
          <w:rFonts w:ascii="宋体" w:hAnsi="宋体"/>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1.1.3响应文件（含澄清或者说明文件）；</w:t>
      </w:r>
      <w:r>
        <w:rPr>
          <w:rFonts w:ascii="宋体" w:hAnsi="宋体"/>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1.1.4</w:t>
      </w:r>
      <w:r>
        <w:rPr>
          <w:rFonts w:hint="eastAsia" w:ascii="宋体" w:hAnsi="宋体"/>
          <w:color w:val="000000"/>
          <w:sz w:val="24"/>
          <w:szCs w:val="24"/>
          <w:highlight w:val="none"/>
        </w:rPr>
        <w:t xml:space="preserve">公开招标</w:t>
      </w:r>
      <w:r>
        <w:rPr>
          <w:rFonts w:hint="eastAsia" w:ascii="宋体" w:hAnsi="宋体"/>
          <w:color w:val="000000"/>
          <w:sz w:val="24"/>
          <w:szCs w:val="24"/>
          <w:highlight w:val="none"/>
          <w:lang w:val="zh-CN"/>
        </w:rPr>
        <w:t xml:space="preserve">文件（含澄清或者修改文件）；</w:t>
      </w:r>
      <w:r>
        <w:rPr>
          <w:rFonts w:ascii="宋体" w:hAnsi="宋体"/>
          <w:color w:val="000000"/>
          <w:sz w:val="24"/>
          <w:szCs w:val="24"/>
          <w:highlight w:val="none"/>
          <w:lang w:val="zh-CN"/>
        </w:rPr>
      </w:r>
      <w:r/>
    </w:p>
    <w:p>
      <w:pPr>
        <w:pStyle w:val="1013"/>
        <w:ind w:firstLine="43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1.1.5其他相关采购文件。</w:t>
      </w:r>
      <w:r>
        <w:rPr>
          <w:rFonts w:ascii="宋体" w:hAnsi="宋体"/>
          <w:color w:val="000000"/>
          <w:sz w:val="24"/>
          <w:szCs w:val="24"/>
          <w:highlight w:val="none"/>
          <w:lang w:val="zh-CN"/>
        </w:rPr>
      </w:r>
      <w:r/>
    </w:p>
    <w:p>
      <w:pPr>
        <w:pStyle w:val="1013"/>
        <w:ind w:firstLine="437"/>
        <w:spacing w:line="440" w:lineRule="exact"/>
        <w:rPr>
          <w:rFonts w:ascii="宋体" w:hAnsi="宋体"/>
          <w:b/>
          <w:bCs/>
          <w:color w:val="000000"/>
          <w:sz w:val="24"/>
          <w:szCs w:val="24"/>
          <w:highlight w:val="none"/>
          <w:lang w:val="zh-CN"/>
        </w:rPr>
        <w:outlineLvl w:val="2"/>
      </w:pPr>
      <w:r/>
      <w:bookmarkStart w:id="359" w:name="_Toc22185"/>
      <w:r/>
      <w:bookmarkStart w:id="360" w:name="_Toc18585"/>
      <w:r/>
      <w:bookmarkStart w:id="361" w:name="_Toc6773"/>
      <w:r/>
      <w:bookmarkStart w:id="362" w:name="_Toc6311"/>
      <w:r/>
      <w:bookmarkStart w:id="363" w:name="_Toc2918"/>
      <w:r>
        <w:rPr>
          <w:rFonts w:hint="eastAsia" w:ascii="宋体" w:hAnsi="宋体"/>
          <w:b/>
          <w:bCs/>
          <w:color w:val="000000"/>
          <w:sz w:val="24"/>
          <w:szCs w:val="24"/>
          <w:highlight w:val="none"/>
          <w:lang w:val="zh-CN"/>
        </w:rPr>
        <w:t xml:space="preserve">1.2 </w:t>
      </w:r>
      <w:bookmarkEnd w:id="359"/>
      <w:r/>
      <w:bookmarkEnd w:id="360"/>
      <w:r/>
      <w:bookmarkEnd w:id="361"/>
      <w:r/>
      <w:bookmarkEnd w:id="362"/>
      <w:r/>
      <w:bookmarkEnd w:id="363"/>
      <w:r>
        <w:rPr>
          <w:rFonts w:hint="eastAsia" w:ascii="宋体" w:hAnsi="宋体"/>
          <w:b/>
          <w:bCs/>
          <w:color w:val="000000"/>
          <w:sz w:val="24"/>
          <w:szCs w:val="24"/>
          <w:highlight w:val="none"/>
          <w:lang w:val="zh-CN"/>
        </w:rPr>
        <w:t xml:space="preserve">服务</w:t>
      </w:r>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1.2.1服务</w:t>
      </w:r>
      <w:r>
        <w:rPr>
          <w:rFonts w:ascii="宋体" w:hAnsi="宋体"/>
          <w:color w:val="000000"/>
          <w:sz w:val="24"/>
          <w:szCs w:val="24"/>
          <w:highlight w:val="none"/>
        </w:rPr>
        <w:t xml:space="preserve">名称：</w:t>
      </w:r>
      <w:r>
        <w:rPr>
          <w:rFonts w:hint="eastAsia" w:ascii="宋体" w:hAnsi="宋体"/>
          <w:color w:val="000000"/>
          <w:sz w:val="24"/>
          <w:szCs w:val="24"/>
          <w:highlight w:val="none"/>
          <w:u w:val="single"/>
        </w:rPr>
        <w:t xml:space="preserve">京东数字商贸产业学院二期项目AI丝路电商实训平台</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013"/>
        <w:ind w:firstLine="435"/>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1.2.2服务内容</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1.2.3服务质量：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40" w:lineRule="exact"/>
        <w:rPr>
          <w:rFonts w:ascii="宋体" w:hAnsi="宋体"/>
          <w:b/>
          <w:bCs/>
          <w:color w:val="000000"/>
          <w:sz w:val="24"/>
          <w:szCs w:val="24"/>
          <w:highlight w:val="none"/>
          <w:lang w:val="zh-CN"/>
        </w:rPr>
        <w:outlineLvl w:val="2"/>
      </w:pPr>
      <w:r/>
      <w:bookmarkStart w:id="364" w:name="_Toc21631"/>
      <w:r/>
      <w:bookmarkStart w:id="365" w:name="_Toc23292"/>
      <w:r/>
      <w:bookmarkStart w:id="366" w:name="_Toc21551"/>
      <w:r>
        <w:rPr>
          <w:rFonts w:hint="eastAsia" w:ascii="宋体" w:hAnsi="宋体"/>
          <w:b/>
          <w:bCs/>
          <w:color w:val="000000"/>
          <w:sz w:val="24"/>
          <w:szCs w:val="24"/>
          <w:highlight w:val="none"/>
          <w:lang w:val="zh-CN"/>
        </w:rPr>
        <w:t xml:space="preserve">1.</w:t>
      </w:r>
      <w:r>
        <w:rPr>
          <w:rFonts w:ascii="宋体" w:hAnsi="宋体"/>
          <w:b/>
          <w:bCs/>
          <w:color w:val="000000"/>
          <w:sz w:val="24"/>
          <w:szCs w:val="24"/>
          <w:highlight w:val="none"/>
          <w:lang w:val="zh-CN"/>
        </w:rPr>
        <w:t xml:space="preserve">3 </w:t>
      </w:r>
      <w:r>
        <w:rPr>
          <w:rFonts w:hint="eastAsia" w:ascii="宋体" w:hAnsi="宋体"/>
          <w:b/>
          <w:bCs/>
          <w:color w:val="000000"/>
          <w:sz w:val="24"/>
          <w:szCs w:val="24"/>
          <w:highlight w:val="none"/>
          <w:lang w:val="zh-CN"/>
        </w:rPr>
        <w:t xml:space="preserve">价款</w:t>
      </w:r>
      <w:bookmarkEnd w:id="364"/>
      <w:r/>
      <w:bookmarkEnd w:id="365"/>
      <w:r/>
      <w:bookmarkEnd w:id="366"/>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rPr>
      </w:pPr>
      <w:r>
        <w:rPr>
          <w:rFonts w:ascii="宋体" w:hAnsi="宋体"/>
          <w:color w:val="000000"/>
          <w:sz w:val="24"/>
          <w:szCs w:val="24"/>
          <w:highlight w:val="none"/>
        </w:rPr>
        <w:t xml:space="preserve">本合同总价</w:t>
      </w:r>
      <w:r>
        <w:rPr>
          <w:rFonts w:hint="eastAsia" w:ascii="宋体" w:hAnsi="宋体"/>
          <w:color w:val="000000"/>
          <w:sz w:val="24"/>
          <w:szCs w:val="24"/>
          <w:highlight w:val="none"/>
        </w:rPr>
        <w:t xml:space="preserve">（含税）</w:t>
      </w:r>
      <w:r>
        <w:rPr>
          <w:rFonts w:ascii="宋体" w:hAnsi="宋体"/>
          <w:color w:val="000000"/>
          <w:sz w:val="24"/>
          <w:szCs w:val="24"/>
          <w:highlight w:val="none"/>
        </w:rPr>
        <w:t xml:space="preserve">为</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（大写：人民币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u w:val="single"/>
        </w:rPr>
      </w:pPr>
      <w:r>
        <w:rPr>
          <w:rFonts w:ascii="宋体" w:hAnsi="宋体"/>
          <w:color w:val="000000"/>
          <w:sz w:val="24"/>
          <w:szCs w:val="24"/>
          <w:highlight w:val="none"/>
        </w:rPr>
        <w:t xml:space="preserve">分项价格：</w:t>
      </w:r>
      <w:r>
        <w:rPr>
          <w:rFonts w:ascii="宋体" w:hAnsi="宋体"/>
          <w:color w:val="00000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4643"/>
        <w:gridCol w:w="13"/>
        <w:gridCol w:w="3470"/>
        <w:gridCol w:w="13"/>
      </w:tblGrid>
      <w:tr>
        <w:trPr>
          <w:gridAfter w:val="1"/>
          <w:trHeight w:val="369"/>
        </w:trPr>
        <w:tc>
          <w:tcPr>
            <w:tcW w:w="562" w:type="dxa"/>
            <w:vAlign w:val="center"/>
            <w:textDirection w:val="lrTb"/>
            <w:noWrap w:val="false"/>
          </w:tcPr>
          <w:p>
            <w:pPr>
              <w:pStyle w:val="1013"/>
              <w:jc w:val="center"/>
              <w:rPr>
                <w:rFonts w:ascii="宋体" w:hAnsi="宋体"/>
                <w:color w:val="000000"/>
                <w:sz w:val="24"/>
                <w:szCs w:val="24"/>
                <w:highlight w:val="none"/>
                <w:lang w:val="zh-CN"/>
              </w:rPr>
            </w:pPr>
            <w:r>
              <w:rPr>
                <w:rFonts w:ascii="宋体" w:hAnsi="宋体"/>
                <w:color w:val="000000"/>
                <w:sz w:val="24"/>
                <w:szCs w:val="24"/>
                <w:highlight w:val="none"/>
                <w:lang w:val="zh-CN"/>
              </w:rPr>
              <w:t xml:space="preserve">序号</w:t>
            </w:r>
            <w:r>
              <w:rPr>
                <w:rFonts w:ascii="宋体" w:hAnsi="宋体"/>
                <w:color w:val="000000"/>
                <w:sz w:val="24"/>
                <w:szCs w:val="24"/>
                <w:highlight w:val="none"/>
                <w:lang w:val="zh-CN"/>
              </w:rPr>
            </w:r>
            <w:r/>
          </w:p>
        </w:tc>
        <w:tc>
          <w:tcPr>
            <w:tcW w:w="2532" w:type="dxa"/>
            <w:vAlign w:val="center"/>
            <w:textDirection w:val="lrTb"/>
            <w:noWrap w:val="false"/>
          </w:tcPr>
          <w:p>
            <w:pPr>
              <w:pStyle w:val="1013"/>
              <w:ind w:firstLine="200"/>
              <w:jc w:val="center"/>
              <w:rPr>
                <w:rFonts w:ascii="宋体" w:hAnsi="宋体"/>
                <w:color w:val="000000"/>
                <w:sz w:val="24"/>
                <w:szCs w:val="24"/>
                <w:highlight w:val="none"/>
              </w:rPr>
            </w:pPr>
            <w:r>
              <w:rPr>
                <w:rFonts w:hint="eastAsia" w:ascii="宋体" w:hAnsi="宋体"/>
                <w:color w:val="000000"/>
                <w:sz w:val="24"/>
                <w:szCs w:val="24"/>
                <w:highlight w:val="none"/>
              </w:rPr>
              <w:t xml:space="preserve">分项名称</w:t>
            </w:r>
            <w:r>
              <w:rPr>
                <w:rFonts w:ascii="宋体" w:hAnsi="宋体"/>
                <w:color w:val="000000"/>
                <w:sz w:val="24"/>
                <w:szCs w:val="24"/>
                <w:highlight w:val="none"/>
              </w:rPr>
            </w:r>
            <w:r/>
          </w:p>
        </w:tc>
        <w:tc>
          <w:tcPr>
            <w:gridSpan w:val="2"/>
            <w:tcW w:w="3483" w:type="dxa"/>
            <w:vAlign w:val="center"/>
            <w:textDirection w:val="lrTb"/>
            <w:noWrap w:val="false"/>
          </w:tcPr>
          <w:p>
            <w:pPr>
              <w:pStyle w:val="1013"/>
              <w:jc w:val="center"/>
              <w:rPr>
                <w:rFonts w:ascii="宋体" w:hAnsi="宋体"/>
                <w:color w:val="000000"/>
                <w:sz w:val="24"/>
                <w:szCs w:val="24"/>
                <w:highlight w:val="none"/>
              </w:rPr>
            </w:pPr>
            <w:r>
              <w:rPr>
                <w:rFonts w:ascii="宋体" w:hAnsi="宋体"/>
                <w:color w:val="000000"/>
                <w:sz w:val="24"/>
                <w:szCs w:val="24"/>
                <w:highlight w:val="none"/>
              </w:rPr>
              <w:t xml:space="preserve">分项价格</w:t>
            </w:r>
            <w:r>
              <w:rPr>
                <w:rFonts w:ascii="宋体" w:hAnsi="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w:t>
            </w:r>
            <w:r>
              <w:rPr>
                <w:rFonts w:ascii="宋体" w:hAnsi="宋体"/>
                <w:color w:val="000000"/>
                <w:sz w:val="24"/>
                <w:szCs w:val="24"/>
                <w:highlight w:val="none"/>
                <w:lang w:val="zh-CN"/>
              </w:rPr>
            </w:r>
            <w:r/>
          </w:p>
        </w:tc>
        <w:tc>
          <w:tcPr>
            <w:tcW w:w="2532"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3483"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ascii="宋体" w:hAnsi="宋体"/>
                <w:color w:val="000000"/>
                <w:sz w:val="24"/>
                <w:szCs w:val="24"/>
                <w:highlight w:val="none"/>
                <w:lang w:val="zh-CN"/>
              </w:rPr>
            </w:r>
            <w:r/>
          </w:p>
        </w:tc>
        <w:tc>
          <w:tcPr>
            <w:tcW w:w="2532"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3483"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rPr>
                <w:rFonts w:ascii="宋体" w:hAnsi="宋体"/>
                <w:color w:val="000000"/>
                <w:sz w:val="24"/>
                <w:szCs w:val="24"/>
                <w:highlight w:val="none"/>
                <w:lang w:val="zh-CN"/>
              </w:rPr>
            </w:pPr>
            <w:r>
              <w:rPr>
                <w:rFonts w:ascii="宋体" w:hAnsi="宋体"/>
                <w:color w:val="000000"/>
                <w:sz w:val="24"/>
                <w:szCs w:val="24"/>
                <w:highlight w:val="none"/>
                <w:lang w:val="zh-CN"/>
              </w:rPr>
              <w:t xml:space="preserve">3</w:t>
            </w:r>
            <w:r>
              <w:rPr>
                <w:rFonts w:ascii="宋体" w:hAnsi="宋体"/>
                <w:color w:val="000000"/>
                <w:sz w:val="24"/>
                <w:szCs w:val="24"/>
                <w:highlight w:val="none"/>
                <w:lang w:val="zh-CN"/>
              </w:rPr>
            </w:r>
            <w:r/>
          </w:p>
        </w:tc>
        <w:tc>
          <w:tcPr>
            <w:tcW w:w="2532"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3483"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r>
            <w:r/>
          </w:p>
        </w:tc>
        <w:tc>
          <w:tcPr>
            <w:tcW w:w="2532"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c>
          <w:tcPr>
            <w:gridSpan w:val="2"/>
            <w:tcW w:w="3483"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r>
      <w:tr>
        <w:trPr>
          <w:trHeight w:val="369"/>
        </w:trPr>
        <w:tc>
          <w:tcPr>
            <w:gridSpan w:val="3"/>
            <w:tcW w:w="5686" w:type="dxa"/>
            <w:vAlign w:val="center"/>
            <w:textDirection w:val="lrTb"/>
            <w:noWrap w:val="false"/>
          </w:tcPr>
          <w:p>
            <w:pPr>
              <w:pStyle w:val="1013"/>
              <w:ind w:firstLine="200"/>
              <w:jc w:val="center"/>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c>
          <w:tcPr>
            <w:gridSpan w:val="2"/>
            <w:tcW w:w="3483" w:type="dxa"/>
            <w:vAlign w:val="center"/>
            <w:textDirection w:val="lrTb"/>
            <w:noWrap w:val="false"/>
          </w:tcPr>
          <w:p>
            <w:pPr>
              <w:pStyle w:val="1013"/>
              <w:ind w:firstLine="200"/>
              <w:jc w:val="center"/>
              <w:rPr>
                <w:rFonts w:ascii="宋体" w:hAnsi="宋体"/>
                <w:color w:val="000000"/>
                <w:sz w:val="24"/>
                <w:szCs w:val="24"/>
                <w:highlight w:val="none"/>
              </w:rPr>
            </w:pPr>
            <w:r>
              <w:rPr>
                <w:rFonts w:ascii="宋体" w:hAnsi="宋体"/>
                <w:color w:val="000000"/>
                <w:sz w:val="24"/>
                <w:szCs w:val="24"/>
                <w:highlight w:val="none"/>
              </w:rPr>
            </w:r>
            <w:r/>
          </w:p>
        </w:tc>
      </w:tr>
    </w:tbl>
    <w:p>
      <w:pPr>
        <w:pStyle w:val="1013"/>
        <w:ind w:firstLine="437"/>
        <w:spacing w:line="440" w:lineRule="exact"/>
        <w:rPr>
          <w:rFonts w:ascii="宋体" w:hAnsi="宋体"/>
          <w:b/>
          <w:bCs/>
          <w:color w:val="000000"/>
          <w:sz w:val="24"/>
          <w:szCs w:val="24"/>
          <w:highlight w:val="none"/>
          <w:lang w:val="zh-CN"/>
        </w:rPr>
        <w:outlineLvl w:val="2"/>
      </w:pPr>
      <w:r/>
      <w:bookmarkStart w:id="367" w:name="_Toc10340"/>
      <w:r/>
      <w:bookmarkStart w:id="368" w:name="_Toc22618"/>
      <w:r/>
      <w:bookmarkStart w:id="369" w:name="_Toc1814"/>
      <w:r>
        <w:rPr>
          <w:rFonts w:hint="eastAsia" w:ascii="宋体" w:hAnsi="宋体"/>
          <w:b/>
          <w:bCs/>
          <w:color w:val="000000"/>
          <w:sz w:val="24"/>
          <w:szCs w:val="24"/>
          <w:highlight w:val="none"/>
          <w:lang w:val="zh-CN"/>
        </w:rPr>
        <w:t xml:space="preserve">1.</w:t>
      </w:r>
      <w:r>
        <w:rPr>
          <w:rFonts w:ascii="宋体" w:hAnsi="宋体"/>
          <w:b/>
          <w:bCs/>
          <w:color w:val="000000"/>
          <w:sz w:val="24"/>
          <w:szCs w:val="24"/>
          <w:highlight w:val="none"/>
          <w:lang w:val="zh-CN"/>
        </w:rPr>
        <w:t xml:space="preserve">4 付款方式和发票开具方式</w:t>
      </w:r>
      <w:bookmarkEnd w:id="367"/>
      <w:r/>
      <w:bookmarkEnd w:id="368"/>
      <w:r/>
      <w:bookmarkEnd w:id="369"/>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w:t>
      </w:r>
      <w:r>
        <w:rPr>
          <w:rFonts w:ascii="宋体" w:hAnsi="宋体"/>
          <w:color w:val="000000"/>
          <w:sz w:val="24"/>
          <w:szCs w:val="24"/>
          <w:highlight w:val="none"/>
        </w:rPr>
        <w:t xml:space="preserve">付款方式：</w:t>
      </w:r>
      <w:r>
        <w:rPr>
          <w:rFonts w:hint="eastAsia" w:ascii="宋体" w:hAnsi="宋体"/>
          <w:color w:val="000000"/>
          <w:sz w:val="24"/>
          <w:szCs w:val="24"/>
          <w:highlight w:val="none"/>
          <w:u w:val="single"/>
        </w:rPr>
        <w:t xml:space="preserve">项目合同签订后支付合同金额的30%，项目验收后付至合同金额的100%</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1.4.2发票开具方式：</w:t>
      </w:r>
      <w:r>
        <w:rPr>
          <w:rFonts w:hint="eastAsia" w:ascii="宋体" w:hAnsi="宋体"/>
          <w:color w:val="000000"/>
          <w:sz w:val="24"/>
          <w:szCs w:val="24"/>
          <w:highlight w:val="none"/>
          <w:u w:val="single"/>
        </w:rPr>
        <w:t xml:space="preserve">乙方应在甲方每次付款前，向甲方开具等额、合法、有效的增值税【专用/普通】发票。甲方在收到发票后履行付款义务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40" w:lineRule="exact"/>
        <w:rPr>
          <w:rFonts w:ascii="宋体" w:hAnsi="宋体"/>
          <w:b/>
          <w:bCs/>
          <w:color w:val="000000"/>
          <w:sz w:val="24"/>
          <w:szCs w:val="24"/>
          <w:highlight w:val="none"/>
          <w:lang w:val="zh-CN"/>
        </w:rPr>
        <w:outlineLvl w:val="2"/>
      </w:pPr>
      <w:r/>
      <w:bookmarkStart w:id="370" w:name="_Toc19304"/>
      <w:r/>
      <w:bookmarkStart w:id="371" w:name="_Toc32071"/>
      <w:r/>
      <w:bookmarkStart w:id="372" w:name="_Toc2846"/>
      <w:r>
        <w:rPr>
          <w:rFonts w:hint="eastAsia" w:ascii="宋体" w:hAnsi="宋体"/>
          <w:b/>
          <w:bCs/>
          <w:color w:val="000000"/>
          <w:sz w:val="24"/>
          <w:szCs w:val="24"/>
          <w:highlight w:val="none"/>
          <w:lang w:val="zh-CN"/>
        </w:rPr>
        <w:t xml:space="preserve">1.</w:t>
      </w:r>
      <w:r>
        <w:rPr>
          <w:rFonts w:ascii="宋体" w:hAnsi="宋体"/>
          <w:b/>
          <w:bCs/>
          <w:color w:val="000000"/>
          <w:sz w:val="24"/>
          <w:szCs w:val="24"/>
          <w:highlight w:val="none"/>
          <w:lang w:val="zh-CN"/>
        </w:rPr>
        <w:t xml:space="preserve">5 </w:t>
      </w:r>
      <w:r>
        <w:rPr>
          <w:rFonts w:hint="eastAsia" w:ascii="宋体" w:hAnsi="宋体"/>
          <w:b/>
          <w:bCs/>
          <w:color w:val="000000"/>
          <w:sz w:val="24"/>
          <w:szCs w:val="24"/>
          <w:highlight w:val="none"/>
          <w:lang w:val="zh-CN"/>
        </w:rPr>
        <w:t xml:space="preserve">服务</w:t>
      </w:r>
      <w:r>
        <w:rPr>
          <w:rFonts w:ascii="宋体" w:hAnsi="宋体"/>
          <w:b/>
          <w:bCs/>
          <w:color w:val="000000"/>
          <w:sz w:val="24"/>
          <w:szCs w:val="24"/>
          <w:highlight w:val="none"/>
          <w:lang w:val="zh-CN"/>
        </w:rPr>
        <w:t xml:space="preserve">期限</w:t>
      </w:r>
      <w:r>
        <w:rPr>
          <w:rFonts w:hint="eastAsia" w:ascii="宋体" w:hAnsi="宋体"/>
          <w:b/>
          <w:bCs/>
          <w:color w:val="000000"/>
          <w:sz w:val="24"/>
          <w:szCs w:val="24"/>
          <w:highlight w:val="none"/>
          <w:lang w:val="zh-CN"/>
        </w:rPr>
        <w:t xml:space="preserve">、地点和方式</w:t>
      </w:r>
      <w:bookmarkEnd w:id="370"/>
      <w:r/>
      <w:bookmarkEnd w:id="371"/>
      <w:r/>
      <w:bookmarkEnd w:id="372"/>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1.5.1服务期限</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合同签订后60个自然日内完成部署，并正式上线运行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1.5.2服务地点</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无锡宜兴市荆邑南路99号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1.5.3服务方式：</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40" w:lineRule="exact"/>
        <w:rPr>
          <w:rFonts w:ascii="宋体" w:hAnsi="宋体"/>
          <w:b/>
          <w:bCs/>
          <w:color w:val="000000"/>
          <w:sz w:val="24"/>
          <w:szCs w:val="24"/>
          <w:highlight w:val="none"/>
          <w:lang w:val="zh-CN"/>
        </w:rPr>
        <w:outlineLvl w:val="2"/>
      </w:pPr>
      <w:r/>
      <w:bookmarkStart w:id="373" w:name="_Toc21423"/>
      <w:r/>
      <w:bookmarkStart w:id="374" w:name="_Toc19554"/>
      <w:r/>
      <w:bookmarkStart w:id="375" w:name="_Toc27250"/>
      <w:r>
        <w:rPr>
          <w:rFonts w:hint="eastAsia" w:ascii="宋体" w:hAnsi="宋体"/>
          <w:b/>
          <w:bCs/>
          <w:color w:val="000000"/>
          <w:sz w:val="24"/>
          <w:szCs w:val="24"/>
          <w:highlight w:val="none"/>
          <w:lang w:val="zh-CN"/>
        </w:rPr>
        <w:t xml:space="preserve">1.6 违约责任</w:t>
      </w:r>
      <w:bookmarkEnd w:id="373"/>
      <w:r/>
      <w:bookmarkEnd w:id="374"/>
      <w:r/>
      <w:bookmarkEnd w:id="375"/>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1.6.1</w:t>
      </w:r>
      <w:r>
        <w:rPr>
          <w:rFonts w:ascii="宋体" w:hAnsi="宋体"/>
          <w:color w:val="000000"/>
          <w:sz w:val="24"/>
          <w:szCs w:val="24"/>
          <w:highlight w:val="none"/>
        </w:rPr>
        <w:t xml:space="preserve">除不可抗力外，如果乙方没有按照本合同约定的期限</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地点和方式</w:t>
      </w:r>
      <w:r>
        <w:rPr>
          <w:rFonts w:hint="eastAsia" w:ascii="宋体" w:hAnsi="宋体"/>
          <w:color w:val="000000"/>
          <w:sz w:val="24"/>
          <w:szCs w:val="24"/>
          <w:highlight w:val="none"/>
        </w:rPr>
        <w:t xml:space="preserve">履行</w:t>
      </w:r>
      <w:r>
        <w:rPr>
          <w:rFonts w:ascii="宋体" w:hAnsi="宋体"/>
          <w:color w:val="000000"/>
          <w:sz w:val="24"/>
          <w:szCs w:val="24"/>
          <w:highlight w:val="none"/>
        </w:rPr>
        <w:t xml:space="preserve">，那么甲方可要求乙方支付违约金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违约金按每迟延</w:t>
      </w:r>
      <w:r>
        <w:rPr>
          <w:rFonts w:hint="eastAsia" w:ascii="宋体" w:hAnsi="宋体"/>
          <w:color w:val="000000"/>
          <w:sz w:val="24"/>
          <w:szCs w:val="24"/>
          <w:highlight w:val="none"/>
        </w:rPr>
        <w:t xml:space="preserve">履行</w:t>
      </w:r>
      <w:r>
        <w:rPr>
          <w:rFonts w:ascii="宋体" w:hAnsi="宋体"/>
          <w:color w:val="000000"/>
          <w:sz w:val="24"/>
          <w:szCs w:val="24"/>
          <w:highlight w:val="none"/>
        </w:rPr>
        <w:t xml:space="preserve">一日的应提供而未</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服务价格的</w:t>
      </w:r>
      <w:r>
        <w:rPr>
          <w:rFonts w:hint="eastAsia" w:ascii="宋体" w:hAnsi="宋体"/>
          <w:color w:val="000000"/>
          <w:sz w:val="24"/>
          <w:szCs w:val="24"/>
          <w:highlight w:val="none"/>
          <w:u w:val="single"/>
        </w:rPr>
        <w:t xml:space="preserve"> 5 </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计算</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最高限额为</w:t>
      </w:r>
      <w:r>
        <w:rPr>
          <w:rFonts w:hint="eastAsia" w:ascii="宋体" w:hAnsi="宋体"/>
          <w:color w:val="000000"/>
          <w:sz w:val="24"/>
          <w:szCs w:val="24"/>
          <w:highlight w:val="none"/>
        </w:rPr>
        <w:t xml:space="preserve">本</w:t>
      </w:r>
      <w:r>
        <w:rPr>
          <w:rFonts w:ascii="宋体" w:hAnsi="宋体"/>
          <w:color w:val="000000"/>
          <w:sz w:val="24"/>
          <w:szCs w:val="24"/>
          <w:highlight w:val="none"/>
        </w:rPr>
        <w:t xml:space="preserve">合同总价的</w:t>
      </w:r>
      <w:r>
        <w:rPr>
          <w:rFonts w:hint="eastAsia" w:ascii="宋体" w:hAnsi="宋体"/>
          <w:color w:val="000000"/>
          <w:sz w:val="24"/>
          <w:szCs w:val="24"/>
          <w:highlight w:val="none"/>
          <w:u w:val="single"/>
        </w:rPr>
        <w:t xml:space="preserve">  5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迟延</w:t>
      </w:r>
      <w:r>
        <w:rPr>
          <w:rFonts w:hint="eastAsia" w:ascii="宋体" w:hAnsi="宋体"/>
          <w:color w:val="000000"/>
          <w:sz w:val="24"/>
          <w:szCs w:val="24"/>
          <w:highlight w:val="none"/>
        </w:rPr>
        <w:t xml:space="preserve">履行</w:t>
      </w:r>
      <w:r>
        <w:rPr>
          <w:rFonts w:ascii="宋体" w:hAnsi="宋体"/>
          <w:color w:val="000000"/>
          <w:sz w:val="24"/>
          <w:szCs w:val="24"/>
          <w:highlight w:val="none"/>
        </w:rPr>
        <w:t xml:space="preserve">的违约金计算数额达到前述最高限额之日起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甲方有权在要求乙方支付违约金的同时</w:t>
      </w:r>
      <w:r>
        <w:rPr>
          <w:rFonts w:hint="eastAsia" w:ascii="宋体" w:hAnsi="宋体"/>
          <w:color w:val="000000"/>
          <w:sz w:val="24"/>
          <w:szCs w:val="24"/>
          <w:highlight w:val="none"/>
        </w:rPr>
        <w:t xml:space="preserve">，书面通知乙方</w:t>
      </w:r>
      <w:r>
        <w:rPr>
          <w:rFonts w:ascii="宋体" w:hAnsi="宋体"/>
          <w:color w:val="000000"/>
          <w:sz w:val="24"/>
          <w:szCs w:val="24"/>
          <w:highlight w:val="none"/>
        </w:rPr>
        <w:t xml:space="preserve">解除本合同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1.6.2</w:t>
      </w:r>
      <w:r>
        <w:rPr>
          <w:rFonts w:ascii="宋体" w:hAnsi="宋体"/>
          <w:color w:val="000000"/>
          <w:sz w:val="24"/>
          <w:szCs w:val="24"/>
          <w:highlight w:val="none"/>
        </w:rPr>
        <w:t xml:space="preserve">除不可抗力外，如果甲方没有按照本合同约定的付款方式付款，那么乙方可要求甲方支付违约金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违约金按每迟延</w:t>
      </w:r>
      <w:r>
        <w:rPr>
          <w:rFonts w:hint="eastAsia" w:ascii="宋体" w:hAnsi="宋体"/>
          <w:color w:val="000000"/>
          <w:sz w:val="24"/>
          <w:szCs w:val="24"/>
          <w:highlight w:val="none"/>
        </w:rPr>
        <w:t xml:space="preserve">付款</w:t>
      </w:r>
      <w:r>
        <w:rPr>
          <w:rFonts w:ascii="宋体" w:hAnsi="宋体"/>
          <w:color w:val="000000"/>
          <w:sz w:val="24"/>
          <w:szCs w:val="24"/>
          <w:highlight w:val="none"/>
        </w:rPr>
        <w:t xml:space="preserve">一日的应付而未付款的</w:t>
      </w:r>
      <w:r>
        <w:rPr>
          <w:rFonts w:hint="eastAsia" w:ascii="宋体" w:hAnsi="宋体"/>
          <w:color w:val="000000"/>
          <w:sz w:val="24"/>
          <w:szCs w:val="24"/>
          <w:highlight w:val="none"/>
          <w:u w:val="single"/>
        </w:rPr>
        <w:t xml:space="preserve">  5  </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计算</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最高限额为</w:t>
      </w:r>
      <w:r>
        <w:rPr>
          <w:rFonts w:hint="eastAsia" w:ascii="宋体" w:hAnsi="宋体"/>
          <w:color w:val="000000"/>
          <w:sz w:val="24"/>
          <w:szCs w:val="24"/>
          <w:highlight w:val="none"/>
        </w:rPr>
        <w:t xml:space="preserve">本</w:t>
      </w:r>
      <w:r>
        <w:rPr>
          <w:rFonts w:ascii="宋体" w:hAnsi="宋体"/>
          <w:color w:val="000000"/>
          <w:sz w:val="24"/>
          <w:szCs w:val="24"/>
          <w:highlight w:val="none"/>
        </w:rPr>
        <w:t xml:space="preserve">合同总价的</w:t>
      </w:r>
      <w:r>
        <w:rPr>
          <w:rFonts w:hint="eastAsia" w:ascii="宋体" w:hAnsi="宋体"/>
          <w:color w:val="000000"/>
          <w:sz w:val="24"/>
          <w:szCs w:val="24"/>
          <w:highlight w:val="none"/>
          <w:u w:val="single"/>
        </w:rPr>
        <w:t xml:space="preserve">  5  </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迟延</w:t>
      </w:r>
      <w:r>
        <w:rPr>
          <w:rFonts w:hint="eastAsia" w:ascii="宋体" w:hAnsi="宋体"/>
          <w:color w:val="000000"/>
          <w:sz w:val="24"/>
          <w:szCs w:val="24"/>
          <w:highlight w:val="none"/>
        </w:rPr>
        <w:t xml:space="preserve">付款</w:t>
      </w:r>
      <w:r>
        <w:rPr>
          <w:rFonts w:ascii="宋体" w:hAnsi="宋体"/>
          <w:color w:val="000000"/>
          <w:sz w:val="24"/>
          <w:szCs w:val="24"/>
          <w:highlight w:val="none"/>
        </w:rPr>
        <w:t xml:space="preserve">的违约金计算数额达到前述最高限额之日起</w:t>
      </w:r>
      <w:r>
        <w:rPr>
          <w:rFonts w:hint="eastAsia" w:ascii="宋体" w:hAnsi="宋体"/>
          <w:color w:val="000000"/>
          <w:sz w:val="24"/>
          <w:szCs w:val="24"/>
          <w:highlight w:val="none"/>
        </w:rPr>
        <w:t xml:space="preserve">，乙</w:t>
      </w:r>
      <w:r>
        <w:rPr>
          <w:rFonts w:ascii="宋体" w:hAnsi="宋体"/>
          <w:color w:val="000000"/>
          <w:sz w:val="24"/>
          <w:szCs w:val="24"/>
          <w:highlight w:val="none"/>
        </w:rPr>
        <w:t xml:space="preserve">方有权在要求甲方支付违约金的同时</w:t>
      </w:r>
      <w:r>
        <w:rPr>
          <w:rFonts w:hint="eastAsia" w:ascii="宋体" w:hAnsi="宋体"/>
          <w:color w:val="000000"/>
          <w:sz w:val="24"/>
          <w:szCs w:val="24"/>
          <w:highlight w:val="none"/>
        </w:rPr>
        <w:t xml:space="preserve">，书面通知甲方</w:t>
      </w:r>
      <w:r>
        <w:rPr>
          <w:rFonts w:ascii="宋体" w:hAnsi="宋体"/>
          <w:color w:val="000000"/>
          <w:sz w:val="24"/>
          <w:szCs w:val="24"/>
          <w:highlight w:val="none"/>
        </w:rPr>
        <w:t xml:space="preserve">解除本合同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1.6.6如果出现政府采购监督管理部门在处理投诉事项期间，书面通知甲方暂停采购活动的情形，或者询问或质疑事项可能影响中标结果的，导致甲方中止履行合同的情形，均不视为甲方违约。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olor w:val="000000"/>
          <w:sz w:val="24"/>
          <w:szCs w:val="24"/>
          <w:highlight w:val="none"/>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rPr>
          <w:rFonts w:ascii="宋体" w:hAnsi="宋体"/>
          <w:color w:val="000000"/>
          <w:sz w:val="24"/>
          <w:szCs w:val="24"/>
          <w:highlight w:val="none"/>
        </w:rPr>
      </w:r>
      <w:r/>
    </w:p>
    <w:p>
      <w:pPr>
        <w:pStyle w:val="1013"/>
        <w:ind w:firstLine="437"/>
        <w:spacing w:line="440" w:lineRule="exact"/>
        <w:rPr>
          <w:rFonts w:ascii="宋体" w:hAnsi="宋体"/>
          <w:b/>
          <w:bCs/>
          <w:color w:val="000000"/>
          <w:sz w:val="24"/>
          <w:szCs w:val="24"/>
          <w:highlight w:val="none"/>
          <w:lang w:val="zh-CN"/>
        </w:rPr>
        <w:outlineLvl w:val="2"/>
      </w:pPr>
      <w:r/>
      <w:bookmarkStart w:id="376" w:name="_Toc15583"/>
      <w:r/>
      <w:bookmarkStart w:id="377" w:name="_Toc28375"/>
      <w:r/>
      <w:bookmarkStart w:id="378" w:name="_Toc16021"/>
      <w:r>
        <w:rPr>
          <w:rFonts w:hint="eastAsia" w:ascii="宋体" w:hAnsi="宋体"/>
          <w:b/>
          <w:bCs/>
          <w:color w:val="000000"/>
          <w:sz w:val="24"/>
          <w:szCs w:val="24"/>
          <w:highlight w:val="none"/>
          <w:lang w:val="zh-CN"/>
        </w:rPr>
        <w:t xml:space="preserve">1.7</w:t>
      </w:r>
      <w:r>
        <w:rPr>
          <w:rFonts w:ascii="宋体" w:hAnsi="宋体"/>
          <w:b/>
          <w:bCs/>
          <w:color w:val="000000"/>
          <w:sz w:val="24"/>
          <w:szCs w:val="24"/>
          <w:highlight w:val="none"/>
          <w:lang w:val="zh-CN"/>
        </w:rPr>
        <w:t xml:space="preserve"> </w:t>
      </w:r>
      <w:r>
        <w:rPr>
          <w:rFonts w:hint="eastAsia" w:ascii="宋体" w:hAnsi="宋体"/>
          <w:b/>
          <w:bCs/>
          <w:color w:val="000000"/>
          <w:sz w:val="24"/>
          <w:szCs w:val="24"/>
          <w:highlight w:val="none"/>
          <w:lang w:val="zh-CN"/>
        </w:rPr>
        <w:t xml:space="preserve">合同</w:t>
      </w:r>
      <w:r>
        <w:rPr>
          <w:rFonts w:ascii="宋体" w:hAnsi="宋体"/>
          <w:b/>
          <w:bCs/>
          <w:color w:val="000000"/>
          <w:sz w:val="24"/>
          <w:szCs w:val="24"/>
          <w:highlight w:val="none"/>
          <w:lang w:val="zh-CN"/>
        </w:rPr>
        <w:t xml:space="preserve">争议的解决</w:t>
      </w:r>
      <w:bookmarkEnd w:id="376"/>
      <w:r/>
      <w:bookmarkEnd w:id="377"/>
      <w:r/>
      <w:bookmarkEnd w:id="378"/>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本合</w:t>
      </w:r>
      <w:r>
        <w:rPr>
          <w:rFonts w:ascii="宋体" w:hAnsi="宋体"/>
          <w:color w:val="000000"/>
          <w:sz w:val="24"/>
          <w:szCs w:val="24"/>
          <w:highlight w:val="none"/>
        </w:rPr>
        <w:t xml:space="preserve">同履行过程中发生的任何争议，双方当事人均可</w:t>
      </w:r>
      <w:r>
        <w:rPr>
          <w:rFonts w:hint="eastAsia" w:ascii="宋体" w:hAnsi="宋体"/>
          <w:color w:val="000000"/>
          <w:sz w:val="24"/>
          <w:szCs w:val="24"/>
          <w:highlight w:val="none"/>
        </w:rPr>
        <w:t xml:space="preserve">通过和解或者调解解决；不愿和解、调解或者和解、调解不成的，可以向宜兴市人民法院起诉。</w:t>
      </w:r>
      <w:r>
        <w:rPr>
          <w:rFonts w:ascii="宋体" w:hAnsi="宋体"/>
          <w:color w:val="000000"/>
          <w:sz w:val="24"/>
          <w:szCs w:val="24"/>
          <w:highlight w:val="none"/>
        </w:rPr>
      </w:r>
      <w:r/>
    </w:p>
    <w:p>
      <w:pPr>
        <w:pStyle w:val="1013"/>
        <w:ind w:firstLine="437"/>
        <w:spacing w:line="440" w:lineRule="exact"/>
        <w:rPr>
          <w:rFonts w:ascii="宋体" w:hAnsi="宋体"/>
          <w:b/>
          <w:bCs/>
          <w:color w:val="000000"/>
          <w:sz w:val="24"/>
          <w:szCs w:val="24"/>
          <w:highlight w:val="none"/>
          <w:lang w:val="zh-CN"/>
        </w:rPr>
        <w:outlineLvl w:val="2"/>
      </w:pPr>
      <w:r/>
      <w:bookmarkStart w:id="379" w:name="_Toc7245"/>
      <w:r/>
      <w:bookmarkStart w:id="380" w:name="_Toc15322"/>
      <w:r/>
      <w:bookmarkStart w:id="381" w:name="_Toc11173"/>
      <w:r>
        <w:rPr>
          <w:rFonts w:hint="eastAsia" w:ascii="宋体" w:hAnsi="宋体"/>
          <w:b/>
          <w:bCs/>
          <w:color w:val="000000"/>
          <w:sz w:val="24"/>
          <w:szCs w:val="24"/>
          <w:highlight w:val="none"/>
          <w:lang w:val="zh-CN"/>
        </w:rPr>
        <w:t xml:space="preserve">1.8</w:t>
      </w:r>
      <w:r>
        <w:rPr>
          <w:rFonts w:ascii="宋体" w:hAnsi="宋体"/>
          <w:b/>
          <w:bCs/>
          <w:color w:val="000000"/>
          <w:sz w:val="24"/>
          <w:szCs w:val="24"/>
          <w:highlight w:val="none"/>
          <w:lang w:val="zh-CN"/>
        </w:rPr>
        <w:t xml:space="preserve"> 合同生效</w:t>
      </w:r>
      <w:bookmarkEnd w:id="379"/>
      <w:r/>
      <w:bookmarkEnd w:id="380"/>
      <w:r/>
      <w:bookmarkEnd w:id="381"/>
      <w:r>
        <w:rPr>
          <w:rFonts w:ascii="宋体" w:hAnsi="宋体"/>
          <w:b/>
          <w:bCs/>
          <w:color w:val="000000"/>
          <w:sz w:val="24"/>
          <w:szCs w:val="24"/>
          <w:highlight w:val="none"/>
          <w:lang w:val="zh-CN"/>
        </w:rPr>
      </w:r>
      <w:r/>
    </w:p>
    <w:p>
      <w:pPr>
        <w:pStyle w:val="1013"/>
        <w:ind w:firstLine="435"/>
        <w:spacing w:line="440" w:lineRule="exact"/>
        <w:rPr>
          <w:rFonts w:ascii="宋体" w:hAnsi="宋体"/>
          <w:color w:val="000000"/>
          <w:sz w:val="24"/>
          <w:szCs w:val="24"/>
          <w:highlight w:val="none"/>
        </w:rPr>
      </w:pPr>
      <w:r>
        <w:rPr>
          <w:rFonts w:ascii="宋体" w:hAnsi="宋体"/>
          <w:color w:val="000000"/>
          <w:sz w:val="24"/>
          <w:szCs w:val="24"/>
          <w:highlight w:val="none"/>
        </w:rPr>
        <w:t xml:space="preserve">本合同自</w:t>
      </w:r>
      <w:r>
        <w:rPr>
          <w:rFonts w:hint="eastAsia" w:ascii="宋体" w:hAnsi="宋体"/>
          <w:color w:val="000000"/>
          <w:sz w:val="24"/>
          <w:szCs w:val="24"/>
          <w:highlight w:val="none"/>
        </w:rPr>
        <w:t xml:space="preserve">双方当事人盖章时</w:t>
      </w:r>
      <w:r>
        <w:rPr>
          <w:rFonts w:ascii="宋体" w:hAnsi="宋体"/>
          <w:color w:val="000000"/>
          <w:sz w:val="24"/>
          <w:szCs w:val="24"/>
          <w:highlight w:val="none"/>
        </w:rPr>
        <w:t xml:space="preserve">生效。</w:t>
      </w:r>
      <w:r>
        <w:rPr>
          <w:rFonts w:ascii="宋体" w:hAnsi="宋体"/>
          <w:color w:val="000000"/>
          <w:sz w:val="24"/>
          <w:szCs w:val="24"/>
          <w:highlight w:val="none"/>
        </w:rPr>
      </w:r>
      <w:r/>
    </w:p>
    <w:p>
      <w:pPr>
        <w:pStyle w:val="1013"/>
        <w:spacing w:line="560" w:lineRule="exact"/>
        <w:rPr>
          <w:rFonts w:ascii="宋体" w:hAnsi="宋体"/>
          <w:color w:val="000000"/>
          <w:sz w:val="24"/>
          <w:szCs w:val="24"/>
          <w:highlight w:val="none"/>
          <w:lang w:val="zh-CN"/>
        </w:rPr>
      </w:pPr>
      <w:r>
        <w:rPr>
          <w:rFonts w:ascii="宋体" w:hAnsi="宋体"/>
          <w:color w:val="000000"/>
          <w:sz w:val="24"/>
          <w:szCs w:val="24"/>
          <w:highlight w:val="none"/>
          <w:lang w:val="zh-CN"/>
        </w:rPr>
      </w:r>
      <w:r/>
    </w:p>
    <w:p>
      <w:pPr>
        <w:pStyle w:val="1013"/>
        <w:ind w:firstLine="480"/>
        <w:spacing w:line="5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甲 </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方：</w:t>
      </w:r>
      <w:r>
        <w:rPr>
          <w:rFonts w:hint="eastAsia" w:ascii="宋体" w:hAnsi="宋体"/>
          <w:bCs/>
          <w:color w:val="000000"/>
          <w:sz w:val="24"/>
          <w:szCs w:val="24"/>
          <w:highlight w:val="none"/>
          <w:u w:val="single"/>
          <w:lang w:val="zh-CN"/>
        </w:rPr>
        <w:t xml:space="preserve">    （单位盖章）     </w:t>
      </w:r>
      <w:r>
        <w:rPr>
          <w:rFonts w:hint="eastAsia" w:ascii="宋体" w:hAnsi="宋体"/>
          <w:bCs/>
          <w:color w:val="000000"/>
          <w:sz w:val="24"/>
          <w:szCs w:val="24"/>
          <w:highlight w:val="none"/>
          <w:lang w:val="zh-CN"/>
        </w:rPr>
        <w:t xml:space="preserve">          乙方：</w:t>
      </w:r>
      <w:r>
        <w:rPr>
          <w:rFonts w:hint="eastAsia" w:ascii="宋体" w:hAnsi="宋体"/>
          <w:bCs/>
          <w:color w:val="000000"/>
          <w:sz w:val="24"/>
          <w:szCs w:val="24"/>
          <w:highlight w:val="none"/>
          <w:u w:val="single"/>
          <w:lang w:val="zh-CN"/>
        </w:rPr>
        <w:t xml:space="preserve">    （单位盖章）     </w:t>
      </w:r>
      <w:r>
        <w:rPr>
          <w:rFonts w:ascii="宋体" w:hAnsi="宋体"/>
          <w:bCs/>
          <w:color w:val="000000"/>
          <w:sz w:val="24"/>
          <w:szCs w:val="24"/>
          <w:highlight w:val="none"/>
          <w:lang w:val="zh-CN"/>
        </w:rPr>
      </w:r>
      <w:r/>
    </w:p>
    <w:p>
      <w:pPr>
        <w:pStyle w:val="1013"/>
        <w:ind w:firstLine="480"/>
        <w:spacing w:line="56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法定代表人                             </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法定代表人</w:t>
      </w:r>
      <w:r>
        <w:rPr>
          <w:rFonts w:ascii="宋体" w:hAnsi="宋体"/>
          <w:color w:val="000000"/>
          <w:sz w:val="24"/>
          <w:szCs w:val="24"/>
          <w:highlight w:val="none"/>
          <w:lang w:val="zh-CN"/>
        </w:rPr>
      </w:r>
      <w:r/>
    </w:p>
    <w:p>
      <w:pPr>
        <w:pStyle w:val="1013"/>
        <w:ind w:firstLine="480"/>
        <w:spacing w:line="56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或授权代表（签字</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val="zh-CN"/>
        </w:rPr>
        <w:t xml:space="preserve">）：                或授权代表（签字</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r>
      <w:r/>
    </w:p>
    <w:p>
      <w:pPr>
        <w:pStyle w:val="1013"/>
        <w:ind w:firstLine="480"/>
        <w:jc w:val="left"/>
        <w:spacing w:line="560" w:lineRule="exact"/>
        <w:widowControl/>
        <w:rPr>
          <w:rFonts w:ascii="宋体" w:hAnsi="宋体"/>
          <w:bCs/>
          <w:color w:val="000000"/>
          <w:sz w:val="24"/>
          <w:szCs w:val="24"/>
          <w:highlight w:val="none"/>
        </w:rPr>
      </w:pPr>
      <w:r/>
      <w:bookmarkStart w:id="382" w:name="_Toc331685783"/>
      <w:r>
        <w:rPr>
          <w:rFonts w:hint="eastAsia" w:ascii="宋体" w:hAnsi="宋体"/>
          <w:bCs/>
          <w:color w:val="000000"/>
          <w:sz w:val="24"/>
          <w:szCs w:val="24"/>
          <w:highlight w:val="none"/>
        </w:rPr>
        <w:t xml:space="preserve">时间：</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               时间：</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ascii="宋体" w:hAnsi="宋体"/>
          <w:bCs/>
          <w:color w:val="000000"/>
          <w:sz w:val="24"/>
          <w:szCs w:val="24"/>
          <w:highlight w:val="none"/>
        </w:rPr>
      </w:r>
      <w:r/>
    </w:p>
    <w:p>
      <w:pPr>
        <w:pStyle w:val="1013"/>
        <w:ind w:firstLine="480"/>
        <w:jc w:val="left"/>
        <w:spacing w:line="560" w:lineRule="exact"/>
        <w:widowControl/>
        <w:rPr>
          <w:rFonts w:ascii="宋体" w:hAnsi="宋体"/>
          <w:bCs/>
          <w:color w:val="000000"/>
          <w:sz w:val="24"/>
          <w:szCs w:val="24"/>
          <w:highlight w:val="none"/>
        </w:rPr>
      </w:pPr>
      <w:r>
        <w:rPr>
          <w:rFonts w:hint="eastAsia" w:ascii="宋体" w:hAnsi="宋体"/>
          <w:bCs/>
          <w:color w:val="000000"/>
          <w:sz w:val="24"/>
          <w:szCs w:val="24"/>
          <w:highlight w:val="none"/>
        </w:rPr>
        <w:t xml:space="preserve">                                        乙方账户信息</w:t>
      </w:r>
      <w:r>
        <w:rPr>
          <w:rFonts w:ascii="宋体" w:hAnsi="宋体"/>
          <w:bCs/>
          <w:color w:val="000000"/>
          <w:sz w:val="24"/>
          <w:szCs w:val="24"/>
          <w:highlight w:val="none"/>
        </w:rPr>
      </w:r>
      <w:r/>
    </w:p>
    <w:p>
      <w:pPr>
        <w:pStyle w:val="1013"/>
        <w:ind w:firstLine="480"/>
        <w:jc w:val="left"/>
        <w:spacing w:line="560" w:lineRule="exact"/>
        <w:widowControl/>
        <w:rPr>
          <w:rFonts w:ascii="宋体" w:hAnsi="宋体"/>
          <w:bCs/>
          <w:color w:val="000000"/>
          <w:sz w:val="24"/>
          <w:szCs w:val="24"/>
          <w:highlight w:val="none"/>
          <w:u w:val="single"/>
        </w:rPr>
      </w:pPr>
      <w:r>
        <w:rPr>
          <w:rFonts w:hint="eastAsia" w:ascii="宋体" w:hAnsi="宋体"/>
          <w:bCs/>
          <w:color w:val="000000"/>
          <w:sz w:val="24"/>
          <w:szCs w:val="24"/>
          <w:highlight w:val="none"/>
        </w:rPr>
        <w:t xml:space="preserve">                                        户名：</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013"/>
        <w:ind w:firstLine="480"/>
        <w:jc w:val="left"/>
        <w:spacing w:line="560" w:lineRule="exact"/>
        <w:widowControl/>
        <w:rPr>
          <w:rFonts w:ascii="宋体" w:hAnsi="宋体"/>
          <w:bCs/>
          <w:color w:val="000000"/>
          <w:sz w:val="24"/>
          <w:szCs w:val="24"/>
          <w:highlight w:val="none"/>
          <w:u w:val="single"/>
        </w:rPr>
      </w:pPr>
      <w:r>
        <w:rPr>
          <w:rFonts w:hint="eastAsia" w:ascii="宋体" w:hAnsi="宋体"/>
          <w:bCs/>
          <w:color w:val="000000"/>
          <w:sz w:val="24"/>
          <w:szCs w:val="24"/>
          <w:highlight w:val="none"/>
        </w:rPr>
        <w:t xml:space="preserve">                                        账号：</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013"/>
        <w:ind w:firstLine="480"/>
        <w:jc w:val="left"/>
        <w:spacing w:line="560" w:lineRule="exact"/>
        <w:widowControl/>
        <w:rPr>
          <w:rFonts w:ascii="宋体" w:hAnsi="宋体"/>
          <w:bCs/>
          <w:color w:val="000000"/>
          <w:sz w:val="24"/>
          <w:szCs w:val="24"/>
          <w:highlight w:val="none"/>
          <w:u w:val="single"/>
        </w:rPr>
      </w:pPr>
      <w:r>
        <w:rPr>
          <w:rFonts w:hint="eastAsia" w:ascii="宋体" w:hAnsi="宋体"/>
          <w:bCs/>
          <w:color w:val="000000"/>
          <w:sz w:val="24"/>
          <w:szCs w:val="24"/>
          <w:highlight w:val="none"/>
        </w:rPr>
        <w:t xml:space="preserve">                                        开户银行：</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1013"/>
        <w:rPr>
          <w:rFonts w:hint="eastAsia" w:ascii="宋体" w:hAnsi="宋体"/>
          <w:b/>
          <w:color w:val="000000"/>
          <w:sz w:val="24"/>
          <w:highlight w:val="none"/>
        </w:rPr>
      </w:pPr>
      <w:r>
        <w:rPr>
          <w:rFonts w:hint="eastAsia" w:ascii="宋体" w:hAnsi="宋体"/>
          <w:b/>
          <w:color w:val="000000"/>
          <w:sz w:val="24"/>
          <w:highlight w:val="none"/>
        </w:rPr>
      </w:r>
      <w:r/>
    </w:p>
    <w:p>
      <w:pPr>
        <w:pStyle w:val="1013"/>
        <w:jc w:val="center"/>
        <w:spacing w:line="360" w:lineRule="auto"/>
        <w:rPr>
          <w:rFonts w:hint="eastAsia" w:ascii="黑体" w:hAnsi="黑体" w:eastAsia="黑体" w:cs="黑体"/>
          <w:bCs/>
          <w:color w:val="000000"/>
          <w:sz w:val="30"/>
          <w:szCs w:val="30"/>
          <w:highlight w:val="none"/>
        </w:rPr>
        <w:outlineLvl w:val="1"/>
      </w:pPr>
      <w:r>
        <w:rPr>
          <w:rFonts w:hint="eastAsia" w:ascii="黑体" w:hAnsi="黑体" w:eastAsia="黑体" w:cs="黑体"/>
          <w:bCs/>
          <w:color w:val="000000"/>
          <w:sz w:val="30"/>
          <w:szCs w:val="30"/>
          <w:highlight w:val="none"/>
        </w:rPr>
        <w:br w:type="page" w:clear="all"/>
      </w:r>
      <w:bookmarkStart w:id="383" w:name="_Toc31745"/>
      <w:r/>
      <w:bookmarkStart w:id="384" w:name="_Toc17699"/>
      <w:r>
        <w:rPr>
          <w:rFonts w:hint="eastAsia" w:ascii="黑体" w:hAnsi="黑体" w:eastAsia="黑体" w:cs="黑体"/>
          <w:bCs/>
          <w:color w:val="000000"/>
          <w:sz w:val="30"/>
          <w:szCs w:val="30"/>
          <w:highlight w:val="none"/>
        </w:rPr>
        <w:t xml:space="preserve">第二部分 合同一般条款</w:t>
      </w:r>
      <w:bookmarkEnd w:id="382"/>
      <w:r/>
      <w:bookmarkEnd w:id="383"/>
      <w:r/>
      <w:bookmarkEnd w:id="384"/>
      <w:r>
        <w:rPr>
          <w:rFonts w:hint="eastAsia" w:ascii="黑体" w:hAnsi="黑体" w:eastAsia="黑体" w:cs="黑体"/>
          <w:bCs/>
          <w:color w:val="000000"/>
          <w:sz w:val="30"/>
          <w:szCs w:val="30"/>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385" w:name="_Toc16917"/>
      <w:r/>
      <w:bookmarkStart w:id="386" w:name="_Ref467379205"/>
      <w:r/>
      <w:bookmarkStart w:id="387" w:name="_Ref467379094"/>
      <w:r/>
      <w:bookmarkStart w:id="388" w:name="_Ref467378404"/>
      <w:r/>
      <w:bookmarkStart w:id="389" w:name="_Ref467379101"/>
      <w:r/>
      <w:bookmarkStart w:id="390" w:name="_Toc259093669"/>
      <w:r/>
      <w:bookmarkStart w:id="391" w:name="_Toc19614"/>
      <w:r/>
      <w:bookmarkStart w:id="392" w:name="_Ref467379195"/>
      <w:r/>
      <w:bookmarkStart w:id="393" w:name="_Ref467379225"/>
      <w:r/>
      <w:bookmarkStart w:id="394" w:name="_Ref467379109"/>
      <w:r/>
      <w:bookmarkStart w:id="395" w:name="_Ref467378499"/>
      <w:r/>
      <w:bookmarkStart w:id="396" w:name="_Toc487900349"/>
      <w:r/>
      <w:bookmarkStart w:id="397" w:name="_Ref467378463"/>
      <w:r/>
      <w:bookmarkStart w:id="398" w:name="_Toc28763"/>
      <w:r/>
      <w:bookmarkStart w:id="399" w:name="_Ref467379214"/>
      <w:r/>
      <w:bookmarkStart w:id="400" w:name="_Toc279701240"/>
      <w:r>
        <w:rPr>
          <w:rFonts w:hint="eastAsia" w:ascii="宋体" w:hAnsi="宋体"/>
          <w:b/>
          <w:bCs/>
          <w:color w:val="000000"/>
          <w:sz w:val="24"/>
          <w:szCs w:val="24"/>
          <w:highlight w:val="none"/>
          <w:lang w:val="zh-CN"/>
        </w:rPr>
        <w:t xml:space="preserve">2.1</w:t>
      </w:r>
      <w:r>
        <w:rPr>
          <w:rFonts w:ascii="宋体" w:hAnsi="宋体"/>
          <w:b/>
          <w:bCs/>
          <w:color w:val="000000"/>
          <w:sz w:val="24"/>
          <w:szCs w:val="24"/>
          <w:highlight w:val="none"/>
          <w:lang w:val="zh-CN"/>
        </w:rPr>
        <w:t xml:space="preserve"> 定义</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本合同中的下列</w:t>
      </w:r>
      <w:r>
        <w:rPr>
          <w:rFonts w:hint="eastAsia" w:ascii="宋体" w:hAnsi="宋体"/>
          <w:color w:val="000000"/>
          <w:sz w:val="24"/>
          <w:szCs w:val="24"/>
          <w:highlight w:val="none"/>
        </w:rPr>
        <w:t xml:space="preserve">词</w:t>
      </w:r>
      <w:r>
        <w:rPr>
          <w:rFonts w:ascii="宋体" w:hAnsi="宋体"/>
          <w:color w:val="000000"/>
          <w:sz w:val="24"/>
          <w:szCs w:val="24"/>
          <w:highlight w:val="none"/>
        </w:rPr>
        <w:t xml:space="preserve">语应</w:t>
      </w:r>
      <w:r>
        <w:rPr>
          <w:rFonts w:hint="eastAsia" w:ascii="宋体" w:hAnsi="宋体"/>
          <w:color w:val="000000"/>
          <w:sz w:val="24"/>
          <w:szCs w:val="24"/>
          <w:highlight w:val="none"/>
        </w:rPr>
        <w:t xml:space="preserve">按以下内容进行</w:t>
      </w:r>
      <w:r>
        <w:rPr>
          <w:rFonts w:ascii="宋体" w:hAnsi="宋体"/>
          <w:color w:val="000000"/>
          <w:sz w:val="24"/>
          <w:szCs w:val="24"/>
          <w:highlight w:val="none"/>
        </w:rPr>
        <w:t xml:space="preserve">解释：</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“合同”系指采购人和</w:t>
      </w:r>
      <w:r>
        <w:rPr>
          <w:rFonts w:hint="eastAsia" w:ascii="宋体" w:hAnsi="宋体"/>
          <w:color w:val="000000"/>
          <w:sz w:val="24"/>
          <w:szCs w:val="24"/>
          <w:highlight w:val="none"/>
        </w:rPr>
        <w:t xml:space="preserve">中标人</w:t>
      </w:r>
      <w:r>
        <w:rPr>
          <w:rFonts w:ascii="宋体" w:hAnsi="宋体"/>
          <w:color w:val="000000"/>
          <w:sz w:val="24"/>
          <w:szCs w:val="24"/>
          <w:highlight w:val="none"/>
        </w:rPr>
        <w:t xml:space="preserve">签订的载明双方当事人所达成的协议，并包括所有的附件、附录和构成合同的其他文件。</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1.2“合同价”系指根据合同约定，</w:t>
      </w:r>
      <w:r>
        <w:rPr>
          <w:rFonts w:hint="eastAsia" w:ascii="宋体" w:hAnsi="宋体"/>
          <w:color w:val="000000"/>
          <w:sz w:val="24"/>
          <w:szCs w:val="24"/>
          <w:highlight w:val="none"/>
        </w:rPr>
        <w:t xml:space="preserve">中标人</w:t>
      </w:r>
      <w:r>
        <w:rPr>
          <w:rFonts w:ascii="宋体" w:hAnsi="宋体"/>
          <w:color w:val="000000"/>
          <w:sz w:val="24"/>
          <w:szCs w:val="24"/>
          <w:highlight w:val="none"/>
        </w:rPr>
        <w:t xml:space="preserve">在完全履行合同义务后</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采购人应支付给</w:t>
      </w:r>
      <w:r>
        <w:rPr>
          <w:rFonts w:hint="eastAsia" w:ascii="宋体" w:hAnsi="宋体"/>
          <w:color w:val="000000"/>
          <w:sz w:val="24"/>
          <w:szCs w:val="24"/>
          <w:highlight w:val="none"/>
        </w:rPr>
        <w:t xml:space="preserve">中标人</w:t>
      </w:r>
      <w:r>
        <w:rPr>
          <w:rFonts w:ascii="宋体" w:hAnsi="宋体"/>
          <w:color w:val="000000"/>
          <w:sz w:val="24"/>
          <w:szCs w:val="24"/>
          <w:highlight w:val="none"/>
        </w:rPr>
        <w:t xml:space="preserve">的价格。</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服务</w:t>
      </w:r>
      <w:r>
        <w:rPr>
          <w:rFonts w:ascii="宋体" w:hAnsi="宋体"/>
          <w:color w:val="000000"/>
          <w:sz w:val="24"/>
          <w:szCs w:val="24"/>
          <w:highlight w:val="none"/>
        </w:rPr>
        <w:t xml:space="preserve">”系指</w:t>
      </w:r>
      <w:r>
        <w:rPr>
          <w:rFonts w:hint="eastAsia" w:ascii="宋体" w:hAnsi="宋体"/>
          <w:color w:val="000000"/>
          <w:sz w:val="24"/>
          <w:szCs w:val="24"/>
          <w:highlight w:val="none"/>
        </w:rPr>
        <w:t xml:space="preserve">中标人</w:t>
      </w:r>
      <w:r>
        <w:rPr>
          <w:rFonts w:ascii="宋体" w:hAnsi="宋体"/>
          <w:color w:val="000000"/>
          <w:sz w:val="24"/>
          <w:szCs w:val="24"/>
          <w:highlight w:val="none"/>
        </w:rPr>
        <w:t xml:space="preserve">根据合同约定应向采购人</w:t>
      </w:r>
      <w:r>
        <w:rPr>
          <w:rFonts w:hint="eastAsia" w:ascii="宋体" w:hAnsi="宋体"/>
          <w:color w:val="000000"/>
          <w:sz w:val="24"/>
          <w:szCs w:val="24"/>
          <w:highlight w:val="none"/>
        </w:rPr>
        <w:t xml:space="preserve">履行</w:t>
      </w:r>
      <w:r>
        <w:rPr>
          <w:rFonts w:ascii="宋体" w:hAnsi="宋体"/>
          <w:color w:val="000000"/>
          <w:sz w:val="24"/>
          <w:szCs w:val="24"/>
          <w:highlight w:val="none"/>
        </w:rPr>
        <w:t xml:space="preserve">的</w:t>
      </w:r>
      <w:r>
        <w:rPr>
          <w:rFonts w:hint="eastAsia" w:ascii="宋体" w:hAnsi="宋体"/>
          <w:color w:val="000000"/>
          <w:sz w:val="24"/>
          <w:szCs w:val="24"/>
          <w:highlight w:val="none"/>
        </w:rPr>
        <w:t xml:space="preserve">除货物和工程以外的其他政府采购对象，包括采购人自身需要的服务和向社会公众提供的公共服务。</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bookmarkStart w:id="401" w:name="_Ref467378840"/>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甲方</w:t>
      </w:r>
      <w:r>
        <w:rPr>
          <w:rFonts w:ascii="宋体" w:hAnsi="宋体"/>
          <w:color w:val="000000"/>
          <w:sz w:val="24"/>
          <w:szCs w:val="24"/>
          <w:highlight w:val="none"/>
        </w:rPr>
        <w:t xml:space="preserve">”系指与</w:t>
      </w:r>
      <w:r>
        <w:rPr>
          <w:rFonts w:hint="eastAsia" w:ascii="宋体" w:hAnsi="宋体"/>
          <w:color w:val="000000"/>
          <w:sz w:val="24"/>
          <w:szCs w:val="24"/>
          <w:highlight w:val="none"/>
        </w:rPr>
        <w:t xml:space="preserve">中标人</w:t>
      </w:r>
      <w:r>
        <w:rPr>
          <w:rFonts w:ascii="宋体" w:hAnsi="宋体"/>
          <w:color w:val="000000"/>
          <w:sz w:val="24"/>
          <w:szCs w:val="24"/>
          <w:highlight w:val="none"/>
        </w:rPr>
        <w:t xml:space="preserve">签署合同的采购人</w:t>
      </w:r>
      <w:bookmarkEnd w:id="401"/>
      <w:r>
        <w:rPr>
          <w:rFonts w:hint="eastAsia" w:ascii="宋体" w:hAnsi="宋体"/>
          <w:color w:val="000000"/>
          <w:sz w:val="24"/>
          <w:szCs w:val="24"/>
          <w:highlight w:val="none"/>
        </w:rPr>
        <w:t xml:space="preserve">；采购人委托采购代理机构代表其与乙方签订合同的，采购人的授权委托书作为合同附件。</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bookmarkStart w:id="402" w:name="_Ref467379400"/>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“乙方”系指根据合同约定</w:t>
      </w:r>
      <w:r>
        <w:rPr>
          <w:rFonts w:hint="eastAsia" w:ascii="宋体" w:hAnsi="宋体"/>
          <w:color w:val="000000"/>
          <w:sz w:val="24"/>
          <w:szCs w:val="24"/>
          <w:highlight w:val="none"/>
        </w:rPr>
        <w:t xml:space="preserve">提供服务</w:t>
      </w:r>
      <w:r>
        <w:rPr>
          <w:rFonts w:ascii="宋体" w:hAnsi="宋体"/>
          <w:color w:val="000000"/>
          <w:sz w:val="24"/>
          <w:szCs w:val="24"/>
          <w:highlight w:val="none"/>
        </w:rPr>
        <w:t xml:space="preserve">的</w:t>
      </w:r>
      <w:bookmarkEnd w:id="402"/>
      <w:r>
        <w:rPr>
          <w:rFonts w:hint="eastAsia" w:ascii="宋体" w:hAnsi="宋体"/>
          <w:color w:val="000000"/>
          <w:sz w:val="24"/>
          <w:szCs w:val="24"/>
          <w:highlight w:val="none"/>
        </w:rPr>
        <w:t xml:space="preserve">中标人；两个以上的自然人、法人或者其他组织组成一个联合体，以一个投标人的身份共同参加政府采购的，联合体各方均应为乙方或者与乙方相同地位的合同当事人，并就合同约定的事项对甲方承担连带责任。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bookmarkStart w:id="403" w:name="_Ref467379436"/>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“现场”系指合同约定</w:t>
      </w:r>
      <w:r>
        <w:rPr>
          <w:rFonts w:hint="eastAsia" w:ascii="宋体" w:hAnsi="宋体"/>
          <w:color w:val="000000"/>
          <w:sz w:val="24"/>
          <w:szCs w:val="24"/>
          <w:highlight w:val="none"/>
        </w:rPr>
        <w:t xml:space="preserve">提供服务</w:t>
      </w:r>
      <w:r>
        <w:rPr>
          <w:rFonts w:ascii="宋体" w:hAnsi="宋体"/>
          <w:color w:val="000000"/>
          <w:sz w:val="24"/>
          <w:szCs w:val="24"/>
          <w:highlight w:val="none"/>
        </w:rPr>
        <w:t xml:space="preserve">的地点。</w:t>
      </w:r>
      <w:bookmarkEnd w:id="403"/>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04" w:name="_Toc27635"/>
      <w:r/>
      <w:bookmarkStart w:id="405" w:name="_Toc259093670"/>
      <w:r/>
      <w:bookmarkStart w:id="406" w:name="_Toc13336"/>
      <w:r/>
      <w:bookmarkStart w:id="407" w:name="_Toc279701241"/>
      <w:r/>
      <w:bookmarkStart w:id="408" w:name="_Toc487900350"/>
      <w:r/>
      <w:bookmarkStart w:id="409" w:name="_Toc32504"/>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2 技术规范</w:t>
      </w:r>
      <w:bookmarkEnd w:id="404"/>
      <w:r/>
      <w:bookmarkEnd w:id="405"/>
      <w:r/>
      <w:bookmarkEnd w:id="406"/>
      <w:r/>
      <w:bookmarkEnd w:id="407"/>
      <w:r/>
      <w:bookmarkEnd w:id="408"/>
      <w:r/>
      <w:bookmarkEnd w:id="409"/>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货物所应遵守的技术规范应与采购文件规定的技术规范和技术规范附件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如果有的话</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及其技术规范偏差表</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如果被甲方接受的话</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相一致</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如果采购文件中没有技术规范的相应说明，那么应以国家有关部门最新颁布的相应标准</w:t>
      </w:r>
      <w:r>
        <w:rPr>
          <w:rFonts w:hint="eastAsia" w:ascii="宋体" w:hAnsi="宋体"/>
          <w:color w:val="000000"/>
          <w:sz w:val="24"/>
          <w:szCs w:val="24"/>
          <w:highlight w:val="none"/>
        </w:rPr>
        <w:t xml:space="preserve">和</w:t>
      </w:r>
      <w:r>
        <w:rPr>
          <w:rFonts w:ascii="宋体" w:hAnsi="宋体"/>
          <w:color w:val="000000"/>
          <w:sz w:val="24"/>
          <w:szCs w:val="24"/>
          <w:highlight w:val="none"/>
        </w:rPr>
        <w:t xml:space="preserve">规范为准。</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10" w:name="_Toc279701242"/>
      <w:r/>
      <w:bookmarkStart w:id="411" w:name="_Toc487900351"/>
      <w:r/>
      <w:bookmarkStart w:id="412" w:name="_Toc9829"/>
      <w:r/>
      <w:bookmarkStart w:id="413" w:name="_Toc259093671"/>
      <w:r/>
      <w:bookmarkStart w:id="414" w:name="_Toc31634"/>
      <w:r/>
      <w:bookmarkStart w:id="415" w:name="_Toc27853"/>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3 知识产权</w:t>
      </w:r>
      <w:bookmarkEnd w:id="410"/>
      <w:r/>
      <w:bookmarkEnd w:id="411"/>
      <w:r/>
      <w:bookmarkEnd w:id="412"/>
      <w:r/>
      <w:bookmarkEnd w:id="413"/>
      <w:r/>
      <w:bookmarkEnd w:id="414"/>
      <w:r/>
      <w:bookmarkEnd w:id="415"/>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2.3.1乙</w:t>
      </w:r>
      <w:r>
        <w:rPr>
          <w:rFonts w:ascii="宋体" w:hAnsi="宋体"/>
          <w:color w:val="000000"/>
          <w:sz w:val="24"/>
          <w:szCs w:val="24"/>
          <w:highlight w:val="none"/>
        </w:rPr>
        <w:t xml:space="preserve">方应保证</w:t>
      </w:r>
      <w:r>
        <w:rPr>
          <w:rFonts w:hint="eastAsia" w:ascii="宋体" w:hAnsi="宋体"/>
          <w:color w:val="000000"/>
          <w:sz w:val="24"/>
          <w:szCs w:val="24"/>
          <w:highlight w:val="none"/>
        </w:rPr>
        <w:t xml:space="preserve">其提供的服务</w:t>
      </w:r>
      <w:r>
        <w:rPr>
          <w:rFonts w:ascii="宋体" w:hAnsi="宋体"/>
          <w:color w:val="000000"/>
          <w:sz w:val="24"/>
          <w:szCs w:val="24"/>
          <w:highlight w:val="none"/>
        </w:rPr>
        <w:t xml:space="preserve">不受任何第三方提出的侵犯其著作权、商标权、专利权等知识产权方面的起诉</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如果任何第三方提出侵权</w:t>
      </w:r>
      <w:r>
        <w:rPr>
          <w:rFonts w:hint="eastAsia" w:ascii="宋体" w:hAnsi="宋体"/>
          <w:color w:val="000000"/>
          <w:sz w:val="24"/>
          <w:szCs w:val="24"/>
          <w:highlight w:val="none"/>
        </w:rPr>
        <w:t xml:space="preserve">指控</w:t>
      </w:r>
      <w:r>
        <w:rPr>
          <w:rFonts w:ascii="宋体" w:hAnsi="宋体"/>
          <w:color w:val="000000"/>
          <w:sz w:val="24"/>
          <w:szCs w:val="24"/>
          <w:highlight w:val="none"/>
        </w:rPr>
        <w:t xml:space="preserve">，那么乙方须与该第三方交涉并承担由此发生的一切责任、费用和赔偿</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2.3.2具有知识产权的计算机软件等货物的知识产权归属，</w:t>
      </w:r>
      <w:r>
        <w:rPr>
          <w:rFonts w:ascii="宋体" w:hAnsi="宋体"/>
          <w:color w:val="000000"/>
          <w:sz w:val="24"/>
          <w:szCs w:val="24"/>
          <w:highlight w:val="none"/>
        </w:rPr>
        <w:t xml:space="preserve">详见</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16" w:name="_Ref467378541"/>
      <w:r/>
      <w:bookmarkStart w:id="417" w:name="_Ref467379527"/>
      <w:r/>
      <w:bookmarkStart w:id="418" w:name="_Ref467379542"/>
      <w:r/>
      <w:bookmarkStart w:id="419" w:name="_Ref467379536"/>
      <w:r/>
      <w:bookmarkStart w:id="420" w:name="_Toc19074"/>
      <w:r/>
      <w:bookmarkStart w:id="421" w:name="_Toc26182"/>
      <w:r/>
      <w:bookmarkStart w:id="422" w:name="_Toc30272"/>
      <w:r/>
      <w:bookmarkStart w:id="423" w:name="_Toc487900354"/>
      <w:r/>
      <w:bookmarkStart w:id="424" w:name="_Ref467378591"/>
      <w:r/>
      <w:bookmarkStart w:id="425" w:name="_Toc259093674"/>
      <w:r/>
      <w:bookmarkStart w:id="426" w:name="_Toc279701245"/>
      <w:r>
        <w:rPr>
          <w:rFonts w:hint="eastAsia" w:ascii="宋体" w:hAnsi="宋体"/>
          <w:b/>
          <w:bCs/>
          <w:color w:val="000000"/>
          <w:sz w:val="24"/>
          <w:szCs w:val="24"/>
          <w:highlight w:val="none"/>
          <w:lang w:val="zh-CN"/>
        </w:rPr>
        <w:t xml:space="preserve">2.</w:t>
      </w:r>
      <w:bookmarkEnd w:id="416"/>
      <w:r/>
      <w:bookmarkEnd w:id="417"/>
      <w:r/>
      <w:bookmarkEnd w:id="418"/>
      <w:r/>
      <w:bookmarkEnd w:id="419"/>
      <w:r/>
      <w:bookmarkEnd w:id="423"/>
      <w:r/>
      <w:bookmarkEnd w:id="424"/>
      <w:r/>
      <w:bookmarkEnd w:id="425"/>
      <w:r/>
      <w:bookmarkEnd w:id="426"/>
      <w:r>
        <w:rPr>
          <w:rFonts w:ascii="宋体" w:hAnsi="宋体"/>
          <w:b/>
          <w:bCs/>
          <w:color w:val="000000"/>
          <w:sz w:val="24"/>
          <w:szCs w:val="24"/>
          <w:highlight w:val="none"/>
          <w:lang w:val="zh-CN"/>
        </w:rPr>
        <w:t xml:space="preserve">4 </w:t>
      </w:r>
      <w:r>
        <w:rPr>
          <w:rFonts w:hint="eastAsia" w:ascii="宋体" w:hAnsi="宋体"/>
          <w:b/>
          <w:bCs/>
          <w:color w:val="000000"/>
          <w:sz w:val="24"/>
          <w:szCs w:val="24"/>
          <w:highlight w:val="none"/>
          <w:lang w:val="zh-CN"/>
        </w:rPr>
        <w:t xml:space="preserve">履约检查和问题反馈</w:t>
      </w:r>
      <w:bookmarkEnd w:id="420"/>
      <w:r/>
      <w:bookmarkEnd w:id="421"/>
      <w:r/>
      <w:bookmarkEnd w:id="422"/>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bookmarkStart w:id="427" w:name="_Ref467379793"/>
      <w:r/>
      <w:bookmarkStart w:id="428" w:name="_Toc487900357"/>
      <w:r/>
      <w:bookmarkStart w:id="429" w:name="_Toc279701247"/>
      <w:r/>
      <w:bookmarkStart w:id="430" w:name="_Toc186431854"/>
      <w:r/>
      <w:bookmarkStart w:id="431" w:name="_Ref467379807"/>
      <w:r/>
      <w:bookmarkStart w:id="432" w:name="_Toc259093676"/>
      <w:r>
        <w:rPr>
          <w:rFonts w:hint="eastAsia" w:ascii="宋体" w:hAnsi="宋体"/>
          <w:color w:val="000000"/>
          <w:sz w:val="24"/>
          <w:szCs w:val="24"/>
          <w:highlight w:val="none"/>
        </w:rPr>
        <w:t xml:space="preserve">2.4</w:t>
      </w:r>
      <w:r>
        <w:rPr>
          <w:rFonts w:ascii="宋体" w:hAnsi="宋体"/>
          <w:color w:val="000000"/>
          <w:sz w:val="24"/>
          <w:szCs w:val="24"/>
          <w:highlight w:val="none"/>
        </w:rPr>
        <w:t xml:space="preserve">.1甲方</w:t>
      </w:r>
      <w:r>
        <w:rPr>
          <w:rFonts w:hint="eastAsia" w:ascii="宋体" w:hAnsi="宋体"/>
          <w:color w:val="000000"/>
          <w:sz w:val="24"/>
          <w:szCs w:val="24"/>
          <w:highlight w:val="none"/>
        </w:rPr>
        <w:t xml:space="preserve">有权</w:t>
      </w:r>
      <w:r>
        <w:rPr>
          <w:rFonts w:ascii="宋体" w:hAnsi="宋体"/>
          <w:color w:val="000000"/>
          <w:sz w:val="24"/>
          <w:szCs w:val="24"/>
          <w:highlight w:val="none"/>
        </w:rPr>
        <w:t xml:space="preserve">在其认为必要时</w:t>
      </w:r>
      <w:r>
        <w:rPr>
          <w:rFonts w:hint="eastAsia" w:ascii="宋体" w:hAnsi="宋体"/>
          <w:color w:val="000000"/>
          <w:sz w:val="24"/>
          <w:szCs w:val="24"/>
          <w:highlight w:val="none"/>
        </w:rPr>
        <w:t xml:space="preserve">，对乙方是否能够按照合同约定提供服务进行履约检查，以确保乙方所提供的服务能够依约满足甲方项目需求，但不得因履约检查妨碍乙方的正常工作，乙方应予积极配合；</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.2合同履行期间，甲方有权将履行过程中出现的问题反馈给乙方，双方当事人应以书面形式约定需要完善和改进的内容</w:t>
      </w:r>
      <w:bookmarkEnd w:id="430"/>
      <w:r/>
      <w:bookmarkStart w:id="433" w:name="_Toc186431855"/>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End w:id="433"/>
      <w:r/>
      <w:bookmarkStart w:id="434" w:name="_Toc19219"/>
      <w:r/>
      <w:bookmarkStart w:id="435" w:name="_Toc28451"/>
      <w:r/>
      <w:bookmarkStart w:id="436" w:name="_Toc7836"/>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5</w:t>
      </w:r>
      <w:r>
        <w:rPr>
          <w:rFonts w:hint="eastAsia" w:ascii="宋体" w:hAnsi="宋体"/>
          <w:b/>
          <w:bCs/>
          <w:color w:val="000000"/>
          <w:sz w:val="24"/>
          <w:szCs w:val="24"/>
          <w:highlight w:val="none"/>
          <w:lang w:val="zh-CN"/>
        </w:rPr>
        <w:t xml:space="preserve"> </w:t>
      </w:r>
      <w:r>
        <w:rPr>
          <w:rFonts w:ascii="宋体" w:hAnsi="宋体"/>
          <w:b/>
          <w:bCs/>
          <w:color w:val="000000"/>
          <w:sz w:val="24"/>
          <w:szCs w:val="24"/>
          <w:highlight w:val="none"/>
          <w:lang w:val="zh-CN"/>
        </w:rPr>
        <w:t xml:space="preserve">结算方式和付款条件</w:t>
      </w:r>
      <w:bookmarkEnd w:id="427"/>
      <w:r/>
      <w:bookmarkEnd w:id="428"/>
      <w:r/>
      <w:bookmarkEnd w:id="429"/>
      <w:r/>
      <w:bookmarkEnd w:id="431"/>
      <w:r/>
      <w:bookmarkEnd w:id="432"/>
      <w:r/>
      <w:bookmarkEnd w:id="434"/>
      <w:r/>
      <w:bookmarkEnd w:id="435"/>
      <w:r/>
      <w:bookmarkEnd w:id="436"/>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详见</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37" w:name="_Toc487900358"/>
      <w:r/>
      <w:bookmarkStart w:id="438" w:name="_Toc279701248"/>
      <w:r/>
      <w:bookmarkStart w:id="439" w:name="_Toc16110"/>
      <w:r/>
      <w:bookmarkStart w:id="440" w:name="_Toc3225"/>
      <w:r/>
      <w:bookmarkStart w:id="441" w:name="_Toc259093677"/>
      <w:r/>
      <w:bookmarkStart w:id="442" w:name="_Ref467379923"/>
      <w:r/>
      <w:bookmarkStart w:id="443" w:name="_Ref467379863"/>
      <w:r/>
      <w:bookmarkStart w:id="444" w:name="_Ref467379852"/>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6</w:t>
      </w:r>
      <w:r>
        <w:rPr>
          <w:rFonts w:hint="eastAsia" w:ascii="宋体" w:hAnsi="宋体"/>
          <w:b/>
          <w:bCs/>
          <w:color w:val="000000"/>
          <w:sz w:val="24"/>
          <w:szCs w:val="24"/>
          <w:highlight w:val="none"/>
          <w:lang w:val="zh-CN"/>
        </w:rPr>
        <w:t xml:space="preserve"> </w:t>
      </w:r>
      <w:r>
        <w:rPr>
          <w:rFonts w:ascii="宋体" w:hAnsi="宋体"/>
          <w:b/>
          <w:bCs/>
          <w:color w:val="000000"/>
          <w:sz w:val="24"/>
          <w:szCs w:val="24"/>
          <w:highlight w:val="none"/>
          <w:lang w:val="zh-CN"/>
        </w:rPr>
        <w:t xml:space="preserve">技术资料</w:t>
      </w:r>
      <w:bookmarkEnd w:id="437"/>
      <w:r/>
      <w:bookmarkEnd w:id="438"/>
      <w:r/>
      <w:bookmarkEnd w:id="441"/>
      <w:r/>
      <w:bookmarkEnd w:id="442"/>
      <w:r/>
      <w:bookmarkEnd w:id="443"/>
      <w:r/>
      <w:bookmarkEnd w:id="444"/>
      <w:r>
        <w:rPr>
          <w:rFonts w:ascii="宋体" w:hAnsi="宋体"/>
          <w:b/>
          <w:bCs/>
          <w:color w:val="000000"/>
          <w:sz w:val="24"/>
          <w:szCs w:val="24"/>
          <w:highlight w:val="none"/>
          <w:lang w:val="zh-CN"/>
        </w:rPr>
        <w:t xml:space="preserve">和保密义务</w:t>
      </w:r>
      <w:bookmarkEnd w:id="439"/>
      <w:r/>
      <w:bookmarkEnd w:id="440"/>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乙方有权依据合同约定和项目需要，向甲方了解有关情况，调阅有关资料等，甲方应予积极配合；</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.2乙方有义务妥善保管和保护由甲方提供的前款信息和资料等；</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color w:val="000000"/>
          <w:sz w:val="24"/>
          <w:szCs w:val="24"/>
          <w:highlight w:val="none"/>
        </w:rPr>
        <w:t xml:space="preserve">技术情报</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技术资料</w:t>
      </w:r>
      <w:r>
        <w:rPr>
          <w:rFonts w:hint="eastAsia" w:ascii="宋体" w:hAnsi="宋体"/>
          <w:color w:val="000000"/>
          <w:sz w:val="24"/>
          <w:szCs w:val="24"/>
          <w:highlight w:val="none"/>
        </w:rPr>
        <w:t xml:space="preserve">、商业秘密和商业信息等，并采取一切合理和必要措施和方式防止任何第三方接触到对方当事人的上述保密信息和资料。</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45" w:name="_Toc7860"/>
      <w:r>
        <w:rPr>
          <w:rFonts w:ascii="宋体" w:hAnsi="宋体"/>
          <w:b/>
          <w:bCs/>
          <w:color w:val="000000"/>
          <w:sz w:val="24"/>
          <w:szCs w:val="24"/>
          <w:highlight w:val="none"/>
          <w:lang w:val="zh-CN"/>
        </w:rPr>
        <w:t xml:space="preserve">2.7 质量保证</w:t>
      </w:r>
      <w:bookmarkEnd w:id="445"/>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.1乙方应建立和完善履行合同的内部质量保证体系，并提供相关内部规章制度给甲方，以便甲方进行监督检查；</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.2乙方应保证履行合同的人员数量和素质、软件和硬件设备的配置、场地、环境和设施等满足全面履行合同的要求，并应接受甲方的监督检查。</w:t>
      </w:r>
      <w:r>
        <w:rPr>
          <w:rFonts w:ascii="宋体" w:hAnsi="宋体"/>
          <w:color w:val="000000"/>
          <w:sz w:val="24"/>
          <w:szCs w:val="24"/>
          <w:highlight w:val="none"/>
        </w:rPr>
      </w:r>
      <w:r/>
    </w:p>
    <w:p>
      <w:pPr>
        <w:pStyle w:val="1013"/>
        <w:ind w:firstLine="437"/>
        <w:spacing w:line="400" w:lineRule="exact"/>
        <w:rPr>
          <w:rFonts w:ascii="宋体" w:hAnsi="宋体"/>
          <w:b/>
          <w:color w:val="000000"/>
          <w:sz w:val="24"/>
          <w:szCs w:val="24"/>
          <w:highlight w:val="none"/>
        </w:rPr>
        <w:outlineLvl w:val="2"/>
      </w:pPr>
      <w:r/>
      <w:bookmarkStart w:id="446" w:name="_Toc22267"/>
      <w:r>
        <w:rPr>
          <w:rFonts w:hint="eastAsia" w:ascii="宋体" w:hAnsi="宋体"/>
          <w:b/>
          <w:color w:val="000000"/>
          <w:sz w:val="24"/>
          <w:szCs w:val="24"/>
          <w:highlight w:val="none"/>
        </w:rPr>
        <w:t xml:space="preserve">2.8 延迟履行</w:t>
      </w:r>
      <w:bookmarkEnd w:id="446"/>
      <w:r>
        <w:rPr>
          <w:rFonts w:ascii="宋体" w:hAnsi="宋体"/>
          <w:b/>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在合同履行过程中，如果乙方遇到不能按时</w:t>
      </w:r>
      <w:r>
        <w:rPr>
          <w:rFonts w:hint="eastAsia" w:ascii="宋体" w:hAnsi="宋体"/>
          <w:color w:val="000000"/>
          <w:sz w:val="24"/>
          <w:szCs w:val="24"/>
          <w:highlight w:val="none"/>
        </w:rPr>
        <w:t xml:space="preserve">提供服务</w:t>
      </w:r>
      <w:r>
        <w:rPr>
          <w:rFonts w:ascii="宋体" w:hAnsi="宋体"/>
          <w:color w:val="000000"/>
          <w:sz w:val="24"/>
          <w:szCs w:val="24"/>
          <w:highlight w:val="none"/>
        </w:rPr>
        <w:t xml:space="preserve">的情况，应及时以书面形式将不能按时</w:t>
      </w:r>
      <w:r>
        <w:rPr>
          <w:rFonts w:hint="eastAsia" w:ascii="宋体" w:hAnsi="宋体"/>
          <w:color w:val="000000"/>
          <w:sz w:val="24"/>
          <w:szCs w:val="24"/>
          <w:highlight w:val="none"/>
        </w:rPr>
        <w:t xml:space="preserve">提供服务</w:t>
      </w:r>
      <w:r>
        <w:rPr>
          <w:rFonts w:ascii="宋体" w:hAnsi="宋体"/>
          <w:color w:val="000000"/>
          <w:sz w:val="24"/>
          <w:szCs w:val="24"/>
          <w:highlight w:val="none"/>
        </w:rPr>
        <w:t xml:space="preserve">的理由、预期延误时间通知甲方</w:t>
      </w:r>
      <w:r>
        <w:rPr>
          <w:rFonts w:hint="eastAsia" w:ascii="宋体" w:hAnsi="宋体"/>
          <w:color w:val="000000"/>
          <w:sz w:val="24"/>
          <w:szCs w:val="24"/>
          <w:highlight w:val="none"/>
        </w:rPr>
        <w:t xml:space="preserve">；甲</w:t>
      </w:r>
      <w:r>
        <w:rPr>
          <w:rFonts w:ascii="宋体" w:hAnsi="宋体"/>
          <w:color w:val="000000"/>
          <w:sz w:val="24"/>
          <w:szCs w:val="24"/>
          <w:highlight w:val="none"/>
        </w:rPr>
        <w:t xml:space="preserve">方收到乙方通知后，认为其理由正当的，可以书面形式酌情同意乙方可以延长</w:t>
      </w:r>
      <w:r>
        <w:rPr>
          <w:rFonts w:hint="eastAsia" w:ascii="宋体" w:hAnsi="宋体"/>
          <w:color w:val="000000"/>
          <w:sz w:val="24"/>
          <w:szCs w:val="24"/>
          <w:highlight w:val="none"/>
        </w:rPr>
        <w:t xml:space="preserve">履行</w:t>
      </w:r>
      <w:r>
        <w:rPr>
          <w:rFonts w:ascii="宋体" w:hAnsi="宋体"/>
          <w:color w:val="000000"/>
          <w:sz w:val="24"/>
          <w:szCs w:val="24"/>
          <w:highlight w:val="none"/>
        </w:rPr>
        <w:t xml:space="preserve">的具体时间。</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47" w:name="_Toc279701254"/>
      <w:r/>
      <w:bookmarkStart w:id="448" w:name="_Toc487900364"/>
      <w:r/>
      <w:bookmarkStart w:id="449" w:name="_Ref467378121"/>
      <w:r/>
      <w:bookmarkStart w:id="450" w:name="_Toc259093683"/>
      <w:r/>
      <w:bookmarkStart w:id="451" w:name="_Toc7502"/>
      <w:r>
        <w:rPr>
          <w:rFonts w:ascii="宋体" w:hAnsi="宋体"/>
          <w:b/>
          <w:bCs/>
          <w:color w:val="000000"/>
          <w:sz w:val="24"/>
          <w:szCs w:val="24"/>
          <w:highlight w:val="none"/>
          <w:lang w:val="zh-CN"/>
        </w:rPr>
        <w:t xml:space="preserve">2.9 合同变更</w:t>
      </w:r>
      <w:bookmarkEnd w:id="451"/>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.1双方当事人协商一致，可以签订书面补充合同的形式变更合同，但不得违背采购文件确定的事项；</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.2合同继续履行将损害国家利益和社会公共利益的，双方当事人应当以书面形式变更合同。有过错的一方应当承担赔偿责任，双方当事人都有过错的，各自承担相应的责任。</w:t>
      </w:r>
      <w:bookmarkStart w:id="452" w:name="_Toc259093688"/>
      <w:r/>
      <w:bookmarkStart w:id="453" w:name="_Toc487900369"/>
      <w:r/>
      <w:bookmarkStart w:id="454" w:name="_Toc279701259"/>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55" w:name="_Toc10366"/>
      <w:r/>
      <w:bookmarkStart w:id="456" w:name="_Toc22955"/>
      <w:r/>
      <w:bookmarkStart w:id="457" w:name="_Toc15237"/>
      <w:r>
        <w:rPr>
          <w:rFonts w:hint="eastAsia" w:ascii="宋体" w:hAnsi="宋体"/>
          <w:b/>
          <w:bCs/>
          <w:color w:val="000000"/>
          <w:sz w:val="24"/>
          <w:szCs w:val="24"/>
          <w:highlight w:val="none"/>
          <w:lang w:val="zh-CN"/>
        </w:rPr>
        <w:t xml:space="preserve">2.1</w:t>
      </w:r>
      <w:r>
        <w:rPr>
          <w:rFonts w:ascii="宋体" w:hAnsi="宋体"/>
          <w:b/>
          <w:bCs/>
          <w:color w:val="000000"/>
          <w:sz w:val="24"/>
          <w:szCs w:val="24"/>
          <w:highlight w:val="none"/>
          <w:lang w:val="zh-CN"/>
        </w:rPr>
        <w:t xml:space="preserve">0</w:t>
      </w:r>
      <w:r>
        <w:rPr>
          <w:rFonts w:hint="eastAsia" w:ascii="宋体" w:hAnsi="宋体"/>
          <w:b/>
          <w:bCs/>
          <w:color w:val="000000"/>
          <w:sz w:val="24"/>
          <w:szCs w:val="24"/>
          <w:highlight w:val="none"/>
          <w:lang w:val="zh-CN"/>
        </w:rPr>
        <w:t xml:space="preserve"> </w:t>
      </w:r>
      <w:r>
        <w:rPr>
          <w:rFonts w:ascii="宋体" w:hAnsi="宋体"/>
          <w:b/>
          <w:bCs/>
          <w:color w:val="000000"/>
          <w:sz w:val="24"/>
          <w:szCs w:val="24"/>
          <w:highlight w:val="none"/>
          <w:lang w:val="zh-CN"/>
        </w:rPr>
        <w:t xml:space="preserve">合同转让</w:t>
      </w:r>
      <w:bookmarkEnd w:id="452"/>
      <w:r/>
      <w:bookmarkEnd w:id="453"/>
      <w:r/>
      <w:bookmarkEnd w:id="454"/>
      <w:r>
        <w:rPr>
          <w:rFonts w:ascii="宋体" w:hAnsi="宋体"/>
          <w:b/>
          <w:bCs/>
          <w:color w:val="000000"/>
          <w:sz w:val="24"/>
          <w:szCs w:val="24"/>
          <w:highlight w:val="none"/>
          <w:lang w:val="zh-CN"/>
        </w:rPr>
        <w:t xml:space="preserve">和分包</w:t>
      </w:r>
      <w:bookmarkEnd w:id="455"/>
      <w:r/>
      <w:bookmarkEnd w:id="456"/>
      <w:r/>
      <w:bookmarkEnd w:id="457"/>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合同的权利义务依法不</w:t>
      </w:r>
      <w:r>
        <w:rPr>
          <w:rFonts w:hint="eastAsia" w:ascii="宋体" w:hAnsi="宋体"/>
          <w:color w:val="000000"/>
          <w:sz w:val="24"/>
          <w:szCs w:val="24"/>
          <w:highlight w:val="none"/>
        </w:rPr>
        <w:t xml:space="preserve">得</w:t>
      </w:r>
      <w:r>
        <w:rPr>
          <w:rFonts w:ascii="宋体" w:hAnsi="宋体"/>
          <w:color w:val="000000"/>
          <w:sz w:val="24"/>
          <w:szCs w:val="24"/>
          <w:highlight w:val="none"/>
        </w:rPr>
        <w:t xml:space="preserve">转让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但经甲方</w:t>
      </w:r>
      <w:r>
        <w:rPr>
          <w:rFonts w:hint="eastAsia" w:ascii="宋体" w:hAnsi="宋体"/>
          <w:color w:val="000000"/>
          <w:sz w:val="24"/>
          <w:szCs w:val="24"/>
          <w:highlight w:val="none"/>
        </w:rPr>
        <w:t xml:space="preserve">同意，乙方可以依法采取分包方式履行合同，即：依法可以</w:t>
      </w:r>
      <w:r>
        <w:rPr>
          <w:rFonts w:ascii="宋体" w:hAnsi="宋体"/>
          <w:color w:val="000000"/>
          <w:sz w:val="24"/>
          <w:szCs w:val="24"/>
          <w:highlight w:val="none"/>
        </w:rPr>
        <w:t xml:space="preserve">将合同项下的部分非主体、非关键性工作分包给他人完成</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接受分包的人应当具备相应的资格条件，并不得再次分包</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且乙方应就分包项目向甲方负责</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并</w:t>
      </w:r>
      <w:r>
        <w:rPr>
          <w:rFonts w:hint="eastAsia" w:ascii="宋体" w:hAnsi="宋体"/>
          <w:color w:val="000000"/>
          <w:sz w:val="24"/>
          <w:szCs w:val="24"/>
          <w:highlight w:val="none"/>
        </w:rPr>
        <w:t xml:space="preserve">与分包投标人就分包项目向甲方承担连带责任。</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58" w:name="_Toc14066"/>
      <w:r/>
      <w:bookmarkStart w:id="459" w:name="_Toc13566"/>
      <w:r/>
      <w:bookmarkStart w:id="460" w:name="_Toc16508"/>
      <w:r>
        <w:rPr>
          <w:rFonts w:hint="eastAsia" w:ascii="宋体" w:hAnsi="宋体"/>
          <w:b/>
          <w:bCs/>
          <w:color w:val="000000"/>
          <w:sz w:val="24"/>
          <w:szCs w:val="24"/>
          <w:highlight w:val="none"/>
          <w:lang w:val="zh-CN"/>
        </w:rPr>
        <w:t xml:space="preserve">2.1</w:t>
      </w:r>
      <w:r>
        <w:rPr>
          <w:rFonts w:ascii="宋体" w:hAnsi="宋体"/>
          <w:b/>
          <w:bCs/>
          <w:color w:val="000000"/>
          <w:sz w:val="24"/>
          <w:szCs w:val="24"/>
          <w:highlight w:val="none"/>
          <w:lang w:val="zh-CN"/>
        </w:rPr>
        <w:t xml:space="preserve">1 不可抗力</w:t>
      </w:r>
      <w:bookmarkEnd w:id="458"/>
      <w:r/>
      <w:bookmarkEnd w:id="459"/>
      <w:r/>
      <w:bookmarkEnd w:id="460"/>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1.1如果任何一方遭遇法律规定的不可抗力，致使合同履行受阻时，履行合同的期限应予延长，延长的期限应相当于不可抗力所影响的时间</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.2因不可抗力致使不能实现合同目的的，当事人可以解除合同；</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.3因</w:t>
      </w:r>
      <w:r>
        <w:rPr>
          <w:rFonts w:ascii="宋体" w:hAnsi="宋体"/>
          <w:color w:val="000000"/>
          <w:sz w:val="24"/>
          <w:szCs w:val="24"/>
          <w:highlight w:val="none"/>
        </w:rPr>
        <w:t xml:space="preserve">不可抗力致使合同有变更必要的，双方当事人应在</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约定时间内以书面形式变更合同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受</w:t>
      </w:r>
      <w:r>
        <w:rPr>
          <w:rFonts w:hint="eastAsia" w:ascii="宋体" w:hAnsi="宋体"/>
          <w:color w:val="000000"/>
          <w:sz w:val="24"/>
          <w:szCs w:val="24"/>
          <w:highlight w:val="none"/>
        </w:rPr>
        <w:t xml:space="preserve">不可抗力</w:t>
      </w:r>
      <w:r>
        <w:rPr>
          <w:rFonts w:ascii="宋体" w:hAnsi="宋体"/>
          <w:color w:val="000000"/>
          <w:sz w:val="24"/>
          <w:szCs w:val="24"/>
          <w:highlight w:val="none"/>
        </w:rPr>
        <w:t xml:space="preserve">影响的一方在不可抗力发生后</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应在</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约定时间内以书面形式通知</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方当事人，并在</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约定时间内，将有关部门出具的证明文件送达</w:t>
      </w:r>
      <w:r>
        <w:rPr>
          <w:rFonts w:hint="eastAsia" w:ascii="宋体" w:hAnsi="宋体"/>
          <w:color w:val="000000"/>
          <w:sz w:val="24"/>
          <w:szCs w:val="24"/>
          <w:highlight w:val="none"/>
        </w:rPr>
        <w:t xml:space="preserve">对方当事人</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61" w:name="_Toc487900365"/>
      <w:r/>
      <w:bookmarkStart w:id="462" w:name="_Toc259093684"/>
      <w:r/>
      <w:bookmarkStart w:id="463" w:name="_Toc30676"/>
      <w:r/>
      <w:bookmarkStart w:id="464" w:name="_Toc279701255"/>
      <w:r/>
      <w:bookmarkStart w:id="465" w:name="_Toc6969"/>
      <w:r/>
      <w:bookmarkStart w:id="466" w:name="_Toc689"/>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12</w:t>
      </w:r>
      <w:r>
        <w:rPr>
          <w:rFonts w:hint="eastAsia" w:ascii="宋体" w:hAnsi="宋体"/>
          <w:b/>
          <w:bCs/>
          <w:color w:val="000000"/>
          <w:sz w:val="24"/>
          <w:szCs w:val="24"/>
          <w:highlight w:val="none"/>
          <w:lang w:val="zh-CN"/>
        </w:rPr>
        <w:t xml:space="preserve"> </w:t>
      </w:r>
      <w:r>
        <w:rPr>
          <w:rFonts w:ascii="宋体" w:hAnsi="宋体"/>
          <w:b/>
          <w:bCs/>
          <w:color w:val="000000"/>
          <w:sz w:val="24"/>
          <w:szCs w:val="24"/>
          <w:highlight w:val="none"/>
          <w:lang w:val="zh-CN"/>
        </w:rPr>
        <w:t xml:space="preserve">税费</w:t>
      </w:r>
      <w:bookmarkEnd w:id="461"/>
      <w:r/>
      <w:bookmarkEnd w:id="462"/>
      <w:r/>
      <w:bookmarkEnd w:id="463"/>
      <w:r/>
      <w:bookmarkEnd w:id="464"/>
      <w:r/>
      <w:bookmarkEnd w:id="465"/>
      <w:r/>
      <w:bookmarkEnd w:id="466"/>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与合同有关的一切税费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均按照中华人民共和国法律的相关规定</w:t>
      </w:r>
      <w:r>
        <w:rPr>
          <w:rFonts w:hint="eastAsia" w:ascii="宋体" w:hAnsi="宋体"/>
          <w:color w:val="000000"/>
          <w:sz w:val="24"/>
          <w:szCs w:val="24"/>
          <w:highlight w:val="none"/>
        </w:rPr>
        <w:t xml:space="preserve">缴纳</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67" w:name="_Toc8298"/>
      <w:r/>
      <w:bookmarkStart w:id="468" w:name="_Toc7102"/>
      <w:r/>
      <w:bookmarkStart w:id="469" w:name="_Toc16959"/>
      <w:r/>
      <w:bookmarkStart w:id="470" w:name="_Toc279701258"/>
      <w:r/>
      <w:bookmarkStart w:id="471" w:name="_Toc487900368"/>
      <w:r/>
      <w:bookmarkStart w:id="472" w:name="_Toc259093687"/>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13</w:t>
      </w:r>
      <w:r>
        <w:rPr>
          <w:rFonts w:hint="eastAsia" w:ascii="宋体" w:hAnsi="宋体"/>
          <w:b/>
          <w:bCs/>
          <w:color w:val="000000"/>
          <w:sz w:val="24"/>
          <w:szCs w:val="24"/>
          <w:highlight w:val="none"/>
          <w:lang w:val="zh-CN"/>
        </w:rPr>
        <w:t xml:space="preserve"> </w:t>
      </w:r>
      <w:r>
        <w:rPr>
          <w:rFonts w:ascii="宋体" w:hAnsi="宋体"/>
          <w:b/>
          <w:bCs/>
          <w:color w:val="000000"/>
          <w:sz w:val="24"/>
          <w:szCs w:val="24"/>
          <w:highlight w:val="none"/>
          <w:lang w:val="zh-CN"/>
        </w:rPr>
        <w:t xml:space="preserve">乙方破产</w:t>
      </w:r>
      <w:bookmarkEnd w:id="467"/>
      <w:r/>
      <w:bookmarkEnd w:id="468"/>
      <w:r/>
      <w:bookmarkEnd w:id="469"/>
      <w:r/>
      <w:bookmarkEnd w:id="470"/>
      <w:r/>
      <w:bookmarkEnd w:id="471"/>
      <w:r/>
      <w:bookmarkEnd w:id="472"/>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如果乙方破产导致合同无法履行时，甲方可以书面形式通知乙方终止合同且不给予乙方任何补偿和赔偿</w:t>
      </w:r>
      <w:r>
        <w:rPr>
          <w:rFonts w:hint="eastAsia" w:ascii="宋体" w:hAnsi="宋体"/>
          <w:color w:val="000000"/>
          <w:sz w:val="24"/>
          <w:szCs w:val="24"/>
          <w:highlight w:val="none"/>
        </w:rPr>
        <w:t xml:space="preserve">，但合同的</w:t>
      </w:r>
      <w:r>
        <w:rPr>
          <w:rFonts w:ascii="宋体" w:hAnsi="宋体"/>
          <w:color w:val="000000"/>
          <w:sz w:val="24"/>
          <w:szCs w:val="24"/>
          <w:highlight w:val="none"/>
        </w:rPr>
        <w:t xml:space="preserve">终止不损害或不影响甲方已经采取或将要采取的任何要求乙方支付违约金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赔偿损失等的行动或补救措施的权利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color w:val="000000"/>
          <w:sz w:val="24"/>
          <w:szCs w:val="24"/>
          <w:highlight w:val="none"/>
        </w:rPr>
        <w:outlineLvl w:val="2"/>
      </w:pPr>
      <w:r/>
      <w:bookmarkStart w:id="473" w:name="_Toc15387"/>
      <w:r/>
      <w:bookmarkStart w:id="474" w:name="_Toc29333"/>
      <w:r/>
      <w:bookmarkStart w:id="475" w:name="_Toc6134"/>
      <w:r>
        <w:rPr>
          <w:rFonts w:hint="eastAsia" w:ascii="宋体" w:hAnsi="宋体"/>
          <w:b/>
          <w:bCs/>
          <w:color w:val="000000"/>
          <w:sz w:val="24"/>
          <w:szCs w:val="24"/>
          <w:highlight w:val="none"/>
          <w:lang w:val="zh-CN"/>
        </w:rPr>
        <w:t xml:space="preserve">2.1</w:t>
      </w:r>
      <w:r>
        <w:rPr>
          <w:rFonts w:ascii="宋体" w:hAnsi="宋体"/>
          <w:b/>
          <w:bCs/>
          <w:color w:val="000000"/>
          <w:sz w:val="24"/>
          <w:szCs w:val="24"/>
          <w:highlight w:val="none"/>
          <w:lang w:val="zh-CN"/>
        </w:rPr>
        <w:t xml:space="preserve">4</w:t>
      </w:r>
      <w:r>
        <w:rPr>
          <w:rFonts w:hint="eastAsia" w:ascii="宋体" w:hAnsi="宋体"/>
          <w:b/>
          <w:bCs/>
          <w:color w:val="000000"/>
          <w:sz w:val="24"/>
          <w:szCs w:val="24"/>
          <w:highlight w:val="none"/>
          <w:lang w:val="zh-CN"/>
        </w:rPr>
        <w:t xml:space="preserve"> 合同中止、终止</w:t>
      </w:r>
      <w:bookmarkEnd w:id="473"/>
      <w:r/>
      <w:bookmarkEnd w:id="474"/>
      <w:r/>
      <w:bookmarkEnd w:id="475"/>
      <w:r>
        <w:rPr>
          <w:rFonts w:ascii="宋体" w:hAnsi="宋体"/>
          <w:b/>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.1双方当事人不得擅自中止或者终止合同；</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.2合同继续履行将损害国家利益和社会公共利益的，双方当事人应当中止或者终止合同。有过错的一方应当承担赔偿责任，双方当事人都有过错的，各自承担相应的责任。</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lang w:val="zh-CN"/>
        </w:rPr>
        <w:outlineLvl w:val="2"/>
      </w:pPr>
      <w:r/>
      <w:bookmarkStart w:id="476" w:name="_Toc6596"/>
      <w:r/>
      <w:bookmarkStart w:id="477" w:name="_Toc14563"/>
      <w:r/>
      <w:bookmarkStart w:id="478" w:name="_Toc1125"/>
      <w:r>
        <w:rPr>
          <w:rFonts w:hint="eastAsia" w:ascii="宋体" w:hAnsi="宋体"/>
          <w:b/>
          <w:bCs/>
          <w:color w:val="000000"/>
          <w:sz w:val="24"/>
          <w:szCs w:val="24"/>
          <w:highlight w:val="none"/>
          <w:lang w:val="zh-CN"/>
        </w:rPr>
        <w:t xml:space="preserve">2.1</w:t>
      </w:r>
      <w:r>
        <w:rPr>
          <w:rFonts w:ascii="宋体" w:hAnsi="宋体"/>
          <w:b/>
          <w:bCs/>
          <w:color w:val="000000"/>
          <w:sz w:val="24"/>
          <w:szCs w:val="24"/>
          <w:highlight w:val="none"/>
          <w:lang w:val="zh-CN"/>
        </w:rPr>
        <w:t xml:space="preserve">5</w:t>
      </w:r>
      <w:r>
        <w:rPr>
          <w:rFonts w:hint="eastAsia" w:ascii="宋体" w:hAnsi="宋体"/>
          <w:b/>
          <w:bCs/>
          <w:color w:val="000000"/>
          <w:sz w:val="24"/>
          <w:szCs w:val="24"/>
          <w:highlight w:val="none"/>
          <w:lang w:val="zh-CN"/>
        </w:rPr>
        <w:t xml:space="preserve"> 检验和验收</w:t>
      </w:r>
      <w:bookmarkEnd w:id="476"/>
      <w:r/>
      <w:bookmarkEnd w:id="477"/>
      <w:r/>
      <w:bookmarkEnd w:id="478"/>
      <w:r>
        <w:rPr>
          <w:rFonts w:ascii="宋体" w:hAnsi="宋体"/>
          <w:b/>
          <w:bCs/>
          <w:color w:val="000000"/>
          <w:sz w:val="24"/>
          <w:szCs w:val="24"/>
          <w:highlight w:val="none"/>
          <w:lang w:val="zh-CN"/>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1乙方按照</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的约定</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定期提交服务报告</w:t>
      </w:r>
      <w:r>
        <w:rPr>
          <w:rFonts w:hint="eastAsia" w:ascii="宋体" w:hAnsi="宋体"/>
          <w:color w:val="000000"/>
          <w:sz w:val="24"/>
          <w:szCs w:val="24"/>
          <w:highlight w:val="none"/>
        </w:rPr>
        <w:t xml:space="preserve">，甲方按照</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的约定进行定期验收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2.15.3检验和验收标准、程序等具体内容以及前述验收书的效力详见</w:t>
      </w:r>
      <w:r>
        <w:rPr>
          <w:rFonts w:ascii="宋体" w:hAnsi="宋体"/>
          <w:b/>
          <w:i/>
          <w:color w:val="000000"/>
          <w:sz w:val="24"/>
          <w:szCs w:val="24"/>
          <w:highlight w:val="none"/>
          <w:u w:val="single"/>
        </w:rPr>
        <w:t xml:space="preserve">合同专用条款</w:t>
      </w:r>
      <w:r>
        <w:rPr>
          <w:rFonts w:hint="eastAsia" w:ascii="宋体" w:hAnsi="宋体"/>
          <w:i/>
          <w:color w:val="000000"/>
          <w:sz w:val="24"/>
          <w:szCs w:val="24"/>
          <w:highlight w:val="none"/>
        </w:rPr>
        <w:t xml:space="preserve">。</w:t>
      </w:r>
      <w:r>
        <w:rPr>
          <w:rFonts w:ascii="宋体" w:hAnsi="宋体"/>
          <w:color w:val="000000"/>
          <w:sz w:val="24"/>
          <w:szCs w:val="24"/>
          <w:highlight w:val="none"/>
        </w:rPr>
      </w:r>
      <w:r/>
    </w:p>
    <w:p>
      <w:pPr>
        <w:pStyle w:val="1013"/>
        <w:ind w:firstLine="437"/>
        <w:spacing w:line="400" w:lineRule="exact"/>
        <w:rPr>
          <w:rFonts w:ascii="宋体" w:hAnsi="宋体"/>
          <w:b/>
          <w:bCs/>
          <w:color w:val="000000"/>
          <w:sz w:val="24"/>
          <w:szCs w:val="24"/>
          <w:highlight w:val="none"/>
        </w:rPr>
        <w:outlineLvl w:val="2"/>
      </w:pPr>
      <w:r/>
      <w:bookmarkEnd w:id="447"/>
      <w:r/>
      <w:bookmarkEnd w:id="448"/>
      <w:r/>
      <w:bookmarkEnd w:id="449"/>
      <w:r/>
      <w:bookmarkEnd w:id="450"/>
      <w:r/>
      <w:bookmarkStart w:id="479" w:name="_Toc12773"/>
      <w:r/>
      <w:bookmarkStart w:id="480" w:name="_Toc18567"/>
      <w:r/>
      <w:bookmarkStart w:id="481" w:name="_Toc487900373"/>
      <w:r/>
      <w:bookmarkStart w:id="482" w:name="_Toc279701263"/>
      <w:r/>
      <w:bookmarkStart w:id="483" w:name="_Toc10330"/>
      <w:r/>
      <w:bookmarkStart w:id="484" w:name="_Toc259093692"/>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16</w:t>
      </w: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lang w:val="zh-CN"/>
        </w:rPr>
        <w:t xml:space="preserve">合同使用的文字和</w:t>
      </w:r>
      <w:r>
        <w:rPr>
          <w:rFonts w:ascii="宋体" w:hAnsi="宋体"/>
          <w:b/>
          <w:bCs/>
          <w:color w:val="000000"/>
          <w:sz w:val="24"/>
          <w:szCs w:val="24"/>
          <w:highlight w:val="none"/>
          <w:lang w:val="zh-CN"/>
        </w:rPr>
        <w:t xml:space="preserve">适用的法律</w:t>
      </w:r>
      <w:bookmarkEnd w:id="479"/>
      <w:r/>
      <w:bookmarkEnd w:id="480"/>
      <w:r/>
      <w:bookmarkEnd w:id="481"/>
      <w:r/>
      <w:bookmarkEnd w:id="482"/>
      <w:r/>
      <w:bookmarkEnd w:id="483"/>
      <w:r/>
      <w:bookmarkEnd w:id="484"/>
      <w:r>
        <w:rPr>
          <w:rFonts w:ascii="宋体" w:hAnsi="宋体"/>
          <w:b/>
          <w:bCs/>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16.1合同使用</w:t>
      </w:r>
      <w:r>
        <w:rPr>
          <w:rFonts w:hint="eastAsia" w:ascii="宋体" w:hAnsi="宋体"/>
          <w:color w:val="000000"/>
          <w:sz w:val="24"/>
          <w:szCs w:val="24"/>
          <w:highlight w:val="none"/>
        </w:rPr>
        <w:t xml:space="preserve">汉语书写、变更和</w:t>
      </w:r>
      <w:r>
        <w:rPr>
          <w:rFonts w:ascii="宋体" w:hAnsi="宋体"/>
          <w:color w:val="000000"/>
          <w:sz w:val="24"/>
          <w:szCs w:val="24"/>
          <w:highlight w:val="none"/>
        </w:rPr>
        <w:t xml:space="preserve">解释</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.2合同适用</w:t>
      </w:r>
      <w:r>
        <w:rPr>
          <w:rFonts w:ascii="宋体" w:hAnsi="宋体"/>
          <w:color w:val="000000"/>
          <w:sz w:val="24"/>
          <w:szCs w:val="24"/>
          <w:highlight w:val="none"/>
        </w:rPr>
        <w:t xml:space="preserve">中华人民共和国法律。</w:t>
      </w:r>
      <w:r>
        <w:rPr>
          <w:rFonts w:ascii="宋体" w:hAnsi="宋体"/>
          <w:color w:val="000000"/>
          <w:sz w:val="24"/>
          <w:szCs w:val="24"/>
          <w:highlight w:val="none"/>
        </w:rPr>
      </w:r>
      <w:r/>
    </w:p>
    <w:p>
      <w:pPr>
        <w:pStyle w:val="1013"/>
        <w:ind w:firstLine="437"/>
        <w:spacing w:line="400" w:lineRule="exact"/>
        <w:rPr>
          <w:rFonts w:ascii="宋体" w:hAnsi="宋体"/>
          <w:b/>
          <w:color w:val="000000"/>
          <w:sz w:val="24"/>
          <w:szCs w:val="24"/>
          <w:highlight w:val="none"/>
        </w:rPr>
        <w:outlineLvl w:val="2"/>
      </w:pPr>
      <w:r/>
      <w:bookmarkStart w:id="485" w:name="_Toc6885"/>
      <w:r/>
      <w:bookmarkStart w:id="486" w:name="_Toc19890"/>
      <w:r/>
      <w:bookmarkStart w:id="487" w:name="_Toc14001"/>
      <w:r>
        <w:rPr>
          <w:rFonts w:hint="eastAsia" w:ascii="宋体" w:hAnsi="宋体"/>
          <w:b/>
          <w:bCs/>
          <w:color w:val="000000"/>
          <w:sz w:val="24"/>
          <w:szCs w:val="24"/>
          <w:highlight w:val="none"/>
          <w:lang w:val="zh-CN"/>
        </w:rPr>
        <w:t xml:space="preserve">2.</w:t>
      </w:r>
      <w:r>
        <w:rPr>
          <w:rFonts w:ascii="宋体" w:hAnsi="宋体"/>
          <w:b/>
          <w:bCs/>
          <w:color w:val="000000"/>
          <w:sz w:val="24"/>
          <w:szCs w:val="24"/>
          <w:highlight w:val="none"/>
          <w:lang w:val="zh-CN"/>
        </w:rPr>
        <w:t xml:space="preserve">1</w:t>
      </w:r>
      <w:r>
        <w:rPr>
          <w:rFonts w:hint="eastAsia" w:ascii="宋体" w:hAnsi="宋体"/>
          <w:b/>
          <w:bCs/>
          <w:color w:val="000000"/>
          <w:sz w:val="24"/>
          <w:szCs w:val="24"/>
          <w:highlight w:val="none"/>
        </w:rPr>
        <w:t xml:space="preserve">7</w:t>
      </w:r>
      <w:r>
        <w:rPr>
          <w:rFonts w:hint="eastAsia" w:ascii="宋体" w:hAnsi="宋体"/>
          <w:b/>
          <w:bCs/>
          <w:color w:val="000000"/>
          <w:sz w:val="24"/>
          <w:szCs w:val="24"/>
          <w:highlight w:val="none"/>
          <w:lang w:val="zh-CN"/>
        </w:rPr>
        <w:t xml:space="preserve"> 合同份数</w:t>
      </w:r>
      <w:bookmarkEnd w:id="485"/>
      <w:r/>
      <w:bookmarkEnd w:id="486"/>
      <w:r/>
      <w:bookmarkEnd w:id="487"/>
      <w:r>
        <w:rPr>
          <w:rFonts w:ascii="宋体" w:hAnsi="宋体"/>
          <w:b/>
          <w:color w:val="000000"/>
          <w:sz w:val="24"/>
          <w:szCs w:val="24"/>
          <w:highlight w:val="none"/>
        </w:rPr>
      </w:r>
      <w:r/>
    </w:p>
    <w:p>
      <w:pPr>
        <w:pStyle w:val="1013"/>
        <w:ind w:firstLine="435"/>
        <w:spacing w:line="400" w:lineRule="exact"/>
        <w:rPr>
          <w:rFonts w:ascii="宋体" w:hAnsi="宋体"/>
          <w:color w:val="000000"/>
          <w:sz w:val="24"/>
          <w:szCs w:val="24"/>
          <w:highlight w:val="none"/>
        </w:rPr>
      </w:pPr>
      <w:r>
        <w:rPr>
          <w:rFonts w:ascii="宋体" w:hAnsi="宋体"/>
          <w:color w:val="000000"/>
          <w:sz w:val="24"/>
          <w:szCs w:val="24"/>
          <w:highlight w:val="none"/>
        </w:rPr>
        <w:t xml:space="preserve">合同份数按</w:t>
      </w:r>
      <w:r>
        <w:rPr>
          <w:rFonts w:ascii="宋体" w:hAnsi="宋体"/>
          <w:b/>
          <w:i/>
          <w:color w:val="000000"/>
          <w:sz w:val="24"/>
          <w:szCs w:val="24"/>
          <w:highlight w:val="none"/>
          <w:u w:val="single"/>
        </w:rPr>
        <w:t xml:space="preserve">合同专用条款</w:t>
      </w:r>
      <w:r>
        <w:rPr>
          <w:rFonts w:ascii="宋体" w:hAnsi="宋体"/>
          <w:color w:val="000000"/>
          <w:sz w:val="24"/>
          <w:szCs w:val="24"/>
          <w:highlight w:val="none"/>
        </w:rPr>
        <w:t xml:space="preserve">规定</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每份均具有同等法律效力</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3"/>
        <w:jc w:val="center"/>
        <w:spacing w:line="360" w:lineRule="auto"/>
        <w:rPr>
          <w:rFonts w:ascii="宋体" w:hAnsi="宋体"/>
          <w:b/>
          <w:color w:val="000000"/>
          <w:sz w:val="24"/>
          <w:highlight w:val="none"/>
        </w:rPr>
        <w:outlineLvl w:val="1"/>
      </w:pPr>
      <w:r>
        <w:rPr>
          <w:rFonts w:ascii="宋体" w:hAnsi="宋体"/>
          <w:color w:val="000000"/>
          <w:sz w:val="24"/>
          <w:szCs w:val="24"/>
          <w:highlight w:val="none"/>
        </w:rPr>
        <w:br w:type="page" w:clear="all"/>
      </w:r>
      <w:bookmarkStart w:id="488" w:name="_Toc30058"/>
      <w:r/>
      <w:bookmarkStart w:id="489" w:name="_Toc331685784"/>
      <w:r/>
      <w:bookmarkStart w:id="490" w:name="_Toc10171"/>
      <w:r>
        <w:rPr>
          <w:rFonts w:hint="eastAsia" w:ascii="黑体" w:hAnsi="黑体" w:eastAsia="黑体" w:cs="黑体"/>
          <w:bCs/>
          <w:color w:val="000000"/>
          <w:sz w:val="30"/>
          <w:szCs w:val="30"/>
          <w:highlight w:val="none"/>
        </w:rPr>
        <w:t xml:space="preserve">第三部分 合同专用条款</w:t>
      </w:r>
      <w:bookmarkEnd w:id="488"/>
      <w:r/>
      <w:bookmarkEnd w:id="489"/>
      <w:r/>
      <w:bookmarkEnd w:id="490"/>
      <w:r>
        <w:rPr>
          <w:rFonts w:ascii="宋体" w:hAnsi="宋体"/>
          <w:b/>
          <w:color w:val="000000"/>
          <w:sz w:val="24"/>
          <w:highlight w:val="none"/>
        </w:rPr>
      </w:r>
      <w:r/>
    </w:p>
    <w:p>
      <w:pPr>
        <w:pStyle w:val="1013"/>
        <w:ind w:firstLine="435"/>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本部分</w:t>
      </w:r>
      <w:r>
        <w:rPr>
          <w:rFonts w:ascii="宋体" w:hAnsi="宋体"/>
          <w:color w:val="000000"/>
          <w:sz w:val="24"/>
          <w:szCs w:val="24"/>
          <w:highlight w:val="none"/>
        </w:rPr>
        <w:t xml:space="preserve">是对</w:t>
      </w:r>
      <w:r>
        <w:rPr>
          <w:rFonts w:hint="eastAsia" w:ascii="宋体" w:hAnsi="宋体"/>
          <w:color w:val="000000"/>
          <w:sz w:val="24"/>
          <w:szCs w:val="24"/>
          <w:highlight w:val="none"/>
        </w:rPr>
        <w:t xml:space="preserve">前两</w:t>
      </w:r>
      <w:r>
        <w:rPr>
          <w:rFonts w:ascii="宋体" w:hAnsi="宋体"/>
          <w:color w:val="000000"/>
          <w:sz w:val="24"/>
          <w:szCs w:val="24"/>
          <w:highlight w:val="none"/>
        </w:rPr>
        <w:t xml:space="preserve">部分的补充和修改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如果</w:t>
      </w:r>
      <w:r>
        <w:rPr>
          <w:rFonts w:hint="eastAsia" w:ascii="宋体" w:hAnsi="宋体"/>
          <w:color w:val="000000"/>
          <w:sz w:val="24"/>
          <w:szCs w:val="24"/>
          <w:highlight w:val="none"/>
        </w:rPr>
        <w:t xml:space="preserve">前两</w:t>
      </w:r>
      <w:r>
        <w:rPr>
          <w:rFonts w:ascii="宋体" w:hAnsi="宋体"/>
          <w:color w:val="000000"/>
          <w:sz w:val="24"/>
          <w:szCs w:val="24"/>
          <w:highlight w:val="none"/>
        </w:rPr>
        <w:t xml:space="preserve">部分和本部分的约定不一致</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应以本部分的约定为准</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本部分的条款号应与</w:t>
      </w:r>
      <w:r>
        <w:rPr>
          <w:rFonts w:hint="eastAsia" w:ascii="宋体" w:hAnsi="宋体"/>
          <w:color w:val="000000"/>
          <w:sz w:val="24"/>
          <w:szCs w:val="24"/>
          <w:highlight w:val="none"/>
        </w:rPr>
        <w:t xml:space="preserve">前两部分</w:t>
      </w:r>
      <w:r>
        <w:rPr>
          <w:rFonts w:ascii="宋体" w:hAnsi="宋体"/>
          <w:color w:val="000000"/>
          <w:sz w:val="24"/>
          <w:szCs w:val="24"/>
          <w:highlight w:val="none"/>
        </w:rPr>
        <w:t xml:space="preserve">的条款号保持对应</w:t>
      </w:r>
      <w:r>
        <w:rPr>
          <w:rFonts w:hint="eastAsia" w:ascii="宋体" w:hAnsi="宋体"/>
          <w:color w:val="000000"/>
          <w:sz w:val="24"/>
          <w:szCs w:val="24"/>
          <w:highlight w:val="none"/>
        </w:rPr>
        <w:t xml:space="preserve">；与前两部分</w:t>
      </w:r>
      <w:r>
        <w:rPr>
          <w:rFonts w:ascii="宋体" w:hAnsi="宋体"/>
          <w:color w:val="000000"/>
          <w:sz w:val="24"/>
          <w:szCs w:val="24"/>
          <w:highlight w:val="none"/>
        </w:rPr>
        <w:t xml:space="preserve">无对应关系的内容可另行编制条款号</w:t>
      </w:r>
      <w:r>
        <w:rPr>
          <w:rFonts w:hint="eastAsia" w:ascii="宋体" w:hAnsi="宋体"/>
          <w:color w:val="000000"/>
          <w:sz w:val="24"/>
          <w:szCs w:val="24"/>
          <w:highlight w:val="none"/>
        </w:rPr>
        <w:t xml:space="preserve">。</w:t>
      </w:r>
      <w:r>
        <w:rPr>
          <w:rFonts w:ascii="宋体" w:hAnsi="宋体"/>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342"/>
        <w:gridCol w:w="7667"/>
      </w:tblGrid>
      <w:tr>
        <w:trPr>
          <w:trHeight w:val="391"/>
        </w:trPr>
        <w:tc>
          <w:tcPr>
            <w:tcW w:w="745" w:type="dxa"/>
            <w:vAlign w:val="center"/>
            <w:textDirection w:val="lrTb"/>
            <w:noWrap w:val="false"/>
          </w:tcPr>
          <w:p>
            <w:pPr>
              <w:pStyle w:val="1013"/>
              <w:jc w:val="center"/>
              <w:rPr>
                <w:rFonts w:ascii="宋体" w:hAnsi="宋体"/>
                <w:b/>
                <w:color w:val="000000"/>
                <w:sz w:val="24"/>
                <w:szCs w:val="24"/>
                <w:highlight w:val="none"/>
              </w:rPr>
            </w:pPr>
            <w:r>
              <w:rPr>
                <w:rFonts w:ascii="宋体" w:hAnsi="宋体"/>
                <w:b/>
                <w:color w:val="000000"/>
                <w:sz w:val="24"/>
                <w:szCs w:val="24"/>
                <w:highlight w:val="none"/>
              </w:rPr>
              <w:t xml:space="preserve">条款号</w:t>
            </w:r>
            <w:r>
              <w:rPr>
                <w:rFonts w:ascii="宋体" w:hAnsi="宋体"/>
                <w:b/>
                <w:color w:val="000000"/>
                <w:sz w:val="24"/>
                <w:szCs w:val="24"/>
                <w:highlight w:val="none"/>
              </w:rPr>
            </w:r>
            <w:r/>
          </w:p>
        </w:tc>
        <w:tc>
          <w:tcPr>
            <w:tcW w:w="4254" w:type="dxa"/>
            <w:vAlign w:val="center"/>
            <w:textDirection w:val="lrTb"/>
            <w:noWrap w:val="false"/>
          </w:tcPr>
          <w:p>
            <w:pPr>
              <w:pStyle w:val="1013"/>
              <w:jc w:val="center"/>
              <w:rPr>
                <w:rFonts w:ascii="宋体" w:hAnsi="宋体"/>
                <w:b/>
                <w:color w:val="000000"/>
                <w:sz w:val="24"/>
                <w:szCs w:val="24"/>
                <w:highlight w:val="none"/>
              </w:rPr>
            </w:pPr>
            <w:r>
              <w:rPr>
                <w:rFonts w:ascii="宋体" w:hAnsi="宋体"/>
                <w:b/>
                <w:color w:val="000000"/>
                <w:sz w:val="24"/>
                <w:szCs w:val="24"/>
                <w:highlight w:val="none"/>
              </w:rPr>
              <w:t xml:space="preserve">约定内容</w:t>
            </w:r>
            <w:r>
              <w:rPr>
                <w:rFonts w:ascii="宋体" w:hAnsi="宋体"/>
                <w:b/>
                <w:color w:val="000000"/>
                <w:sz w:val="24"/>
                <w:szCs w:val="24"/>
                <w:highlight w:val="none"/>
              </w:rPr>
            </w:r>
            <w:r/>
          </w:p>
        </w:tc>
      </w:tr>
      <w:tr>
        <w:trPr>
          <w:trHeight w:val="88"/>
        </w:trPr>
        <w:tc>
          <w:tcPr>
            <w:tcW w:w="745" w:type="dxa"/>
            <w:vAlign w:val="center"/>
            <w:textDirection w:val="lrTb"/>
            <w:noWrap w:val="false"/>
          </w:tcPr>
          <w:p>
            <w:pPr>
              <w:pStyle w:val="10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254" w:type="dxa"/>
            <w:vAlign w:val="center"/>
            <w:textDirection w:val="lrTb"/>
            <w:noWrap w:val="false"/>
          </w:tcPr>
          <w:p>
            <w:pPr>
              <w:pStyle w:val="1013"/>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352"/>
        </w:trPr>
        <w:tc>
          <w:tcPr>
            <w:tcW w:w="745" w:type="dxa"/>
            <w:vAlign w:val="center"/>
            <w:textDirection w:val="lrTb"/>
            <w:noWrap w:val="false"/>
          </w:tcPr>
          <w:p>
            <w:pPr>
              <w:pStyle w:val="1013"/>
              <w:jc w:val="center"/>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352"/>
        </w:trPr>
        <w:tc>
          <w:tcPr>
            <w:tcW w:w="745" w:type="dxa"/>
            <w:vAlign w:val="center"/>
            <w:textDirection w:val="lrTb"/>
            <w:noWrap w:val="false"/>
          </w:tcPr>
          <w:p>
            <w:pPr>
              <w:pStyle w:val="10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352"/>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352"/>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r>
      <w:tr>
        <w:trPr>
          <w:trHeight w:val="65"/>
        </w:trPr>
        <w:tc>
          <w:tcPr>
            <w:tcW w:w="745"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c>
          <w:tcPr>
            <w:tcW w:w="4254" w:type="dxa"/>
            <w:vAlign w:val="center"/>
            <w:textDirection w:val="lrTb"/>
            <w:noWrap w:val="false"/>
          </w:tcPr>
          <w:p>
            <w:pPr>
              <w:pStyle w:val="1013"/>
              <w:spacing w:line="560" w:lineRule="exact"/>
              <w:rPr>
                <w:rFonts w:ascii="宋体" w:hAnsi="宋体"/>
                <w:color w:val="000000"/>
                <w:sz w:val="24"/>
                <w:szCs w:val="24"/>
                <w:highlight w:val="none"/>
              </w:rPr>
            </w:pPr>
            <w:r>
              <w:rPr>
                <w:rFonts w:ascii="宋体" w:hAnsi="宋体"/>
                <w:color w:val="000000"/>
                <w:sz w:val="24"/>
                <w:szCs w:val="24"/>
                <w:highlight w:val="none"/>
              </w:rPr>
            </w:r>
            <w:r/>
          </w:p>
        </w:tc>
      </w:tr>
    </w:tbl>
    <w:p>
      <w:pPr>
        <w:pStyle w:val="101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3"/>
        <w:rPr>
          <w:color w:val="000000"/>
          <w:highlight w:val="none"/>
        </w:rPr>
      </w:pPr>
      <w:r>
        <w:rPr>
          <w:color w:val="000000"/>
          <w:highlight w:val="none"/>
        </w:rPr>
      </w:r>
      <w:r/>
    </w:p>
    <w:p>
      <w:pPr>
        <w:pStyle w:val="1013"/>
        <w:jc w:val="center"/>
        <w:spacing w:line="360" w:lineRule="auto"/>
        <w:rPr>
          <w:rFonts w:hint="eastAsia" w:ascii="宋体" w:hAnsi="宋体" w:cs="宋体"/>
          <w:color w:val="000000"/>
          <w:sz w:val="24"/>
          <w:szCs w:val="24"/>
          <w:highlight w:val="none"/>
        </w:rPr>
        <w:outlineLvl w:val="0"/>
      </w:pPr>
      <w:r/>
      <w:bookmarkEnd w:id="346"/>
      <w:r/>
      <w:bookmarkEnd w:id="347"/>
      <w:r/>
      <w:bookmarkEnd w:id="348"/>
      <w:r/>
      <w:bookmarkEnd w:id="349"/>
      <w:r/>
      <w:bookmarkStart w:id="491" w:name="_Toc20823346"/>
      <w:r/>
      <w:bookmarkStart w:id="492" w:name="_Hlt16619350"/>
      <w:r/>
      <w:bookmarkStart w:id="493" w:name="_Toc16938590"/>
      <w:r/>
      <w:bookmarkStart w:id="494" w:name="_Toc120614244"/>
      <w:r/>
      <w:bookmarkStart w:id="495" w:name="_Toc479757211"/>
      <w:r/>
      <w:bookmarkStart w:id="496" w:name="_Toc462564139"/>
      <w:r>
        <w:rPr>
          <w:rFonts w:hint="eastAsia" w:ascii="宋体" w:hAnsi="宋体" w:cs="宋体"/>
          <w:color w:val="000000"/>
          <w:sz w:val="44"/>
          <w:highlight w:val="none"/>
        </w:rPr>
        <w:br w:type="page" w:clear="all"/>
      </w:r>
      <w:bookmarkEnd w:id="491"/>
      <w:r/>
      <w:bookmarkEnd w:id="492"/>
      <w:r/>
      <w:bookmarkEnd w:id="493"/>
      <w:r/>
      <w:bookmarkEnd w:id="494"/>
      <w:r/>
      <w:bookmarkStart w:id="497" w:name="_Toc26626"/>
      <w:r/>
      <w:bookmarkStart w:id="498" w:name="_Toc4297"/>
      <w:r/>
      <w:bookmarkStart w:id="499" w:name="_Toc26554093"/>
      <w:r/>
      <w:bookmarkStart w:id="500" w:name="_Toc12887272"/>
      <w:r/>
      <w:bookmarkStart w:id="501" w:name="_Toc49090575"/>
      <w:r>
        <w:rPr>
          <w:rFonts w:hint="eastAsia" w:ascii="黑体" w:hAnsi="黑体" w:eastAsia="黑体" w:cs="黑体"/>
          <w:color w:val="000000"/>
          <w:sz w:val="40"/>
          <w:szCs w:val="40"/>
          <w:highlight w:val="none"/>
        </w:rPr>
        <w:t xml:space="preserve">第四章  采购需求</w:t>
      </w:r>
      <w:bookmarkEnd w:id="497"/>
      <w:r/>
      <w:bookmarkEnd w:id="498"/>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1"/>
      </w:pPr>
      <w:r/>
      <w:bookmarkStart w:id="502" w:name="_Toc21457"/>
      <w:r/>
      <w:bookmarkStart w:id="503" w:name="_Toc28409"/>
      <w:r/>
      <w:bookmarkStart w:id="504" w:name="_Toc28001"/>
      <w:r/>
      <w:bookmarkStart w:id="505" w:name="_Toc22027"/>
      <w:r/>
      <w:bookmarkStart w:id="506" w:name="_Toc17400"/>
      <w:r>
        <w:rPr>
          <w:rFonts w:hint="eastAsia" w:ascii="黑体" w:hAnsi="黑体" w:eastAsia="黑体" w:cs="黑体"/>
          <w:color w:val="000000"/>
          <w:sz w:val="24"/>
          <w:szCs w:val="24"/>
          <w:highlight w:val="none"/>
          <w:lang w:val="en-US" w:eastAsia="zh-CN"/>
        </w:rPr>
        <w:t xml:space="preserve">一、技术要求</w:t>
      </w:r>
      <w:bookmarkEnd w:id="502"/>
      <w:r/>
      <w:bookmarkEnd w:id="503"/>
      <w:r>
        <w:rPr>
          <w:rFonts w:hint="eastAsia" w:ascii="黑体" w:hAnsi="黑体" w:eastAsia="黑体" w:cs="黑体"/>
          <w:color w:val="000000"/>
          <w:sz w:val="24"/>
          <w:szCs w:val="24"/>
          <w:highlight w:val="none"/>
          <w:lang w:val="en-US" w:eastAsia="zh-CN"/>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（一）总体要求</w:t>
      </w:r>
      <w:r>
        <w:rPr>
          <w:rFonts w:hint="eastAsia" w:ascii="黑体" w:hAnsi="黑体" w:eastAsia="黑体" w:cs="黑体"/>
          <w:color w:val="000000"/>
          <w:sz w:val="24"/>
          <w:szCs w:val="24"/>
          <w:highlight w:val="none"/>
          <w:lang w:val="en-US" w:eastAsia="zh-CN"/>
        </w:rPr>
      </w:r>
      <w:r/>
    </w:p>
    <w:p>
      <w:pPr>
        <w:pStyle w:val="1126"/>
        <w:ind w:firstLine="480"/>
        <w:jc w:val="both"/>
        <w:spacing w:line="440" w:lineRule="exact"/>
        <w:tabs>
          <w:tab w:val="left" w:pos="7958" w:leader="none"/>
          <w:tab w:val="left" w:pos="9016" w:leader="underscore"/>
          <w:tab w:val="left" w:pos="9029" w:leader="none"/>
        </w:tabs>
        <w:rPr>
          <w:rFonts w:ascii="黑体" w:hAnsi="黑体" w:eastAsia="黑体" w:cs="黑体"/>
          <w:color w:val="000000"/>
          <w:sz w:val="24"/>
          <w:szCs w:val="24"/>
          <w:highlight w:val="none"/>
          <w:lang w:val="en-US" w:eastAsia="zh-CN"/>
        </w:rPr>
        <w:outlineLvl w:val="3"/>
      </w:pPr>
      <w:r>
        <w:rPr>
          <w:rFonts w:hint="eastAsia" w:ascii="黑体" w:hAnsi="黑体" w:eastAsia="黑体" w:cs="黑体"/>
          <w:color w:val="000000"/>
          <w:sz w:val="24"/>
          <w:szCs w:val="24"/>
          <w:highlight w:val="none"/>
          <w:lang w:val="en-US" w:eastAsia="zh-CN"/>
        </w:rPr>
        <w:t xml:space="preserve">1、项目背景</w:t>
      </w:r>
      <w:r>
        <w:rPr>
          <w:rFonts w:ascii="黑体" w:hAnsi="黑体" w:eastAsia="黑体" w:cs="黑体"/>
          <w:color w:val="000000"/>
          <w:sz w:val="24"/>
          <w:szCs w:val="24"/>
          <w:highlight w:val="none"/>
          <w:lang w:val="en-US" w:eastAsia="zh-CN"/>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无锡工艺职业技术学院为进一步改善数字经济学院实训中心实训条件，实现教学全流程的数字化与信息化，现需采购跨境电商及AI数字人综合实训系统及服务（包含：AI+数智化电商推广与趋势分析实训平台、Al+数字人直播高校实训平台、跨境电商综合实训软件、跨境直播运营与销售软件、商务数据分析</w:t>
      </w:r>
      <w:r>
        <w:rPr>
          <w:rFonts w:hint="eastAsia"/>
          <w:color w:val="000000"/>
          <w:sz w:val="24"/>
          <w:szCs w:val="24"/>
          <w:highlight w:val="none"/>
        </w:rPr>
        <w:t xml:space="preserve">与应用软件、跨境电商运营决策沙盘软件、《速卖通平台运营专项》课程资源包、《跨境电商基础与实务》课程资源包、《跨境电商营销推广》课程资源包、《跨境电商运营实务》课程资源包、《跨境电商直播》课程资源包、《AI电商认知与素养》课程资源包、《AI电商综合实战》课程资源包、电子商务专业国际化标准认证服务），平台及课程通过其丰富的功能和特点，为教师和学生提供全面的教学支持和学习体验，提升教学效果和效率，促进教育的数字化转型和创新，通过一站式教学、自学、实训、考试和评价等功能，提供全面的教学流程支持和国际化标准认证服务。</w:t>
      </w:r>
      <w:r>
        <w:rPr>
          <w:rFonts w:hint="eastAsia"/>
          <w:color w:val="000000"/>
          <w:sz w:val="24"/>
          <w:szCs w:val="24"/>
          <w:highlight w:val="none"/>
        </w:rPr>
      </w:r>
      <w:r/>
    </w:p>
    <w:p>
      <w:pPr>
        <w:pStyle w:val="1013"/>
        <w:ind w:firstLine="480"/>
        <w:spacing w:line="440" w:lineRule="exact"/>
        <w:rPr>
          <w:rFonts w:hint="eastAsia" w:ascii="黑体" w:hAnsi="黑体" w:eastAsia="黑体" w:cs="黑体"/>
          <w:color w:val="000000"/>
          <w:sz w:val="24"/>
          <w:szCs w:val="24"/>
          <w:highlight w:val="none"/>
        </w:rPr>
        <w:outlineLvl w:val="3"/>
      </w:pPr>
      <w:r/>
      <w:bookmarkStart w:id="507" w:name="_Toc10344"/>
      <w:r/>
      <w:bookmarkStart w:id="508" w:name="_Toc17489"/>
      <w:r/>
      <w:bookmarkStart w:id="509" w:name="_Toc31963"/>
      <w:r/>
      <w:bookmarkStart w:id="510" w:name="_Toc9105"/>
      <w:r/>
      <w:bookmarkStart w:id="511" w:name="_Toc12187"/>
      <w:r/>
      <w:bookmarkStart w:id="512" w:name="_Toc18118"/>
      <w:r/>
      <w:bookmarkStart w:id="513" w:name="_Toc12383"/>
      <w:r>
        <w:rPr>
          <w:rFonts w:hint="eastAsia" w:ascii="黑体" w:hAnsi="黑体" w:eastAsia="黑体" w:cs="黑体"/>
          <w:color w:val="000000"/>
          <w:sz w:val="24"/>
          <w:szCs w:val="24"/>
          <w:highlight w:val="none"/>
        </w:rPr>
        <w:t xml:space="preserve">2、</w:t>
      </w:r>
      <w:bookmarkEnd w:id="507"/>
      <w:r/>
      <w:bookmarkEnd w:id="508"/>
      <w:r/>
      <w:bookmarkEnd w:id="509"/>
      <w:r/>
      <w:bookmarkEnd w:id="510"/>
      <w:r/>
      <w:bookmarkEnd w:id="511"/>
      <w:r/>
      <w:bookmarkEnd w:id="512"/>
      <w:r/>
      <w:bookmarkEnd w:id="513"/>
      <w:r>
        <w:rPr>
          <w:rFonts w:hint="eastAsia" w:ascii="黑体" w:hAnsi="黑体" w:eastAsia="黑体" w:cs="黑体"/>
          <w:color w:val="000000"/>
          <w:sz w:val="24"/>
          <w:szCs w:val="24"/>
          <w:highlight w:val="none"/>
        </w:rPr>
        <w:t xml:space="preserve">项目服务遵循标准</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遵循国家、行业及地方现行的规范和标准要求。</w:t>
      </w:r>
      <w:r>
        <w:rPr>
          <w:rFonts w:hint="eastAsia" w:ascii="宋体" w:hAnsi="宋体" w:cs="宋体"/>
          <w:color w:val="000000"/>
          <w:sz w:val="24"/>
          <w:szCs w:val="24"/>
          <w:highlight w:val="none"/>
        </w:rPr>
      </w:r>
      <w:r/>
    </w:p>
    <w:p>
      <w:pPr>
        <w:pStyle w:val="1013"/>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3、服务地点</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无锡宜兴市荆邑南路99号。</w:t>
      </w:r>
      <w:r>
        <w:rPr>
          <w:rFonts w:hint="eastAsia" w:ascii="宋体" w:hAnsi="宋体" w:cs="宋体"/>
          <w:color w:val="000000"/>
          <w:sz w:val="24"/>
          <w:szCs w:val="24"/>
          <w:highlight w:val="none"/>
        </w:rPr>
      </w:r>
      <w:r/>
    </w:p>
    <w:p>
      <w:pPr>
        <w:pStyle w:val="1013"/>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4、采购标的清单</w:t>
      </w:r>
      <w:r>
        <w:rPr>
          <w:rFonts w:hint="eastAsia" w:ascii="黑体" w:hAnsi="黑体" w:eastAsia="黑体" w:cs="黑体"/>
          <w:color w:val="000000"/>
          <w:sz w:val="24"/>
          <w:szCs w:val="24"/>
          <w:highlight w:val="none"/>
        </w:rPr>
      </w:r>
      <w:r/>
    </w:p>
    <w:p>
      <w:pPr>
        <w:pStyle w:val="1013"/>
        <w:jc w:val="center"/>
        <w:spacing w:line="360"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采购标的对应的中小企业划分标准所属行业一览表</w:t>
      </w:r>
      <w:r>
        <w:rPr>
          <w:rFonts w:ascii="黑体" w:hAnsi="黑体" w:eastAsia="黑体" w:cs="黑体"/>
          <w:color w:val="000000"/>
          <w:sz w:val="24"/>
          <w:szCs w:val="24"/>
          <w:highlight w:val="none"/>
        </w:rPr>
      </w:r>
      <w:r/>
    </w:p>
    <w:tbl>
      <w:tblPr>
        <w:tblW w:w="925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2"/>
        <w:gridCol w:w="4450"/>
        <w:gridCol w:w="3920"/>
      </w:tblGrid>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对应中小企业划分标准所属行业</w:t>
            </w:r>
            <w:r>
              <w:rPr>
                <w:rFonts w:hint="eastAsia" w:ascii="宋体" w:hAnsi="宋体" w:eastAsia="宋体" w:cs="宋体"/>
                <w:b/>
                <w:bCs/>
                <w:color w:val="000000"/>
                <w:sz w:val="24"/>
                <w:szCs w:val="24"/>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AI+数智化电商推广与趋势分析实训平台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Al+数字人直播高校实训平台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跨境电商综合实训软件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跨境直播运营与销售软件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商务数据分析与应用软件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跨境电商运营决策沙盘软件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《速卖通平台运营专项》课程资源包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358"/>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《跨境电商基础与实务》课程资源包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《跨境电商营销推广》课程资源包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《跨境电商运营实务》课程资源包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《跨境电商直播》课程资源包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《AI电商认知与素养》课程资源包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2"/>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《AI电商综合实战》课程资源包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r>
        <w:trPr>
          <w:trHeight w:val="188"/>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101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电子商务专业国际化标准认证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101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r>
    </w:tbl>
    <w:p>
      <w:pPr>
        <w:pStyle w:val="1013"/>
        <w:numPr>
          <w:ilvl w:val="1"/>
          <w:numId w:val="0"/>
        </w:numPr>
        <w:ind w:firstLine="480"/>
        <w:spacing w:line="440" w:lineRule="exact"/>
        <w:rPr>
          <w:rFonts w:hint="eastAsia" w:ascii="黑体" w:hAnsi="黑体" w:eastAsia="黑体" w:cs="黑体"/>
          <w:color w:val="000000"/>
          <w:sz w:val="24"/>
          <w:szCs w:val="24"/>
          <w:highlight w:val="none"/>
        </w:rPr>
        <w:outlineLvl w:val="2"/>
      </w:pPr>
      <w:r/>
      <w:bookmarkStart w:id="514" w:name="_Toc21190"/>
      <w:r/>
      <w:bookmarkStart w:id="515" w:name="_Toc18544"/>
      <w:r/>
      <w:bookmarkStart w:id="516" w:name="_Toc28699"/>
      <w:r/>
      <w:bookmarkStart w:id="517" w:name="_Toc10280"/>
      <w:r/>
      <w:bookmarkStart w:id="518" w:name="_Toc14102"/>
      <w:r/>
      <w:bookmarkStart w:id="519" w:name="_Toc15726"/>
      <w:r/>
      <w:bookmarkStart w:id="520" w:name="_Toc7613"/>
      <w:r>
        <w:rPr>
          <w:rFonts w:hint="eastAsia" w:ascii="黑体" w:hAnsi="黑体" w:eastAsia="黑体" w:cs="黑体"/>
          <w:color w:val="000000"/>
          <w:sz w:val="24"/>
          <w:szCs w:val="24"/>
          <w:highlight w:val="none"/>
        </w:rPr>
        <w:t xml:space="preserve">（二）</w:t>
      </w:r>
      <w:bookmarkEnd w:id="514"/>
      <w:r/>
      <w:bookmarkEnd w:id="515"/>
      <w:r/>
      <w:bookmarkEnd w:id="516"/>
      <w:r/>
      <w:bookmarkEnd w:id="517"/>
      <w:r/>
      <w:bookmarkEnd w:id="518"/>
      <w:r/>
      <w:bookmarkEnd w:id="519"/>
      <w:r/>
      <w:bookmarkEnd w:id="520"/>
      <w:r>
        <w:rPr>
          <w:rFonts w:hint="eastAsia" w:ascii="黑体" w:hAnsi="黑体" w:eastAsia="黑体" w:cs="黑体"/>
          <w:color w:val="000000"/>
          <w:sz w:val="24"/>
          <w:szCs w:val="24"/>
          <w:highlight w:val="none"/>
        </w:rPr>
        <w:t xml:space="preserve">具体技术要求</w:t>
      </w:r>
      <w:r>
        <w:rPr>
          <w:rFonts w:hint="eastAsia" w:ascii="黑体" w:hAnsi="黑体" w:eastAsia="黑体" w:cs="黑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bookmarkStart w:id="521" w:name="_Toc28275"/>
      <w:r/>
      <w:bookmarkStart w:id="522" w:name="_Toc27795"/>
      <w:r/>
      <w:bookmarkStart w:id="523" w:name="_Toc6713"/>
      <w:r/>
      <w:bookmarkStart w:id="524" w:name="_Toc28785"/>
      <w:r/>
      <w:bookmarkStart w:id="525" w:name="_Toc11512"/>
      <w:r/>
      <w:bookmarkStart w:id="526" w:name="_Toc27645"/>
      <w:r/>
      <w:bookmarkStart w:id="527" w:name="_Toc30164"/>
      <w:r/>
      <w:bookmarkStart w:id="528" w:name="_Toc30874"/>
      <w:r/>
      <w:bookmarkStart w:id="529" w:name="_Toc5866"/>
      <w:r>
        <w:rPr>
          <w:rFonts w:hint="eastAsia" w:ascii="黑体" w:hAnsi="黑体" w:eastAsia="黑体" w:cs="黑体"/>
          <w:color w:val="000000"/>
          <w:sz w:val="24"/>
          <w:szCs w:val="24"/>
          <w:highlight w:val="none"/>
        </w:rPr>
        <w:t xml:space="preserve">1、</w:t>
      </w:r>
      <w:bookmarkEnd w:id="521"/>
      <w:r/>
      <w:bookmarkEnd w:id="522"/>
      <w:r/>
      <w:bookmarkEnd w:id="523"/>
      <w:r/>
      <w:bookmarkEnd w:id="524"/>
      <w:r/>
      <w:bookmarkEnd w:id="525"/>
      <w:r/>
      <w:bookmarkEnd w:id="526"/>
      <w:r/>
      <w:bookmarkEnd w:id="527"/>
      <w:r/>
      <w:bookmarkEnd w:id="528"/>
      <w:r/>
      <w:bookmarkEnd w:id="529"/>
      <w:r>
        <w:rPr>
          <w:rFonts w:hint="eastAsia" w:ascii="黑体" w:hAnsi="黑体" w:eastAsia="黑体" w:cs="黑体"/>
          <w:color w:val="000000"/>
          <w:sz w:val="24"/>
          <w:szCs w:val="24"/>
          <w:highlight w:val="none"/>
        </w:rPr>
        <w:t xml:space="preserve">建设目标</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顺应数字经济时代产业升级与跨境电商智能化转型需求，提升无锡工业职业技术学院数字经济学院产教融合水平与复合型技能人才培养质量，拟采购6套专业实训软件、7门配套课程资源包及1项国际化标准认证服务。实训软件方面，引入AI+数智化电商推广与趋势分析实训平台，培养学生电商付费推广运营与数据分</w:t>
      </w:r>
      <w:r>
        <w:rPr>
          <w:rFonts w:hint="eastAsia" w:ascii="宋体" w:hAnsi="宋体" w:cs="宋体"/>
          <w:color w:val="000000"/>
          <w:sz w:val="24"/>
          <w:szCs w:val="24"/>
          <w:highlight w:val="none"/>
        </w:rPr>
        <w:t xml:space="preserve">析决策能力；部署AI+数字人直播高校实训平台，覆盖数字人生成、语音合成、智能对话、音视频合成及直播推流全链路，实现一站式数字人直播解决方案；配备跨境电商综合实训软件，涵盖B2C出口、跨境物流与跨境支付三大实训模块，模拟完整跨境交易链路；采购跨境直播运营与销售软件，融合数据化运营、直播话术、短视频及直播销售四类实训主题；搭载商务数据分析与应用软件，贯通数据采集处理、分析方法、可视化与数据报告全流程；引入跨境电商运营决策沙盘软件，让学生在选址、选品、营销、支付、仓储配送、结汇退税等环节进行沉浸式经营博弈。课程资</w:t>
      </w:r>
      <w:r>
        <w:rPr>
          <w:rFonts w:hint="eastAsia" w:ascii="宋体" w:hAnsi="宋体" w:cs="宋体"/>
          <w:color w:val="000000"/>
          <w:sz w:val="24"/>
          <w:szCs w:val="24"/>
          <w:highlight w:val="none"/>
        </w:rPr>
        <w:t xml:space="preserve">源方面，配套7门理实一体化课程资源包：速卖通平台运营专项、跨境电商基础与实务、跨境电商营销推广、跨境电商运营实务、跨境电商直播、AI电商认知与素养、AI电商综合实战，每门课程均包含微课视频、课件、实训设计、案例素材等内容，支撑线上线下混合式教学与自主研学。服务方面，纳入电子商务专业国际化标准认证，通过中外专家研讨指导、中英文材料校对及评审认证注册，推动专业标准与国际接轨。通过本项目建设，力争三年内形成"跨境电商+AI数字人"特色育人模式，打造学院数字经济教育品牌优势，为区域数字经济发展输送高素质应用型人才。</w:t>
      </w:r>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bookmarkStart w:id="530" w:name="_Toc19494"/>
      <w:r/>
      <w:bookmarkStart w:id="531" w:name="_Toc9871"/>
      <w:r/>
      <w:bookmarkStart w:id="532" w:name="_Toc27736"/>
      <w:r/>
      <w:bookmarkStart w:id="533" w:name="_Toc20296"/>
      <w:r/>
      <w:bookmarkStart w:id="534" w:name="_Toc27640"/>
      <w:r/>
      <w:bookmarkStart w:id="535" w:name="_Toc32325"/>
      <w:r/>
      <w:bookmarkStart w:id="536" w:name="_Toc24767"/>
      <w:r/>
      <w:bookmarkStart w:id="537" w:name="_Toc22356"/>
      <w:r>
        <w:rPr>
          <w:rFonts w:hint="eastAsia" w:ascii="黑体" w:hAnsi="黑体" w:eastAsia="黑体" w:cs="黑体"/>
          <w:color w:val="000000"/>
          <w:sz w:val="24"/>
          <w:szCs w:val="24"/>
          <w:highlight w:val="none"/>
        </w:rPr>
        <w:t xml:space="preserve">2、建设需求</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结合目前教学系统现状，对性能不足、追加维保成本过高的核心安全设备进行替换；对尚存使用价值设备，在非关键、非核心环境中复用。主要包括：</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1.要求系统架构按照大型分布式架构设计，支持高并发，高可用的业务需求。支撑大范围专业建设开课要求：适用于Windows操作系统32位/64位版本。</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2.要求系统采用B/S架构，无需安装客户端，使用时只要打开Chrome、火狐、360、QQ、搜狗等国内外主流浏览器即可轻松实现所有操作。</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要求使用SQL Server、MY SQL、Oracle、达梦、Gauss、PolarDB等主流数据库，可通过水平扩展来达到高可用性和高性能。</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要求使用redis缓存数据库来进行用户数据的缓存，增加系统响应速度并优化用户的体验。</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要求系统可以抵御常用攻击手段，如sql注入，CSRF、XSS等。</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.系统采用本地化部署，</w:t>
      </w:r>
      <w:r>
        <w:rPr>
          <w:rFonts w:hint="eastAsia" w:ascii="宋体" w:hAnsi="宋体" w:cs="宋体"/>
          <w:color w:val="000000"/>
          <w:sz w:val="24"/>
          <w:szCs w:val="24"/>
          <w:highlight w:val="none"/>
        </w:rPr>
        <w:t xml:space="preserve">系统可在线升级，在联网情况下支持系统功能远程升级。</w:t>
      </w:r>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3、主要建设内容及清单</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项目包含以下需求清单内产品或服务：</w:t>
      </w:r>
      <w:r>
        <w:rPr>
          <w:rFonts w:hint="eastAsia" w:ascii="宋体" w:hAnsi="宋体" w:cs="宋体"/>
          <w:color w:val="000000"/>
          <w:sz w:val="24"/>
          <w:szCs w:val="24"/>
          <w:highlight w:val="none"/>
        </w:rPr>
      </w:r>
      <w:r/>
    </w:p>
    <w:p>
      <w:pPr>
        <w:pStyle w:val="1013"/>
        <w:ind w:firstLine="482"/>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3.1项目需求清单</w:t>
      </w:r>
      <w:r>
        <w:rPr>
          <w:rFonts w:hint="eastAsia" w:ascii="宋体" w:hAnsi="宋体" w:cs="宋体"/>
          <w:b/>
          <w:bCs/>
          <w:color w:val="000000"/>
          <w:sz w:val="24"/>
          <w:szCs w:val="24"/>
          <w:highlight w:val="none"/>
        </w:rPr>
      </w:r>
      <w:r/>
    </w:p>
    <w:tbl>
      <w:tblPr>
        <w:tblW w:w="833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8"/>
        <w:gridCol w:w="5119"/>
        <w:gridCol w:w="1205"/>
        <w:gridCol w:w="1205"/>
      </w:tblGrid>
      <w:tr>
        <w:trPr>
          <w:trHeight w:val="298"/>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采购标的</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数量</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单位</w:t>
            </w:r>
            <w:r>
              <w:rPr>
                <w:rFonts w:ascii="黑体" w:hAnsi="黑体" w:eastAsia="黑体" w:cs="黑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AI+数智化电商推广与趋势分析实训平台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Al+数字人直播高校实训平台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跨境电商综合实训软件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291"/>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跨境直播运营与销售软件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商务数据分析与应用软件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跨境电商运营决策沙盘软件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《速卖通平台运营专项》课程资源包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《跨境电商基础与实务》课程资源包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《跨境电商营销推广》课程资源包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《跨境电商运营实务》课程资源包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《跨境电商直播》课程资源包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《AI电商认知与素养》课程资源包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24"/>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《AI电商综合实战》课程资源包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rHeight w:val="33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1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电子商务专业国际化标准认证</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r>
    </w:tbl>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4、配置技术指标</w:t>
      </w:r>
      <w:r>
        <w:rPr>
          <w:rFonts w:hint="eastAsia" w:ascii="黑体" w:hAnsi="黑体" w:eastAsia="黑体" w:cs="黑体"/>
          <w:color w:val="000000"/>
          <w:sz w:val="24"/>
          <w:szCs w:val="24"/>
          <w:highlight w:val="none"/>
        </w:rPr>
      </w:r>
      <w:r/>
    </w:p>
    <w:p>
      <w:pPr>
        <w:pStyle w:val="1013"/>
        <w:ind w:firstLine="482"/>
        <w:spacing w:line="440" w:lineRule="exact"/>
        <w:rPr>
          <w:rFonts w:hint="eastAsia" w:ascii="宋体" w:hAnsi="宋体" w:cs="宋体"/>
          <w:color w:val="000000"/>
          <w:sz w:val="24"/>
          <w:szCs w:val="24"/>
          <w:highlight w:val="none"/>
        </w:rPr>
      </w:pPr>
      <w:r>
        <w:rPr>
          <w:rFonts w:hint="eastAsia" w:ascii="宋体" w:hAnsi="宋体" w:cs="宋体"/>
          <w:b/>
          <w:bCs/>
          <w:i/>
          <w:iCs/>
          <w:color w:val="000000"/>
          <w:sz w:val="24"/>
          <w:szCs w:val="24"/>
          <w:highlight w:val="none"/>
          <w:u w:val="single"/>
        </w:rPr>
        <w:t xml:space="preserve">本技术指标为最低要求技术指标，投标人提供的产品配置应当能够保证系统的稳定运行，不因产品的配置造成系统的瓶颈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bl>
      <w:tblPr>
        <w:tblW w:w="939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1"/>
        <w:gridCol w:w="1782"/>
        <w:gridCol w:w="5872"/>
        <w:gridCol w:w="850"/>
      </w:tblGrid>
      <w:tr>
        <w:trPr>
          <w:trHeight w:val="432"/>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采购标的</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技术参数</w:t>
            </w:r>
            <w:r>
              <w:rPr>
                <w:rFonts w:ascii="黑体" w:hAnsi="黑体" w:eastAsia="黑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widowControl/>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数量</w:t>
            </w:r>
            <w:r>
              <w:rPr>
                <w:rFonts w:ascii="黑体" w:hAnsi="黑体" w:eastAsia="黑体" w:cs="黑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AI+数智化电商推广与趋势分析实训平台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智化电商推广与数据分析实训平台是面向数字商贸方向、电商方向或相关专业学生的综合实训平台，以运营推广，尤其是付费推广（类京东快车）为核心，结合数据采集、智能分析、实训考核，培养学生的电商数据分析与运营决策能力。</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1.推广中心（类京东快车）</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color w:val="000000"/>
                <w:sz w:val="24"/>
                <w:szCs w:val="24"/>
                <w:highlight w:val="none"/>
                <w:u w:val="single"/>
              </w:rPr>
            </w:pPr>
            <w:r>
              <w:rPr>
                <w:rFonts w:hint="eastAsia" w:ascii="宋体" w:hAnsi="宋体" w:cs="宋体"/>
                <w:b/>
                <w:bCs/>
                <w:color w:val="000000"/>
                <w:sz w:val="24"/>
                <w:szCs w:val="24"/>
                <w:highlight w:val="none"/>
                <w:u w:val="single"/>
              </w:rPr>
              <w:t xml:space="preserve">（1）推广计划</w:t>
            </w:r>
            <w:r>
              <w:rPr>
                <w:rFonts w:hint="eastAsia" w:ascii="宋体" w:hAnsi="宋体" w:cs="宋体"/>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支持创建并管理推广计划，自定义设置每日预算、投放起止时间及投放策略，确立推广活动的整体框架。</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（2）推广单元</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对推广商品进行分组管理，针对不同单元设置差异化的出价策略与投放偏好，实现精细化运营。</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（3）关键词推广</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支持批量添加搜索关键词，灵活设置出价金额与匹配方式（精确/短语/广泛），精准控制流量入口。</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（4）人群定向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构建多维度的用户人群包，支持针对特定属性人群进行定向溢价投放，提升广告触达的精准度。</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（5）创意管理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制作并管理推广创意素材，支持A/B测试功能，通过对比不同创意的点击效果优选最佳方案。</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（6）智能出价</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提供自动调价功能，支持设定目标投资回报率（ROI）让系统自动优化出价，降低人工操作成本。</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（7）账户管理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统一管理推广账户的基础信息，实时查看账户余额及历史充值记录，确保推广资金流转清晰。</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2.数据中心（数据采集）</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（1）曝光数据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全链路记录商品的曝光次数、点击量及点击率（CTR），直观反映推广内容的引流能力。</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（2）转化数据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追踪用户从加购、下单到最终成交的全流程数据，计算转化率（CVR），评估流量承接效果。</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（3）花费数据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自动统计推广消耗金额，实时计算单次点击成本（CPC）、千次曝光成本（CPM）及投入产出比（ROI）。</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（4）用户行为</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采集用户在店铺内的浏览路径、停留时长等交互数据，深度洞察用户兴趣与访问习惯。</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（5）竞品数据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模拟生成行业均值与竞品投放数据，支持横向对比分析，辅助制定更具竞争力的推广策略。</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3.分析中心（智能分析）</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（1）推广报表</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自动生成涵盖计划、单元、关键词等多维度的详细数据报表，支持自定义筛选与数据导出。</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（2）效果分析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提供深度的ROI分析与转化漏斗模型，通过归因分析定位影响推广效果的关键环节。</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（3）趋势分析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以图表形式展示按时段、周期对比的数据变化趋势，帮助识别流量高峰与业绩波动规律。</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（4）诊断建议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基于实时推广数据智能诊断账户健康度，自动输出针对性的优化建议（如调整出价、优化创意）。</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（5）分析报告</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系统自动汇总关键指标与分析结论，一键生成可视化的推广运营分析报告，辅助决策复盘。</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4.实训中心（任务考核）</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（1）实训任务</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支持教师发布具体的推广实训任务，实时跟踪学生的任务完成进度与操作状态。</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（2）模拟环境</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提供高度仿真的电商推广数据环境与场景重置功能，确保实训过程的安全性与可重复性。</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（3）成绩评定</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根据学生的操作数据与推广效果自动计算评分，生成成绩排行榜，实现客观公正的考核。</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（4）实训报告</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支持学生在线提交数据分析报告与实训总结，方便教师查阅与批注，形成完整的教学闭环。</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（5）实训场景示例</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①场景1：新品推广实训</w:t>
            </w:r>
            <w:r>
              <w:rPr>
                <w:rFonts w:hint="eastAsia" w:ascii="宋体" w:hAnsi="宋体" w:cs="宋体"/>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a.</w:t>
            </w:r>
            <w:r>
              <w:rPr>
                <w:rFonts w:hint="eastAsia" w:ascii="宋体" w:hAnsi="宋体" w:cs="宋体"/>
                <w:color w:val="000000"/>
                <w:sz w:val="24"/>
                <w:szCs w:val="24"/>
                <w:highlight w:val="none"/>
              </w:rPr>
              <w:t xml:space="preserve">学生选择新品创建推广计划</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b.</w:t>
            </w:r>
            <w:r>
              <w:rPr>
                <w:rFonts w:hint="eastAsia" w:ascii="宋体" w:hAnsi="宋体" w:cs="宋体"/>
                <w:color w:val="000000"/>
                <w:sz w:val="24"/>
                <w:szCs w:val="24"/>
                <w:highlight w:val="none"/>
              </w:rPr>
              <w:t xml:space="preserve">设置预算、投放时间</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c.</w:t>
            </w:r>
            <w:r>
              <w:rPr>
                <w:rFonts w:hint="eastAsia" w:ascii="宋体" w:hAnsi="宋体" w:cs="宋体"/>
                <w:color w:val="000000"/>
                <w:sz w:val="24"/>
                <w:szCs w:val="24"/>
                <w:highlight w:val="none"/>
              </w:rPr>
              <w:t xml:space="preserve">添加关键词、设置出价</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d.</w:t>
            </w:r>
            <w:r>
              <w:rPr>
                <w:rFonts w:hint="eastAsia" w:ascii="宋体" w:hAnsi="宋体" w:cs="宋体"/>
                <w:color w:val="000000"/>
                <w:sz w:val="24"/>
                <w:szCs w:val="24"/>
                <w:highlight w:val="none"/>
              </w:rPr>
              <w:t xml:space="preserve">观察数据变化，优化出价</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e.</w:t>
            </w:r>
            <w:r>
              <w:rPr>
                <w:rFonts w:hint="eastAsia" w:ascii="宋体" w:hAnsi="宋体" w:cs="宋体"/>
                <w:color w:val="000000"/>
                <w:sz w:val="24"/>
                <w:szCs w:val="24"/>
                <w:highlight w:val="none"/>
              </w:rPr>
              <w:t xml:space="preserve">分析ROI，撰写分析报告</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②场景2：大促推广实训</w:t>
            </w:r>
            <w:r>
              <w:rPr>
                <w:rFonts w:hint="eastAsia" w:ascii="宋体" w:hAnsi="宋体" w:cs="宋体"/>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a.</w:t>
            </w:r>
            <w:r>
              <w:rPr>
                <w:rFonts w:hint="eastAsia" w:ascii="宋体" w:hAnsi="宋体" w:cs="宋体"/>
                <w:color w:val="000000"/>
                <w:sz w:val="24"/>
                <w:szCs w:val="24"/>
                <w:highlight w:val="none"/>
              </w:rPr>
              <w:t xml:space="preserve">结合秒杀/拼团活动创建推广</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b.</w:t>
            </w:r>
            <w:r>
              <w:rPr>
                <w:rFonts w:hint="eastAsia" w:ascii="宋体" w:hAnsi="宋体" w:cs="宋体"/>
                <w:color w:val="000000"/>
                <w:sz w:val="24"/>
                <w:szCs w:val="24"/>
                <w:highlight w:val="none"/>
              </w:rPr>
              <w:t xml:space="preserve">设置人群定向（活跃用户、高价值用户）</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c.</w:t>
            </w:r>
            <w:r>
              <w:rPr>
                <w:rFonts w:hint="eastAsia" w:ascii="宋体" w:hAnsi="宋体" w:cs="宋体"/>
                <w:color w:val="000000"/>
                <w:sz w:val="24"/>
                <w:szCs w:val="24"/>
                <w:highlight w:val="none"/>
              </w:rPr>
              <w:t xml:space="preserve">制作促销创意</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d.</w:t>
            </w:r>
            <w:r>
              <w:rPr>
                <w:rFonts w:hint="eastAsia" w:ascii="宋体" w:hAnsi="宋体" w:cs="宋体"/>
                <w:color w:val="000000"/>
                <w:sz w:val="24"/>
                <w:szCs w:val="24"/>
                <w:highlight w:val="none"/>
              </w:rPr>
              <w:t xml:space="preserve">监控实时数据</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e.</w:t>
            </w:r>
            <w:r>
              <w:rPr>
                <w:rFonts w:hint="eastAsia" w:ascii="宋体" w:hAnsi="宋体" w:cs="宋体"/>
                <w:color w:val="000000"/>
                <w:sz w:val="24"/>
                <w:szCs w:val="24"/>
                <w:highlight w:val="none"/>
              </w:rPr>
              <w:t xml:space="preserve">复盘活动效果</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③场景3：数据分析实训</w:t>
            </w:r>
            <w:r>
              <w:rPr>
                <w:rFonts w:hint="eastAsia" w:ascii="宋体" w:hAnsi="宋体" w:cs="宋体"/>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a.</w:t>
            </w:r>
            <w:r>
              <w:rPr>
                <w:rFonts w:hint="eastAsia" w:ascii="宋体" w:hAnsi="宋体" w:cs="宋体"/>
                <w:color w:val="000000"/>
                <w:sz w:val="24"/>
                <w:szCs w:val="24"/>
                <w:highlight w:val="none"/>
              </w:rPr>
              <w:t xml:space="preserve">导出推广数据</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b.</w:t>
            </w:r>
            <w:r>
              <w:rPr>
                <w:rFonts w:hint="eastAsia" w:ascii="宋体" w:hAnsi="宋体" w:cs="宋体"/>
                <w:color w:val="000000"/>
                <w:sz w:val="24"/>
                <w:szCs w:val="24"/>
                <w:highlight w:val="none"/>
              </w:rPr>
              <w:t xml:space="preserve">分析转化漏斗</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c.</w:t>
            </w:r>
            <w:r>
              <w:rPr>
                <w:rFonts w:hint="eastAsia" w:ascii="宋体" w:hAnsi="宋体" w:cs="宋体"/>
                <w:color w:val="000000"/>
                <w:sz w:val="24"/>
                <w:szCs w:val="24"/>
                <w:highlight w:val="none"/>
              </w:rPr>
              <w:t xml:space="preserve">找出优化点</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d.</w:t>
            </w:r>
            <w:r>
              <w:rPr>
                <w:rFonts w:hint="eastAsia" w:ascii="宋体" w:hAnsi="宋体" w:cs="宋体"/>
                <w:color w:val="000000"/>
                <w:sz w:val="24"/>
                <w:szCs w:val="24"/>
                <w:highlight w:val="none"/>
              </w:rPr>
              <w:t xml:space="preserve">提出优化建议</w:t>
            </w:r>
            <w:r>
              <w:rPr>
                <w:rFonts w:hint="eastAsia" w:ascii="宋体" w:hAnsi="宋体" w:cs="宋体"/>
                <w:color w:val="000000"/>
                <w:sz w:val="24"/>
                <w:szCs w:val="24"/>
                <w:highlight w:val="none"/>
              </w:rPr>
            </w:r>
            <w:r/>
          </w:p>
          <w:p>
            <w:pPr>
              <w:pStyle w:val="1013"/>
              <w:ind w:firstLine="480"/>
              <w:rPr>
                <w:rFonts w:ascii="宋体" w:hAnsi="宋体" w:cs="宋体"/>
                <w:color w:val="000000"/>
                <w:sz w:val="24"/>
                <w:szCs w:val="24"/>
                <w:highlight w:val="none"/>
              </w:rPr>
            </w:pPr>
            <w:r>
              <w:rPr>
                <w:rFonts w:ascii="宋体" w:hAnsi="宋体" w:cs="宋体"/>
                <w:color w:val="000000"/>
                <w:sz w:val="24"/>
                <w:szCs w:val="24"/>
                <w:highlight w:val="none"/>
              </w:rPr>
              <w:t xml:space="preserve">e.</w:t>
            </w:r>
            <w:r>
              <w:rPr>
                <w:rFonts w:hint="eastAsia" w:ascii="宋体" w:hAnsi="宋体" w:cs="宋体"/>
                <w:color w:val="000000"/>
                <w:sz w:val="24"/>
                <w:szCs w:val="24"/>
                <w:highlight w:val="none"/>
              </w:rPr>
              <w:t xml:space="preserve">验证优化效果</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Al+数字人直播高校实训平台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需要支持数字人生成、语音合成、智能对话、音视频合成及直播推流，实现一站式数字人直播解决方案。</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1.核心功能模块数字人生成模块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（1）图片生成数字人</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支持上传静态人像照片或选择预设模板，通过算法处理生成可驱动的2D或2.5D数字人形象。</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（2）数字人形象编辑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提供可视化的形象定制功能，支持对数字人的发型、服装等外观特征进行个性化调整。</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（3）表情与动作配置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预设多种面部表情与肢体动作库，允许用户为数字人配置特定的演绎风格与交互姿态。</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（4）多角色管理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支持创建并存储多个独立的数字人形象，方便用户在不同直播场景或业务需求下快速切换使用。</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2.语音合成模块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（1）文本转语音</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将输入的文本内容实时转化为自然流畅的语音流，支持长文本的无缝转换。</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（2）多音色选择</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内置多种风格的音色库（如新闻腔、 conversational风格等），满足不同直播内容的听觉需求。</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（3）语速/语调调节</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支持对生成语音的语速快慢、语调高低进行精细化参数调整，实现更具情感的表达。</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（4）声音克隆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通过采集少量目标声音样本，训练并复刻出专属音色，实现个性化的声音定制。</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3.智能对话模块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（1）自动生成讲解内容</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基于预设主题或关键词，利用大语言模型自动生成逻辑通顺的直播讲解脚本。</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（2）弹幕问答</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实时抓取并分析直播间弹幕内容，智能生成针对性的回答文本，实现与观众的即时互动。</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（3）上下文记忆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具备多轮对话记忆能力，能够结合上下文语境生成连贯、准确的回复，避免逻辑断层。</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（4）Prompt配置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支持自定义系统提示词与人设指令，通过调整参数控制AI的回复风格与内容边界。</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4.数字人驱动与视频合成模块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（1）音频驱动嘴型</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基于输入的音频波形，自动计算并驱动数字人的口型变化，实现音画同步的说话效果。</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（2）表情与动作同步</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根据语音的情感色彩与语义内容，自动匹配并触发相应的面部表情与肢体动作。</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（3）视频帧生成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将数字人模型、动作数据与背景素材进行实时渲染，逐帧合成高清晰度的视频画面。</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（4）虚拟背景支持</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支持自定义或动态切换直播间背景（如绿幕抠图、虚拟演播室），增强视觉沉浸感。</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5.直播推流模块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（1）RTMP推流</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集成标准RTMP协议，支持将合成的视频流稳定、低延迟地推送到指定服务器。</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（2）多平台支持</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兼容主流直播平台的推流地址格式，实现一键分发至多个直播渠道。</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（3）推流状态监控</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实时显示推流码率、帧率及网络状态，提供异常中断预警与重连机制。</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6.控制台模块</w:t>
            </w:r>
            <w:r>
              <w:rPr>
                <w:rFonts w:hint="eastAsia" w:ascii="黑体" w:hAnsi="黑体" w:eastAsia="黑体" w:cs="黑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（1）数字人管理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提供数字人形象的统一入口，支持快速选择、预览及配置当前直播使用的虚拟主播。</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（2）文本输入/脚本配置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内置脚本编辑器与文本输入框，支持用户直接输入直播话术或导入预设文案。</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（3）实时预览</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在操作界面内提供低延迟的视频预览窗口，所见即所得地展示数字人直播效果。</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（4）启动/停止直播</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提供一键式直播控制按钮，简化开播与下播的操作流程，提升运营效率。</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（5）参数调节</w:t>
            </w:r>
            <w:r>
              <w:rPr>
                <w:rFonts w:hint="eastAsia" w:ascii="宋体" w:hAnsi="宋体" w:cs="宋体"/>
                <w:b/>
                <w:bCs/>
                <w:color w:val="000000"/>
                <w:sz w:val="24"/>
                <w:szCs w:val="24"/>
                <w:highlight w:val="none"/>
                <w:u w:val="singl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集中管理画面比例、音量大小、推流地址等关键参数，支持在直播过程中进行动态调整。</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跨境电商综合实训软件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1.技术架构要求</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（1）支持B/S架构访问，运行环境分为客户端、应用服务器端和数据库服务器端三部分。</w:t>
            </w:r>
            <w:r>
              <w:rPr>
                <w:rFonts w:hint="eastAsia" w:ascii="宋体" w:hAnsi="宋体" w:cs="宋体"/>
                <w:color w:val="000000"/>
                <w:sz w:val="24"/>
                <w:szCs w:val="24"/>
                <w:highlight w:val="non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（2）系统架构具备高可用性、高并发处理能力，采用主流技术路线，支持跨平台部署，支持不同数据格式的文件导入，简易、可扩展、通用。</w:t>
            </w:r>
            <w:r>
              <w:rPr>
                <w:rFonts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2.功能模块参数</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包含B2C出口实训、跨境物流实训和跨境支付实训三个模块。</w:t>
            </w:r>
            <w:r>
              <w:rPr>
                <w:rFonts w:hint="eastAsia"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w:t>
            </w:r>
            <w:r>
              <w:rPr>
                <w:rFonts w:ascii="宋体" w:hAnsi="宋体" w:cs="宋体"/>
                <w:b/>
                <w:bCs/>
                <w:color w:val="000000"/>
                <w:sz w:val="24"/>
                <w:szCs w:val="24"/>
                <w:highlight w:val="none"/>
                <w:u w:val="single"/>
              </w:rPr>
              <w:t xml:space="preserve">跨境B2C出口实训</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ascii="宋体" w:hAnsi="宋体" w:cs="宋体"/>
                <w:color w:val="000000"/>
                <w:sz w:val="24"/>
                <w:szCs w:val="24"/>
                <w:highlight w:val="none"/>
              </w:rPr>
              <w:t xml:space="preserve">学生通过分别扮演中国境内企业卖家、境外个人买家、B2C出口交易平台服务商的角色，建立B2C出口交易主体，利用实训系统模拟操作，形成完整的B2C出口交易链。</w:t>
            </w:r>
            <w:r>
              <w:rPr>
                <w:rFonts w:ascii="宋体" w:hAnsi="宋体" w:cs="宋体"/>
                <w:color w:val="000000"/>
                <w:sz w:val="24"/>
                <w:szCs w:val="24"/>
                <w:highlight w:val="non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②</w:t>
            </w:r>
            <w:r>
              <w:rPr>
                <w:rFonts w:ascii="宋体" w:hAnsi="宋体" w:cs="宋体"/>
                <w:b/>
                <w:bCs/>
                <w:color w:val="000000"/>
                <w:sz w:val="24"/>
                <w:szCs w:val="24"/>
                <w:highlight w:val="none"/>
                <w:u w:val="single"/>
              </w:rPr>
              <w:t xml:space="preserve">提供电子、服装 、箱包、鞋类、母婴、玩具等将近20个符合我国出口贸易产品特点的行业类目。</w:t>
            </w:r>
            <w:r>
              <w:rPr>
                <w:rFonts w:hint="eastAsia" w:ascii="宋体" w:hAnsi="宋体" w:cs="宋体"/>
                <w:b/>
                <w:bCs/>
                <w:color w:val="000000"/>
                <w:sz w:val="24"/>
                <w:szCs w:val="24"/>
                <w:highlight w:val="none"/>
                <w:u w:val="single"/>
              </w:rPr>
              <w:t xml:space="preserve">（需提供演示视频）</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ascii="宋体" w:hAnsi="宋体" w:cs="宋体"/>
                <w:color w:val="000000"/>
                <w:sz w:val="24"/>
                <w:szCs w:val="24"/>
                <w:highlight w:val="none"/>
              </w:rPr>
              <w:t xml:space="preserve">围绕电子商务核心业务，锻炼学生在选品定位、商品标题关键词设置、商品图片处理、商品描述、广告推广、邮件营销、物流配送等方面的知识与技能。</w:t>
            </w:r>
            <w:r>
              <w:rPr>
                <w:rFonts w:ascii="宋体" w:hAnsi="宋体" w:cs="宋体"/>
                <w:color w:val="000000"/>
                <w:sz w:val="24"/>
                <w:szCs w:val="24"/>
                <w:highlight w:val="none"/>
              </w:rPr>
            </w:r>
            <w:r/>
          </w:p>
          <w:p>
            <w:pPr>
              <w:pStyle w:val="1013"/>
              <w:ind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④</w:t>
            </w:r>
            <w:r>
              <w:rPr>
                <w:rFonts w:ascii="宋体" w:hAnsi="宋体" w:cs="宋体"/>
                <w:b/>
                <w:bCs/>
                <w:color w:val="000000"/>
                <w:sz w:val="24"/>
                <w:szCs w:val="24"/>
                <w:highlight w:val="none"/>
                <w:u w:val="single"/>
              </w:rPr>
              <w:t xml:space="preserve">全方位展现跨境特点，主要体现在跨境支付（国际行用卡、第三方国际支付、平台E卡）、跨境物流（跨境直邮、海外仓）、海关监管（检验检疫、原产地证明、报关）、语言环境（中文、英文）等方面。</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r>
            <w:r/>
          </w:p>
          <w:p>
            <w:pPr>
              <w:pStyle w:val="1038"/>
              <w:ind w:left="0" w:right="0" w:firstLine="221"/>
              <w:rPr>
                <w:rFonts w:ascii="宋体" w:hAnsi="宋体" w:cs="宋体"/>
                <w:b/>
                <w:bCs/>
                <w:color w:val="000000"/>
                <w:sz w:val="24"/>
                <w:szCs w:val="24"/>
                <w:highlight w:val="none"/>
                <w:u w:val="single"/>
              </w:rPr>
            </w:pPr>
            <w:r>
              <w:rPr>
                <w:rFonts w:ascii="宋体" w:hAnsi="宋体" w:cs="宋体"/>
                <w:b/>
                <w:bCs/>
                <w:color w:val="000000"/>
                <w:sz w:val="22"/>
                <w:szCs w:val="22"/>
                <w:highlight w:val="none"/>
                <w:u w:val="single"/>
              </w:rPr>
              <w:t xml:space="preserve">▲</w:t>
            </w:r>
            <w:r>
              <w:rPr>
                <w:rFonts w:hint="eastAsia" w:ascii="宋体" w:hAnsi="宋体" w:cs="宋体"/>
                <w:b/>
                <w:bCs/>
                <w:color w:val="000000"/>
                <w:sz w:val="24"/>
                <w:szCs w:val="24"/>
                <w:highlight w:val="none"/>
                <w:u w:val="single"/>
              </w:rPr>
              <w:t xml:space="preserve">⑤</w:t>
            </w:r>
            <w:r>
              <w:rPr>
                <w:rFonts w:ascii="宋体" w:hAnsi="宋体" w:cs="宋体"/>
                <w:b/>
                <w:bCs/>
                <w:color w:val="000000"/>
                <w:sz w:val="24"/>
                <w:szCs w:val="24"/>
                <w:highlight w:val="none"/>
                <w:u w:val="single"/>
              </w:rPr>
              <w:t xml:space="preserve">建立完备的教学辅助体系，提供在线帮助、课程、实验说明等辅助教学材料，同时支持课程问答、小组聊天、私信等多种沟通方式，形成自我学习与互动学习的有效结合。</w:t>
            </w:r>
            <w:r>
              <w:rPr>
                <w:rFonts w:hint="eastAsia" w:ascii="宋体" w:hAnsi="宋体" w:cs="宋体"/>
                <w:b/>
                <w:bCs/>
                <w:color w:val="000000"/>
                <w:sz w:val="24"/>
                <w:szCs w:val="24"/>
                <w:highlight w:val="none"/>
                <w:u w:val="single"/>
              </w:rPr>
              <w:t xml:space="preserve">（提供软件界面截图）</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ascii="宋体" w:hAnsi="宋体" w:cs="宋体"/>
                <w:color w:val="000000"/>
                <w:sz w:val="24"/>
                <w:szCs w:val="24"/>
                <w:highlight w:val="none"/>
              </w:rPr>
              <w:t xml:space="preserve">提供丰富的课程内容，包括跨境电商模式及主流平台解读、商品标题编辑与优化、商品关键词设置、搜索结果页商品排序规则、海关监管法规、跨境物流模式分析、电子储值卡、网络广告计费方式、广告位竞价排名及推广效果分析、邮件营销及应用技巧等，教师也可根据教学需求，自主编制课程及内容。</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⑦</w:t>
            </w:r>
            <w:r>
              <w:rPr>
                <w:rFonts w:ascii="宋体" w:hAnsi="宋体" w:cs="宋体"/>
                <w:color w:val="000000"/>
                <w:sz w:val="24"/>
                <w:szCs w:val="24"/>
                <w:highlight w:val="none"/>
              </w:rPr>
              <w:t xml:space="preserve">依托系统软件，搭配主流硬件技术及设备，组合构建实训环境场景，增强实训可视化、可触感，增强实训体会。</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⑧</w:t>
            </w:r>
            <w:r>
              <w:rPr>
                <w:rFonts w:ascii="宋体" w:hAnsi="宋体" w:cs="宋体"/>
                <w:color w:val="000000"/>
                <w:sz w:val="24"/>
                <w:szCs w:val="24"/>
                <w:highlight w:val="none"/>
              </w:rPr>
              <w:t xml:space="preserve">体验B2C出口电子商务的完整流程，理解交易流、资金流、物流、信息流的协调过程及各种数据交互机制。</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⑨</w:t>
            </w:r>
            <w:r>
              <w:rPr>
                <w:rFonts w:ascii="宋体" w:hAnsi="宋体" w:cs="宋体"/>
                <w:color w:val="000000"/>
                <w:sz w:val="24"/>
                <w:szCs w:val="24"/>
                <w:highlight w:val="none"/>
              </w:rPr>
              <w:t xml:space="preserve">注重教学方式创新，提供认知、体验、实践、转化4步进阶学习法，形成一套基于课程、展于流程、练于主题、用于对抗的教学方法体系，具体包括：课程学习—理论认知；实验实训—流程体验；主题任务—专项实践；对抗演练—应用转化。</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⑩</w:t>
            </w:r>
            <w:r>
              <w:rPr>
                <w:rFonts w:ascii="宋体" w:hAnsi="宋体" w:cs="宋体"/>
                <w:color w:val="000000"/>
                <w:sz w:val="24"/>
                <w:szCs w:val="24"/>
                <w:highlight w:val="none"/>
              </w:rPr>
              <w:t xml:space="preserve">理解团队合作的重要性，树立全局观念及共赢观念，体会人尽其才的价值。</w:t>
            </w:r>
            <w:r>
              <w:rPr>
                <w:rFonts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2</w:t>
            </w:r>
            <w:r>
              <w:rPr>
                <w:rFonts w:ascii="宋体" w:hAnsi="宋体" w:cs="宋体"/>
                <w:b/>
                <w:bCs/>
                <w:color w:val="000000"/>
                <w:sz w:val="24"/>
                <w:szCs w:val="24"/>
                <w:highlight w:val="none"/>
                <w:u w:val="single"/>
              </w:rPr>
              <w:t xml:space="preserve">）跨境物流实训</w:t>
            </w:r>
            <w:r>
              <w:rPr>
                <w:rFonts w:ascii="宋体" w:hAnsi="宋体" w:cs="宋体"/>
                <w:b/>
                <w:bCs/>
                <w:color w:val="000000"/>
                <w:sz w:val="24"/>
                <w:szCs w:val="24"/>
                <w:highlight w:val="none"/>
                <w:u w:val="single"/>
              </w:rPr>
            </w:r>
            <w:r/>
          </w:p>
          <w:p>
            <w:pPr>
              <w:pStyle w:val="1038"/>
              <w:ind w:left="0" w:right="0" w:firstLine="221"/>
              <w:rPr>
                <w:rFonts w:ascii="宋体" w:hAnsi="宋体" w:cs="宋体"/>
                <w:b/>
                <w:bCs/>
                <w:color w:val="000000"/>
                <w:sz w:val="24"/>
                <w:szCs w:val="24"/>
                <w:highlight w:val="none"/>
                <w:u w:val="single"/>
              </w:rPr>
            </w:pPr>
            <w:r>
              <w:rPr>
                <w:rFonts w:ascii="宋体" w:hAnsi="宋体" w:cs="宋体"/>
                <w:b/>
                <w:bCs/>
                <w:color w:val="000000"/>
                <w:sz w:val="22"/>
                <w:szCs w:val="22"/>
                <w:highlight w:val="none"/>
                <w:u w:val="single"/>
              </w:rPr>
              <w:t xml:space="preserve">▲</w:t>
            </w:r>
            <w:r>
              <w:rPr>
                <w:rFonts w:hint="eastAsia" w:ascii="宋体" w:hAnsi="宋体" w:cs="宋体"/>
                <w:b/>
                <w:bCs/>
                <w:color w:val="000000"/>
                <w:sz w:val="24"/>
                <w:szCs w:val="24"/>
                <w:highlight w:val="none"/>
                <w:u w:val="single"/>
              </w:rPr>
              <w:t xml:space="preserve">①</w:t>
            </w:r>
            <w:r>
              <w:rPr>
                <w:rFonts w:ascii="宋体" w:hAnsi="宋体" w:cs="宋体"/>
                <w:b/>
                <w:bCs/>
                <w:color w:val="000000"/>
                <w:sz w:val="24"/>
                <w:szCs w:val="24"/>
                <w:highlight w:val="none"/>
                <w:u w:val="single"/>
              </w:rPr>
              <w:t xml:space="preserve">学生通过扮演直邮物流管理员、海外仓物流管理员和海外仓用户等3种角色，模拟直邮以及海外仓两种主流的物流模式，体会跨境贸易中主流物流模式的运营方式。</w:t>
            </w:r>
            <w:r>
              <w:rPr>
                <w:rFonts w:hint="eastAsia" w:ascii="宋体" w:hAnsi="宋体" w:cs="宋体"/>
                <w:b/>
                <w:bCs/>
                <w:color w:val="000000"/>
                <w:sz w:val="24"/>
                <w:szCs w:val="24"/>
                <w:highlight w:val="none"/>
                <w:u w:val="single"/>
              </w:rPr>
              <w:t xml:space="preserve">（提供软件界面截图）</w:t>
            </w:r>
            <w:r>
              <w:rPr>
                <w:rFonts w:ascii="宋体" w:hAnsi="宋体" w:cs="宋体"/>
                <w:b/>
                <w:bCs/>
                <w:color w:val="000000"/>
                <w:sz w:val="24"/>
                <w:szCs w:val="24"/>
                <w:highlight w:val="none"/>
                <w:u w:val="singl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②</w:t>
            </w:r>
            <w:r>
              <w:rPr>
                <w:rFonts w:ascii="宋体" w:hAnsi="宋体" w:cs="宋体"/>
                <w:b/>
                <w:bCs/>
                <w:color w:val="000000"/>
                <w:sz w:val="24"/>
                <w:szCs w:val="24"/>
                <w:highlight w:val="none"/>
                <w:u w:val="single"/>
              </w:rPr>
              <w:t xml:space="preserve">围绕直邮以及海外仓两种物流模式的核心业务锻炼学生物流管理全方位的技能</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t xml:space="preserve">：</w:t>
            </w:r>
            <w:r>
              <w:rPr>
                <w:rFonts w:ascii="宋体" w:hAnsi="宋体" w:cs="宋体"/>
                <w:b/>
                <w:bCs/>
                <w:color w:val="000000"/>
                <w:sz w:val="24"/>
                <w:szCs w:val="24"/>
                <w:highlight w:val="none"/>
                <w:u w:val="single"/>
              </w:rPr>
            </w:r>
            <w:r/>
          </w:p>
          <w:p>
            <w:pPr>
              <w:pStyle w:val="1038"/>
              <w:ind w:left="0" w:right="0" w:firstLine="482"/>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a.直邮模块：对仓库以及仓库出入库管理、运单的管理、分拣与合拢、订舱、装运发货、进出口报关、拆封配送、物流配送、物流状态查看；</w:t>
            </w:r>
            <w:r>
              <w:rPr>
                <w:rFonts w:ascii="宋体" w:hAnsi="宋体" w:cs="宋体"/>
                <w:b/>
                <w:bCs/>
                <w:color w:val="000000"/>
                <w:sz w:val="24"/>
                <w:szCs w:val="24"/>
                <w:highlight w:val="none"/>
                <w:u w:val="single"/>
              </w:rPr>
            </w:r>
            <w:r/>
          </w:p>
          <w:p>
            <w:pPr>
              <w:pStyle w:val="1038"/>
              <w:ind w:left="0" w:right="0" w:firstLine="482"/>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b.海外仓模块：分为用户以及管理员两种角色，模拟了海外仓的业务流程，体验海外仓的供应链管理。该模块</w:t>
            </w:r>
            <w:r>
              <w:rPr>
                <w:rFonts w:hint="eastAsia" w:ascii="宋体" w:hAnsi="宋体" w:cs="宋体"/>
                <w:b/>
                <w:bCs/>
                <w:color w:val="000000"/>
                <w:sz w:val="24"/>
                <w:szCs w:val="24"/>
                <w:highlight w:val="none"/>
                <w:u w:val="single"/>
              </w:rPr>
              <w:t xml:space="preserve">涉及</w:t>
            </w:r>
            <w:r>
              <w:rPr>
                <w:rFonts w:ascii="宋体" w:hAnsi="宋体" w:cs="宋体"/>
                <w:b/>
                <w:bCs/>
                <w:color w:val="000000"/>
                <w:sz w:val="24"/>
                <w:szCs w:val="24"/>
                <w:highlight w:val="none"/>
                <w:u w:val="single"/>
              </w:rPr>
              <w:t xml:space="preserve">对海外仓的建设、海外仓仓储管理、对产品的布局以及SKU的设置、头程管理、进口报关、境外物流配送、退货管理等。</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ascii="宋体" w:hAnsi="宋体" w:cs="宋体"/>
                <w:color w:val="000000"/>
                <w:sz w:val="24"/>
                <w:szCs w:val="24"/>
                <w:highlight w:val="none"/>
              </w:rPr>
              <w:t xml:space="preserve">海外仓提供数据统计功能，帮助用户管理海外仓产品，合理布局。</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系统内置运单以及订单，提高用户体验，降低用户的操作成本。</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ascii="宋体" w:hAnsi="宋体" w:cs="宋体"/>
                <w:color w:val="000000"/>
                <w:sz w:val="24"/>
                <w:szCs w:val="24"/>
                <w:highlight w:val="none"/>
              </w:rPr>
              <w:t xml:space="preserve">建立完备的教学辅助体系，提供在线帮助、课程、实验说明等辅助教学材料，同时支持课程问答、小组聊天、私信等多种沟通方式，形成自我学习与互动学习的有效结合。</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ascii="宋体" w:hAnsi="宋体" w:cs="宋体"/>
                <w:color w:val="000000"/>
                <w:sz w:val="24"/>
                <w:szCs w:val="24"/>
                <w:highlight w:val="none"/>
              </w:rPr>
              <w:t xml:space="preserve">提供丰富的课程内容，包括跨境物流方式的整体介绍及对比、跨境直邮模式和海外仓模式的解读以及物流选择实战技巧等，教师也可根据教学需求，自主编制课程及内容。</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⑦</w:t>
            </w:r>
            <w:r>
              <w:rPr>
                <w:rFonts w:ascii="宋体" w:hAnsi="宋体" w:cs="宋体"/>
                <w:color w:val="000000"/>
                <w:sz w:val="24"/>
                <w:szCs w:val="24"/>
                <w:highlight w:val="none"/>
              </w:rPr>
              <w:t xml:space="preserve">系统提供数据导出excel功能，方便教师以及学生对数据的处理与分析。</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⑧</w:t>
            </w:r>
            <w:r>
              <w:rPr>
                <w:rFonts w:ascii="宋体" w:hAnsi="宋体" w:cs="宋体"/>
                <w:color w:val="000000"/>
                <w:sz w:val="24"/>
                <w:szCs w:val="24"/>
                <w:highlight w:val="none"/>
              </w:rPr>
              <w:t xml:space="preserve">分角色扮演，理解团队合作的重要性，树立全局观念及共赢观念，体会人尽其才的价值。</w:t>
            </w:r>
            <w:r>
              <w:rPr>
                <w:rFonts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3</w:t>
            </w:r>
            <w:r>
              <w:rPr>
                <w:rFonts w:ascii="宋体" w:hAnsi="宋体" w:cs="宋体"/>
                <w:b/>
                <w:bCs/>
                <w:color w:val="000000"/>
                <w:sz w:val="24"/>
                <w:szCs w:val="24"/>
                <w:highlight w:val="none"/>
                <w:u w:val="single"/>
              </w:rPr>
              <w:t xml:space="preserve">）跨境支付实训</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ascii="宋体" w:hAnsi="宋体" w:cs="宋体"/>
                <w:color w:val="000000"/>
                <w:sz w:val="24"/>
                <w:szCs w:val="24"/>
                <w:highlight w:val="none"/>
              </w:rPr>
              <w:t xml:space="preserve">学生通过分别扮演企业、个人、B2C支付服务商的角色，涵盖支付过程中所涉及的角色，以及各角色所涉及的功能，建立完整的支付交易过程。</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ascii="宋体" w:hAnsi="宋体" w:cs="宋体"/>
                <w:color w:val="000000"/>
                <w:sz w:val="24"/>
                <w:szCs w:val="24"/>
                <w:highlight w:val="none"/>
              </w:rPr>
              <w:t xml:space="preserve">涉及第三方国际支付和银行结算两种支付渠道，涵盖了第三方支付、国际信用卡、网银在线三种不同的支付方式，体验跨境支付的完整流程。</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ascii="宋体" w:hAnsi="宋体" w:cs="宋体"/>
                <w:color w:val="000000"/>
                <w:sz w:val="24"/>
                <w:szCs w:val="24"/>
                <w:highlight w:val="none"/>
              </w:rPr>
              <w:t xml:space="preserve">提供对跨境支付第三方平台账户的三种认证方式及认证流程的学习，包含银联</w:t>
            </w:r>
            <w:r>
              <w:rPr>
                <w:rFonts w:hint="eastAsia" w:ascii="宋体" w:hAnsi="宋体" w:cs="宋体"/>
                <w:color w:val="000000"/>
                <w:sz w:val="24"/>
                <w:szCs w:val="24"/>
                <w:highlight w:val="none"/>
              </w:rPr>
              <w:t xml:space="preserve">账户</w:t>
            </w:r>
            <w:r>
              <w:rPr>
                <w:rFonts w:ascii="宋体" w:hAnsi="宋体" w:cs="宋体"/>
                <w:color w:val="000000"/>
                <w:sz w:val="24"/>
                <w:szCs w:val="24"/>
                <w:highlight w:val="none"/>
              </w:rPr>
              <w:t xml:space="preserve">认证、Global</w:t>
            </w:r>
            <w:r>
              <w:rPr>
                <w:rFonts w:hint="eastAsia" w:ascii="宋体" w:hAnsi="宋体" w:cs="宋体"/>
                <w:color w:val="000000"/>
                <w:sz w:val="24"/>
                <w:szCs w:val="24"/>
                <w:highlight w:val="none"/>
              </w:rPr>
              <w:t xml:space="preserve">账户</w:t>
            </w:r>
            <w:r>
              <w:rPr>
                <w:rFonts w:ascii="宋体" w:hAnsi="宋体" w:cs="宋体"/>
                <w:color w:val="000000"/>
                <w:sz w:val="24"/>
                <w:szCs w:val="24"/>
                <w:highlight w:val="none"/>
              </w:rPr>
              <w:t xml:space="preserve">认证以及信用卡认证三种方式，帮助学生掌握第三方</w:t>
            </w:r>
            <w:r>
              <w:rPr>
                <w:rFonts w:hint="eastAsia" w:ascii="宋体" w:hAnsi="宋体" w:cs="宋体"/>
                <w:color w:val="000000"/>
                <w:sz w:val="24"/>
                <w:szCs w:val="24"/>
                <w:highlight w:val="none"/>
              </w:rPr>
              <w:t xml:space="preserve">账户</w:t>
            </w:r>
            <w:r>
              <w:rPr>
                <w:rFonts w:ascii="宋体" w:hAnsi="宋体" w:cs="宋体"/>
                <w:color w:val="000000"/>
                <w:sz w:val="24"/>
                <w:szCs w:val="24"/>
                <w:highlight w:val="none"/>
              </w:rPr>
              <w:t xml:space="preserve">认证过程。</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区别于传统电商，跨境支付中的第三方</w:t>
            </w:r>
            <w:r>
              <w:rPr>
                <w:rFonts w:hint="eastAsia" w:ascii="宋体" w:hAnsi="宋体" w:cs="宋体"/>
                <w:color w:val="000000"/>
                <w:sz w:val="24"/>
                <w:szCs w:val="24"/>
                <w:highlight w:val="none"/>
              </w:rPr>
              <w:t xml:space="preserve">账户</w:t>
            </w:r>
            <w:r>
              <w:rPr>
                <w:rFonts w:ascii="宋体" w:hAnsi="宋体" w:cs="宋体"/>
                <w:color w:val="000000"/>
                <w:sz w:val="24"/>
                <w:szCs w:val="24"/>
                <w:highlight w:val="none"/>
              </w:rPr>
              <w:t xml:space="preserve">以邮件的方式进行收款和付款管理，体现跨境电商特色。</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ascii="宋体" w:hAnsi="宋体" w:cs="宋体"/>
                <w:color w:val="000000"/>
                <w:sz w:val="24"/>
                <w:szCs w:val="24"/>
                <w:highlight w:val="none"/>
              </w:rPr>
              <w:t xml:space="preserve">包含第三方企业账户的商家管理服务，帮助学生了解商户集成服务的实现用途以及开通流程。</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⑥</w:t>
            </w:r>
            <w:r>
              <w:rPr>
                <w:rFonts w:ascii="宋体" w:hAnsi="宋体" w:cs="宋体"/>
                <w:color w:val="000000"/>
                <w:sz w:val="24"/>
                <w:szCs w:val="24"/>
                <w:highlight w:val="none"/>
              </w:rPr>
              <w:t xml:space="preserve">实现对国际信用卡的统一管理，包含信用卡账户还款管理、信用额度管理、3D验证管理以及信用卡大客户管理。</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⑦</w:t>
            </w:r>
            <w:r>
              <w:rPr>
                <w:rFonts w:ascii="宋体" w:hAnsi="宋体" w:cs="宋体"/>
                <w:color w:val="000000"/>
                <w:sz w:val="24"/>
                <w:szCs w:val="24"/>
                <w:highlight w:val="none"/>
              </w:rPr>
              <w:t xml:space="preserve">提供丰富的课程内容，包含跨境支付简介、跨境支付发展现状分析、人民币跨境支付、跨境出口电商平台收款方式、跨境电商移动支付十大解决方案等课程，教师也可根据教学需求，自主编制课程及内容。</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⑧</w:t>
            </w:r>
            <w:r>
              <w:rPr>
                <w:rFonts w:ascii="宋体" w:hAnsi="宋体" w:cs="宋体"/>
                <w:color w:val="000000"/>
                <w:sz w:val="24"/>
                <w:szCs w:val="24"/>
                <w:highlight w:val="none"/>
              </w:rPr>
              <w:t xml:space="preserve">系统内置相关学习资源，并支持师生、学生互动，通过让学生扮演不同主体的相关角色，操作前后台业务内容，以达到企业实训的效果，锻炼学生的职业技能。</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跨境直播运营与销售软件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黑体" w:hAnsi="黑体" w:eastAsia="黑体" w:cs="黑体"/>
                <w:b/>
                <w:color w:val="000000"/>
                <w:sz w:val="24"/>
                <w:szCs w:val="24"/>
                <w:highlight w:val="none"/>
                <w:u w:val="single"/>
                <w:lang w:bidi="zh-CN"/>
              </w:rPr>
            </w:pPr>
            <w:r>
              <w:rPr>
                <w:rFonts w:hint="eastAsia" w:ascii="黑体" w:hAnsi="黑体" w:eastAsia="黑体" w:cs="黑体"/>
                <w:b/>
                <w:color w:val="000000"/>
                <w:sz w:val="24"/>
                <w:szCs w:val="24"/>
                <w:highlight w:val="none"/>
                <w:u w:val="single"/>
                <w:lang w:bidi="zh-CN"/>
              </w:rPr>
              <w:t xml:space="preserve">1.技术架构要求</w:t>
            </w:r>
            <w:r>
              <w:rPr>
                <w:rFonts w:hint="eastAsia" w:ascii="黑体" w:hAnsi="黑体" w:eastAsia="黑体" w:cs="黑体"/>
                <w:b/>
                <w:color w:val="000000"/>
                <w:sz w:val="24"/>
                <w:szCs w:val="24"/>
                <w:highlight w:val="none"/>
                <w:u w:val="single"/>
                <w:lang w:bidi="zh-CN"/>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）支持 B/S架构访问，运行环境主要有客户端、应用服务器端和数据库服务器端。</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系统后端应采用主流、成熟、安全的开发框架，具备良好的可维护性和扩展性</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系统前端应支持B/S架构访问，并能在主流浏览器上流畅运行，客户端应支持主流操作系统</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）PC页面使用纯 html，兼容所有主流 web 服务器，同时使用 vue 来提高页面</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3"/>
              <w:rPr>
                <w:rFonts w:hint="eastAsia" w:ascii="黑体" w:hAnsi="黑体" w:eastAsia="黑体" w:cs="黑体"/>
                <w:b/>
                <w:color w:val="000000"/>
                <w:sz w:val="24"/>
                <w:szCs w:val="24"/>
                <w:highlight w:val="none"/>
                <w:u w:val="single"/>
                <w:lang w:bidi="zh-CN"/>
              </w:rPr>
            </w:pPr>
            <w:r>
              <w:rPr>
                <w:rFonts w:hint="eastAsia" w:ascii="黑体" w:hAnsi="黑体" w:eastAsia="黑体" w:cs="黑体"/>
                <w:b/>
                <w:color w:val="000000"/>
                <w:sz w:val="24"/>
                <w:szCs w:val="24"/>
                <w:highlight w:val="none"/>
                <w:u w:val="single"/>
                <w:lang w:bidi="zh-CN"/>
              </w:rPr>
              <w:t xml:space="preserve">2.功能模块参数</w:t>
            </w:r>
            <w:r>
              <w:rPr>
                <w:rFonts w:hint="eastAsia" w:ascii="黑体" w:hAnsi="黑体" w:eastAsia="黑体" w:cs="黑体"/>
                <w:b/>
                <w:color w:val="000000"/>
                <w:sz w:val="24"/>
                <w:szCs w:val="24"/>
                <w:highlight w:val="none"/>
                <w:u w:val="single"/>
                <w:lang w:bidi="zh-CN"/>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提供学生、教师、阅卷人、管理员4类用户端口，支撑实训、实验、竞赛3类教学活动，具备系统评分、教师自评、阅卷人评分3种评分模式，将学生技能训练与教学过程管控、教学成果评估融为一体。</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1</w:t>
            </w:r>
            <w:r>
              <w:rPr>
                <w:rFonts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学生端功能要求</w:t>
            </w:r>
            <w:r>
              <w:rPr>
                <w:rFonts w:hint="eastAsia" w:ascii="宋体" w:hAnsi="宋体" w:cs="宋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①要求具备实训、实验、资源库、作品中心4大功能模块。</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②实训模块，要求涵盖数据化运营实训、直播话术实训、短视频实训、直播销售实训4类实训主题，提供不少于23个实训任务。（提供演示视频）</w:t>
            </w:r>
            <w:r>
              <w:rPr>
                <w:rFonts w:hint="eastAsia" w:ascii="宋体" w:hAnsi="宋体" w:cs="宋体"/>
                <w:b/>
                <w:bCs/>
                <w:color w:val="000000"/>
                <w:sz w:val="24"/>
                <w:szCs w:val="24"/>
                <w:highlight w:val="none"/>
                <w:u w:val="singl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③数据化运营实训主题，要求提供不少于6个实训任务，涵盖目标市场定位、消费者画像、数据化选品、短视频数据分析、直播数据分析、用户评论分析。每个任务需提供任务背景、任务要求和任务数据，具备分析图表、数据决策或计算等考核内容。（提供软件界面截图）</w:t>
            </w:r>
            <w:r>
              <w:rPr>
                <w:rFonts w:hint="eastAsia" w:ascii="宋体" w:hAnsi="宋体" w:cs="宋体"/>
                <w:b/>
                <w:bCs/>
                <w:color w:val="000000"/>
                <w:sz w:val="24"/>
                <w:szCs w:val="24"/>
                <w:highlight w:val="none"/>
                <w:u w:val="singl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④直播话术实训主题，要求提供不少于10个实训任务、41道题，涵盖基础话术、开场话术、宣传话术、互动话术、商品讲解话术、逼单话术、下播话术、客情维护话术-付款提醒、客情维护话术-投诉处理、客情维护话术-活动邀约，具备英文话术识别、判断、朗读、撰写等考核形式。（提供软件界面截图）</w:t>
            </w:r>
            <w:r>
              <w:rPr>
                <w:rFonts w:hint="eastAsia" w:ascii="宋体" w:hAnsi="宋体" w:cs="宋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⑤短视频实训主题，要求提供不少于3个实训任务，涵盖品牌推广短视频、直播预热短视频、带货短视频，具备短视频策划、短视频制作两项考核内容。</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⑥直播销售实训主题，要求提供不少于4个实训任务，涵盖服装用品直播、鞋子箱包直播、数码电子直播、家居日用直播，具备直播脚本撰写、直播录制两项考核内容。（提供演示视频）</w:t>
            </w:r>
            <w:r>
              <w:rPr>
                <w:rFonts w:hint="eastAsia" w:ascii="宋体" w:hAnsi="宋体" w:cs="宋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⑦实训模块的所有实训任务，要求学生完成提交后系统自动评分，支持重置任务、反复练习。</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⑧实验模块，列表展示教师设置的实验，支持分别进入实验构成模块（专项实训任务、对抗演练）进行训练。</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⑨实验的专项实训模块，列表显示专项实训任务（教师从实训模块的任务中自定义抽取），具备倒计时和任务完成进度统计功能，要求学生在限定时间完成实训任务。</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⑩实验的对抗演练模块，要求采用沙盘对抗的形式，以跨境电商直播企业的视角，基于系统提供的背景和数据，联合战略规划部、运营部、物流部、营销部、销售部、财务部进行运营决策与直播销售实施，与同实验下的其他企业竞争市场。（提供演示视频）</w:t>
            </w:r>
            <w:r>
              <w:rPr>
                <w:rFonts w:hint="eastAsia" w:ascii="宋体" w:hAnsi="宋体" w:cs="宋体"/>
                <w:b/>
                <w:bCs/>
                <w:color w:val="000000"/>
                <w:sz w:val="24"/>
                <w:szCs w:val="24"/>
                <w:highlight w:val="none"/>
                <w:u w:val="single"/>
              </w:rPr>
            </w:r>
            <w:r/>
          </w:p>
          <w:p>
            <w:pPr>
              <w:pStyle w:val="1038"/>
              <w:ind w:left="0" w:right="0" w:firstLine="221"/>
              <w:rPr>
                <w:rFonts w:hint="eastAsia" w:ascii="宋体" w:hAnsi="宋体" w:cs="宋体"/>
                <w:b/>
                <w:bCs/>
                <w:color w:val="000000"/>
                <w:sz w:val="24"/>
                <w:szCs w:val="24"/>
                <w:highlight w:val="none"/>
                <w:u w:val="single"/>
              </w:rPr>
            </w:pPr>
            <w:r>
              <w:rPr>
                <w:rFonts w:hint="eastAsia" w:ascii="宋体" w:hAnsi="宋体" w:cs="宋体"/>
                <w:b/>
                <w:bCs/>
                <w:color w:val="000000"/>
                <w:sz w:val="22"/>
                <w:szCs w:val="22"/>
                <w:highlight w:val="none"/>
                <w:u w:val="single"/>
              </w:rPr>
              <w:t xml:space="preserve">●</w:t>
            </w:r>
            <w:r>
              <w:rPr>
                <w:rFonts w:hint="eastAsia" w:ascii="宋体" w:hAnsi="宋体" w:cs="宋体"/>
                <w:b/>
                <w:bCs/>
                <w:color w:val="000000"/>
                <w:sz w:val="24"/>
                <w:szCs w:val="24"/>
                <w:highlight w:val="none"/>
                <w:u w:val="single"/>
              </w:rPr>
              <w:t xml:space="preserve">⑪对抗演练的企业各部门，须具备但不限于如下功能（提供演示视频）：</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a.</w:t>
            </w:r>
            <w:r>
              <w:rPr>
                <w:rFonts w:hint="eastAsia" w:ascii="宋体" w:hAnsi="宋体" w:cs="宋体"/>
                <w:b/>
                <w:bCs/>
                <w:color w:val="000000"/>
                <w:sz w:val="24"/>
                <w:szCs w:val="24"/>
                <w:highlight w:val="none"/>
                <w:u w:val="single"/>
              </w:rPr>
              <w:t xml:space="preserve">战略规划部：市场确定、产业选址。</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b.</w:t>
            </w:r>
            <w:r>
              <w:rPr>
                <w:rFonts w:hint="eastAsia" w:ascii="宋体" w:hAnsi="宋体" w:cs="宋体"/>
                <w:b/>
                <w:bCs/>
                <w:color w:val="000000"/>
                <w:sz w:val="24"/>
                <w:szCs w:val="24"/>
                <w:highlight w:val="none"/>
                <w:u w:val="single"/>
              </w:rPr>
              <w:t xml:space="preserve">运营部：商品定位、商品定价、商品录入、销售策略、客服渠道开通、客户咨询处理。</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c.</w:t>
            </w:r>
            <w:r>
              <w:rPr>
                <w:rFonts w:hint="eastAsia" w:ascii="宋体" w:hAnsi="宋体" w:cs="宋体"/>
                <w:b/>
                <w:bCs/>
                <w:color w:val="000000"/>
                <w:sz w:val="24"/>
                <w:szCs w:val="24"/>
                <w:highlight w:val="none"/>
                <w:u w:val="single"/>
              </w:rPr>
              <w:t xml:space="preserve">物流部：物流方式设置、商品采购。</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d.</w:t>
            </w:r>
            <w:r>
              <w:rPr>
                <w:rFonts w:hint="eastAsia" w:ascii="宋体" w:hAnsi="宋体" w:cs="宋体"/>
                <w:b/>
                <w:bCs/>
                <w:color w:val="000000"/>
                <w:sz w:val="24"/>
                <w:szCs w:val="24"/>
                <w:highlight w:val="none"/>
                <w:u w:val="single"/>
              </w:rPr>
              <w:t xml:space="preserve">营销部：</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1)</w:t>
            </w:r>
            <w:r>
              <w:rPr>
                <w:rFonts w:hint="eastAsia" w:ascii="宋体" w:hAnsi="宋体" w:cs="宋体"/>
                <w:b/>
                <w:bCs/>
                <w:color w:val="000000"/>
                <w:sz w:val="24"/>
                <w:szCs w:val="24"/>
                <w:highlight w:val="none"/>
                <w:u w:val="single"/>
              </w:rPr>
              <w:t xml:space="preserve">免费推广：短视频引流、社交媒体推广；</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2)</w:t>
            </w:r>
            <w:r>
              <w:rPr>
                <w:rFonts w:hint="eastAsia" w:ascii="宋体" w:hAnsi="宋体" w:cs="宋体"/>
                <w:b/>
                <w:bCs/>
                <w:color w:val="000000"/>
                <w:sz w:val="24"/>
                <w:szCs w:val="24"/>
                <w:highlight w:val="none"/>
                <w:u w:val="single"/>
              </w:rPr>
              <w:t xml:space="preserve">付费推广：站内广告、小店随心推、社交媒体广告、Google Ads、邮件营销。</w:t>
            </w:r>
            <w:r>
              <w:rPr>
                <w:rFonts w:hint="eastAsia" w:ascii="宋体" w:hAnsi="宋体" w:cs="宋体"/>
                <w:b/>
                <w:bCs/>
                <w:color w:val="000000"/>
                <w:sz w:val="24"/>
                <w:szCs w:val="24"/>
                <w:highlight w:val="none"/>
                <w:u w:val="single"/>
              </w:rPr>
            </w:r>
            <w:r/>
          </w:p>
          <w:p>
            <w:pPr>
              <w:pStyle w:val="1013"/>
              <w:ind w:firstLine="482"/>
              <w:rPr>
                <w:rFonts w:hint="eastAsia"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e.</w:t>
            </w:r>
            <w:r>
              <w:rPr>
                <w:rFonts w:hint="eastAsia" w:ascii="宋体" w:hAnsi="宋体" w:cs="宋体"/>
                <w:b/>
                <w:bCs/>
                <w:color w:val="000000"/>
                <w:sz w:val="24"/>
                <w:szCs w:val="24"/>
                <w:highlight w:val="none"/>
                <w:u w:val="single"/>
              </w:rPr>
              <w:t xml:space="preserve">销售部：直播主题策划、直播互动策划、直播脚本策划、直播间装修。财务部：支付设置、外汇兑换、资金明细。</w:t>
            </w:r>
            <w:r>
              <w:rPr>
                <w:rFonts w:hint="eastAsia" w:ascii="宋体" w:hAnsi="宋体" w:cs="宋体"/>
                <w:b/>
                <w:bCs/>
                <w:color w:val="000000"/>
                <w:sz w:val="24"/>
                <w:szCs w:val="24"/>
                <w:highlight w:val="none"/>
                <w:u w:val="singl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▲⑫对抗演练的直播销售实施阶段，要求提供配套App，学生通过App进行直播录屏，提交视频成果。(提供软件界面截图）</w:t>
            </w:r>
            <w:r>
              <w:rPr>
                <w:rFonts w:hint="eastAsia" w:ascii="宋体" w:hAnsi="宋体" w:cs="宋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⑬要求对抗演练支持多期决策，各期运营结果向后延续，上一期的运营状态及数据作为下一期的起点，各期运营成果均计入运营决策部分成绩。</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⑭要求系统具备完备的因素关联及数据计算模型，自动计算对抗演练各期的运营成果数据和各期运营成绩。</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⑮要求提供跨境电商直播资源库，包含话术库和知识库，话术库提供典型话术技巧和示例，知识库提供跨境电商直播相关学习课件和材料。</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⑯要求具备作品中心功能，集中展示学生在实训、实验模块生产的短视频和直播视频，支持对作品进行点赞。</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w:t>
            </w:r>
            <w:r>
              <w:rPr>
                <w:rFonts w:hint="eastAsia" w:ascii="黑体" w:hAnsi="黑体" w:eastAsia="黑体" w:cs="黑体"/>
                <w:b/>
                <w:bCs/>
                <w:color w:val="000000"/>
                <w:sz w:val="24"/>
                <w:szCs w:val="24"/>
                <w:highlight w:val="none"/>
                <w:u w:val="single"/>
                <w:lang w:bidi="zh-CN"/>
              </w:rPr>
              <w:t xml:space="preserve">.</w:t>
            </w:r>
            <w:r>
              <w:rPr>
                <w:rFonts w:hint="eastAsia" w:ascii="黑体" w:hAnsi="黑体" w:eastAsia="黑体" w:cs="黑体"/>
                <w:b/>
                <w:bCs/>
                <w:color w:val="000000"/>
                <w:sz w:val="24"/>
                <w:szCs w:val="24"/>
                <w:highlight w:val="none"/>
                <w:u w:val="single"/>
              </w:rPr>
              <w:t xml:space="preserve">教师端功能要求</w:t>
            </w:r>
            <w:r>
              <w:rPr>
                <w:rFonts w:hint="eastAsia" w:ascii="黑体" w:hAnsi="黑体" w:eastAsia="黑体" w:cs="黑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（1）要求具备班级管理、实验管理、阅卷管理、成绩管理、作品中心、账户管理6项功能。</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（2）实验管理模块，要求能够自定义设置实验模式或竞赛模式，自定义配置实验任务、实验时间、评分模式和分值。</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（3）要求实验起止时间及过程节点的控制，提供手工控制和自动控制两种方式。</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（4）设置为实验模式的实验，若需要人工评分，则直接由教师自评。</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（5）设置为竞赛模式的实验，若需要人工评分，则需进行阅卷管理，学生信息及其实验成果数据自动流转至阅卷人端，供阅卷人评分。</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（6）阅卷管理功能，要求提供“取均值”、“去极值后取均值”两种统分方式，同时要求可对学生进行分组，安排各组阅卷人。</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（7）成绩管理模块，融入AI智能语音识别技术，自动对话术朗读录音、直播声音进行识别评估，展示识别结果与成绩。</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（8）要求系统按照实验设置的分值占比，自动汇总系统评分、人工评分，生成实验构成模块成绩和实验总成绩，支持升降序显示成绩，支持成绩导出。</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4</w:t>
            </w:r>
            <w:r>
              <w:rPr>
                <w:rFonts w:hint="eastAsia" w:ascii="黑体" w:hAnsi="黑体" w:eastAsia="黑体" w:cs="黑体"/>
                <w:b/>
                <w:bCs/>
                <w:color w:val="000000"/>
                <w:sz w:val="24"/>
                <w:szCs w:val="24"/>
                <w:highlight w:val="none"/>
                <w:u w:val="single"/>
                <w:lang w:bidi="zh-CN"/>
              </w:rPr>
              <w:t xml:space="preserve">.</w:t>
            </w:r>
            <w:r>
              <w:rPr>
                <w:rFonts w:hint="eastAsia" w:ascii="黑体" w:hAnsi="黑体" w:eastAsia="黑体" w:cs="黑体"/>
                <w:b/>
                <w:bCs/>
                <w:color w:val="000000"/>
                <w:sz w:val="24"/>
                <w:szCs w:val="24"/>
                <w:highlight w:val="none"/>
                <w:u w:val="single"/>
              </w:rPr>
              <w:t xml:space="preserve">阅卷人端功能要求</w:t>
            </w:r>
            <w:r>
              <w:rPr>
                <w:rFonts w:hint="eastAsia" w:ascii="黑体" w:hAnsi="黑体" w:eastAsia="黑体" w:cs="黑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（1）要求系统内置各评分项的评分细则，阅卷人依据学生实验成果、评分细则和分值进行评分，系统自动汇总评分项的总分。</w:t>
            </w:r>
            <w:r>
              <w:rPr>
                <w:rFonts w:hint="eastAsia"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（2）要求系统具备评分项的评分状态标识、学生的评分状态标识，直观展示阅卷评分进度，杜绝遗漏。</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5</w:t>
            </w:r>
            <w:r>
              <w:rPr>
                <w:rFonts w:hint="eastAsia" w:ascii="黑体" w:hAnsi="黑体" w:eastAsia="黑体" w:cs="黑体"/>
                <w:b/>
                <w:bCs/>
                <w:color w:val="000000"/>
                <w:sz w:val="24"/>
                <w:szCs w:val="24"/>
                <w:highlight w:val="none"/>
                <w:u w:val="single"/>
                <w:lang w:bidi="zh-CN"/>
              </w:rPr>
              <w:t xml:space="preserve">.</w:t>
            </w:r>
            <w:r>
              <w:rPr>
                <w:rFonts w:hint="eastAsia" w:ascii="黑体" w:hAnsi="黑体" w:eastAsia="黑体" w:cs="黑体"/>
                <w:b/>
                <w:bCs/>
                <w:color w:val="000000"/>
                <w:sz w:val="24"/>
                <w:szCs w:val="24"/>
                <w:highlight w:val="none"/>
                <w:u w:val="single"/>
              </w:rPr>
              <w:t xml:space="preserve">管理员端功能要求</w:t>
            </w:r>
            <w:r>
              <w:rPr>
                <w:rFonts w:hint="eastAsia" w:ascii="黑体" w:hAnsi="黑体" w:eastAsia="黑体" w:cs="黑体"/>
                <w:b/>
                <w:bCs/>
                <w:color w:val="000000"/>
                <w:sz w:val="24"/>
                <w:szCs w:val="24"/>
                <w:highlight w:val="none"/>
                <w:u w:val="singl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（1）要求具备教师管理、数据管理和账户管理3项功能。</w:t>
            </w:r>
            <w:r>
              <w:rPr>
                <w:rFonts w:hint="eastAsia" w:ascii="宋体" w:hAnsi="宋体" w:cs="宋体"/>
                <w:color w:val="000000"/>
                <w:sz w:val="24"/>
                <w:szCs w:val="24"/>
                <w:highlight w:val="non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（2）数据管理模块，要求内置4套对抗演练任务书（含任务背景、任务环境数据），对应服装用品、家具家电、数码电子、鞋子箱包4个类目，支持对任务背景、任务环境数据进行编辑。</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商务数据分析与应用软件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1.技术架构要求</w:t>
            </w:r>
            <w:r>
              <w:rPr>
                <w:rFonts w:hint="eastAsia" w:ascii="黑体" w:hAnsi="黑体" w:eastAsia="黑体" w:cs="黑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（1）支持B/S架构访问，运行环境分为客户端、应用服务器端和数据库服务器端三部分；</w:t>
            </w:r>
            <w:r>
              <w:rPr>
                <w:rFonts w:ascii="宋体" w:hAnsi="宋体" w:cs="宋体"/>
                <w:color w:val="000000"/>
                <w:sz w:val="24"/>
                <w:szCs w:val="24"/>
                <w:highlight w:val="none"/>
              </w:rPr>
            </w:r>
            <w:r/>
          </w:p>
          <w:p>
            <w:pPr>
              <w:pStyle w:val="1038"/>
              <w:ind w:left="0" w:right="0"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（2）要求系统架构具备高可用性、高并发处理能力，采用主流技术路线，支持跨平台部署，支持不同数据格式的文件导入，简易、可扩展、通用。</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2.功能模块参数</w:t>
            </w:r>
            <w:r>
              <w:rPr>
                <w:rFonts w:hint="eastAsia" w:ascii="黑体" w:hAnsi="黑体" w:eastAsia="黑体" w:cs="黑体"/>
                <w:b/>
                <w:bCs/>
                <w:color w:val="000000"/>
                <w:sz w:val="24"/>
                <w:szCs w:val="24"/>
                <w:highlight w:val="none"/>
                <w:u w:val="singl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（1）</w:t>
            </w:r>
            <w:r>
              <w:rPr>
                <w:rFonts w:ascii="宋体" w:hAnsi="宋体" w:cs="宋体"/>
                <w:b/>
                <w:bCs/>
                <w:color w:val="000000"/>
                <w:sz w:val="24"/>
                <w:szCs w:val="24"/>
                <w:highlight w:val="none"/>
                <w:u w:val="single"/>
              </w:rPr>
              <w:t xml:space="preserve">系统支持数据采集与处理、数据分析方法、数据化运营应用、数据可视化、数据报告5大模块，不少于60个任务，并在后台灵活配置任务，任务包括任务背景、任务说明、任务资源等。</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系统支持微实训和实验中心两种模式，满足学生自主训练和教师组织考核的不同教学需求，并支持教师根据教学安排有选择性</w:t>
            </w:r>
            <w:r>
              <w:rPr>
                <w:rFonts w:hint="eastAsia" w:ascii="宋体" w:hAnsi="宋体" w:cs="宋体"/>
                <w:color w:val="000000"/>
                <w:sz w:val="24"/>
                <w:szCs w:val="24"/>
                <w:highlight w:val="none"/>
              </w:rPr>
              <w:t xml:space="preserve">地</w:t>
            </w:r>
            <w:r>
              <w:rPr>
                <w:rFonts w:ascii="宋体" w:hAnsi="宋体" w:cs="宋体"/>
                <w:color w:val="000000"/>
                <w:sz w:val="24"/>
                <w:szCs w:val="24"/>
                <w:highlight w:val="none"/>
              </w:rPr>
              <w:t xml:space="preserve">进行任务考核。</w:t>
            </w:r>
            <w:r>
              <w:rPr>
                <w:rFonts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t xml:space="preserve">（3）</w:t>
            </w:r>
            <w:r>
              <w:rPr>
                <w:rFonts w:ascii="宋体" w:hAnsi="宋体" w:cs="宋体"/>
                <w:b/>
                <w:bCs/>
                <w:color w:val="000000"/>
                <w:sz w:val="24"/>
                <w:szCs w:val="24"/>
                <w:highlight w:val="none"/>
                <w:u w:val="single"/>
              </w:rPr>
              <w:t xml:space="preserve">数据采集与处理</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系统模拟数据采集流程，如需求分析、采集目标、采集规则、数据采集、数据输入与清洗、数据输出；提供数据采集的教程资源，并根据不同的任务提供数据资源。采集任务包括市场类、产品类、营销推广类、客户服务类等。</w:t>
            </w:r>
            <w:r>
              <w:rPr>
                <w:rFonts w:hint="eastAsia" w:ascii="宋体" w:hAnsi="宋体" w:cs="宋体"/>
                <w:b/>
                <w:bCs/>
                <w:color w:val="000000"/>
                <w:sz w:val="24"/>
                <w:szCs w:val="24"/>
                <w:highlight w:val="none"/>
                <w:u w:val="single"/>
              </w:rPr>
              <w:t xml:space="preserve">（提供软件界面截图）</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w:t>
            </w:r>
            <w:r>
              <w:rPr>
                <w:rFonts w:ascii="宋体" w:hAnsi="宋体" w:cs="宋体"/>
                <w:b/>
                <w:bCs/>
                <w:color w:val="000000"/>
                <w:sz w:val="24"/>
                <w:szCs w:val="24"/>
                <w:highlight w:val="none"/>
                <w:u w:val="single"/>
              </w:rPr>
              <w:t xml:space="preserve">数据分析认知</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提供淘宝生意参谋、阿里指数、京东商智、速卖通数据纵横、网站数据统计、移动应用统计、微信公众号、新版-新抖数据统计的9大平台认知任务，辅助以思维导图形式的任务训练；系统内置京东、淘宝、抖音平台的常用指标知识（如流量、品类、交易、内容、服务、市场等维度指标），以及京东数据分析指导手册；系统提供电商、网站数据指标的指标体系的考核测评，内嵌不少于300条数据。</w:t>
            </w:r>
            <w:r>
              <w:rPr>
                <w:rFonts w:ascii="宋体" w:hAnsi="宋体" w:cs="宋体"/>
                <w:color w:val="000000"/>
                <w:sz w:val="24"/>
                <w:szCs w:val="24"/>
                <w:highlight w:val="non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（5）</w:t>
            </w:r>
            <w:r>
              <w:rPr>
                <w:rFonts w:ascii="宋体" w:hAnsi="宋体" w:cs="宋体"/>
                <w:b/>
                <w:bCs/>
                <w:color w:val="000000"/>
                <w:sz w:val="24"/>
                <w:szCs w:val="24"/>
                <w:highlight w:val="none"/>
                <w:u w:val="single"/>
              </w:rPr>
              <w:t xml:space="preserve">数据分析方法</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系统提供14种分析方法的任务，如描述性分析、分组分析、对比分析、漏斗分析、交叉分析、SWOT分析、RFM模型分析、AARRR模型分析、象限分析、电商运营预测分析等；其中，描述性分析、分组分析等部分任务嵌入在线Excel表格工具，并内置任务数据；建模任务是侧重业务需求与建模流程的任务形式。</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（6）</w:t>
            </w:r>
            <w:r>
              <w:rPr>
                <w:rFonts w:ascii="宋体" w:hAnsi="宋体" w:cs="宋体"/>
                <w:b/>
                <w:bCs/>
                <w:color w:val="000000"/>
                <w:sz w:val="24"/>
                <w:szCs w:val="24"/>
                <w:highlight w:val="none"/>
                <w:u w:val="single"/>
              </w:rPr>
              <w:t xml:space="preserve">数据化运营应用</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支持电商网店数据运营和电商网店数据分析2个主题，提供8大应用模块，如店铺规划、商品策划、流量推广、客户服务等，任务包括店铺目标分解规划、数据选品选款、潜力爆款挖掘、商品标题制定、商品定价引流、SEO标题优化、内容营销分析、动态评分优化、客服绩效优化、客户价值RFM分析等20个任务。</w:t>
            </w:r>
            <w:r>
              <w:rPr>
                <w:rFonts w:ascii="宋体" w:hAnsi="宋体" w:cs="宋体"/>
                <w:color w:val="000000"/>
                <w:sz w:val="24"/>
                <w:szCs w:val="24"/>
                <w:highlight w:val="non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（7）</w:t>
            </w:r>
            <w:r>
              <w:rPr>
                <w:rFonts w:ascii="宋体" w:hAnsi="宋体" w:cs="宋体"/>
                <w:b/>
                <w:bCs/>
                <w:color w:val="000000"/>
                <w:sz w:val="24"/>
                <w:szCs w:val="24"/>
                <w:highlight w:val="none"/>
                <w:u w:val="single"/>
              </w:rPr>
              <w:t xml:space="preserve">数据可视化</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系统需提供基本的数据可视化展示方式与应用场景，可视化工具包括条形图、折线图、柱状图、饼状图、词云、雷达图、仪表盘15种工具；系统支持可视化自定义大屏设计，通过拖拽图表类型实现数据展示。该模块提供的实训任务，可以让用户基于图表特征及应用场景，结合业务应用场景制作自定义大屏。</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（8）</w:t>
            </w:r>
            <w:r>
              <w:rPr>
                <w:rFonts w:ascii="宋体" w:hAnsi="宋体" w:cs="宋体"/>
                <w:b/>
                <w:bCs/>
                <w:color w:val="000000"/>
                <w:sz w:val="24"/>
                <w:szCs w:val="24"/>
                <w:highlight w:val="none"/>
                <w:u w:val="single"/>
              </w:rPr>
              <w:t xml:space="preserve">数据分析报告</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系统提供数据报告撰写模板、资源示例等，模块化在线编辑报告、智能编辑报告，以及提供思维导图工具设计报告结构，通过确定分析目的、数据分析，来撰写分析报告。</w:t>
            </w:r>
            <w:r>
              <w:rPr>
                <w:rFonts w:ascii="宋体" w:hAnsi="宋体" w:cs="宋体"/>
                <w:color w:val="000000"/>
                <w:sz w:val="24"/>
                <w:szCs w:val="24"/>
                <w:highlight w:val="none"/>
              </w:rPr>
            </w:r>
            <w:r/>
          </w:p>
          <w:p>
            <w:pPr>
              <w:pStyle w:val="1038"/>
              <w:ind w:left="0" w:right="0" w:firstLine="220"/>
              <w:rPr>
                <w:rFonts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（9）</w:t>
            </w:r>
            <w:r>
              <w:rPr>
                <w:rFonts w:ascii="宋体" w:hAnsi="宋体" w:cs="宋体"/>
                <w:b/>
                <w:bCs/>
                <w:color w:val="000000"/>
                <w:sz w:val="24"/>
                <w:szCs w:val="24"/>
                <w:highlight w:val="none"/>
                <w:u w:val="single"/>
              </w:rPr>
              <w:t xml:space="preserve">数据参谋</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ascii="宋体" w:hAnsi="宋体" w:cs="宋体"/>
                <w:b/>
                <w:bCs/>
                <w:color w:val="000000"/>
                <w:sz w:val="24"/>
                <w:szCs w:val="24"/>
                <w:highlight w:val="none"/>
                <w:u w:val="single"/>
              </w:rPr>
              <w:t xml:space="preserve">系统提供集数据展示与导出、报表池为一体的数据参谋，覆盖市场、商品、推广、流量、交易、服务、客户、直播等维度；商品模块含商品概况、商品效果、类目构成数据；推广模块含搜索排行、关键词助手数据；流量模块含流量总览、流量来源构成、访客分析数据；交易模块含交易与转化、交易构成数据；服务模块含DSR趋势、评价趋势数据；客户模块含客户趋势、客户画像数据。系统提供15个店铺/商品数据日报或周报报表。</w:t>
            </w:r>
            <w:r>
              <w:rPr>
                <w:rFonts w:hint="eastAsia" w:ascii="宋体" w:hAnsi="宋体" w:cs="宋体"/>
                <w:b/>
                <w:bCs/>
                <w:color w:val="000000"/>
                <w:sz w:val="24"/>
                <w:szCs w:val="24"/>
                <w:highlight w:val="none"/>
                <w:u w:val="single"/>
              </w:rPr>
              <w:t xml:space="preserve">（提供演示视频）</w:t>
            </w:r>
            <w:r>
              <w:rPr>
                <w:rFonts w:ascii="宋体" w:hAnsi="宋体" w:cs="宋体"/>
                <w:b/>
                <w:bCs/>
                <w:color w:val="000000"/>
                <w:sz w:val="24"/>
                <w:szCs w:val="24"/>
                <w:highlight w:val="none"/>
                <w:u w:val="singl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（10）</w:t>
            </w:r>
            <w:r>
              <w:rPr>
                <w:rFonts w:ascii="宋体" w:hAnsi="宋体" w:cs="宋体"/>
                <w:b/>
                <w:bCs/>
                <w:color w:val="000000"/>
                <w:sz w:val="24"/>
                <w:szCs w:val="24"/>
                <w:highlight w:val="none"/>
                <w:u w:val="single"/>
              </w:rPr>
              <w:t xml:space="preserve">评价机制与学情分析</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系统采用系统评分和教师评分结合的评分方式，方便教师对微实训和实验进行管理，对实验数据进行数据化展示，基于不同模块进行多维度学情分析，可查看学生任务进度、学生成绩分布、成绩详情等。  </w:t>
            </w:r>
            <w:r>
              <w:rPr>
                <w:rFonts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（11）</w:t>
            </w:r>
            <w:r>
              <w:rPr>
                <w:rFonts w:ascii="宋体" w:hAnsi="宋体" w:cs="宋体"/>
                <w:b/>
                <w:bCs/>
                <w:color w:val="000000"/>
                <w:sz w:val="24"/>
                <w:szCs w:val="24"/>
                <w:highlight w:val="none"/>
                <w:u w:val="single"/>
              </w:rPr>
              <w:t xml:space="preserve">任务灵活配置</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系统支持教师/管理员后台，灵活管理任务内容及资源，对任务进行添加、编辑等，根据教学安排，合理配置任务涉及的数据资源、教程、任务提示等。</w:t>
            </w:r>
            <w:r>
              <w:rPr>
                <w:rFonts w:ascii="宋体" w:hAnsi="宋体" w:cs="宋体"/>
                <w:color w:val="000000"/>
                <w:sz w:val="24"/>
                <w:szCs w:val="24"/>
                <w:highlight w:val="none"/>
              </w:rPr>
            </w:r>
            <w:r/>
          </w:p>
          <w:p>
            <w:pPr>
              <w:pStyle w:val="1038"/>
              <w:ind w:left="0" w:right="0" w:firstLine="241"/>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（12）</w:t>
            </w:r>
            <w:r>
              <w:rPr>
                <w:rFonts w:ascii="宋体" w:hAnsi="宋体" w:cs="宋体"/>
                <w:b/>
                <w:bCs/>
                <w:color w:val="000000"/>
                <w:sz w:val="24"/>
                <w:szCs w:val="24"/>
                <w:highlight w:val="none"/>
                <w:u w:val="single"/>
              </w:rPr>
              <w:t xml:space="preserve">系统数据资源</w:t>
            </w:r>
            <w:r>
              <w:rPr>
                <w:rFonts w:ascii="宋体" w:hAnsi="宋体" w:cs="宋体"/>
                <w:b/>
                <w:bCs/>
                <w:color w:val="000000"/>
                <w:sz w:val="24"/>
                <w:szCs w:val="24"/>
                <w:highlight w:val="none"/>
                <w:u w:val="single"/>
              </w:rPr>
            </w:r>
            <w:r/>
          </w:p>
          <w:p>
            <w:pPr>
              <w:pStyle w:val="1038"/>
              <w:ind w:left="0" w:right="0" w:firstLine="240"/>
              <w:rPr>
                <w:rFonts w:ascii="宋体" w:hAnsi="宋体" w:cs="宋体"/>
                <w:color w:val="000000"/>
                <w:sz w:val="24"/>
                <w:szCs w:val="24"/>
                <w:highlight w:val="none"/>
              </w:rPr>
            </w:pPr>
            <w:r>
              <w:rPr>
                <w:rFonts w:ascii="宋体" w:hAnsi="宋体" w:cs="宋体"/>
                <w:color w:val="000000"/>
                <w:sz w:val="24"/>
                <w:szCs w:val="24"/>
                <w:highlight w:val="none"/>
              </w:rPr>
              <w:t xml:space="preserve">系统对教学任务配备了网店运营数据包，以天猫店铺运营数据为主，数据涵盖店铺运营的半年数据，数据经过过滤、处理后，包括店铺流量数据、交易数据、推广数据等，包含访客数、浏览数、商品访客数、平均停留时长、跳失率、加购人数、支付买家数、客单价、支付转化率等上百个指标。</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跨境电商运营决策沙盘软件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1.技术架构要求</w:t>
            </w:r>
            <w:r>
              <w:rPr>
                <w:rFonts w:hint="eastAsia" w:ascii="黑体" w:hAnsi="黑体" w:eastAsia="黑体" w:cs="黑体"/>
                <w:b/>
                <w:bCs/>
                <w:color w:val="000000"/>
                <w:sz w:val="24"/>
                <w:szCs w:val="24"/>
                <w:highlight w:val="none"/>
                <w:u w:val="singl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（1）要求系统为B/S三层结构，运行环境分客户端、应用服务器端和数据库服务器端三部分。</w:t>
            </w:r>
            <w:r>
              <w:rPr>
                <w:rFonts w:ascii="宋体" w:hAnsi="宋体" w:cs="宋体"/>
                <w:color w:val="000000"/>
                <w:sz w:val="24"/>
                <w:szCs w:val="24"/>
                <w:highlight w:val="non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（2）要求后端应采用主流、成熟、安全的开发语言及框架，具备良好的可维护性、可扩展性和跨平台部署能力，前端采用JS、html，轻量、高效、稳定。</w:t>
            </w:r>
            <w:r>
              <w:rPr>
                <w:rFonts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（3）要求UI设计采用轻拟物的视觉设计风格，做到清爽又不乏趣味性。</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2.功能模块参数</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要求涵盖市场定位、选品、采购、营销、客服、支付、仓储配送、结汇、退税等环节，形成完整的跨境电商运营链路。</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（1）经营选址</w:t>
            </w:r>
            <w:r>
              <w:rPr>
                <w:rFonts w:hint="eastAsia" w:ascii="宋体" w:hAnsi="宋体" w:cs="宋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要求提供北京、天津、深圳、宁波、郑州、重庆6个城市供选择，不同城市在产业优势、人才素养水平、区域租金、是否属于跨境综合试验区等维度有区别。（提供演示视频）</w:t>
            </w:r>
            <w:r>
              <w:rPr>
                <w:rFonts w:hint="eastAsia" w:ascii="宋体" w:hAnsi="宋体" w:cs="宋体"/>
                <w:b/>
                <w:bCs/>
                <w:color w:val="000000"/>
                <w:sz w:val="24"/>
                <w:szCs w:val="24"/>
                <w:highlight w:val="none"/>
                <w:u w:val="singl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（2）业务方向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要求包含第三方平台店铺和独立站两类跨境电商业务主要载体。</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（3）产品策略</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需要提供美国、俄罗斯、巴西、马来西亚四个国家市场，支持针对国家分别制定不同的商品销售目标，同时支持产品品牌策略（无品牌、自有品牌、代理知名品牌）的制定。</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（4）支付工具</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需要包含储蓄卡、PayPal、Payoneer、Boleto、Qiwi Wallet、MOLPay等国际常用支付工具，体现不同支付工具的特点及适用范围。</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（5）店铺装修</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要求提供智能设计选项，提供组件工具，包含店铺招牌、导航菜单、图片广告、品牌故事、营销活动、新品推荐、热卖排行榜、猜你喜欢、商品列表和联系卖家等，支持学生依据企业规划，搭建店铺首页结构。</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（6）商品管理（提供演示视频）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①支持商品英文标题、商品主图及商品详情信息的设置，不同内容的引流效果不同；</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②支持不同国家统一定价和独立定价；</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③要求具备橱窗推荐功能，在限制数量范围内（橱窗数量依据店铺等级不同而不同）自主选择商品进行主推。</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（7）促销推广</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①提供满立减和打折两种店铺促销活动；</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②支持报名参与平台活动，要求系统内置8个主题活动（新年-New Year's Day、情人节-Valentine’s Day、复活节-Easter Day、母亲节-Mother’s Day、万圣节-Halloween Day、11.11 - 11.11 Festival、黑色星期五-Black Friday、圣诞节-Christmas Day），每期按照时间轴提供2个活动供参与；</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③提供CPC推广和联盟推广两个推广工具，其中CPC推广要求提供至少15个关键词数据，支持对关键词的单独出价和批量出价。</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（8）客户服务</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要求涵盖在线客服、企业邮箱、即时通讯、第三方社交平台等客服渠道，支持在线咨询问答情景模拟，每期至少包含4个问题，要求各期问题不重复。</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（9）独立站建设与维护（提供演示视频）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①支持网站域名的申请与服务器的配置；</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②支持自主建站和利用开源网站二次开发两种模式进行网站建设；</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③支持网站页面的设计；</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④支持对网站的性能、内容和活动进行维护。</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（10）营销市场分析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提供充分的营销市场情报，包含用户属性特点、用户行为特点和消费偏好，同时包含各营销渠道的接受度及效果分析。</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（11）营销方式</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要求提供至少5个跨境电商网络营销主流方式，比如搜索引擎营销、社会化营销、折扣营销、邮件营销及直播营销等。</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（12）营销的精准性</w:t>
            </w:r>
            <w:r>
              <w:rPr>
                <w:rFonts w:hint="eastAsia" w:ascii="宋体" w:hAnsi="宋体" w:cs="宋体"/>
                <w:b/>
                <w:bCs/>
                <w:color w:val="000000"/>
                <w:sz w:val="24"/>
                <w:szCs w:val="24"/>
                <w:highlight w:val="none"/>
                <w:u w:val="single"/>
              </w:rPr>
            </w:r>
            <w:r/>
          </w:p>
          <w:p>
            <w:pPr>
              <w:pStyle w:val="1038"/>
              <w:ind w:left="0" w:right="0" w:firstLine="240"/>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要求能够针对用户性别、年龄、在线时间段、常用营销平台等不同的用户特征和行为偏好进行差异化的精准营销。</w:t>
            </w:r>
            <w:r>
              <w:rPr>
                <w:rFonts w:hint="eastAsia" w:ascii="宋体" w:hAnsi="宋体" w:cs="宋体"/>
                <w:b/>
                <w:bCs/>
                <w:color w:val="000000"/>
                <w:sz w:val="24"/>
                <w:szCs w:val="24"/>
                <w:highlight w:val="none"/>
                <w:u w:val="singl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（13）营销推广落地平台</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①要求社交媒体推广包含Facebook、LinkedIn、Twitter(X)、VK等平台；</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②要求视频网站推广包含YouTube、IGTV、Vimeo等网站；</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③要求折扣营销包含Slickdeals、Groupon等折扣或团购网站，并体现红人（KOL）的营销价值。</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（14）物流配送</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①要求提供跨境直邮和海外仓两种物流模式，能够通过仓库对市场的发货顺序制定，实现系统智能出库发货；</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②支持邮政物流方案、商业快递物流方案、专线物流方案、海外仓头程与尾程物流方案的制定。</w:t>
            </w:r>
            <w:r>
              <w:rPr>
                <w:rFonts w:hint="eastAsia" w:ascii="宋体" w:hAnsi="宋体" w:cs="宋体"/>
                <w:color w:val="000000"/>
                <w:sz w:val="24"/>
                <w:szCs w:val="24"/>
                <w:highlight w:val="none"/>
              </w:rPr>
            </w:r>
            <w:r/>
          </w:p>
          <w:p>
            <w:pPr>
              <w:pStyle w:val="1038"/>
              <w:ind w:left="0" w:right="0" w:firstLine="220"/>
              <w:rPr>
                <w:rFonts w:hint="eastAsia" w:ascii="宋体" w:hAnsi="宋体" w:cs="宋体"/>
                <w:b/>
                <w:bCs/>
                <w:color w:val="000000"/>
                <w:sz w:val="24"/>
                <w:szCs w:val="24"/>
                <w:highlight w:val="none"/>
                <w:u w:val="single"/>
              </w:rPr>
            </w:pPr>
            <w:r>
              <w:rPr>
                <w:rFonts w:hint="eastAsia" w:ascii="宋体" w:hAnsi="宋体" w:cs="宋体"/>
                <w:color w:val="000000"/>
                <w:sz w:val="22"/>
                <w:szCs w:val="22"/>
                <w:highlight w:val="none"/>
              </w:rPr>
              <w:t xml:space="preserve">●</w:t>
            </w:r>
            <w:r>
              <w:rPr>
                <w:rFonts w:hint="eastAsia" w:ascii="宋体" w:hAnsi="宋体" w:cs="宋体"/>
                <w:b/>
                <w:bCs/>
                <w:color w:val="000000"/>
                <w:sz w:val="24"/>
                <w:szCs w:val="24"/>
                <w:highlight w:val="none"/>
                <w:u w:val="single"/>
              </w:rPr>
              <w:t xml:space="preserve">（15）采购管理（提供演示视频）</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①紧扣真实运营市场环境的采购行情，要求在不同运营期，产品价格依据市场环境不同而不同；</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②针对品牌产品可进行OEM贴牌采购体现品牌运营优势；</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③提供文字定制、图片定制、包装定制等个性化定制服务。</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（16）仓储管理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①要求包含国内仓和海外仓两类仓库，同时体现普通仓库、半自动化仓库、全自动化仓库三类仓库的效率和成本差异；</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②支持根据产品库存与销量情况进行库存撤回、折现等库存管理计划。</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（17）外汇兑换</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要求提供外汇汇率波动面板，支持企业对销售收入的自主结汇。</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（18）出口退税</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要求具备出口退税功能，体现不同商品的增值税退税率差异，结汇后需要企业自主办理退税。</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（19）财务报表</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要求能够根据企业运营情况自动生成资产负债表、现金流量表和利润表，辅助企业通过财务分析诊断运营过程。</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（20）数据监测与分析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要求提供运营监测数据，店铺诊断数据、网站监测数据、营销监测数据、交易管理数据、财务分析数据等至少6大类数据及图表，方便企业进行运营诊断和策略调整。</w:t>
            </w:r>
            <w:r>
              <w:rPr>
                <w:rFonts w:hint="eastAsia" w:ascii="宋体" w:hAnsi="宋体" w:cs="宋体"/>
                <w:color w:val="000000"/>
                <w:sz w:val="24"/>
                <w:szCs w:val="24"/>
                <w:highlight w:val="none"/>
              </w:rPr>
            </w:r>
            <w:r/>
          </w:p>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（21）</w:t>
            </w:r>
            <w:r>
              <w:rPr>
                <w:rFonts w:hint="eastAsia" w:ascii="宋体" w:hAnsi="宋体" w:cs="宋体"/>
                <w:color w:val="000000"/>
                <w:sz w:val="24"/>
                <w:szCs w:val="24"/>
                <w:highlight w:val="none"/>
              </w:rPr>
              <w:t xml:space="preserve">要求模拟环境仿真，涵盖消费市场环境、商品供应环境、行业竞争环境等多维环境，并随运营进程而变化，打造了一个丰富仿真的动态运营空间。</w:t>
            </w:r>
            <w:r>
              <w:rPr>
                <w:rFonts w:hint="eastAsia" w:ascii="宋体" w:hAnsi="宋体" w:cs="宋体"/>
                <w:color w:val="000000"/>
                <w:sz w:val="24"/>
                <w:szCs w:val="24"/>
                <w:highlight w:val="none"/>
              </w:rPr>
            </w:r>
            <w:r/>
          </w:p>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（22）</w:t>
            </w:r>
            <w:r>
              <w:rPr>
                <w:rFonts w:hint="eastAsia" w:ascii="宋体" w:hAnsi="宋体" w:cs="宋体"/>
                <w:color w:val="000000"/>
                <w:sz w:val="24"/>
                <w:szCs w:val="24"/>
                <w:highlight w:val="none"/>
              </w:rPr>
              <w:t xml:space="preserve">需要提供一定的初始资源，支持企业在激烈的竞争环境中进行博弈对抗，通过CEO、COO、CTO、CMO、CSO和CFO六个角色的扮演、分工与协作，在市场中获取最多的资源。</w:t>
            </w:r>
            <w:r>
              <w:rPr>
                <w:rFonts w:hint="eastAsia" w:ascii="宋体" w:hAnsi="宋体" w:cs="宋体"/>
                <w:color w:val="000000"/>
                <w:sz w:val="24"/>
                <w:szCs w:val="24"/>
                <w:highlight w:val="none"/>
              </w:rPr>
            </w:r>
            <w:r/>
          </w:p>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（23）</w:t>
            </w:r>
            <w:r>
              <w:rPr>
                <w:rFonts w:hint="eastAsia" w:ascii="宋体" w:hAnsi="宋体" w:cs="宋体"/>
                <w:color w:val="000000"/>
                <w:sz w:val="24"/>
                <w:szCs w:val="24"/>
                <w:highlight w:val="none"/>
              </w:rPr>
              <w:t xml:space="preserve">要求具备沙盘背景、沙盘规则、市场地图、环境变化预报等可视资源，供用户提前学习及操作参考。</w:t>
            </w:r>
            <w:r>
              <w:rPr>
                <w:rFonts w:hint="eastAsia" w:ascii="宋体" w:hAnsi="宋体" w:cs="宋体"/>
                <w:color w:val="000000"/>
                <w:sz w:val="24"/>
                <w:szCs w:val="24"/>
                <w:highlight w:val="none"/>
              </w:rPr>
            </w:r>
            <w:r/>
          </w:p>
          <w:p>
            <w:pPr>
              <w:pStyle w:val="1038"/>
              <w:ind w:left="0" w:right="0"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▲（24）要求提供服装、手表、手机配件、鞋类4个不同行业至少24个商品供教师进行选择来设置实验。（提供软件界面截图）</w:t>
            </w:r>
            <w:r>
              <w:rPr>
                <w:rFonts w:hint="eastAsia" w:ascii="宋体" w:hAnsi="宋体" w:cs="宋体"/>
                <w:b/>
                <w:bCs/>
                <w:color w:val="000000"/>
                <w:sz w:val="24"/>
                <w:szCs w:val="24"/>
                <w:highlight w:val="none"/>
                <w:u w:val="single"/>
              </w:rPr>
            </w:r>
            <w:r/>
          </w:p>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（25）</w:t>
            </w:r>
            <w:r>
              <w:rPr>
                <w:rFonts w:hint="eastAsia" w:ascii="宋体" w:hAnsi="宋体" w:cs="宋体"/>
                <w:color w:val="000000"/>
                <w:sz w:val="24"/>
                <w:szCs w:val="24"/>
                <w:highlight w:val="none"/>
              </w:rPr>
              <w:t xml:space="preserve">要求以利润率和资产两项财务指标作为成绩评定要素，综合考察“能挣钱”和“有钱”两个维度，系统能够自动核算成绩及排名。</w:t>
            </w:r>
            <w:r>
              <w:rPr>
                <w:rFonts w:hint="eastAsia" w:ascii="宋体" w:hAnsi="宋体" w:cs="宋体"/>
                <w:color w:val="000000"/>
                <w:sz w:val="24"/>
                <w:szCs w:val="24"/>
                <w:highlight w:val="none"/>
              </w:rPr>
            </w:r>
            <w:r/>
          </w:p>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（26）</w:t>
            </w:r>
            <w:r>
              <w:rPr>
                <w:rFonts w:hint="eastAsia" w:ascii="宋体" w:hAnsi="宋体" w:cs="宋体"/>
                <w:color w:val="000000"/>
                <w:sz w:val="24"/>
                <w:szCs w:val="24"/>
                <w:highlight w:val="none"/>
              </w:rPr>
              <w:t xml:space="preserve">要求提供各种数据分析图表和运营分析报告，帮助企业实现基于数据分析的科学决策及运营诊断。</w:t>
            </w:r>
            <w:r>
              <w:rPr>
                <w:rFonts w:hint="eastAsia" w:ascii="宋体" w:hAnsi="宋体" w:cs="宋体"/>
                <w:color w:val="000000"/>
                <w:sz w:val="24"/>
                <w:szCs w:val="24"/>
                <w:highlight w:val="none"/>
              </w:rPr>
            </w:r>
            <w:r/>
          </w:p>
          <w:p>
            <w:pPr>
              <w:pStyle w:val="1013"/>
              <w:ind w:firstLine="241"/>
              <w:rPr>
                <w:rFonts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（27）</w:t>
            </w:r>
            <w:r>
              <w:rPr>
                <w:rFonts w:hint="eastAsia" w:ascii="宋体" w:hAnsi="宋体" w:cs="宋体"/>
                <w:color w:val="000000"/>
                <w:sz w:val="24"/>
                <w:szCs w:val="24"/>
                <w:highlight w:val="none"/>
              </w:rPr>
              <w:t xml:space="preserve">能够支持自动和手动两种实验控制模式，满足不同使用场景，对实验控制灵活性的需求。</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《速卖通平台运营专项》课程资源包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课程框架包括速卖通平台基础、选品、商品上架、店铺装修、营销推广、订单管理、客户管理、经营表现这几大模块。层级为章—节—教学内容。课程框架需反映课程教学内容、教学环节、教学设计思路；框架材料应细致化反映各教学任务中微课视频、课件、实训设计、案例素材、阅读材料、参考数据等资源概况。（提供课程资源包界面截图）</w:t>
            </w:r>
            <w:r>
              <w:rPr>
                <w:rFonts w:hint="eastAsia" w:ascii="宋体" w:hAnsi="宋体" w:cs="宋体"/>
                <w:b/>
                <w:bCs/>
                <w:color w:val="000000"/>
                <w:sz w:val="24"/>
                <w:szCs w:val="24"/>
                <w:highlight w:val="none"/>
                <w:u w:val="singl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2.课程总体设计</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程基于单元式理实一体化结构进行设计，每个课时可以拆解为多个教学模块，课堂实训融入教学内容中，知识体系讲解结束后立刻进行对应的微实训，进行单点强化训练。教学设计中，各教学任务需涵盖不少于三个教学场景，各教学任务需至少使用三种教学方法，涵盖的教学场景包括：课前预习、课堂讲解、线上自学、课堂互动、课堂活动、实训操作、考试测试、课后拓展等；涵盖的教学方法包括：课堂讨论法、讲授法、演示法、实训法、头脑风暴法、自主学习法、启发法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程提供不少于19个课程教学大纲/教案，涵盖各节知识目标、技能目标、重难点解读、教学设计等内容，包含教学步骤安排、各环节时长安排、各环节教学方法、具体教学安排与实训安排，对教学实施各环节的具体描述等。</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3.配套教学资源</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（1）资源包含不少于19个教学课件，每个教学课件不低于25页教学内容，页面设置要求符合高清格式比例（16∶9），课件内容涉及的案例一并提供。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资源内置不少于17个微课视频，包含速卖通平台基础、选品、商品上架、店铺装修、营销推广、订单管理、客户管理、经营表现模块中多数内容的讲解；每个微课视频均为包含字幕的MP4格式，时长控制在7-12分钟，用二维动画展示，包含人物动画形象占位，可以替换为教师讲解录制，设定为1920×1080视频画幅宽高比。</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（3）资源提供不少于19个教学课件讲稿，具体讲解课程内容及微课中未涉及的知识版块内容，每个讲稿字数不低于2000字。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资源内置多个教学案例，配合课程知识内容讲解，主要涉及：明确选品定位解读、选品专家选品解读、利基产品的概念解读、商品信息采集的内容解读、FAB法则的含义解读、常见店铺页面结构解读、搭配套餐原理及目的解读、品牌闪购频道效果解读、适合Facebook营销的产品特征解读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配套课程资源提供不少于10个动画，以丰富生动的动画效果，帮助对重难知识点进行理解和掌握，动画形式为包含字幕的MP4格式，设定为1920×1080视频画幅宽高比。动画主题包含：速卖通发展历程解读、选品定位解读、站内选品工具使用解读、商品发布前准备解读、标题的含义与作用解读、联盟付费规则解读、推广方案的类型解读、“双十一”购物券的玩法与设置解读、满减活动的解读、搭配商品选取解读等。</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4.实训、考核与重点模块示例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不少于57个实训任务，各教学任务至少配备一个实训任务。包含文档形式的实训背景描述，文档、图片或视频形式的实训参考素材，内容涵盖实训要求、步骤指导、实训产出模板、路演规则说明、评价模板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（2）提供15份拓展学习材料，展现形式包括视频、文档、PPT等，涵盖本门课程涉及的知识及技能要点。文档类材料不低于500字。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（3）提供课后巩固习题不少于8套，每一章配套一套习题，习题主要考核课程对应的重难点知识点，题型包括单选、多选、简答、论述、案例分析等多种类型。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（4）商品管理，该模块资源需包括课件、</w:t>
            </w:r>
            <w:r>
              <w:rPr>
                <w:rFonts w:hint="eastAsia" w:ascii="宋体" w:hAnsi="宋体" w:cs="宋体"/>
                <w:color w:val="000000"/>
                <w:sz w:val="24"/>
                <w:szCs w:val="24"/>
                <w:highlight w:val="none"/>
              </w:rPr>
              <w:t xml:space="preserve">微课、实训设计、实训支撑素材等。包含商品发布前所需完成的准备工作讲解，包括如何设置产品信息模块、如何设置产品分组以及如何设置运费模板。包含发布商品的详细流程讲解以及发布完成后对商品如何进行管理。配合该内容讲解，需包含不少于25页的PPT课件，以及高清微课视频。微课视频为包含字幕的MP4格式，时长控制在7-12分钟，用二维动画展示，包含人物动画形象占位，可以替换为教师讲解录制，设定为1920×1080视频画幅宽高比。设置商品发布实训，提供实训大纲，商品信息、图片素材以及产出模板。并且有配套的仿真平台进行实操。</w:t>
            </w:r>
            <w:r>
              <w:rPr>
                <w:rFonts w:hint="eastAsia" w:ascii="宋体" w:hAnsi="宋体" w:cs="宋体"/>
                <w:color w:val="000000"/>
                <w:sz w:val="24"/>
                <w:szCs w:val="24"/>
                <w:highlight w:val="non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（5）店铺活动，该模块资源需包括课件、微课、实训设计、实训支撑素材等。包含店铺自主营销工具、搭配活动、互动活动和店铺优惠码Promo Code的讲解。配合该内容讲解，需包含不少于25页的PPT课件，以及高清微课视频。微课视频为包含字幕的MP4格式，时长控制在7-12分钟，用二维动画展示，包含人物动画形象占位，可以替换为教师讲解录制，设定为1920×1080视频画幅宽高比。设置单品折扣创建实训，提供实训大纲，操作指南以及产出模板。并且有配套的仿真平台进行实操。</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《跨境电商基础与实务》课程资源包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课程框架包括电商领域的蓝海市场、主流的跨境出口平台、B2C平台选品、破解跨境电商营销密码、跨境电商物流、跨境电商支付、客户服务技巧与纠纷处理这几大模块。层级为章—节—教学内容。课程框架需反映课程教学内容、教学环节、教学设计思路；框架材料应细致化反映各教学任务中微课视频、课件、实训设计、案例素材、阅读材料、参考数据等资源概况。（提供课程资源包界面截图）</w:t>
            </w:r>
            <w:r>
              <w:rPr>
                <w:rFonts w:hint="eastAsia" w:ascii="宋体" w:hAnsi="宋体" w:cs="宋体"/>
                <w:b/>
                <w:bCs/>
                <w:color w:val="000000"/>
                <w:sz w:val="24"/>
                <w:szCs w:val="24"/>
                <w:highlight w:val="none"/>
                <w:u w:val="singl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2.课程总体设计</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程基于单元式的理实一体化结构进行设计，每个课时可以拆解为多个教学模块，课堂实训融入教学内容中，知识体系讲解结束后立刻进行对应的微实训，单点进行强化训练。教学设计中，各教学任务需涵盖不少于三个教学场景，各教学任务需至少使用三种教学方法，涵盖的教学场景包括：课前预习、课堂讲解、线上自学、课堂互动、课堂活动、实训操作、考试测试、课后拓展等；涵盖的教学方法包括：课堂讨论法、讲授法、演示法、实训法、头脑风暴法、自主学习法、启发法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程提供不少于21个课程教学大纲/教案，涵盖各节知识目标、技能目标、重难点解读、教学设计等内容，包含教学步骤安排、各环节时长安排、各环节教学方法、具体教学安排与实训安排，对教学实施各环节的具体描述等。</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3.配套教学资源</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（1）资源包含不少于21个教学课件，每个教学课件不低于20页教学内容，页面设置要求符合高清格式比例（16∶9），课件内容涉及的案例一并提供。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资源内置不少于14个微课视频，包含电商领域的蓝海市场、主流的跨境出口平台、B2C平台选品、破解跨境电商营销密码、跨境电商物流、跨境电商支付、客户服务技巧与纠纷处理模块内容的讲解；每个微课视频均为包含字幕的MP4格式，时长控制在7-12分钟，用二维动画展示，包含人物动画形象占位，可以替换为教师讲解录制，设定为1920×1080视频画幅宽高比。</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（3）资源包含不少于7个PPT录播视频，主要讲解电商领域的</w:t>
            </w:r>
            <w:r>
              <w:rPr>
                <w:rFonts w:hint="eastAsia" w:ascii="宋体" w:hAnsi="宋体" w:cs="宋体"/>
                <w:color w:val="000000"/>
                <w:sz w:val="24"/>
                <w:szCs w:val="24"/>
                <w:highlight w:val="none"/>
              </w:rPr>
              <w:t xml:space="preserve">蓝海市场</w:t>
            </w:r>
            <w:r>
              <w:rPr>
                <w:rFonts w:hint="eastAsia" w:ascii="宋体" w:hAnsi="宋体" w:cs="宋体"/>
                <w:color w:val="000000"/>
                <w:sz w:val="24"/>
                <w:szCs w:val="24"/>
                <w:highlight w:val="none"/>
              </w:rPr>
              <w:t xml:space="preserve">、主流的跨境出口平台、B2C平台选品、破解跨境电商营销密码、跨境电商物流、跨境电商支付、客户服务技巧与纠纷处理的部分内容，录屏讲解与PPT课件内容完全对应，PPT录播视频时长为7-12分钟，一个PPT课件对应一个PPT录播视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（4）资源提供不少于21个教学课件讲稿，具体讲解课程内容及微课中未涉及的知识版块内容，每个讲稿字数不低于1500字。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资源内置多个教学案例，配合课程知识内容讲解，主要涉及：传音手机、Anker企业B2C平台选品解读、国外社交媒体解读、速卖通直通车付费营销解读、跨境电商物流解读、跨境电商支付解读、速卖通/亚马逊FBA海外仓模式解读、黑色星期五二次营销解读、Google关键词广告搜索引擎营销解读、微创新选品解读、Facebook社交媒体营销解读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套课程资源提供不少于10个动画，以丰富生动的动画效果，帮助对重难知识点进行理解和掌握，动画形式为包含字幕的MP4格式，设定为1920×1080视频画幅宽高比。动画主题包含：跨境电商模式解读、B2C平台选品逻辑解读、关键词广告投放流程解读、二次营销解读、亚马逊平台选品原则解读、亚马逊平台的优势解读、邮政物流模式解读、FBA的服务流程解读、第三方海外仓的优势解读、PayPal与国际支付宝的区别解读等。</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4.实训、考核与重点模块示例</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不少于26个实训任务，各教学任务至少配备一个实训任务。包含文档形式的实训背景描述，文档、图片或视频形式的实训参考素材，内容涵盖实训要求、步骤指导、实训产出模板、路演规则说明、评价模板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（2）提供不少于16份拓展学习材料，展现形式包括视频、文档、PPT等，涵盖本门课程涉及的知识及技能要点。文档类材料不低于500字。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（3）提供课后巩固习题不少于7套，每一章配套一套习题，习题主要考核课程对应的重难点知识点，题型包括单选、多选、简答、论述、案例分析等多种类型。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微创新选品模块，该模块资源需包括课件、微课、实训设计、实训支撑素材等。包括微创新选品的概念、微创新选品三部曲、微创新选品的方法等讲解。配合该内容讲解，需包含不少于20页的PPT课件，以及高清微课视频。微课视频为包含字幕的MP4格式，时长控制在7-10分钟，用二维动画展示，包含人物动画形象占位，可以替换为教师讲解录制，设定为1920×1080视频画幅宽高比。需包含微创新选品畅想的实训，实训中需给出微创新选品畅想示例，素材能与课程讲解内容相匹配。在实训提交后，需设置课堂路演环节，对实训结果进行展示。</w:t>
            </w:r>
            <w:r>
              <w:rPr>
                <w:rFonts w:hint="eastAsia" w:ascii="宋体" w:hAnsi="宋体" w:cs="宋体"/>
                <w:color w:val="000000"/>
                <w:sz w:val="24"/>
                <w:szCs w:val="24"/>
                <w:highlight w:val="non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（5）最有效的互动式营销：社交媒体营销模块</w:t>
            </w:r>
            <w:r>
              <w:rPr>
                <w:rFonts w:hint="eastAsia" w:ascii="宋体" w:hAnsi="宋体" w:cs="宋体"/>
                <w:color w:val="000000"/>
                <w:sz w:val="24"/>
                <w:szCs w:val="24"/>
                <w:highlight w:val="none"/>
              </w:rPr>
              <w:t xml:space="preserve">，该模块资源需包括课件、微课、实训设计、实训支撑素材等。包含国外主流社交媒体、社交媒体营销概述、Facebook营销之吸粉、Facebook营销之互动、Facebook营销之活动等内容的讲解。配合该内容讲解，需包含不少于25页的PPT课件，以及高清微课视频。微课视频为包含字幕的MP4格式，时长控制在7-10分钟，用二维动画展示，包含人物动画形象占位，可以替换为教师讲解录制，设定为1920×1080视频画幅宽高比。设置社交媒体营销策略应用分析实训，提供实训大纲、社交媒体营销策略、案例素材、产出模板等实训素材。</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《跨境电商营销推广》课程资源包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课程框架包括跨境电商营销基础、跨境电商平台引流（以亚马逊为例）、社交媒体营销、搜索引擎营销、其他常见的跨境网络营销方式、跨境营销行业案例分析这几大模块。层级为章—节—教学内容。课程框架需反映课程教学内容、教学环节、教学设计思路；框架材料应细致化反映各教学任务中微课视频、课件、实训设计、案例素材、阅读材料、参考数据等资源概况。（提供课程资源包界面截图）</w:t>
            </w:r>
            <w:r>
              <w:rPr>
                <w:rFonts w:hint="eastAsia" w:ascii="宋体" w:hAnsi="宋体" w:cs="宋体"/>
                <w:b/>
                <w:bCs/>
                <w:color w:val="000000"/>
                <w:sz w:val="24"/>
                <w:szCs w:val="24"/>
                <w:highlight w:val="none"/>
                <w:u w:val="singl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2.课程总体设计</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程基于单元式理实一体化结构进行设计，每个课时可以拆解为多个教学模块，课堂实训融入教学内容中，知识体系讲解结束后立刻进行对应的微实训，进行单点强化训练。教学设计中，各教学任务需涵盖不少于三个教学场景，各教学任务需至少使用三种教学方法，涵盖的教学场景包括：课前预习、课堂讲解、线上自学、课堂互动、课堂活动、实训操作、考试测试、课后拓展等；涵盖的教学方法包括：课堂讨论法、讲授法、演示法、实训法、头脑风暴法、自主学习法、启发法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程提供不少于24个课程教学大纲/教案，涵盖各节知识目标、技能目标、重难点解读、教学设计等内容，包含教学步骤安排、各环节时长安排、各环节教学方法、具体教学安排与实训安排，对教学实施各环节的具体描述等。</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3.配套教学资源</w:t>
            </w:r>
            <w:r>
              <w:rPr>
                <w:rFonts w:hint="eastAsia" w:ascii="黑体" w:hAnsi="黑体" w:eastAsia="黑体" w:cs="黑体"/>
                <w:b/>
                <w:bCs/>
                <w:color w:val="000000"/>
                <w:sz w:val="24"/>
                <w:szCs w:val="24"/>
                <w:highlight w:val="none"/>
                <w:u w:val="single"/>
              </w:rPr>
            </w:r>
            <w:r/>
          </w:p>
          <w:p>
            <w:pPr>
              <w:pStyle w:val="1013"/>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（1）资源包含不少于24个教学课件，每个教学课件不低于17页教学内容，页面设置要求符合高清格式比例（16∶9），课件内容涉及的案例一并提供。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资源内置不少于19个微课视频，包含跨境电商营销基础、跨境电商平台引流（以亚马逊为例）、社交媒体营销、搜索引擎营销、其他常见的跨境网络营销方式模块内容的讲解；每个微课视频均为包含字幕的MP4格式，时长控制在7-12分钟，用二维动画展示，包含人物动画形象占位，可以替换为教师讲解录制，设定为1920×1080视频画幅宽高比。</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（3）资源包含不少于5个PPT录播视频，主要讲解营销理论、跨境电商营销方式、Facebook Page营销、跨境营销行业案例分析等内容，录屏讲解与PPT课件内容完全对应，PPT录播视频时长为7-12分钟，一个PPT课件对应一个PPT录播视频。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（4）资源提供不少于24个教学课件讲稿，具体讲解课程内容及微课中未涉及的知识版块内容，每个讲稿字数不低于2000字。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（5）资源内置多个教学案例，配合课程知识内容讲解，主要涉及：Facebook热门帖子吸引关注的案例、成功的Facebook营销账号案例、Jack in the Box活动营销案例、Ford搜索引擎图像优化技巧案例、优秀的Facebook群组案例、优秀的Facebook主页案例、YouTube热门视频lanmodo案例、anker营销技巧解读案例、YouTube与网红合作案例、电子邮件用途的案例、三大主流亚马逊联盟推广渠道案例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套课程资源提供不少于10个动画，以丰富生动的动画效果，帮助对重难知识点进行理解和掌握，动画形式为包含字幕的MP4格式，设定为1920×1080视频画幅宽高比。动画主题包含：优化亚马逊SP广告、亚马逊联盟解读、Facebook营销基础、Facebook个人账号营销、Facebook Page营销、Facebook广告营销、Instagram营销解读、搜索引擎优化（SEO）解读、YouTube营销解读、Deal站外营销解读等。</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4.实训、考核与重点模块示例</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不少于75个实训任务，各教学任务至少配备一个实训任务。包含文档形式的实训背景描述，文档、图片或视频形式的实训参考素材，内容涵盖实训要求、步骤指导、实训产出模板、路演规则说明、评价模板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（2）提供25份拓展学习材料，展现形式包括视频、文档、PPT等，涵盖本门课程涉及的知识及技能要点。文档类材料不低于500字。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（3）提供课后巩固习题6套，每一章配套一套习题，习题主要考核课程对应的重难点知识点，题型包括单选、多选、简答、论述、案例分析等多种类型。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（4）Facebook营销基础，该模块资源需包括课件、微课、实训设</w:t>
            </w:r>
            <w:r>
              <w:rPr>
                <w:rFonts w:hint="eastAsia" w:ascii="宋体" w:hAnsi="宋体" w:cs="宋体"/>
                <w:color w:val="000000"/>
                <w:sz w:val="24"/>
                <w:szCs w:val="24"/>
                <w:highlight w:val="none"/>
              </w:rPr>
              <w:t xml:space="preserve">计、实训支撑素材等。需包含Facebook营销特点、Facebook营销目的、Facebook营销准备、Facebook功能全解和Facebook营销逻辑的讲解。配合该内容讲解，需包含不少于25页的PPT课件，以及高清微课视频。微课视频为包含字幕的MP4格式，时长控制在7-10分钟，用二维动画展示，包含人物动画形象占位，可以替换为教师讲解录制，设定为1920×1080视频画幅宽高比。需包含Facebook精准搜索实训，实训中的素材能与课程讲解内容相匹配。在实训提交后，需设置课堂路演环节，对实训结果进行展示。</w:t>
            </w:r>
            <w:r>
              <w:rPr>
                <w:rFonts w:hint="eastAsia" w:ascii="宋体" w:hAnsi="宋体" w:cs="宋体"/>
                <w:color w:val="000000"/>
                <w:sz w:val="24"/>
                <w:szCs w:val="24"/>
                <w:highlight w:val="none"/>
              </w:rPr>
            </w:r>
            <w:r/>
          </w:p>
          <w:p>
            <w:pPr>
              <w:pStyle w:val="1013"/>
              <w:ind w:firstLine="240"/>
              <w:rPr>
                <w:rFonts w:ascii="宋体" w:hAnsi="宋体" w:cs="宋体"/>
                <w:color w:val="000000"/>
                <w:sz w:val="24"/>
                <w:szCs w:val="24"/>
                <w:highlight w:val="none"/>
              </w:rPr>
            </w:pPr>
            <w:r>
              <w:rPr>
                <w:rFonts w:hint="eastAsia" w:ascii="宋体" w:hAnsi="宋体" w:cs="宋体"/>
                <w:color w:val="000000"/>
                <w:sz w:val="24"/>
                <w:szCs w:val="24"/>
                <w:highlight w:val="none"/>
              </w:rPr>
              <w:t xml:space="preserve">（5）搜索引擎优化（SEO），该模块资源需包括课</w:t>
            </w:r>
            <w:r>
              <w:rPr>
                <w:rFonts w:hint="eastAsia" w:ascii="宋体" w:hAnsi="宋体" w:cs="宋体"/>
                <w:color w:val="000000"/>
                <w:sz w:val="24"/>
                <w:szCs w:val="24"/>
                <w:highlight w:val="none"/>
              </w:rPr>
              <w:t xml:space="preserve">件、微课、实训设计、实训支撑素材等。需包含搜索引擎优化原因、网站显示效果优化及网站内容优化等搜索引擎优化的内容；需包含关键词布局、网站标题优化等搜索引擎优化技巧的讲解。配合该内容讲解，需包含不少于25页的PPT课件，以及高清微课视频。微课视频为包含字幕的MP4格式，时长控制在7-10分钟，用二维动画展示，包含人物动画形象占位，可以替换为教师讲解录制，设定为1920×1080视频画幅宽高比。包含关键词的选择实训和网站权重诊断实训。提供实训大纲，实训资源包括实训网站介绍与如何选择关键词和网站诊断介绍、产出模板。</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《跨境电商运营实务》课程资源包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1．课程框架包括跨境电商运营模式认知、选品规划、视觉营销、产品管理、运营策略、客户服务与沟通、数据分析与应用这几大模块。层级为章—节—教学内容。课程框架需反映课程教学内容、教学环节、教学设计思路；框架材料应细致化反映各教学任务中微课视频、课件、实训设计、案例素材、阅读材料、参考数据等资源概况。（提供课程资源包界面截图）</w:t>
            </w:r>
            <w:r>
              <w:rPr>
                <w:rFonts w:hint="eastAsia" w:ascii="宋体" w:hAnsi="宋体" w:cs="宋体"/>
                <w:color w:val="000000"/>
                <w:sz w:val="24"/>
                <w:szCs w:val="24"/>
                <w:highlight w:val="none"/>
              </w:rPr>
            </w:r>
            <w:r/>
          </w:p>
          <w:p>
            <w:pPr>
              <w:pStyle w:val="1013"/>
              <w:rPr>
                <w:rFonts w:hint="eastAsia" w:ascii="黑体" w:hAnsi="黑体" w:eastAsia="黑体" w:cs="黑体"/>
                <w:b/>
                <w:bCs/>
                <w:color w:val="000000"/>
                <w:sz w:val="24"/>
                <w:szCs w:val="24"/>
                <w:highlight w:val="none"/>
                <w:u w:val="single"/>
              </w:rPr>
            </w:pPr>
            <w:r>
              <w:rPr>
                <w:rFonts w:hint="eastAsia" w:ascii="黑体" w:hAnsi="黑体" w:eastAsia="黑体" w:cs="黑体"/>
                <w:b/>
                <w:bCs/>
                <w:color w:val="000000"/>
                <w:sz w:val="24"/>
                <w:szCs w:val="24"/>
                <w:highlight w:val="none"/>
                <w:u w:val="single"/>
              </w:rPr>
              <w:t xml:space="preserve">2.课程总体设计</w:t>
            </w:r>
            <w:r>
              <w:rPr>
                <w:rFonts w:hint="eastAsia" w:ascii="黑体" w:hAnsi="黑体" w:eastAsia="黑体" w:cs="黑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程基于单元式理实一体化结构进行设计，每个课时可以拆解为多个教学模块，将课堂实训融入教学内容中，知识体系讲解结束后立刻进行对应的微实训，进行单点强化训练。教学设计中，各教学任务需涵盖不少于三个教学场景，各教学任务需至少使用三种教学方法，涵盖的教学场景包括：课前预习、课堂讲解、线上自学、课堂互动、课堂活动、实训操作、考试测试、课后拓展等；涵盖的教学方法包括：课堂讨论法、讲授法、演示法、实训法、头脑风暴法、自主学习法、启发法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程提供不少于20个课程教学大纲/教案，涵盖各节知识目标、技能目标、重难点解读、教学设计等内容，包含教学步骤安排、各环节时长安排、各环节教学方法、具体教学安排与实训安排，对教学实施各环节的具体描述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（3）资源包含不少于20个教学课件，每个教学课件不低于20页教学内容，页面设置要求符合高清格式比例（16∶9），课件内容涉及的案例一并提供。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资源内置不少于16个微课视频，包含跨境电商运营模式认知、选品规划、视觉营销、产品管理、运营策略、客户服务与沟通、数据分析与应用内容模块内容的讲解；每个微课视频均为包含字幕的MP4格式，时长控制在7-12分钟，用二维动画展示，包含人物动画形象占位，可以替换为教师讲解录制，设定为1920×1080视频画幅宽高比。</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3.配套教学资源</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（1）资源包含不少于2个PPT录播视频，主要讲解跨境电商数据分析指标及内容、跨境电商数据分析的应用等，录屏讲解与PPT课件内容完全对应，PPT录播视频时长为7-12分钟，一个PPT课件对应一个PPT录播视频。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（2）资源提供不少于20个教学课件讲稿，具体讲解课程内容及微课中未涉及的知识版块内容，每个讲稿字数不低于1800字。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内置多个教学案例，配合课程知识内容讲解，主要涉及：跨境电商第三方平台运营解读、跨境电商独立站运营解读、产品信息采集解读、酒塔原理品类结构解读、基于用户需求选品法解读、数据化选品法解读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配套课程资源提供不少于10个动画，以丰富生动的动画效果，帮助对重难知识点进行理解和掌握，动画形式为包含字幕的MP4格式，设定为1920×1080视频画幅宽高比。动画主题包含：跨境电商第三方平台运营工作内容解读、独立站概念解读、产品定价策略解读、关键词分类解读、商品测评概念解读、爆款概念解读、跨境电商客服意义解读、基于用户需求选品解读、数据化选品解读、产品改进方案解读等。</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4.实训、考核与重点模块示例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不少于40个实训任务，各教学任务至少配备一个实训任务。包含文档形式的实训背景描述，文档、图片或视频形式的实训参考素材，内容涵盖实训要求、步骤指导、实训产出模板、路演规则说明、评价模板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（2）提供15份拓展学习材料，展现形式包括视频、文档、PPT等，涵盖本门课程涉及的知识及技能要点。文档类材料不低于500字。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（3）提供课后巩固习题不少于7套，每一章配套一套习题，习题主要考核课程对应的重难点知识点，题型包括单选、多选、简答、论述、案例分析等多种类型。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（4）新品推广策略（上）：关键词选择，该</w:t>
            </w:r>
            <w:r>
              <w:rPr>
                <w:rFonts w:hint="eastAsia" w:ascii="宋体" w:hAnsi="宋体" w:cs="宋体"/>
                <w:color w:val="000000"/>
                <w:sz w:val="24"/>
                <w:szCs w:val="24"/>
                <w:highlight w:val="none"/>
              </w:rPr>
              <w:t xml:space="preserve">模块资源需包括课件、微课、实训设计、实训支撑素材等。需包含关键词的概念和分类、产品关键词获取方法、产品关键词扩充方法、设置新品关键词的原则、设置新品关键词的技巧等讲解。配合该内容讲解，需包含不少于25页的PPT课件，以及高清微课视频。微课视频为包含字幕的MP4格式，时长控制在7-11分钟，用二维动画展示，包含人物动画形象占位，可以替换为教师讲解录制，设定为1920×1080视频画幅宽高比。需包含站内获取产品关键词的实训，实训中需给出关键词获取及扩充的素材，素材能与课程讲解内容相匹配，需提供实训思维导图模板。</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商品数据表现对比分析实训，对两款款式和功能相似的产品进行分析，从提供的商品信息中判断产品优劣，找出各项数据差异的原因。实训素材需包含实训大纲、商品信息与数据、实训产出模板等素材，素材要能支撑实训任务的完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《跨境电商直播》课程资源包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1"/>
              <w:rPr>
                <w:rFonts w:hint="eastAsia"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1．课程框架包括跨境直播电商概况、典型跨境直播平台、直播前期准备、直播策划与执行、跨境直播数据分析这几大模块。层级为章—节—教学内容。课程框架需反映课程教学内容、教学环节、教学设计思路；框架材料应细致化反映各教学任务中微课视频、课件、实训设计、案例素材、阅读材料、参考数据等资源概况。（提供课程资源包界面截图）</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2.课程总体设计</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课程基于单元式理实一体化结构进行设计，每个课时可以拆解为多个教学模块，课堂实训融入教学内容中，知识体系讲解结束后立刻进行对应的微实训，进行单点强化训练。教学设计中，各教学任务需涵盖不少于三个教学场景，各教学任务需至少使用三种教学方法，涵盖的教学场景包括：课前预习、课堂讲解、线上自学、课堂互动、课堂活动、实训操作、考试测试、课后拓展等；涵盖的教学方法包括：课堂讨论法、讲授法、演示法、实训法、头脑风暴法、自主学习法、启发法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课程提供不少于16个课程教学大纲/教案，涵盖各节知识目标、技能目标、重难点解读、教学设计等内容，包含教学步骤安排、各环节时长安排、各环节教学方法、具体教学安排与实训安排，对教学实施各环节的具体描述等。</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3.配套教学资源</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（1）资源包含不少于19个教学课件，每个教学课件不低于17页教学内容，页面设置要求符合高清格式比例（16∶9），课件内容涉及的案例一并提供。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资源内置不少于15个微课视频，包含跨境直播电商概况、典型跨境直播平台、直播前期准备、直播策划与执行模块内容的讲解；每个微课视频均为包含字幕的MP4格式，时长控制在4-10分钟，用二维动画展示，包含人物动画形象占位，可以替换为教师讲解录制，设定为1920×1080视频画幅宽高比。</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源包含不少于4个PPT录播视频，主要讲解直播脚本策划、直播间系统操作、直播数据分析概述、直播效果数据分析的内容，录屏讲解与PPT课件内容完全对应，PPT录播视频时长为5-12分钟，一个PPT课件对应一个PPT录播视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（4）资源提供不少于16个教学课件讲稿，具体讲解课程内容及微课中未涉及的知识版块内容，每个讲稿字数不低于1400字。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资源内置多个教学案例，配合课程知识内容讲解，主要涉及：账号变现路径解读、养号技巧解读、商品话术技巧解读、互动话术技巧解读、新奇特的商品特点解读、基于账号定位选品解读、鼓励客户好评与分享解读、直播UV与PV分析解读、直播剧透款解读、直播福利与互动解读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配套课程资源提供不少于10个动画，以丰富生动的动画效果，帮助对重难知识点进行理解和掌握，动画形式为包含字幕的MP4格式，设定为1920×1080视频画幅宽高比。动画主题包含：卖家自播含义解读、外景直播类型解读、结合节假日策划直播主题解读、结合用户需求策划直播主题解读、适用直播场景的商品特点解读、基于账号定位选品解读、结合粉丝画像选品解读、根据营销节点选品解读、利用平台工具预热解读、短视频制作发布技巧解读等。</w:t>
            </w:r>
            <w:r>
              <w:rPr>
                <w:rFonts w:hint="eastAsia" w:ascii="宋体" w:hAnsi="宋体" w:cs="宋体"/>
                <w:color w:val="000000"/>
                <w:sz w:val="24"/>
                <w:szCs w:val="24"/>
                <w:highlight w:val="none"/>
              </w:rPr>
            </w:r>
            <w:r/>
          </w:p>
          <w:p>
            <w:pPr>
              <w:pStyle w:val="1013"/>
              <w:rPr>
                <w:rFonts w:hint="eastAsia" w:ascii="宋体" w:hAnsi="宋体" w:cs="宋体"/>
                <w:color w:val="000000"/>
                <w:sz w:val="24"/>
                <w:szCs w:val="24"/>
                <w:highlight w:val="none"/>
              </w:rPr>
            </w:pPr>
            <w:r>
              <w:rPr>
                <w:rFonts w:hint="eastAsia" w:ascii="黑体" w:hAnsi="黑体" w:eastAsia="黑体" w:cs="黑体"/>
                <w:b/>
                <w:bCs/>
                <w:color w:val="000000"/>
                <w:sz w:val="24"/>
                <w:szCs w:val="24"/>
                <w:highlight w:val="none"/>
                <w:u w:val="single"/>
              </w:rPr>
              <w:t xml:space="preserve">4.实训、考核与重点模块示例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（1）提供不少于17个实训任务。包含文档形式的实训背景描述，文档、图片或视频形式的实训参考素材，内容涵盖实训要求、步骤指导、实训产出模板、路演规则说明、评价模板等。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（2）提供不少于18份拓展学习材料，展现形式包括视频、文档、PPT等，涵盖本门课程涉及的知识及技能要点。文档类材料不低于500字。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（3）提供课后巩固习题不少于5套，每一章配套一套习题，习题主要考核课程对应的重难点知识点，题型包括单选、多选、简答、论述、案例分析等多种类型。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跨境直播选品，该模块资源需包括课件、微课、实训设计、实训支撑素材等。需包含适用直播场景的商品特点、跨境直播选品方法、跨境直播排品策略的讲解。配合该内容讲解，需包含不少于25页的PPT课件，以及高清微课视频。微课视频为包含字幕的MP4格式，时长控制在7-10分钟，用二维动画展示，包含人物动画形象占位，可以替换为教师讲解录制，设定为1920×1080视频画幅宽高比。需包含历史直播数据选品的实训，实训中需给出历史直播数据的素材，素材能与课程讲解内容相匹配，并提供实训产出模板。</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直播执行，该模块资源需包括课件、微课、实训设计、实训支撑素材等。需包含直播话术与技巧、直播间系统操作内容及操作步骤、直播间突发情况危机处理策略的讲解。配合该内容讲解，需包含不少于25页的PPT课件，以及高清微课视频。微课视频为包含字幕的MP4格式，时长控制在5-10分钟，用二维动画展示，包含人物动画形象占位，可以替换为教师讲解录制，设定为1920×1080视频画幅宽高比。需包含直播话术技巧应用实训，提供实训大纲、直播信息、产出模板等实训素材，素材能与课程讲解内容相匹配。</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《AI电商认知与素养》课程资源包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本课程作为入门引导，帮助学生奠定思维基础，建立对AI+电商的宏观认知和职业素养，理解AI技术如何重塑电商行业，为后续专业技能学习奠定基础。</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1.课程框架与核心定位</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课程为AI电商专业入门基础课程，核心定位为帮助学习者建立AI+电商的宏观认知框架，掌握电商行业基础逻辑与职业素养规范，理解数字化技术对电商行业的重塑路径，为后续专业技能学习奠定认知与思维基础。课程总标配课时12课时，整体分为三大教学模块，各模块均分配4课时，教学内容由浅入深层层递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第一模块为AI+电商概论，主要讲解AI+电商定义与发展历程、数字化技术赋能电商的实现路径、行业发展趋势与就业方向；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第二模块为电商平台算法机制，围绕平台推荐算法原理、搜索排名逻辑、流量池分配规则、算法运营优化策略开展教学；</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第三模块为AI电商职业素养，涵盖电商行业职业发展规划、消费者数据隐私保护规范、电商相关法律法规、从业人员职业道德、跨岗位团队协作要求。</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课程完整覆盖知识目标、能力目标、素质目标三维教学要求，所有教学内容均配套对应教学资源与考核评价环节。</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①知识目标</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理解AI+电商的概念、发展历程与未来趋势</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掌握电商平台的算法推荐机制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熟悉AI技术在电商各环节的应用</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了解AI电商的职业素养要求</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掌握电商数据隐私保护法规</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②能力及素质目标</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具备AI+电商的整体认知框架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能够理解平台算法并制定相应策略</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具备数据隐私保护意识</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具备电商职业素养</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具备持续学习和适应变革的能力</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2.课程总体设计</w:t>
            </w:r>
            <w:r>
              <w:rPr>
                <w:rFonts w:hint="eastAsia" w:ascii="宋体" w:hAnsi="宋体" w:cs="宋体"/>
                <w:b/>
                <w:bCs/>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课程结构设计：课程采用单元式理实一体化结构设计，实训环节融入教学全流程，知识点讲解结束后立刻配套对应实训任务，实现单点知识的具象化理解与落地。教学设计中，各教学任务覆盖不少于3个教学场景，包含课前预习、课堂讲解、线上自学、课堂互动、课后拓展全流程。</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教学大纲与教案配套：课程提供1套完整的课程标准大纲、不少于12套分课时配套教学教案，完整覆盖AI+电商概论、电商平台算法机制、AI电商职业素养全部教学内容，包含各章节知识目标、技能目标、重难点解读、教学设计思路、教学步骤安排、各环节时长分配、教学方法设计、实训环节安排等全流程内容，对教学实施各环节提供可落地的具体操作指引。</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3.具体内容</w:t>
            </w:r>
            <w:r>
              <w:rPr>
                <w:rFonts w:hint="eastAsia" w:ascii="宋体" w:hAnsi="宋体" w:cs="宋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①《AI+电商概论》4课时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教学目标：理解AI+电商基本概念，建立整体认知框架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核心内容：AI+电商定义与发展历程、AI技术赋能电商路径、行业趋势分析</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②《电商平台算法机制》4课时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教学目标：理解电商平台算法逻辑和流量分配机制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核心内容：推荐算法原理、搜索排名机制、流量池机制、算法优化策略</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③《AI电商职业素养》4课时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教学目标：掌握AI电商职业素养要求</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核心内容：职业规划、数据隐私保护、电商法规、职业道德、团队协作</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④教学案例</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本课程配套不少于 3 个完整综合性教学案例，每个案例拆解多项递进式实训任务，实训任务总量不少于 12 项，全部贴合课程三大核心模块知识点，实现理论学习、实操调研、研讨分析一体化落地，具体案例及配套实训任务如下：</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案例1：AI+电商企业调研与分析报告</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任务1：选择目标企业，收集其AI电商应用相关资料</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任务2：分析该企业AI技术在电商各环节的应用场景（至少覆盖选品、营销、客服、物流中的3个环节）</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任务3：评估AI应用对该企业商业价值的影响（从运营效率、成本控制、用户体验等维度分析）</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任务4：制作调研报告PPT，进行课堂展示</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案例2：电商平台推荐算法体验与对比分析</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任务1：在三个平台分别浏览商品，记录首页推荐、搜索结果推荐、购物车关联推荐、详情页推荐的内容</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任务2：分析各平台推荐内容的个性化程度、相关性和多样性，记录用户体验感受</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任务3：对比三个平台推荐策略的异同，推测其背后的算法逻辑和流量分配机制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任务4：撰写对比分析报告，包含数据表格和可视化图表</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任务5：提出针对各平台推荐系统的改进建议</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案例3：电商数据隐私合规案例研讨</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任务1：阅读教师提供的案例材料，梳理每个案例的事实经过、关键问题和涉及主体</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任务2：分析案例中涉及的伦理问题和法律合规风险</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任务3：针对每个案例提出改进建议和合规方案（包括技术层面、管理层面、制度层面）</w:t>
            </w:r>
            <w:r>
              <w:rPr>
                <w:rFonts w:hint="eastAsia" w:ascii="宋体" w:hAnsi="宋体" w:cs="宋体"/>
                <w:color w:val="000000"/>
                <w:sz w:val="24"/>
                <w:szCs w:val="24"/>
                <w:highlight w:val="none"/>
              </w:rPr>
            </w:r>
            <w:r/>
          </w:p>
          <w:p>
            <w:pPr>
              <w:pStyle w:val="1013"/>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4.核心配套教学资源及通用技术标准</w:t>
            </w:r>
            <w:r>
              <w:rPr>
                <w:rFonts w:ascii="宋体" w:hAnsi="宋体" w:cs="宋体"/>
                <w:b/>
                <w:bCs/>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课程大纲：提供1套完整的课程标准大纲，内容包含课程基本信息、课程定位与培养目标、课程内容与学时分配，清晰列明三大模块、12课时对应的全部授课内容，同时明确教学实施要求、考核评价方式、教学资源配套要求等，符合职业教育课程教学规范，可直接用于课程教学与人才培养方案落地。</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教学教案：配套不少于12套分课时教学教案，与课程大纲、教学课件完全对应，每套教案包含课时教学目标、教学重难点、教学过程设计、实训环节设计、作业布置、教学反思指引等完整内容，覆盖行业发展、平台算法、合规素养全部授课板块，可直接用于教师课堂教学。</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教学课件：配套不少于12个独立教学课件，与分课时教案一一对应；每个课件页数不低于30页，页面设置符合16:9高清格式比例，内容完整覆盖AI+电商概论、电商平台算法机制、AI电商职业素养全模块知识点，课件中涉及的行业案例、运营数据、法律法规政策均配套可编辑的原始素材，无版权侵权风险。</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实训工作页：配套不少于12个实训工作页，每个教学任务对应1套实训工作页；工作页采用可编辑文档格式，包含实训背景、实训目标、实训步骤、实训内容、实训成果要求、实训评价标准等完整内容，实训主题贴合行业发展分析、平台算法拆解、电商合规自查等课程知识点，可直接用于学生课堂实训与课后练习。</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微课视频：内置不少于12个微课视频，完整覆盖课程三大模块所有核心知识点；视频为包含精准字幕的MP4格式，时长严格控制在7-12分钟，视频分辨率为1920×1080宽屏高比，画面清晰、声音与字幕同步无错位，内容与教学课件、教案完全对应。</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⑥配套逐字稿：每个微课视频配套1份完整逐字稿，单份逐字稿字数不低于3000字，内容与视频讲解完全一致，补充行业发展案例、算法实操解读、合规管理拓展内容，可直接用于教师备课与学生自学。</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课堂小测（含答案）：配套不少于12套分课时课堂小测，每个教学任务对应1套；题型包含单选、多选、判断、简答等，每套题量不少于10道，重点考核行业基础概念、平台算法逻辑、电商法规与职业素养等核心知识点，每套小测均配套完整的参考答案与解析，可直接用于课堂随堂检测。</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课程考核试卷（含答案）：配套不少于3套完整的课程考核试卷，每套试卷严格按照课程大纲要求命题，题型包含单选、多选、判断、简答、案例分析等，难度分布符合课程教学要求，试题全面覆盖三大模块全部授课内容，每套试卷均配套完整的参考答案与评分标准，可直接用于课程结课考核。</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⑨所有资源内容须确保原创、知识点准确，符合现行电商行业规则与国家相关法律法规，无版权纠纷、无违规内容。</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⑩所有视频类资源画面清晰、声音清楚、字幕精准无错误，支持主流播放器播放，格式符合本招标文件要求。</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⑪所有文档类资源（大纲、教案、课件、工作页、逐字稿、习题、试卷等）均须提供可编辑的源文件，在后续教学过程中可根据教学需求进行调整与使用。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《AI电商综合实战》课程资源包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1.课程框架与核心定位</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课程为电商专业核心实战课程，核心定位为依托模拟真实电商项目全流程，组织学生以团队协作形式完成电商项目从0到1完整落地训练，完整覆盖开店筹备、商品运营、内容营销、流量运营、客户管理、综合项目实训六大实操板块，侧重培养学生店铺实操、数据优化、团队协作与项目复盘能力。课程总标配课时24课时，划分为六大教学模块，每个模块分配4课时，遵循单项技能训练到全流程综合实训的递进教学逻辑。</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第一模块为电商开店全流程，教学内容包含店铺注册流程、经营类目筛选、开店资质材料筹备、平台经营规则学习；</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第二模块为商品运营实战，重点讲解市场选品策略、商品上架规范、商品详情页优化、店铺库存统筹管理；</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第三模块为内容营销实战，包含种草图文创作、短视频拍摄剪辑、直播间运营、多渠道内容投放操作；</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第四模块为流量获取与转化优化，涵盖搜索流量优化、付费推广投放、平台活动策划、商品成交转化提升方法；</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第五模块为客户运营管理，讲解客户管理系统使用、订单智能回复、会员分层运营、用户复购提升手段；</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第六模块为电商项目综合实训，完整开展项目策划、小组分工、店铺落地执行、运营数据复盘、项目答辩全流程训练。</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课程完整覆盖知识目标、能力目标、素质目标三维教学要求，所有教学内容均配套对应实操资源与考核评价体系。</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本课程通过模拟真实项目，帮助学生通过团队协作完成从0到1的AI电商项目，涵盖开店准备、商品运营、内容运营、流量获取、客服管理等全流程实战。</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【知识目标】</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掌握AI电商开店的完整流程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熟悉商品上架和运营的方法</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了解内容营销的策略和技巧</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掌握流量获取和转化优化方法</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熟悉客户运营和维护技巧</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【能力及素质目标】</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能够独立完成AI电商项目策划</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具备团队协作和项目管理能力</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能够进行店铺全流程运营</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能够制定并执行营销方案</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能够进行数据复盘和优化</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2.课程总体设计</w:t>
            </w:r>
            <w:r>
              <w:rPr>
                <w:rFonts w:hint="eastAsia" w:ascii="宋体" w:hAnsi="宋体" w:cs="宋体"/>
                <w:b/>
                <w:bCs/>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课程结构设计：课程采用单元式理实一体化结构设计，实操环节融入教学全流程，单项技能讲解结束后立刻配套对应实操训练，全流程以真实店铺项目为导向，实现技能点逐项突破与全项目完整落地。教学设计中，各教学任务覆盖不少于3个教学场景，包含课前预习、课堂讲解、实操演练、线上指导、课后复盘全流程；覆盖的教学方法包含项目教学法、任务驱动法、案例分析法、团队协作法、讲授法等不少于5种。</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教学大纲与教案配套：课程提供1套完整的课程标准大纲、不少于24套分课时配套教学教案，完整覆盖开店流程、商品运营、内容营销、流量转化、客户运营、综合项目实训全部实操内容，包含各章节知识目标、技能目标、重难点解读、教学设计思路、项目任务拆解、各环节时长分配、教学方法设计、实操环节安排、考核评价标准等全流程内容，对项目实施各环节提供可落地的具体操作规范。</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③具体内容</w:t>
            </w:r>
            <w:r>
              <w:rPr>
                <w:rFonts w:hint="eastAsia" w:ascii="宋体" w:hAnsi="宋体" w:cs="宋体"/>
                <w:b/>
                <w:bCs/>
                <w:color w:val="000000"/>
                <w:sz w:val="24"/>
                <w:szCs w:val="24"/>
                <w:highlight w:val="none"/>
                <w:u w:val="singl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A.《AI电商开店全流程》4课时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教学目标：掌握AI电商开店完整流程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核心内容：店铺注册、类目选择、资质准备、规则学习</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B.《AI商品运营实战》4课时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教学目标：掌握商品全流程运营方法</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核心内容：选品策略、AI上下架、详情页优化、库存管理</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C.《AI内容营销实战》4课时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教学目标：掌握内容营销方法和技巧</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核心内容：种草笔记、短视频制作、直播运营、内容投放</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D.《AI流量获取与转化》4课时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教学目标：掌握流量获取和转化优化</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核心内容：搜索优化、付费推广、活动策划、转化提升</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E.《AI客户运营管理》4课时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教学目标：掌握客户运营和维护方法</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核心内容：CRM系统、智能回评、会员管理、复购提升</w:t>
            </w:r>
            <w:r>
              <w:rPr>
                <w:rFonts w:hint="eastAsia" w:ascii="宋体" w:hAnsi="宋体" w:cs="宋体"/>
                <w:color w:val="000000"/>
                <w:sz w:val="24"/>
                <w:szCs w:val="24"/>
                <w:highlight w:val="none"/>
              </w:rPr>
            </w:r>
            <w:r/>
          </w:p>
          <w:p>
            <w:pPr>
              <w:pStyle w:val="1013"/>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F.《AI电商项目综合实训》4课时</w:t>
            </w:r>
            <w:r>
              <w:rPr>
                <w:rFonts w:hint="eastAsia" w:ascii="宋体" w:hAnsi="宋体" w:cs="宋体"/>
                <w:b/>
                <w:bCs/>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教学目标：完成完整的AI电商项目</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核心内容：项目策划、团队分工、执行落地、数据复盘、项目答辩</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④本课程配套不少于 4个完整综合性教学案例，每个案例拆解多项递进式实训任务，实训任务总量不少于 18 项，全部贴合课程核心模块知识点，实现理论学习、实操调研、研讨分析一体化落地，具体案例及配套实训任务如下：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案例1：AI电商开店全流程实战</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任务1：确定经营类目与目标用户群体，完成市场调研分析</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任务2：完成店铺注册、资质准备、类目选择等开店操作，记录每一步操作流程</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任务3：学习并整理平台核心规则，形成规则手册</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任务4：使用AI工具辅助完成店铺基础设置（店名、简介、装修风格等）</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任务5：制作开店流程报告PPT，进行课堂展示</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案例2：AI商品运营与内容营销实战</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任务1：使用AI工具进行市场调研与选品分析，确定3-5款目标商品，说明选品理由</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任务2：完成商品上架操作，使用AI工具优化商品标题、详情页文案</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任务3：使用AI工具生成种草笔记和短视频脚本</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任务4：制定内容投放计划，明确投放渠道、时间和预期效果</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任务5：撰写商品运营与内容营销报告，包含数据分析和优化建议</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案例3：AI流量获取与客户运营实战</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任务1：分析店铺当前流量状况，制定流量获取方案（包含搜索优化、付费推广、活动策划至少2种渠道）</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任务2：使用AI工具优化商品搜索关键词，制定付费推广预算与投放策略</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任务3：搭建客户运营体系，设计会员等级制度与权益方案</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任务4：使用AI客服工具配置智能回复话术，制定评价管理策略</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任务5：撰写流量获取与客户运营报告，包含方案执行计划、预期效果与数据复盘框架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案例4：AI电商项目综合实训</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任务1：完成项目策划书，明确项目目标、团队分工、执行计划与时间节点</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任务2：执行项目计划，完成店铺运营、商品管理、内容营销、流量获取、客户运营等各环节操作</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任务3：收集运营数据，进行数据复盘分析（流量、转化、销售、客户等维度）</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3.核心配套教学资源技术参数及通用技术标准</w:t>
            </w:r>
            <w:r>
              <w:rPr>
                <w:rFonts w:hint="eastAsia" w:ascii="宋体" w:hAnsi="宋体" w:cs="宋体"/>
                <w:b/>
                <w:bCs/>
                <w:color w:val="000000"/>
                <w:sz w:val="24"/>
                <w:szCs w:val="24"/>
                <w:highlight w:val="none"/>
                <w:u w:val="singl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课程大纲：提供1套完整的课程标准大纲，内容包含课程基本信息、课程定位与培养目标、课程内容与学时分配，清晰列明六大模块、24课时对应的全部实操授课内容，同时明确教学实施要求、考核评价方式、教学资源配套要求等，符合职业教育实战类课程教学规范，可直接用于课程教学与人才培养方案落地。</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教学教案：配套不少于24套分课时教学教案，与课程大纲、教学课件完全对应，每套教案包含课时教学目标、教学重难点、教学过程设计、实操环节设计、项目任务拆解、教学反思指引等完整内容，覆盖开店、商品、内容、流量、客户、综合实训六大实操板块，可直接用于教师课堂教学与实操指导。</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教学课件：配套不少于24个独立教学课件，与分课时教案一一对应；每个课件页数不低于30页，页面设置符合16:9高清格式比例，内容完整覆盖开店全流程、商品运营、内容营销、流量投放、客户运营、项目实训全模块实操技能点，课件中涉及的平台操作流程、运营案例、运营数据均配套可编辑的原始素材与实操模板，无版权侵权风险。</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实训工作页：配套不少于24个实训工作页，每个教学任务对应1套实训工作页，同时配套1套完整的全流程综合项目实训工作页；工作页采用可编辑文档格式，包含项目背景、实训目标、实操步骤、实操内容、成果模板、路演规则、评价标准等完整内容，实训主题包含店铺开店实操、商品选品上架、短视频内容制作、推广投放实操、会员体系搭建、完整店铺项目搭建等，贴合真实电商项目实操场景，可直接用于学生课堂实训与项目落地。</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微课视频：内置不少于24个微课视频，完整覆盖课程六大模块所有核心实操技能点；视频为包含精准字幕的MP4格式，时长严格控制在7-12分钟，视频分辨率为1920×1080宽屏高比，采用实操录屏讲解形式，完整展示操作全流程，画面清晰、声音与字幕同步无错位，内容与教学课件、教案完全对应。</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配套逐字稿：每个微课视频配套1份完整逐字稿，单份逐字稿字数不低于3000字，内容与视频讲解完全一致，补充实操技巧、平台规则注意事项、行业运营实战经验等拓展内容，可直接用于教师备课与学生实操学习。</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课堂小测（含答案）：配套不少于24套分课时课堂小测，每个教学任务对应1套；题型包含单选、多选、判断、实操流程设计等，每套题量不少于10道，重点考核开店流程、商品运营、内容营销、流量投放、客户运营等实操知识点与平台操作规范，每套小测均配套完整的参考答案与解析，可直接用于课堂随堂检测。</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课程考核试卷（含答案）：配套不少于6套完整的课程考核试卷，其中包含3套单项技能考核卷、3套综合项目考核卷；每套试卷严格按照课程大纲要求命题，题型包含单选、多选、判断、案例分析、实操设计等，难度分布符合实战类课程教学要求，试题覆盖六大模块全部实操技能内容，每套试卷均配套完整的参考答案与评分标准，可直接用于课程过程考核与结课考核。</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⑨所有资源内容须确保原创、知识点准确，符合现行电商行业规则与国家相关法律法规，无版权纠纷、无违规内容。</w:t>
            </w:r>
            <w:r>
              <w:rPr>
                <w:rFonts w:hint="eastAsia" w:ascii="宋体" w:hAnsi="宋体" w:cs="宋体"/>
                <w:color w:val="000000"/>
                <w:sz w:val="24"/>
                <w:szCs w:val="24"/>
                <w:highlight w:val="none"/>
              </w:rPr>
            </w:r>
            <w:r/>
          </w:p>
          <w:p>
            <w:pPr>
              <w:pStyle w:val="101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⑩所有视频类资源画面清晰、声音清楚、字幕精准无错误，支持主流播放器播放，格式符合本招标文件要求。</w:t>
            </w:r>
            <w:r>
              <w:rPr>
                <w:rFonts w:hint="eastAsia" w:ascii="宋体" w:hAnsi="宋体" w:cs="宋体"/>
                <w:color w:val="000000"/>
                <w:sz w:val="24"/>
                <w:szCs w:val="24"/>
                <w:highlight w:val="none"/>
              </w:rPr>
            </w:r>
            <w:r/>
          </w:p>
          <w:p>
            <w:pPr>
              <w:pStyle w:val="1013"/>
              <w:ind w:firstLine="420"/>
              <w:rPr>
                <w:rFonts w:hint="eastAsia" w:ascii="宋体" w:hAnsi="宋体" w:cs="宋体"/>
                <w:color w:val="000000"/>
                <w:sz w:val="24"/>
                <w:szCs w:val="24"/>
                <w:highlight w:val="none"/>
              </w:rPr>
            </w:pPr>
            <w:r>
              <w:rPr>
                <w:rFonts w:ascii="Cambria Math" w:hAnsi="Cambria Math" w:cs="Cambria Math"/>
                <w:color w:val="000000"/>
                <w:highlight w:val="none"/>
              </w:rPr>
              <w:t xml:space="preserve">⑪</w:t>
            </w:r>
            <w:r>
              <w:rPr>
                <w:rFonts w:hint="eastAsia" w:ascii="宋体" w:hAnsi="宋体" w:cs="宋体"/>
                <w:color w:val="000000"/>
                <w:sz w:val="24"/>
                <w:szCs w:val="24"/>
                <w:highlight w:val="none"/>
              </w:rPr>
              <w:t xml:space="preserve">所有文档类资源（大纲、教案、课件、工作页、逐字稿、习题、试卷等）均须提供可编辑的源文件，在后续教学过程中可根据教学需求进行调整与使用。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r>
        <w:trPr>
          <w:trHeight w:val="3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电子商务专业国际化标准认证</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tcPr>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1.电子商务专业国际化标准认证</w:t>
            </w:r>
            <w:r>
              <w:rPr>
                <w:rFonts w:hint="eastAsia" w:ascii="宋体" w:hAnsi="宋体" w:cs="宋体"/>
                <w:b/>
                <w:bCs/>
                <w:color w:val="000000"/>
                <w:sz w:val="24"/>
                <w:szCs w:val="24"/>
                <w:highlight w:val="none"/>
                <w:u w:val="singl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①认证项目与机构</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认证项目：中国-东盟技术人才合作项目（马来西亚）专业教学标准认证。</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认证机构：马来西亚技术人员注册局（MBOT）（马来西亚科技和创新部下属官方机构，中国贸促会商业行业委员会作为该项目的合作发起方，负责项目的整体组织与协调工作）。</w:t>
            </w:r>
            <w:r>
              <w:rPr>
                <w:rFonts w:hint="eastAsia" w:ascii="宋体" w:hAnsi="宋体" w:cs="宋体"/>
                <w:color w:val="000000"/>
                <w:sz w:val="24"/>
                <w:szCs w:val="24"/>
                <w:highlight w:val="non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②专家资质与差旅标准</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外方专家：应为MBOT授权或委派的评审专家，具体人员由认证机构指定，其级别认定及费用标准以MBOT官方规定为准。</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中方专家：应具备副教授及以上职称，或省级以上行业协会常务理事，且参与过至少2项省级及以上专业标准制定项目。</w:t>
            </w:r>
            <w:r>
              <w:rPr>
                <w:rFonts w:hint="eastAsia" w:ascii="宋体" w:hAnsi="宋体" w:cs="宋体"/>
                <w:color w:val="000000"/>
                <w:sz w:val="24"/>
                <w:szCs w:val="24"/>
                <w:highlight w:val="none"/>
              </w:rPr>
            </w:r>
            <w:r/>
          </w:p>
          <w:p>
            <w:pPr>
              <w:pStyle w:val="1013"/>
              <w:ind w:firstLine="240"/>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差旅标准：外方专家参照财政部《外宾接待经费管理办法》中关于技术专家的相关标准执行；中方专家参照国内差旅费管理办法（高铁二等座、住宿不高于350元/人/天）</w:t>
            </w:r>
            <w:r>
              <w:rPr>
                <w:rFonts w:hint="eastAsia" w:ascii="宋体" w:hAnsi="宋体" w:cs="宋体"/>
                <w:bCs/>
                <w:color w:val="000000"/>
                <w:sz w:val="24"/>
                <w:szCs w:val="24"/>
                <w:highlight w:val="none"/>
              </w:rPr>
              <w:t xml:space="preserve">。</w:t>
            </w:r>
            <w:r>
              <w:rPr>
                <w:rFonts w:hint="eastAsia" w:ascii="宋体" w:hAnsi="宋体" w:cs="宋体"/>
                <w:b/>
                <w:bCs/>
                <w:color w:val="000000"/>
                <w:sz w:val="24"/>
                <w:szCs w:val="24"/>
                <w:highlight w:val="none"/>
                <w:u w:val="single"/>
              </w:rPr>
            </w:r>
            <w:r/>
          </w:p>
          <w:p>
            <w:pPr>
              <w:pStyle w:val="1013"/>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③评审周期与交付物</w:t>
            </w:r>
            <w:r>
              <w:rPr>
                <w:rFonts w:hint="eastAsia" w:ascii="宋体" w:hAnsi="宋体" w:cs="宋体"/>
                <w:b/>
                <w:bCs/>
                <w:color w:val="000000"/>
                <w:sz w:val="24"/>
                <w:szCs w:val="24"/>
                <w:highlight w:val="none"/>
                <w:u w:val="singl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总服务周期：合同签订之日起12个自然月内完成。（若因校方材料准备不足等原因导致延期，服务周期相应顺延。）</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最终交付物：</w:t>
            </w:r>
            <w:r>
              <w:rPr>
                <w:rFonts w:hint="eastAsia" w:ascii="宋体" w:hAnsi="宋体" w:cs="宋体"/>
                <w:color w:val="000000"/>
                <w:sz w:val="24"/>
                <w:szCs w:val="24"/>
                <w:highlight w:val="none"/>
              </w:rPr>
            </w:r>
            <w:r/>
          </w:p>
          <w:p>
            <w:pPr>
              <w:pStyle w:val="1013"/>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协助校方获得由马来西亚技术人员注册局（MBOT）颁发的官方专业认证证明。完成项目要求的全套中英文申报材料的定稿与归档。提供项目整体的总结报告及相关成果文件。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1套</w:t>
            </w:r>
            <w:r>
              <w:rPr>
                <w:rFonts w:hint="eastAsia" w:ascii="宋体" w:hAnsi="宋体" w:cs="宋体"/>
                <w:color w:val="000000"/>
                <w:sz w:val="24"/>
                <w:szCs w:val="24"/>
                <w:highlight w:val="none"/>
              </w:rPr>
            </w:r>
            <w:r/>
          </w:p>
        </w:tc>
      </w:tr>
    </w:tbl>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1"/>
      </w:pPr>
      <w:r/>
      <w:bookmarkEnd w:id="530"/>
      <w:r/>
      <w:bookmarkEnd w:id="531"/>
      <w:r/>
      <w:bookmarkEnd w:id="532"/>
      <w:r/>
      <w:bookmarkEnd w:id="533"/>
      <w:r/>
      <w:bookmarkEnd w:id="534"/>
      <w:r/>
      <w:bookmarkEnd w:id="535"/>
      <w:r/>
      <w:bookmarkEnd w:id="536"/>
      <w:r/>
      <w:bookmarkEnd w:id="537"/>
      <w:r/>
      <w:bookmarkStart w:id="538" w:name="_Toc23092"/>
      <w:r/>
      <w:bookmarkStart w:id="539" w:name="_Toc15888"/>
      <w:r>
        <w:rPr>
          <w:rFonts w:hint="eastAsia" w:ascii="黑体" w:hAnsi="黑体" w:eastAsia="黑体" w:cs="黑体"/>
          <w:color w:val="000000"/>
          <w:sz w:val="24"/>
          <w:szCs w:val="24"/>
          <w:highlight w:val="none"/>
          <w:lang w:val="en-US" w:eastAsia="zh-CN"/>
        </w:rPr>
        <w:t xml:space="preserve">二、商务要求</w:t>
      </w:r>
      <w:bookmarkEnd w:id="538"/>
      <w:r/>
      <w:bookmarkEnd w:id="539"/>
      <w:r>
        <w:rPr>
          <w:rFonts w:hint="eastAsia" w:ascii="黑体" w:hAnsi="黑体" w:eastAsia="黑体" w:cs="黑体"/>
          <w:color w:val="000000"/>
          <w:sz w:val="24"/>
          <w:szCs w:val="24"/>
          <w:highlight w:val="none"/>
          <w:lang w:val="en-US" w:eastAsia="zh-CN"/>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（一）项目名称</w:t>
      </w:r>
      <w:r>
        <w:rPr>
          <w:rFonts w:hint="eastAsia" w:ascii="黑体" w:hAnsi="黑体" w:eastAsia="黑体" w:cs="黑体"/>
          <w:color w:val="000000"/>
          <w:sz w:val="24"/>
          <w:szCs w:val="24"/>
          <w:highlight w:val="none"/>
          <w:lang w:val="en-US" w:eastAsia="zh-CN"/>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京东数字商贸产业学院二期项目AI丝路电商实训平台</w:t>
      </w:r>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（二）服务交付周期</w:t>
      </w:r>
      <w:r>
        <w:rPr>
          <w:rFonts w:hint="eastAsia" w:ascii="黑体" w:hAnsi="黑体" w:eastAsia="黑体" w:cs="黑体"/>
          <w:color w:val="000000"/>
          <w:sz w:val="24"/>
          <w:szCs w:val="24"/>
          <w:highlight w:val="none"/>
          <w:lang w:val="en-US" w:eastAsia="zh-CN"/>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合同签订后60个自然日内完成部署，并正式上线运行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（三）维保期</w:t>
      </w:r>
      <w:r>
        <w:rPr>
          <w:rFonts w:hint="eastAsia" w:ascii="黑体" w:hAnsi="黑体" w:eastAsia="黑体" w:cs="黑体"/>
          <w:color w:val="000000"/>
          <w:sz w:val="24"/>
          <w:szCs w:val="24"/>
          <w:highlight w:val="none"/>
          <w:lang w:val="en-US" w:eastAsia="zh-CN"/>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本项目提供为期5年的免费系统服务期。</w:t>
      </w:r>
      <w:r>
        <w:rPr>
          <w:rFonts w:ascii="宋体" w:hAnsi="宋体"/>
          <w:color w:val="000000"/>
          <w:sz w:val="24"/>
          <w:szCs w:val="24"/>
          <w:highlight w:val="none"/>
        </w:rPr>
        <w:t xml:space="preserve">免费维保期内，每年提供不少于1次基于主流平台规则变化的课程内容更新</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（四）付款方式</w:t>
      </w:r>
      <w:r>
        <w:rPr>
          <w:rFonts w:hint="eastAsia" w:ascii="黑体" w:hAnsi="黑体" w:eastAsia="黑体" w:cs="黑体"/>
          <w:color w:val="000000"/>
          <w:sz w:val="24"/>
          <w:szCs w:val="24"/>
          <w:highlight w:val="none"/>
          <w:lang w:val="en-US" w:eastAsia="zh-CN"/>
        </w:rPr>
      </w:r>
      <w:r/>
    </w:p>
    <w:p>
      <w:pPr>
        <w:pStyle w:val="1033"/>
        <w:ind w:firstLine="480"/>
        <w:spacing w:line="440" w:lineRule="exact"/>
        <w:rPr>
          <w:rFonts w:ascii="宋体" w:hAnsi="宋体"/>
          <w:color w:val="000000"/>
          <w:sz w:val="24"/>
          <w:szCs w:val="24"/>
          <w:highlight w:val="none"/>
        </w:rPr>
      </w:pPr>
      <w:r/>
      <w:bookmarkStart w:id="540" w:name="OLE_LINK4"/>
      <w:r>
        <w:rPr>
          <w:rFonts w:hint="eastAsia" w:ascii="宋体" w:hAnsi="宋体" w:cs="宋体"/>
          <w:color w:val="000000"/>
          <w:sz w:val="24"/>
          <w:szCs w:val="24"/>
          <w:highlight w:val="none"/>
        </w:rPr>
        <w:t xml:space="preserve">项目合同签订后支付合同金额的30%。项目验收后付至合同金额的100%。</w:t>
      </w:r>
      <w:r>
        <w:rPr>
          <w:rFonts w:hint="eastAsia" w:ascii="宋体" w:hAnsi="宋体" w:cs="宋体"/>
          <w:color w:val="000000"/>
          <w:sz w:val="24"/>
          <w:szCs w:val="24"/>
          <w:highlight w:val="none"/>
        </w:rPr>
        <w:t xml:space="preserve">项目合同签订后 5 个工作日内，中标人向甲方一次性缴纳履约保证金。</w:t>
      </w:r>
      <w:r>
        <w:rPr>
          <w:rFonts w:ascii="宋体" w:hAnsi="宋体"/>
          <w:color w:val="000000"/>
          <w:sz w:val="24"/>
          <w:szCs w:val="24"/>
          <w:highlight w:val="none"/>
        </w:rPr>
        <w:t xml:space="preserve">履约保证金条款</w:t>
      </w:r>
      <w:bookmarkEnd w:id="540"/>
      <w:r>
        <w:rPr>
          <w:rFonts w:ascii="宋体" w:hAnsi="宋体"/>
          <w:color w:val="000000"/>
          <w:sz w:val="24"/>
          <w:szCs w:val="24"/>
          <w:highlight w:val="none"/>
        </w:rPr>
        <w:t xml:space="preserve">具体如下：</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 缴纳要求</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中标人应在签订政府采购合同前，向采购人缴纳合同金额10%的履约保证金。</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 缴纳形式</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中标人可自主选择以下任意一种非现金形式提交履约保证金：</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（1）支票；</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（2）汇票；</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（3）本票；</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（4）银行保函；</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（5）保险公司出具的履约保证保险保单；</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（6）担保机构出具的履约保函；</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（7）电子履约保函（保险）。供应商可通过政府采购电子履约保函（保险）平台在线申请。</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3. 退还条件</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履约保证金在供应商全面、按期履行完毕合同约定的全部义务（含5年免费维保期服务义务）后，由采购人在</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个工作日内无息退还。具体退还方式、时间、条件和不予退还的情形以合同约定为准。</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4. 不予退还的情形</w:t>
      </w:r>
      <w:r>
        <w:rPr>
          <w:rFonts w:ascii="宋体" w:hAnsi="宋体"/>
          <w:color w:val="000000"/>
          <w:sz w:val="24"/>
          <w:szCs w:val="24"/>
          <w:highlight w:val="none"/>
        </w:rPr>
      </w:r>
      <w:r/>
    </w:p>
    <w:p>
      <w:pPr>
        <w:pStyle w:val="1033"/>
        <w:spacing w:line="440" w:lineRule="exact"/>
        <w:rPr>
          <w:rFonts w:ascii="宋体" w:hAnsi="宋体"/>
          <w:color w:val="000000"/>
          <w:sz w:val="24"/>
          <w:szCs w:val="24"/>
          <w:highlight w:val="none"/>
        </w:rPr>
      </w:pPr>
      <w:r>
        <w:rPr>
          <w:rFonts w:ascii="宋体" w:hAnsi="宋体"/>
          <w:color w:val="000000"/>
          <w:sz w:val="24"/>
          <w:szCs w:val="24"/>
          <w:highlight w:val="none"/>
        </w:rPr>
        <w:t xml:space="preserve">出现下列情形之一的，采购人有权不予退还履约保证金（或向保函出具机构提出索赔）：</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（1）中标人未能按照合同约定的期限、质量标准完成项目交付的；</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（2）中标人违反合同约定擅自转包或分包的；</w:t>
      </w:r>
      <w:r>
        <w:rPr>
          <w:rFonts w:ascii="宋体" w:hAnsi="宋体"/>
          <w:color w:val="000000"/>
          <w:sz w:val="24"/>
          <w:szCs w:val="24"/>
          <w:highlight w:val="none"/>
        </w:rPr>
      </w:r>
      <w:r/>
    </w:p>
    <w:p>
      <w:pPr>
        <w:pStyle w:val="1033"/>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（3）中标人在维保期内未能按照合同约定履行维保义务的；</w:t>
      </w:r>
      <w:r>
        <w:rPr>
          <w:rFonts w:ascii="宋体" w:hAnsi="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ascii="宋体" w:hAnsi="宋体"/>
          <w:color w:val="000000"/>
          <w:sz w:val="24"/>
          <w:szCs w:val="24"/>
          <w:highlight w:val="none"/>
        </w:rPr>
        <w:t xml:space="preserve">（4）中标人违反合同约定的其他主要义务，经催告后在合理期限内仍未履行的。</w:t>
      </w:r>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hint="eastAsia" w:ascii="黑体" w:hAnsi="黑体" w:eastAsia="黑体" w:cs="黑体"/>
          <w:color w:val="000000"/>
          <w:sz w:val="24"/>
          <w:szCs w:val="24"/>
          <w:highlight w:val="none"/>
          <w:lang w:val="en-US" w:eastAsia="zh-CN"/>
        </w:rPr>
        <w:outlineLvl w:val="2"/>
      </w:pPr>
      <w:r/>
      <w:bookmarkStart w:id="541" w:name="_Toc3070"/>
      <w:r/>
      <w:bookmarkStart w:id="542" w:name="_Toc14622"/>
      <w:r/>
      <w:bookmarkStart w:id="543" w:name="_Toc14172"/>
      <w:r/>
      <w:bookmarkStart w:id="544" w:name="_Toc873"/>
      <w:r/>
      <w:bookmarkStart w:id="545" w:name="_Toc4846"/>
      <w:r/>
      <w:bookmarkStart w:id="546" w:name="_Toc13862"/>
      <w:r>
        <w:rPr>
          <w:rFonts w:hint="eastAsia" w:ascii="黑体" w:hAnsi="黑体" w:eastAsia="黑体" w:cs="黑体"/>
          <w:color w:val="000000"/>
          <w:sz w:val="24"/>
          <w:szCs w:val="24"/>
          <w:highlight w:val="none"/>
          <w:lang w:val="en-US" w:eastAsia="zh-CN"/>
        </w:rPr>
        <w:t xml:space="preserve">（五）分包和转包</w:t>
      </w:r>
      <w:bookmarkEnd w:id="541"/>
      <w:r/>
      <w:bookmarkEnd w:id="542"/>
      <w:r/>
      <w:bookmarkEnd w:id="543"/>
      <w:r/>
      <w:bookmarkEnd w:id="544"/>
      <w:r/>
      <w:bookmarkEnd w:id="545"/>
      <w:r/>
      <w:bookmarkEnd w:id="546"/>
      <w:r>
        <w:rPr>
          <w:rFonts w:hint="eastAsia" w:ascii="黑体" w:hAnsi="黑体" w:eastAsia="黑体" w:cs="黑体"/>
          <w:color w:val="000000"/>
          <w:sz w:val="24"/>
          <w:szCs w:val="24"/>
          <w:highlight w:val="none"/>
          <w:lang w:val="en-US" w:eastAsia="zh-CN"/>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不接受分包或转包。签订合同后，中标人不得将合同标的进行转包，也不得采用与其他单位分包的形式履行合同，否则采购单位有权终止合同。转包或分包造成采购单位损失的，中标单位应承担相应赔偿责任和相关法律责任。</w:t>
      </w:r>
      <w:r>
        <w:rPr>
          <w:rFonts w:hint="eastAsia" w:ascii="宋体" w:hAnsi="宋体" w:cs="宋体"/>
          <w:color w:val="000000"/>
          <w:sz w:val="24"/>
          <w:szCs w:val="24"/>
          <w:highlight w:val="none"/>
        </w:rPr>
      </w:r>
      <w:r/>
    </w:p>
    <w:p>
      <w:pPr>
        <w:pStyle w:val="1126"/>
        <w:ind w:firstLine="0"/>
        <w:jc w:val="both"/>
        <w:spacing w:line="440" w:lineRule="exact"/>
        <w:tabs>
          <w:tab w:val="left" w:pos="7958" w:leader="none"/>
          <w:tab w:val="left" w:pos="9016" w:leader="underscore"/>
          <w:tab w:val="left" w:pos="9029" w:leader="none"/>
        </w:tabs>
        <w:rPr>
          <w:rFonts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（六）其他服务要求</w:t>
      </w:r>
      <w:r>
        <w:rPr>
          <w:rFonts w:ascii="黑体" w:hAnsi="黑体" w:eastAsia="黑体" w:cs="黑体"/>
          <w:color w:val="000000"/>
          <w:sz w:val="24"/>
          <w:szCs w:val="24"/>
          <w:highlight w:val="none"/>
          <w:lang w:val="en-US" w:eastAsia="zh-CN"/>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1、总体设计方案</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投标人根据本项目总体要求进行总体设计方案编制，从项目背景理解与总体目标设定、项目建设所遵循的技术路线与相关标准、项目建设的基本原则与指导思想、系统总体架构与功能模块规划、项目实施的总体策略等角度出发，进行全面规划，能对现实需求提出切实可行的总体设计方案。</w:t>
      </w:r>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bookmarkStart w:id="547" w:name="_Toc5046"/>
      <w:r/>
      <w:bookmarkStart w:id="548" w:name="_Toc32192"/>
      <w:r/>
      <w:bookmarkStart w:id="549" w:name="_Toc28497"/>
      <w:r/>
      <w:bookmarkStart w:id="550" w:name="_Toc24934"/>
      <w:r/>
      <w:bookmarkStart w:id="551" w:name="_Toc24768"/>
      <w:r/>
      <w:bookmarkStart w:id="552" w:name="_Toc1856"/>
      <w:r/>
      <w:bookmarkStart w:id="553" w:name="_Toc19912"/>
      <w:r/>
      <w:bookmarkStart w:id="554" w:name="_Toc13171"/>
      <w:r>
        <w:rPr>
          <w:rFonts w:hint="eastAsia" w:ascii="黑体" w:hAnsi="黑体" w:eastAsia="黑体" w:cs="黑体"/>
          <w:color w:val="000000"/>
          <w:sz w:val="24"/>
          <w:szCs w:val="24"/>
          <w:highlight w:val="none"/>
        </w:rPr>
        <w:t xml:space="preserve">2、实施</w:t>
      </w:r>
      <w:bookmarkEnd w:id="547"/>
      <w:r/>
      <w:bookmarkEnd w:id="548"/>
      <w:r/>
      <w:bookmarkEnd w:id="549"/>
      <w:r/>
      <w:bookmarkEnd w:id="550"/>
      <w:r/>
      <w:bookmarkEnd w:id="551"/>
      <w:r/>
      <w:bookmarkEnd w:id="552"/>
      <w:r/>
      <w:bookmarkEnd w:id="553"/>
      <w:r/>
      <w:bookmarkEnd w:id="554"/>
      <w:r>
        <w:rPr>
          <w:rFonts w:hint="eastAsia" w:ascii="黑体" w:hAnsi="黑体" w:eastAsia="黑体" w:cs="黑体"/>
          <w:color w:val="000000"/>
          <w:sz w:val="24"/>
          <w:szCs w:val="24"/>
          <w:highlight w:val="none"/>
        </w:rPr>
        <w:t xml:space="preserve">方案</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为确保本项目的顺利推进与实施，需要提供明确的实施计划。要求方案内容包括但不限于项目管理、项目进度安排、项目安装、项目调试、项目质量保障措施等方面。</w:t>
      </w:r>
      <w:r>
        <w:rPr>
          <w:rFonts w:hint="eastAsia" w:ascii="宋体" w:hAnsi="宋体" w:cs="宋体"/>
          <w:color w:val="000000"/>
          <w:sz w:val="24"/>
          <w:szCs w:val="24"/>
          <w:highlight w:val="none"/>
        </w:rPr>
      </w:r>
      <w:r/>
    </w:p>
    <w:p>
      <w:pPr>
        <w:pStyle w:val="1013"/>
        <w:numPr>
          <w:ilvl w:val="2"/>
          <w:numId w:val="0"/>
        </w:numPr>
        <w:ind w:firstLine="480"/>
        <w:spacing w:line="440" w:lineRule="exact"/>
        <w:rPr>
          <w:rFonts w:ascii="黑体" w:hAnsi="黑体" w:eastAsia="黑体" w:cs="黑体"/>
          <w:color w:val="000000"/>
          <w:sz w:val="24"/>
          <w:szCs w:val="24"/>
          <w:highlight w:val="none"/>
        </w:rPr>
        <w:outlineLvl w:val="3"/>
      </w:pPr>
      <w:r/>
      <w:bookmarkStart w:id="555" w:name="_Toc6451"/>
      <w:r/>
      <w:bookmarkStart w:id="556" w:name="_Toc1499"/>
      <w:r/>
      <w:bookmarkStart w:id="557" w:name="_Toc4137"/>
      <w:r/>
      <w:bookmarkStart w:id="558" w:name="_Toc5311"/>
      <w:r/>
      <w:bookmarkStart w:id="559" w:name="_Toc29885"/>
      <w:r/>
      <w:bookmarkStart w:id="560" w:name="_Toc5115"/>
      <w:r/>
      <w:bookmarkStart w:id="561" w:name="_Toc9245"/>
      <w:r/>
      <w:bookmarkStart w:id="562" w:name="_Toc23934"/>
      <w:r/>
      <w:bookmarkStart w:id="563" w:name="_Toc5492"/>
      <w:r/>
      <w:bookmarkStart w:id="564" w:name="_Toc10837"/>
      <w:r>
        <w:rPr>
          <w:rFonts w:hint="eastAsia" w:ascii="黑体" w:hAnsi="黑体" w:eastAsia="黑体" w:cs="黑体"/>
          <w:color w:val="000000"/>
          <w:sz w:val="24"/>
          <w:szCs w:val="24"/>
          <w:highlight w:val="none"/>
        </w:rPr>
        <w:t xml:space="preserve">3、团队人员</w:t>
      </w:r>
      <w:bookmarkEnd w:id="555"/>
      <w:r/>
      <w:bookmarkEnd w:id="556"/>
      <w:r/>
      <w:bookmarkEnd w:id="557"/>
      <w:r/>
      <w:bookmarkEnd w:id="558"/>
      <w:r/>
      <w:bookmarkEnd w:id="560"/>
      <w:r/>
      <w:bookmarkEnd w:id="561"/>
      <w:r/>
      <w:bookmarkEnd w:id="562"/>
      <w:r/>
      <w:bookmarkEnd w:id="563"/>
      <w:r/>
      <w:bookmarkEnd w:id="564"/>
      <w:r>
        <w:rPr>
          <w:rFonts w:hint="eastAsia" w:ascii="黑体" w:hAnsi="黑体" w:eastAsia="黑体" w:cs="黑体"/>
          <w:color w:val="000000"/>
          <w:sz w:val="24"/>
          <w:szCs w:val="24"/>
          <w:highlight w:val="none"/>
        </w:rPr>
        <w:t xml:space="preserve">要求</w:t>
      </w:r>
      <w:r>
        <w:rPr>
          <w:rFonts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投标人应配备高度专业化的服务团队，确保本项目在软件建设与服务期内的高质量交付及维护服务。</w:t>
      </w:r>
      <w:r>
        <w:rPr>
          <w:rFonts w:hint="eastAsia" w:ascii="宋体" w:hAnsi="宋体" w:cs="宋体"/>
          <w:color w:val="000000"/>
          <w:sz w:val="24"/>
          <w:szCs w:val="24"/>
          <w:highlight w:val="none"/>
        </w:rPr>
      </w:r>
      <w:r/>
    </w:p>
    <w:p>
      <w:pPr>
        <w:pStyle w:val="1013"/>
        <w:numPr>
          <w:ilvl w:val="2"/>
          <w:numId w:val="0"/>
        </w:numPr>
        <w:ind w:firstLine="480"/>
        <w:spacing w:line="440" w:lineRule="exact"/>
        <w:rPr>
          <w:rFonts w:ascii="黑体" w:hAnsi="黑体" w:eastAsia="黑体" w:cs="黑体"/>
          <w:color w:val="000000"/>
          <w:sz w:val="24"/>
          <w:szCs w:val="24"/>
          <w:highlight w:val="none"/>
        </w:rPr>
        <w:outlineLvl w:val="3"/>
      </w:pPr>
      <w:r/>
      <w:bookmarkStart w:id="565" w:name="_Toc3269"/>
      <w:r/>
      <w:bookmarkStart w:id="566" w:name="_Toc7988"/>
      <w:r/>
      <w:bookmarkStart w:id="567" w:name="_Toc12852"/>
      <w:r/>
      <w:bookmarkStart w:id="568" w:name="_Toc9651"/>
      <w:r/>
      <w:bookmarkStart w:id="569" w:name="_Toc9772"/>
      <w:r/>
      <w:bookmarkStart w:id="570" w:name="_Toc19125"/>
      <w:r/>
      <w:bookmarkStart w:id="571" w:name="_Toc19767"/>
      <w:r/>
      <w:bookmarkStart w:id="572" w:name="_Toc21922"/>
      <w:r/>
      <w:bookmarkStart w:id="573" w:name="_Toc9589"/>
      <w:r>
        <w:rPr>
          <w:rFonts w:hint="eastAsia" w:ascii="黑体" w:hAnsi="黑体" w:eastAsia="黑体" w:cs="黑体"/>
          <w:color w:val="000000"/>
          <w:sz w:val="24"/>
          <w:szCs w:val="24"/>
          <w:highlight w:val="none"/>
        </w:rPr>
        <w:t xml:space="preserve">4、培训服务</w:t>
      </w:r>
      <w:bookmarkEnd w:id="565"/>
      <w:r/>
      <w:bookmarkEnd w:id="566"/>
      <w:r/>
      <w:bookmarkEnd w:id="567"/>
      <w:r/>
      <w:bookmarkEnd w:id="568"/>
      <w:r/>
      <w:bookmarkEnd w:id="569"/>
      <w:r/>
      <w:bookmarkEnd w:id="570"/>
      <w:r/>
      <w:bookmarkEnd w:id="571"/>
      <w:r/>
      <w:bookmarkEnd w:id="572"/>
      <w:r/>
      <w:bookmarkEnd w:id="573"/>
      <w:r>
        <w:rPr>
          <w:rFonts w:hint="eastAsia" w:ascii="黑体" w:hAnsi="黑体" w:eastAsia="黑体" w:cs="黑体"/>
          <w:color w:val="000000"/>
          <w:sz w:val="24"/>
          <w:szCs w:val="24"/>
          <w:highlight w:val="none"/>
        </w:rPr>
        <w:t xml:space="preserve">方案</w:t>
      </w:r>
      <w:r>
        <w:rPr>
          <w:rFonts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投标人应提供使用操作培训，并提供明确的培训方案，方案内容需包括但不限于培训内容和地点、现场（专门）培训、技术（操作）培训、培训材料、培训时长等方面。</w:t>
      </w:r>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bookmarkStart w:id="574" w:name="_Toc28135"/>
      <w:r/>
      <w:bookmarkStart w:id="575" w:name="_Toc9535"/>
      <w:r/>
      <w:bookmarkStart w:id="576" w:name="_Toc27926"/>
      <w:r/>
      <w:bookmarkStart w:id="577" w:name="_Toc7967"/>
      <w:r/>
      <w:bookmarkStart w:id="578" w:name="_Toc14905"/>
      <w:r/>
      <w:bookmarkStart w:id="579" w:name="_Toc25906"/>
      <w:r/>
      <w:bookmarkStart w:id="580" w:name="_Toc22300"/>
      <w:r/>
      <w:bookmarkStart w:id="581" w:name="_Toc14656"/>
      <w:r/>
      <w:bookmarkStart w:id="582" w:name="_Toc22236"/>
      <w:r>
        <w:rPr>
          <w:rFonts w:hint="eastAsia" w:ascii="黑体" w:hAnsi="黑体" w:eastAsia="黑体" w:cs="黑体"/>
          <w:color w:val="000000"/>
          <w:sz w:val="24"/>
          <w:szCs w:val="24"/>
          <w:highlight w:val="none"/>
        </w:rPr>
        <w:t xml:space="preserve">5、售后服务要求</w:t>
      </w:r>
      <w:bookmarkEnd w:id="574"/>
      <w:r/>
      <w:bookmarkEnd w:id="575"/>
      <w:r/>
      <w:bookmarkEnd w:id="576"/>
      <w:r/>
      <w:bookmarkEnd w:id="577"/>
      <w:r/>
      <w:bookmarkEnd w:id="578"/>
      <w:r/>
      <w:bookmarkEnd w:id="579"/>
      <w:r/>
      <w:bookmarkEnd w:id="580"/>
      <w:r/>
      <w:bookmarkEnd w:id="581"/>
      <w:r/>
      <w:bookmarkEnd w:id="582"/>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须具备远程网络支持服务及热线电话、简单问题和故障6小时内解决，复杂问题12小时内解决、如遇软件系统严重故障并不能通过远程服务进行解决的，须安排工程师于24小时内到现场提供技术支持服务直至问题和故障排除。</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（1）系统免费维保期为系统验收后5年。</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（2）维保期内对软件系统的bug和安全漏洞提供及时响应及修订。</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（3）其余售后服务要求按照中标人投标文件中提供的售后服务方案执行，包括但不限于售后服务响应时间、售后服务方式、售后服务内容、售后服务承诺、售后服务质量控制措施等。</w:t>
      </w:r>
      <w:bookmarkEnd w:id="559"/>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bookmarkStart w:id="583" w:name="_Toc2853"/>
      <w:r/>
      <w:bookmarkStart w:id="584" w:name="_Toc7937"/>
      <w:r/>
      <w:bookmarkStart w:id="585" w:name="_Toc14331"/>
      <w:r/>
      <w:bookmarkStart w:id="586" w:name="_Toc16223"/>
      <w:r/>
      <w:bookmarkStart w:id="587" w:name="_Toc19794"/>
      <w:r>
        <w:rPr>
          <w:rFonts w:hint="eastAsia" w:ascii="黑体" w:hAnsi="黑体" w:eastAsia="黑体" w:cs="黑体"/>
          <w:color w:val="000000"/>
          <w:sz w:val="24"/>
          <w:szCs w:val="24"/>
          <w:highlight w:val="none"/>
        </w:rPr>
        <w:t xml:space="preserve">6、知识产权</w:t>
      </w:r>
      <w:bookmarkEnd w:id="583"/>
      <w:r/>
      <w:bookmarkEnd w:id="584"/>
      <w:r/>
      <w:bookmarkEnd w:id="585"/>
      <w:r/>
      <w:bookmarkEnd w:id="586"/>
      <w:r/>
      <w:bookmarkEnd w:id="587"/>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应保证校方在使用本项目中提供的所有软件建设成果或其任何一部分时不受任何第三方提出的侵犯其著作权、商标权、专利权等知识产权方面的起诉；如果任何第三方提出侵权指控，中标人须与该第三方交涉并承担由此发生的一切责任、费用和赔偿。为本项目定制开发的所有软件、课程资源包（含视频、课件、教案等）的知识产权（包括著作权、信息网络传播权等）在采购人支付全部合同款项后，归采购人所有。中标单位应在交付时提供所有可编辑源文件。</w:t>
      </w:r>
      <w:r>
        <w:rPr>
          <w:rFonts w:hint="eastAsia" w:ascii="宋体" w:hAnsi="宋体" w:cs="宋体"/>
          <w:color w:val="000000"/>
          <w:sz w:val="24"/>
          <w:szCs w:val="24"/>
          <w:highlight w:val="none"/>
        </w:rPr>
      </w:r>
      <w:r/>
    </w:p>
    <w:p>
      <w:pPr>
        <w:pStyle w:val="1013"/>
        <w:numPr>
          <w:ilvl w:val="2"/>
          <w:numId w:val="0"/>
        </w:numPr>
        <w:ind w:firstLine="480"/>
        <w:spacing w:line="440" w:lineRule="exact"/>
        <w:rPr>
          <w:rFonts w:hint="eastAsia" w:ascii="黑体" w:hAnsi="黑体" w:eastAsia="黑体" w:cs="黑体"/>
          <w:color w:val="000000"/>
          <w:sz w:val="24"/>
          <w:szCs w:val="24"/>
          <w:highlight w:val="none"/>
        </w:rPr>
        <w:outlineLvl w:val="3"/>
      </w:pPr>
      <w:r>
        <w:rPr>
          <w:rFonts w:hint="eastAsia" w:ascii="黑体" w:hAnsi="黑体" w:eastAsia="黑体" w:cs="黑体"/>
          <w:color w:val="000000"/>
          <w:sz w:val="24"/>
          <w:szCs w:val="24"/>
          <w:highlight w:val="none"/>
        </w:rPr>
        <w:t xml:space="preserve">7、</w:t>
      </w:r>
      <w:r>
        <w:rPr>
          <w:rFonts w:ascii="黑体" w:hAnsi="黑体" w:eastAsia="黑体" w:cs="黑体"/>
          <w:color w:val="000000"/>
          <w:sz w:val="24"/>
          <w:szCs w:val="24"/>
          <w:highlight w:val="none"/>
        </w:rPr>
        <w:t xml:space="preserve">意识形态与内容安全风险</w:t>
      </w:r>
      <w:r>
        <w:rPr>
          <w:rFonts w:hint="eastAsia" w:ascii="黑体" w:hAnsi="黑体" w:eastAsia="黑体" w:cs="黑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①所有课程资源须经过内容安全审查，不得含有违反国家法律法规、意识形态安全、社会主义核心价值观的内容；中标人须在交付时提供内容安全审查报告或承诺书。</w:t>
      </w:r>
      <w:r>
        <w:rPr>
          <w:rFonts w:hint="eastAsia" w:ascii="宋体" w:hAnsi="宋体" w:cs="宋体"/>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②供应商应保证其提供的产品及服务符合《中华人民共和国网络安全法》《中华人民共和国数据安全法》等相关法律法规，对系统安全漏洞承担修复责任，并在合同期内提供必要的安全加固建议。</w:t>
      </w:r>
      <w:r>
        <w:rPr>
          <w:rFonts w:hint="eastAsia" w:ascii="宋体" w:hAnsi="宋体" w:cs="宋体"/>
          <w:color w:val="000000"/>
          <w:sz w:val="24"/>
          <w:szCs w:val="24"/>
          <w:highlight w:val="none"/>
        </w:rPr>
      </w:r>
      <w:r/>
    </w:p>
    <w:p>
      <w:pPr>
        <w:pStyle w:val="1014"/>
        <w:rPr>
          <w:rFonts w:hint="eastAsia" w:ascii="宋体" w:hAnsi="宋体" w:eastAsia="宋体" w:cs="宋体"/>
          <w:b w:val="0"/>
          <w:bCs w:val="0"/>
          <w:color w:val="000000"/>
          <w:highlight w:val="none"/>
        </w:rPr>
      </w:pPr>
      <w:r/>
      <w:bookmarkEnd w:id="500"/>
      <w:r/>
      <w:bookmarkEnd w:id="504"/>
      <w:r/>
      <w:bookmarkEnd w:id="505"/>
      <w:r/>
      <w:bookmarkEnd w:id="506"/>
      <w:r/>
      <w:bookmarkStart w:id="588" w:name="_Toc5135"/>
      <w:r/>
      <w:bookmarkStart w:id="589" w:name="_Toc120614281"/>
      <w:r>
        <w:rPr>
          <w:rFonts w:hint="eastAsia" w:ascii="黑体" w:hAnsi="黑体" w:eastAsia="黑体" w:cs="黑体"/>
          <w:b w:val="0"/>
          <w:bCs w:val="0"/>
          <w:color w:val="000000"/>
          <w:sz w:val="40"/>
          <w:szCs w:val="40"/>
          <w:highlight w:val="none"/>
        </w:rPr>
        <w:br w:type="page" w:clear="all"/>
      </w:r>
      <w:bookmarkStart w:id="590" w:name="_Toc7037"/>
      <w:r>
        <w:rPr>
          <w:rFonts w:hint="eastAsia" w:ascii="黑体" w:hAnsi="黑体" w:eastAsia="黑体" w:cs="黑体"/>
          <w:b w:val="0"/>
          <w:bCs w:val="0"/>
          <w:color w:val="000000"/>
          <w:sz w:val="40"/>
          <w:szCs w:val="40"/>
          <w:highlight w:val="none"/>
        </w:rPr>
        <w:t xml:space="preserve">第五章  评标方法与评标标准</w:t>
      </w:r>
      <w:bookmarkEnd w:id="588"/>
      <w:r/>
      <w:bookmarkEnd w:id="590"/>
      <w:r>
        <w:rPr>
          <w:rFonts w:hint="eastAsia" w:ascii="宋体" w:hAnsi="宋体" w:eastAsia="宋体" w:cs="宋体"/>
          <w:b w:val="0"/>
          <w:bCs w:val="0"/>
          <w:color w:val="000000"/>
          <w:highlight w:val="none"/>
        </w:rPr>
      </w:r>
      <w:r/>
    </w:p>
    <w:p>
      <w:pPr>
        <w:pStyle w:val="1087"/>
        <w:ind w:firstLine="439"/>
        <w:spacing w:before="0" w:after="0"/>
        <w:rPr>
          <w:rFonts w:hint="eastAsia" w:ascii="黑体" w:hAnsi="黑体" w:eastAsia="黑体" w:cs="黑体"/>
          <w:color w:val="000000"/>
          <w:highlight w:val="none"/>
        </w:rPr>
        <w:outlineLvl w:val="1"/>
      </w:pPr>
      <w:r/>
      <w:bookmarkStart w:id="591" w:name="_Toc29913"/>
      <w:r/>
      <w:bookmarkStart w:id="592" w:name="_Toc19499"/>
      <w:r>
        <w:rPr>
          <w:rFonts w:hint="eastAsia" w:ascii="黑体" w:hAnsi="黑体" w:eastAsia="黑体" w:cs="黑体"/>
          <w:color w:val="000000"/>
          <w:highlight w:val="none"/>
        </w:rPr>
        <w:t xml:space="preserve">一、定标办法</w:t>
      </w:r>
      <w:bookmarkEnd w:id="591"/>
      <w:r/>
      <w:bookmarkEnd w:id="592"/>
      <w:r>
        <w:rPr>
          <w:rFonts w:hint="eastAsia" w:ascii="黑体" w:hAnsi="黑体" w:eastAsia="黑体" w:cs="黑体"/>
          <w:color w:val="000000"/>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cs="宋体"/>
          <w:color w:val="000000"/>
          <w:sz w:val="24"/>
          <w:szCs w:val="24"/>
          <w:highlight w:val="none"/>
        </w:rPr>
      </w:r>
      <w:r/>
    </w:p>
    <w:p>
      <w:pPr>
        <w:pStyle w:val="1087"/>
        <w:ind w:firstLine="439"/>
        <w:spacing w:before="0" w:after="0" w:line="240" w:lineRule="auto"/>
        <w:rPr>
          <w:rFonts w:hint="eastAsia" w:ascii="黑体" w:hAnsi="黑体" w:eastAsia="黑体" w:cs="黑体"/>
          <w:color w:val="000000"/>
          <w:highlight w:val="none"/>
        </w:rPr>
        <w:outlineLvl w:val="1"/>
      </w:pPr>
      <w:r/>
      <w:bookmarkStart w:id="593" w:name="_Toc18160"/>
      <w:r>
        <w:rPr>
          <w:rFonts w:hint="eastAsia" w:ascii="黑体" w:hAnsi="黑体" w:eastAsia="黑体" w:cs="黑体"/>
          <w:color w:val="000000"/>
          <w:highlight w:val="none"/>
        </w:rPr>
        <w:t xml:space="preserve">二、</w:t>
      </w:r>
      <w:bookmarkStart w:id="594" w:name="_Toc20283"/>
      <w:r/>
      <w:bookmarkStart w:id="595" w:name="_Toc23020"/>
      <w:r>
        <w:rPr>
          <w:rFonts w:hint="eastAsia" w:ascii="黑体" w:hAnsi="黑体" w:eastAsia="黑体" w:cs="黑体"/>
          <w:color w:val="000000"/>
          <w:highlight w:val="none"/>
        </w:rPr>
        <w:t xml:space="preserve">政府采购政策功能落实</w:t>
      </w:r>
      <w:bookmarkEnd w:id="593"/>
      <w:r/>
      <w:bookmarkEnd w:id="594"/>
      <w:r/>
      <w:bookmarkEnd w:id="595"/>
      <w:r>
        <w:rPr>
          <w:rFonts w:hint="eastAsia" w:ascii="黑体" w:hAnsi="黑体" w:eastAsia="黑体" w:cs="黑体"/>
          <w:color w:val="000000"/>
          <w:highlight w:val="none"/>
        </w:rPr>
      </w:r>
      <w:r/>
    </w:p>
    <w:p>
      <w:pPr>
        <w:pStyle w:val="1013"/>
        <w:ind w:firstLine="480"/>
        <w:spacing w:line="276" w:lineRule="auto"/>
        <w:rPr>
          <w:rFonts w:hint="eastAsia" w:ascii="黑体" w:hAnsi="黑体" w:eastAsia="黑体" w:cs="黑体"/>
          <w:color w:val="000000"/>
          <w:sz w:val="24"/>
          <w:szCs w:val="24"/>
          <w:highlight w:val="none"/>
        </w:rPr>
      </w:pPr>
      <w:r/>
      <w:bookmarkStart w:id="596" w:name="_Toc8920"/>
      <w:r>
        <w:rPr>
          <w:rFonts w:hint="eastAsia" w:ascii="黑体" w:hAnsi="黑体" w:eastAsia="黑体" w:cs="黑体"/>
          <w:color w:val="000000"/>
          <w:sz w:val="24"/>
          <w:szCs w:val="24"/>
          <w:highlight w:val="none"/>
        </w:rPr>
        <w:t xml:space="preserve">1.中小型企业价格扣除</w:t>
      </w:r>
      <w:bookmarkEnd w:id="596"/>
      <w:r>
        <w:rPr>
          <w:rFonts w:hint="eastAsia" w:ascii="黑体" w:hAnsi="黑体" w:eastAsia="黑体" w:cs="黑体"/>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（1）本项目对小型和微型企业提供的服务给予10%的扣除价格，用扣除后的价格参与评审。</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（2）投标人应按照招标文件的要求提供相应的《中小企业声明函》。</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（3）企业标准请参照《关于印发中小企业划型标准规定的通知》（工信部联企业〔2011〕300号）文件规定自行填写。</w:t>
      </w:r>
      <w:r>
        <w:rPr>
          <w:rFonts w:hint="eastAsia"/>
          <w:color w:val="000000"/>
          <w:sz w:val="24"/>
          <w:szCs w:val="24"/>
          <w:highlight w:val="none"/>
        </w:rPr>
      </w:r>
      <w:r/>
    </w:p>
    <w:p>
      <w:pPr>
        <w:pStyle w:val="1013"/>
        <w:ind w:firstLine="480"/>
        <w:spacing w:line="276" w:lineRule="auto"/>
        <w:rPr>
          <w:rFonts w:hint="eastAsia" w:ascii="黑体" w:hAnsi="黑体" w:eastAsia="黑体" w:cs="黑体"/>
          <w:color w:val="000000"/>
          <w:sz w:val="24"/>
          <w:szCs w:val="24"/>
          <w:highlight w:val="none"/>
        </w:rPr>
      </w:pPr>
      <w:r/>
      <w:bookmarkStart w:id="597" w:name="_Toc17382"/>
      <w:r>
        <w:rPr>
          <w:rFonts w:hint="eastAsia" w:ascii="黑体" w:hAnsi="黑体" w:eastAsia="黑体" w:cs="黑体"/>
          <w:color w:val="000000"/>
          <w:sz w:val="24"/>
          <w:szCs w:val="24"/>
          <w:highlight w:val="none"/>
        </w:rPr>
        <w:t xml:space="preserve">2.残疾人福利单位价格扣除</w:t>
      </w:r>
      <w:bookmarkEnd w:id="597"/>
      <w:r>
        <w:rPr>
          <w:rFonts w:hint="eastAsia" w:ascii="黑体" w:hAnsi="黑体" w:eastAsia="黑体" w:cs="黑体"/>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（1）本项目对残疾人福利性单位视同小型、微型企业，给予10%的价格扣除，用扣除后的价格参与评审。</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（2）残疾人福利单位应按照招标文件的要求提供《残疾人福利性单位声明函》。</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（3）残疾人福利单位标准请参照《关于促进残疾人就业政府采购政策的通知》（财库〔2017〕141号）。</w:t>
      </w:r>
      <w:r>
        <w:rPr>
          <w:rFonts w:hint="eastAsia"/>
          <w:color w:val="000000"/>
          <w:sz w:val="24"/>
          <w:szCs w:val="24"/>
          <w:highlight w:val="none"/>
        </w:rPr>
      </w:r>
      <w:r/>
    </w:p>
    <w:p>
      <w:pPr>
        <w:pStyle w:val="1013"/>
        <w:ind w:firstLine="480"/>
        <w:spacing w:line="276" w:lineRule="auto"/>
        <w:rPr>
          <w:rFonts w:hint="eastAsia" w:ascii="黑体" w:hAnsi="黑体" w:eastAsia="黑体" w:cs="黑体"/>
          <w:color w:val="000000"/>
          <w:sz w:val="24"/>
          <w:szCs w:val="24"/>
          <w:highlight w:val="none"/>
        </w:rPr>
      </w:pPr>
      <w:r/>
      <w:bookmarkStart w:id="598" w:name="_Toc31547"/>
      <w:r>
        <w:rPr>
          <w:rFonts w:hint="eastAsia" w:ascii="黑体" w:hAnsi="黑体" w:eastAsia="黑体" w:cs="黑体"/>
          <w:color w:val="000000"/>
          <w:sz w:val="24"/>
          <w:szCs w:val="24"/>
          <w:highlight w:val="none"/>
        </w:rPr>
        <w:t xml:space="preserve">3.监狱和戒毒企业价格扣除</w:t>
      </w:r>
      <w:bookmarkEnd w:id="598"/>
      <w:r>
        <w:rPr>
          <w:rFonts w:hint="eastAsia" w:ascii="黑体" w:hAnsi="黑体" w:eastAsia="黑体" w:cs="黑体"/>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（1）本项目对监狱和戒毒企业（简称监狱企业）视同小型、微型企业，给予10%的价格扣除，用扣除后的价格参与评审。</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（2）监狱企业参加政府采购活动时，应提供由省级以上监狱管理局、戒毒管理局(含新疆生产建设兵团)出具的属于监狱企业的证明文件。投标人如不提供上述证明文件，价格将不做相应扣除。</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（3）监狱企业标准请参照《关于政府采购支持监狱企业发展有关问题的通知》（财库〔2014〕68号）。</w:t>
      </w:r>
      <w:r>
        <w:rPr>
          <w:rFonts w:hint="eastAsia"/>
          <w:color w:val="000000"/>
          <w:sz w:val="24"/>
          <w:szCs w:val="24"/>
          <w:highlight w:val="none"/>
        </w:rPr>
      </w:r>
      <w:r/>
    </w:p>
    <w:p>
      <w:pPr>
        <w:pStyle w:val="1013"/>
        <w:ind w:firstLine="480"/>
        <w:spacing w:line="276"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4.残疾人福利单位、监狱企业属于小型、微型企业的，不重复享受政策。</w:t>
      </w:r>
      <w:r>
        <w:rPr>
          <w:rFonts w:hint="eastAsia" w:ascii="黑体" w:hAnsi="黑体" w:eastAsia="黑体" w:cs="黑体"/>
          <w:color w:val="000000"/>
          <w:sz w:val="24"/>
          <w:szCs w:val="24"/>
          <w:highlight w:val="none"/>
        </w:rPr>
      </w:r>
      <w:r/>
    </w:p>
    <w:p>
      <w:pPr>
        <w:pStyle w:val="1013"/>
        <w:ind w:firstLine="480"/>
        <w:rPr>
          <w:rFonts w:hint="eastAsia" w:ascii="黑体" w:hAnsi="黑体" w:eastAsia="黑体" w:cs="黑体"/>
          <w:color w:val="000000"/>
          <w:sz w:val="24"/>
          <w:szCs w:val="24"/>
          <w:highlight w:val="none"/>
        </w:rPr>
        <w:outlineLvl w:val="1"/>
      </w:pPr>
      <w:r/>
      <w:bookmarkStart w:id="599" w:name="_Toc19601"/>
      <w:r/>
      <w:bookmarkStart w:id="600" w:name="_Toc14632"/>
      <w:r>
        <w:rPr>
          <w:rFonts w:hint="eastAsia" w:ascii="黑体" w:hAnsi="黑体" w:eastAsia="黑体" w:cs="黑体"/>
          <w:color w:val="000000"/>
          <w:sz w:val="24"/>
          <w:szCs w:val="24"/>
          <w:highlight w:val="none"/>
        </w:rPr>
        <w:t xml:space="preserve">三、</w:t>
      </w:r>
      <w:bookmarkEnd w:id="599"/>
      <w:r>
        <w:rPr>
          <w:rFonts w:hint="eastAsia" w:ascii="黑体" w:hAnsi="黑体" w:eastAsia="黑体" w:cs="黑体"/>
          <w:color w:val="000000"/>
          <w:sz w:val="24"/>
          <w:szCs w:val="24"/>
          <w:highlight w:val="none"/>
        </w:rPr>
        <w:t xml:space="preserve">政府采购异常低价问题处理方式</w:t>
      </w:r>
      <w:bookmarkEnd w:id="600"/>
      <w:r>
        <w:rPr>
          <w:rFonts w:hint="eastAsia" w:ascii="黑体" w:hAnsi="黑体" w:eastAsia="黑体" w:cs="黑体"/>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1.根据《关于推动解决政府采购异常低价问题的通知》(财库〔2026〕2号)要求，政府采购评标中出现下列情形之一的，评标委员会应当启动异常低价投标审查程序:</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（1）投标报价低于全部通过符合性审查投标人投标报价平均值50%的，即投标报价&lt;全部通过符合性审查投标人投标报价平均值×50%；</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（2）投标报价低于通过符合性审查的次低报价投标人投标报价50%的，即投标报价&lt;通过符合性审查的次低报价投标人投标报价×50%；</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（3）投标报价低于采购项目最高限价45%的，即投标报价&lt;采购项目最高限价×45%；</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（4）评标委员会基于专业判断，认为投标人报价过低，有可能影响产品质量或者不能诚信履约的其他情形。</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2.评标委员会启动异常低价响应审查后，属于前述第1项至第4项情形的，应当要求相关投标人在评标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标现场可不再重复提交。</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评标委员会应当将其作为无效响应处理。</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异常低价响应审查的启动原因、审查意见和审查结果应当在评标报告中记录，并随投标人提供的相关书面说明及证明材料，以及评标委员会有关互联网浏览、查询历史一并归档。</w:t>
      </w:r>
      <w:r>
        <w:rPr>
          <w:rFonts w:hint="eastAsia"/>
          <w:color w:val="000000"/>
          <w:sz w:val="24"/>
          <w:szCs w:val="24"/>
          <w:highlight w:val="none"/>
        </w:rPr>
      </w:r>
      <w:r/>
    </w:p>
    <w:p>
      <w:pPr>
        <w:pStyle w:val="1013"/>
        <w:ind w:firstLine="480"/>
        <w:rPr>
          <w:rFonts w:hint="eastAsia" w:ascii="黑体" w:hAnsi="黑体" w:eastAsia="黑体" w:cs="黑体"/>
          <w:color w:val="000000"/>
          <w:sz w:val="24"/>
          <w:szCs w:val="24"/>
          <w:highlight w:val="none"/>
        </w:rPr>
        <w:outlineLvl w:val="1"/>
      </w:pPr>
      <w:r/>
      <w:bookmarkStart w:id="601" w:name="_Toc24600"/>
      <w:r>
        <w:rPr>
          <w:rFonts w:hint="eastAsia" w:ascii="黑体" w:hAnsi="黑体" w:eastAsia="黑体" w:cs="黑体"/>
          <w:color w:val="000000"/>
          <w:sz w:val="24"/>
          <w:szCs w:val="24"/>
          <w:highlight w:val="none"/>
        </w:rPr>
        <w:t xml:space="preserve">四、对本国产品的支持政策</w:t>
      </w:r>
      <w:bookmarkEnd w:id="601"/>
      <w:r>
        <w:rPr>
          <w:rFonts w:hint="eastAsia" w:ascii="黑体" w:hAnsi="黑体" w:eastAsia="黑体" w:cs="黑体"/>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评标过程</w:t>
      </w:r>
      <w:r>
        <w:rPr>
          <w:rFonts w:hint="eastAsia"/>
          <w:color w:val="000000"/>
          <w:sz w:val="24"/>
          <w:szCs w:val="24"/>
          <w:highlight w:val="none"/>
        </w:rPr>
        <w:t xml:space="preserve">中发现投标人出具的《关于符合本国产品标准的声明函》（以下简称《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投标人提供的相关产品视为不符合本国产品标准。</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color w:val="000000"/>
          <w:sz w:val="24"/>
          <w:szCs w:val="24"/>
          <w:highlight w:val="none"/>
        </w:rPr>
      </w:r>
      <w:r/>
    </w:p>
    <w:p>
      <w:pPr>
        <w:pStyle w:val="1013"/>
        <w:ind w:firstLine="480"/>
        <w:spacing w:line="440" w:lineRule="exact"/>
        <w:rPr>
          <w:rFonts w:hint="eastAsia"/>
          <w:color w:val="000000"/>
          <w:sz w:val="24"/>
          <w:szCs w:val="24"/>
          <w:highlight w:val="none"/>
        </w:rPr>
      </w:pPr>
      <w:r>
        <w:rPr>
          <w:rFonts w:hint="eastAsia"/>
          <w:color w:val="000000"/>
          <w:sz w:val="24"/>
          <w:szCs w:val="24"/>
          <w:highlight w:val="none"/>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color w:val="000000"/>
          <w:sz w:val="24"/>
          <w:szCs w:val="24"/>
          <w:highlight w:val="none"/>
        </w:rPr>
      </w:r>
      <w:r/>
    </w:p>
    <w:p>
      <w:pPr>
        <w:pStyle w:val="1087"/>
        <w:ind w:firstLine="439"/>
        <w:spacing w:before="0" w:after="0"/>
        <w:rPr>
          <w:rFonts w:hint="eastAsia" w:ascii="黑体" w:hAnsi="黑体" w:eastAsia="黑体" w:cs="黑体"/>
          <w:color w:val="000000"/>
          <w:highlight w:val="none"/>
        </w:rPr>
        <w:outlineLvl w:val="1"/>
      </w:pPr>
      <w:r/>
      <w:bookmarkStart w:id="602" w:name="_Toc17132"/>
      <w:r/>
      <w:bookmarkStart w:id="603" w:name="_Toc9844"/>
      <w:r>
        <w:rPr>
          <w:rFonts w:hint="eastAsia" w:ascii="黑体" w:hAnsi="黑体" w:eastAsia="黑体" w:cs="黑体"/>
          <w:color w:val="000000"/>
          <w:highlight w:val="none"/>
        </w:rPr>
        <w:t xml:space="preserve">五、评标办法和评标标准</w:t>
      </w:r>
      <w:bookmarkEnd w:id="602"/>
      <w:r/>
      <w:bookmarkEnd w:id="603"/>
      <w:r>
        <w:rPr>
          <w:rFonts w:hint="eastAsia" w:ascii="黑体" w:hAnsi="黑体" w:eastAsia="黑体" w:cs="黑体"/>
          <w:color w:val="000000"/>
          <w:highlight w:val="none"/>
        </w:rPr>
      </w:r>
      <w:r/>
    </w:p>
    <w:tbl>
      <w:tblPr>
        <w:tblW w:w="89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348"/>
        <w:gridCol w:w="6090"/>
        <w:gridCol w:w="707"/>
      </w:tblGrid>
      <w:tr>
        <w:trPr>
          <w:trHeight w:val="90"/>
        </w:trPr>
        <w:tc>
          <w:tcPr>
            <w:tcW w:w="774" w:type="dxa"/>
            <w:vAlign w:val="center"/>
            <w:textDirection w:val="lrTb"/>
            <w:noWrap/>
          </w:tcPr>
          <w:p>
            <w:pPr>
              <w:pStyle w:val="1114"/>
              <w:jc w:val="center"/>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1348" w:type="dxa"/>
            <w:vAlign w:val="center"/>
            <w:textDirection w:val="lrTb"/>
            <w:noWrap/>
          </w:tcPr>
          <w:p>
            <w:pPr>
              <w:pStyle w:val="1114"/>
              <w:jc w:val="center"/>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评审因素</w:t>
            </w:r>
            <w:r>
              <w:rPr>
                <w:rFonts w:hint="eastAsia" w:ascii="黑体" w:hAnsi="黑体" w:eastAsia="黑体" w:cs="黑体"/>
                <w:color w:val="000000"/>
                <w:sz w:val="24"/>
                <w:szCs w:val="24"/>
                <w:highlight w:val="none"/>
              </w:rPr>
            </w:r>
            <w:r/>
          </w:p>
        </w:tc>
        <w:tc>
          <w:tcPr>
            <w:tcW w:w="6090" w:type="dxa"/>
            <w:vAlign w:val="center"/>
            <w:textDirection w:val="lrTb"/>
            <w:noWrap/>
          </w:tcPr>
          <w:p>
            <w:pPr>
              <w:pStyle w:val="1114"/>
              <w:jc w:val="center"/>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评审细则</w:t>
            </w:r>
            <w:r>
              <w:rPr>
                <w:rFonts w:hint="eastAsia" w:ascii="黑体" w:hAnsi="黑体" w:eastAsia="黑体" w:cs="黑体"/>
                <w:color w:val="000000"/>
                <w:sz w:val="24"/>
                <w:szCs w:val="24"/>
                <w:highlight w:val="none"/>
              </w:rPr>
            </w:r>
            <w:r/>
          </w:p>
        </w:tc>
        <w:tc>
          <w:tcPr>
            <w:tcW w:w="707" w:type="dxa"/>
            <w:vAlign w:val="center"/>
            <w:textDirection w:val="lrTb"/>
            <w:noWrap/>
          </w:tcPr>
          <w:p>
            <w:pPr>
              <w:pStyle w:val="1114"/>
              <w:jc w:val="center"/>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分值</w:t>
            </w:r>
            <w:r>
              <w:rPr>
                <w:rFonts w:hint="eastAsia" w:ascii="黑体" w:hAnsi="黑体" w:eastAsia="黑体" w:cs="黑体"/>
                <w:color w:val="000000"/>
                <w:sz w:val="24"/>
                <w:szCs w:val="24"/>
                <w:highlight w:val="none"/>
              </w:rPr>
            </w:r>
            <w:r/>
          </w:p>
        </w:tc>
      </w:tr>
      <w:tr>
        <w:trPr>
          <w:trHeight w:val="90"/>
        </w:trPr>
        <w:tc>
          <w:tcPr>
            <w:gridSpan w:val="4"/>
            <w:tcW w:w="8919" w:type="dxa"/>
            <w:vAlign w:val="center"/>
            <w:textDirection w:val="lrTb"/>
            <w:noWrap/>
          </w:tcPr>
          <w:p>
            <w:pPr>
              <w:pStyle w:val="1114"/>
              <w:spacing w:line="24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1.价格部分（10分）</w:t>
            </w:r>
            <w:r>
              <w:rPr>
                <w:rFonts w:hint="eastAsia" w:ascii="黑体" w:hAnsi="黑体" w:eastAsia="黑体" w:cs="黑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48"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w:t>
            </w:r>
            <w:r>
              <w:rPr>
                <w:rFonts w:hint="eastAsia" w:ascii="宋体" w:hAnsi="宋体" w:cs="宋体"/>
                <w:color w:val="000000"/>
                <w:sz w:val="24"/>
                <w:szCs w:val="24"/>
                <w:highlight w:val="none"/>
              </w:rPr>
            </w:r>
            <w:r/>
          </w:p>
        </w:tc>
        <w:tc>
          <w:tcPr>
            <w:tcW w:w="6090" w:type="dxa"/>
            <w:vAlign w:val="center"/>
            <w:textDirection w:val="lrTb"/>
            <w:noWrap/>
          </w:tcPr>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采用低价优先法计算，即满足招标文件要求且投标价格最低的报价为评审基准价，其价格分为满分。其他投标人的价格分统一按照下列公式计算：</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投标报价得分=(评审基准价/投标报价)×10%×100。分值保留小数点后2位。</w:t>
            </w:r>
            <w:r>
              <w:rPr>
                <w:rFonts w:hint="eastAsia"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90"/>
        </w:trPr>
        <w:tc>
          <w:tcPr>
            <w:gridSpan w:val="3"/>
            <w:tcW w:w="8212" w:type="dxa"/>
            <w:vAlign w:val="center"/>
            <w:textDirection w:val="lrTb"/>
            <w:noWrap/>
          </w:tcPr>
          <w:p>
            <w:pPr>
              <w:pStyle w:val="1114"/>
              <w:spacing w:line="240" w:lineRule="auto"/>
              <w:rPr>
                <w:rFonts w:hint="eastAsia" w:ascii="宋体" w:hAnsi="宋体" w:cs="宋体"/>
                <w:color w:val="000000"/>
                <w:sz w:val="24"/>
                <w:szCs w:val="24"/>
                <w:highlight w:val="none"/>
              </w:rPr>
            </w:pPr>
            <w:r>
              <w:rPr>
                <w:rFonts w:hint="eastAsia" w:ascii="黑体" w:hAnsi="黑体" w:eastAsia="黑体" w:cs="黑体"/>
                <w:color w:val="000000"/>
                <w:sz w:val="24"/>
                <w:szCs w:val="24"/>
                <w:highlight w:val="none"/>
              </w:rPr>
              <w:t xml:space="preserve">2.商务部分（25分）</w:t>
            </w:r>
            <w:r>
              <w:rPr>
                <w:rFonts w:hint="eastAsia" w:ascii="宋体" w:hAnsi="宋体" w:cs="宋体"/>
                <w:color w:val="000000"/>
                <w:sz w:val="24"/>
                <w:szCs w:val="24"/>
                <w:highlight w:val="none"/>
              </w:rPr>
            </w:r>
            <w:r/>
          </w:p>
        </w:tc>
        <w:tc>
          <w:tcPr>
            <w:tcW w:w="707" w:type="dxa"/>
            <w:vAlign w:val="center"/>
            <w:textDirection w:val="lrTb"/>
            <w:noWrap/>
          </w:tcPr>
          <w:p>
            <w:pPr>
              <w:pStyle w:val="1114"/>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W w:w="1348"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总体设计方案</w:t>
            </w:r>
            <w:r>
              <w:rPr>
                <w:rFonts w:hint="eastAsia" w:ascii="宋体" w:hAnsi="宋体" w:cs="宋体"/>
                <w:color w:val="000000"/>
                <w:sz w:val="24"/>
                <w:szCs w:val="24"/>
                <w:highlight w:val="none"/>
              </w:rPr>
            </w:r>
            <w:r/>
          </w:p>
        </w:tc>
        <w:tc>
          <w:tcPr>
            <w:tcW w:w="6090" w:type="dxa"/>
            <w:vAlign w:val="center"/>
            <w:textDirection w:val="lrTb"/>
            <w:noWrap/>
          </w:tcPr>
          <w:p>
            <w:pPr>
              <w:pStyle w:val="1114"/>
              <w:ind w:firstLine="240"/>
              <w:spacing w:line="240" w:lineRule="auto"/>
              <w:rPr>
                <w:rFonts w:ascii="宋体" w:hAnsi="宋体" w:cs="宋体"/>
                <w:color w:val="000000"/>
                <w:sz w:val="24"/>
                <w:szCs w:val="24"/>
                <w:highlight w:val="none"/>
              </w:rPr>
            </w:pPr>
            <w:r>
              <w:rPr>
                <w:rFonts w:ascii="宋体" w:hAnsi="宋体" w:cs="宋体"/>
                <w:color w:val="000000"/>
                <w:sz w:val="24"/>
                <w:szCs w:val="24"/>
                <w:highlight w:val="none"/>
              </w:rPr>
              <w:t xml:space="preserve">根据</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提供的</w:t>
            </w:r>
            <w:r>
              <w:rPr>
                <w:rFonts w:hint="eastAsia" w:ascii="宋体" w:hAnsi="宋体" w:cs="宋体"/>
                <w:color w:val="000000"/>
                <w:sz w:val="24"/>
                <w:szCs w:val="24"/>
                <w:highlight w:val="none"/>
              </w:rPr>
              <w:t xml:space="preserve">总体设计方案</w:t>
            </w:r>
            <w:r>
              <w:rPr>
                <w:rFonts w:ascii="宋体" w:hAnsi="宋体" w:cs="宋体"/>
                <w:color w:val="000000"/>
                <w:sz w:val="24"/>
                <w:szCs w:val="24"/>
                <w:highlight w:val="none"/>
              </w:rPr>
              <w:t xml:space="preserve">进行详细评审，</w:t>
            </w:r>
            <w:r>
              <w:rPr>
                <w:rFonts w:hint="eastAsia" w:ascii="宋体" w:hAnsi="宋体" w:cs="宋体"/>
                <w:color w:val="000000"/>
                <w:sz w:val="24"/>
                <w:szCs w:val="24"/>
                <w:highlight w:val="none"/>
              </w:rPr>
              <w:t xml:space="preserve">包括但不限于</w:t>
            </w:r>
            <w:r>
              <w:rPr>
                <w:rStyle w:val="1127"/>
                <w:rFonts w:hint="eastAsia" w:ascii="宋体" w:hAnsi="宋体" w:cs="宋体"/>
                <w:b/>
                <w:bCs/>
                <w:color w:val="000000"/>
                <w:sz w:val="24"/>
                <w:szCs w:val="24"/>
                <w:highlight w:val="none"/>
                <w:u w:val="single"/>
              </w:rPr>
              <w:t xml:space="preserve">①</w:t>
            </w:r>
            <w:r>
              <w:rPr>
                <w:rFonts w:hint="eastAsia" w:ascii="宋体" w:hAnsi="宋体" w:cs="宋体"/>
                <w:b/>
                <w:bCs/>
                <w:color w:val="000000"/>
                <w:sz w:val="24"/>
                <w:szCs w:val="24"/>
                <w:highlight w:val="none"/>
                <w:u w:val="single"/>
              </w:rPr>
              <w:t xml:space="preserve">项目背景理解与总体目标设定</w:t>
            </w:r>
            <w:r>
              <w:rPr>
                <w:rStyle w:val="1127"/>
                <w:rFonts w:hint="eastAsia" w:ascii="宋体" w:hAnsi="宋体" w:cs="宋体"/>
                <w:b/>
                <w:bCs/>
                <w:color w:val="000000"/>
                <w:sz w:val="24"/>
                <w:szCs w:val="24"/>
                <w:highlight w:val="none"/>
                <w:u w:val="single"/>
              </w:rPr>
              <w:t xml:space="preserve">；②项目建设所遵循的技术路线与相关标准；③项目建设的基本原则与指导思想；④系统总体架构与功能模块规划；⑤项目实施的总体策略</w:t>
            </w:r>
            <w:r>
              <w:rPr>
                <w:rStyle w:val="1127"/>
                <w:rFonts w:hint="eastAsia" w:ascii="宋体" w:hAnsi="宋体" w:cs="宋体"/>
                <w:color w:val="000000"/>
                <w:sz w:val="24"/>
                <w:szCs w:val="24"/>
                <w:highlight w:val="none"/>
              </w:rPr>
              <w:t xml:space="preserve">，每项内容须逐条阐述：</w:t>
            </w:r>
            <w:r>
              <w:rPr>
                <w:rFonts w:ascii="宋体" w:hAnsi="宋体" w:cs="宋体"/>
                <w:color w:val="000000"/>
                <w:sz w:val="24"/>
                <w:szCs w:val="24"/>
                <w:highlight w:val="none"/>
              </w:rPr>
            </w:r>
            <w:r/>
          </w:p>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（1）上述每项内容阐述全面完整，应对措施可操作性强，符合采购需求实际的，得1分；</w:t>
            </w:r>
            <w:r>
              <w:rPr>
                <w:rFonts w:ascii="宋体" w:hAnsi="宋体" w:cs="宋体"/>
                <w:color w:val="000000"/>
                <w:sz w:val="24"/>
                <w:szCs w:val="24"/>
                <w:highlight w:val="none"/>
              </w:rPr>
            </w:r>
            <w:r/>
          </w:p>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（2）上述每项内容对阐述基本全面完整，应对措施具备一定可操作性，基本符合采购需求实际的，得0.5分；</w:t>
            </w:r>
            <w:r>
              <w:rPr>
                <w:rFonts w:ascii="宋体" w:hAnsi="宋体" w:cs="宋体"/>
                <w:color w:val="000000"/>
                <w:sz w:val="24"/>
                <w:szCs w:val="24"/>
                <w:highlight w:val="none"/>
              </w:rPr>
            </w:r>
            <w:r/>
          </w:p>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（3）上述每项内容阐述不完整，应对措施缺乏可操作性，脱离采购需求实际的，不得分。</w:t>
            </w:r>
            <w:r>
              <w:rPr>
                <w:rFonts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本项最高得</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348" w:type="dxa"/>
            <w:vAlign w:val="center"/>
            <w:textDirection w:val="lrTb"/>
            <w:noWrap/>
          </w:tcPr>
          <w:p>
            <w:pPr>
              <w:pStyle w:val="1122"/>
              <w:jc w:val="center"/>
              <w:rPr>
                <w:rFonts w:ascii="宋体" w:hAnsi="宋体" w:cs="宋体"/>
                <w:color w:val="000000"/>
                <w:sz w:val="24"/>
                <w:szCs w:val="24"/>
                <w:highlight w:val="none"/>
              </w:rPr>
            </w:pPr>
            <w:r>
              <w:rPr>
                <w:rFonts w:ascii="宋体" w:hAnsi="宋体" w:cs="宋体"/>
                <w:color w:val="000000"/>
                <w:sz w:val="24"/>
                <w:szCs w:val="24"/>
                <w:highlight w:val="none"/>
              </w:rPr>
              <w:t xml:space="preserve">实施方案</w:t>
            </w:r>
            <w:r>
              <w:rPr>
                <w:rFonts w:ascii="宋体" w:hAnsi="宋体" w:cs="宋体"/>
                <w:color w:val="000000"/>
                <w:sz w:val="24"/>
                <w:szCs w:val="24"/>
                <w:highlight w:val="none"/>
              </w:rPr>
            </w:r>
            <w:r/>
          </w:p>
        </w:tc>
        <w:tc>
          <w:tcPr>
            <w:tcW w:w="6090" w:type="dxa"/>
            <w:vAlign w:val="top"/>
            <w:textDirection w:val="lrTb"/>
            <w:noWrap/>
          </w:tcPr>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根据投标人提供的实施方案进行详细评审，包括但不限于</w:t>
            </w:r>
            <w:r>
              <w:rPr>
                <w:rStyle w:val="1127"/>
                <w:rFonts w:hint="eastAsia" w:ascii="宋体" w:hAnsi="宋体" w:cs="宋体"/>
                <w:b/>
                <w:bCs/>
                <w:color w:val="000000"/>
                <w:sz w:val="24"/>
                <w:szCs w:val="24"/>
                <w:highlight w:val="none"/>
                <w:u w:val="single"/>
              </w:rPr>
              <w:t xml:space="preserve">①项目管理；②项目进度安排；③项目安装；④项目调试；⑤项目质量保障措施</w:t>
            </w:r>
            <w:r>
              <w:rPr>
                <w:rStyle w:val="1127"/>
                <w:rFonts w:hint="eastAsia" w:ascii="宋体" w:hAnsi="宋体" w:cs="宋体"/>
                <w:color w:val="000000"/>
                <w:sz w:val="24"/>
                <w:szCs w:val="24"/>
                <w:highlight w:val="none"/>
              </w:rPr>
              <w:t xml:space="preserve">，每项内容须逐条阐述：</w:t>
            </w:r>
            <w:r>
              <w:rPr>
                <w:rFonts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（1）上述每项内容阐述全面完整，应对措施可操作性强，符合采购需求实际的，得2分；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（2）上述每项内容对阐述基本全面完整，应对措施具备一定可操作性，基本符合采购需求实际的，得1分；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（3）上述每项内容阐述不完整，应对措施缺乏可操作性，脱离采购需求实际的，不得分。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本项最高得10分。</w:t>
            </w:r>
            <w:r>
              <w:rPr>
                <w:rFonts w:hint="eastAsia"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348" w:type="dxa"/>
            <w:vAlign w:val="center"/>
            <w:textDirection w:val="lrTb"/>
            <w:noWrap/>
          </w:tcPr>
          <w:p>
            <w:pPr>
              <w:pStyle w:val="1122"/>
              <w:jc w:val="center"/>
              <w:rPr>
                <w:rFonts w:ascii="宋体" w:hAnsi="宋体" w:cs="宋体"/>
                <w:color w:val="000000"/>
                <w:sz w:val="24"/>
                <w:szCs w:val="24"/>
                <w:highlight w:val="none"/>
              </w:rPr>
            </w:pPr>
            <w:r>
              <w:rPr>
                <w:rFonts w:ascii="宋体" w:hAnsi="宋体" w:cs="宋体"/>
                <w:color w:val="000000"/>
                <w:sz w:val="24"/>
                <w:szCs w:val="24"/>
                <w:highlight w:val="none"/>
              </w:rPr>
              <w:t xml:space="preserve">培训方案</w:t>
            </w:r>
            <w:r>
              <w:rPr>
                <w:rFonts w:ascii="宋体" w:hAnsi="宋体" w:cs="宋体"/>
                <w:color w:val="000000"/>
                <w:sz w:val="24"/>
                <w:szCs w:val="24"/>
                <w:highlight w:val="none"/>
              </w:rPr>
            </w:r>
            <w:r/>
          </w:p>
        </w:tc>
        <w:tc>
          <w:tcPr>
            <w:tcW w:w="6090" w:type="dxa"/>
            <w:vAlign w:val="top"/>
            <w:textDirection w:val="lrTb"/>
            <w:noWrap/>
          </w:tcPr>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根据投标人提供的培训方案进行详细评审，包括但不限于</w:t>
            </w:r>
            <w:r>
              <w:rPr>
                <w:rStyle w:val="1127"/>
                <w:rFonts w:hint="eastAsia" w:ascii="宋体" w:hAnsi="宋体" w:cs="宋体"/>
                <w:b/>
                <w:bCs/>
                <w:color w:val="000000"/>
                <w:sz w:val="24"/>
                <w:szCs w:val="24"/>
                <w:highlight w:val="none"/>
                <w:u w:val="single"/>
              </w:rPr>
              <w:t xml:space="preserve">①培训内容、地点；②现场（专门）培训；③技术（操作）培训；④培训材料；⑤培训时长</w:t>
            </w:r>
            <w:r>
              <w:rPr>
                <w:rStyle w:val="1127"/>
                <w:rFonts w:hint="eastAsia" w:ascii="宋体" w:hAnsi="宋体" w:cs="宋体"/>
                <w:color w:val="000000"/>
                <w:sz w:val="24"/>
                <w:szCs w:val="24"/>
                <w:highlight w:val="none"/>
              </w:rPr>
              <w:t xml:space="preserve">，每项内容须逐条阐述：</w:t>
            </w:r>
            <w:r>
              <w:rPr>
                <w:rFonts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（1）上述每项内容阐述全面完整，应对措施可操作性强，符合采购需求实际的，得1分；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（2）上述每项内容对阐述基本全面完整，应对措施具备一定可操作性，基本符合采购需求实际的，得0.5分；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（3）上述每项内容阐述不完整，应对措施缺乏可操作性，脱离采购需求实际的，不得分。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本项最高得5分。</w:t>
            </w:r>
            <w:r>
              <w:rPr>
                <w:rFonts w:hint="eastAsia" w:ascii="宋体" w:hAnsi="宋体" w:cs="宋体"/>
                <w:color w:val="000000"/>
                <w:sz w:val="24"/>
                <w:szCs w:val="24"/>
                <w:highlight w:val="none"/>
              </w:rPr>
            </w:r>
            <w:r/>
          </w:p>
        </w:tc>
        <w:tc>
          <w:tcPr>
            <w:tcW w:w="707"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348" w:type="dxa"/>
            <w:vAlign w:val="center"/>
            <w:textDirection w:val="lrTb"/>
            <w:noWrap/>
          </w:tcPr>
          <w:p>
            <w:pPr>
              <w:pStyle w:val="1122"/>
              <w:jc w:val="center"/>
              <w:rPr>
                <w:rFonts w:ascii="宋体" w:hAnsi="宋体" w:cs="宋体"/>
                <w:color w:val="000000"/>
                <w:sz w:val="24"/>
                <w:szCs w:val="24"/>
                <w:highlight w:val="none"/>
              </w:rPr>
            </w:pPr>
            <w:r>
              <w:rPr>
                <w:rFonts w:ascii="宋体" w:hAnsi="宋体" w:cs="宋体"/>
                <w:color w:val="000000"/>
                <w:sz w:val="24"/>
                <w:szCs w:val="24"/>
                <w:highlight w:val="none"/>
              </w:rPr>
              <w:t xml:space="preserve">售后服务方案</w:t>
            </w:r>
            <w:r>
              <w:rPr>
                <w:rFonts w:ascii="宋体" w:hAnsi="宋体" w:cs="宋体"/>
                <w:color w:val="000000"/>
                <w:sz w:val="24"/>
                <w:szCs w:val="24"/>
                <w:highlight w:val="none"/>
              </w:rPr>
            </w:r>
            <w:r/>
          </w:p>
        </w:tc>
        <w:tc>
          <w:tcPr>
            <w:tcW w:w="6090" w:type="dxa"/>
            <w:vAlign w:val="top"/>
            <w:textDirection w:val="lrTb"/>
            <w:noWrap/>
          </w:tcPr>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根据投标人提供的售后服务方案进行详细评审，包括但不限于</w:t>
            </w:r>
            <w:r>
              <w:rPr>
                <w:rStyle w:val="1127"/>
                <w:rFonts w:hint="eastAsia" w:ascii="宋体" w:hAnsi="宋体" w:cs="宋体"/>
                <w:b/>
                <w:bCs/>
                <w:color w:val="000000"/>
                <w:sz w:val="24"/>
                <w:szCs w:val="24"/>
                <w:highlight w:val="none"/>
                <w:u w:val="single"/>
              </w:rPr>
              <w:t xml:space="preserve">①售后服务响应时间；②售后服务方式；③售后服务内容；④售后服务承诺；⑤售后服务质量控制措施</w:t>
            </w:r>
            <w:r>
              <w:rPr>
                <w:rStyle w:val="1127"/>
                <w:rFonts w:hint="eastAsia" w:ascii="宋体" w:hAnsi="宋体" w:cs="宋体"/>
                <w:color w:val="000000"/>
                <w:sz w:val="24"/>
                <w:szCs w:val="24"/>
                <w:highlight w:val="none"/>
              </w:rPr>
              <w:t xml:space="preserve">，每项内容须逐条阐述：</w:t>
            </w:r>
            <w:r>
              <w:rPr>
                <w:rFonts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（1）上述每项内容阐述全面完整，应对措施可操作性强，符合采购需求实际的，得1分；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（2）上述每项内容对阐述基本全面完整，应对措施具备一定可操作性，基本符合采购需求实际的，得0.5分；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（3）上述每项内容阐述不完整，应对措施缺乏可操作性，脱离采购需求实际的，不得分。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本项最高得5分。</w:t>
            </w:r>
            <w:r>
              <w:rPr>
                <w:rFonts w:hint="eastAsia" w:ascii="宋体" w:hAnsi="宋体" w:cs="宋体"/>
                <w:color w:val="000000"/>
                <w:sz w:val="24"/>
                <w:szCs w:val="24"/>
                <w:highlight w:val="none"/>
              </w:rPr>
            </w:r>
            <w:r/>
          </w:p>
        </w:tc>
        <w:tc>
          <w:tcPr>
            <w:tcW w:w="707"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r>
      <w:tr>
        <w:trPr>
          <w:trHeight w:val="90"/>
        </w:trPr>
        <w:tc>
          <w:tcPr>
            <w:gridSpan w:val="4"/>
            <w:tcW w:w="8919" w:type="dxa"/>
            <w:vAlign w:val="center"/>
            <w:textDirection w:val="lrTb"/>
            <w:noWrap/>
          </w:tcPr>
          <w:p>
            <w:pPr>
              <w:pStyle w:val="1114"/>
              <w:spacing w:line="240" w:lineRule="auto"/>
              <w:rPr>
                <w:rFonts w:hint="eastAsia" w:ascii="宋体" w:hAnsi="宋体" w:cs="宋体"/>
                <w:color w:val="000000"/>
                <w:sz w:val="24"/>
                <w:szCs w:val="24"/>
                <w:highlight w:val="none"/>
              </w:rPr>
            </w:pPr>
            <w:r>
              <w:rPr>
                <w:rFonts w:hint="eastAsia" w:ascii="黑体" w:hAnsi="黑体" w:eastAsia="黑体" w:cs="黑体"/>
                <w:color w:val="000000"/>
                <w:sz w:val="24"/>
                <w:szCs w:val="24"/>
                <w:highlight w:val="none"/>
              </w:rPr>
              <w:t xml:space="preserve">3.技术能力（35分）</w:t>
            </w:r>
            <w:r>
              <w:rPr>
                <w:rFonts w:hint="eastAsia"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W w:w="1348"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技术参数响应</w:t>
            </w:r>
            <w:r>
              <w:rPr>
                <w:rFonts w:hint="eastAsia" w:ascii="宋体" w:hAnsi="宋体" w:cs="宋体"/>
                <w:color w:val="000000"/>
                <w:sz w:val="24"/>
                <w:szCs w:val="24"/>
                <w:highlight w:val="none"/>
              </w:rPr>
            </w:r>
            <w:r/>
          </w:p>
        </w:tc>
        <w:tc>
          <w:tcPr>
            <w:tcW w:w="6090" w:type="dxa"/>
            <w:vAlign w:val="center"/>
            <w:textDirection w:val="lrTb"/>
            <w:noWrap/>
          </w:tcPr>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根据投标人对“第四章采购需求/一、技术要求/（二）具体技术要求中的2、建设需求和4、配置技术指标”的响应情况进行打分：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需求中“▲”标识的参数为关键技术指标。关键技术指标应提供软件界面截图或课程资源包界面截图的材料证明；项目功能需求中的参数不需要证明材料的，以响应文件中的《技术要求响应及偏离表》为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（2）每有一项带“▲”标识的参数不满足招标文件要求或缺项的扣1分；</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（3）每有一项非“▲”和“●”的参数不满足招标文件要求或缺项的扣0.1分，扣完为止。</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（须提供证明材料，并加盖公章；以招标参数中各模块中序号“1.”为一项，不重复扣分。）</w:t>
            </w:r>
            <w:r>
              <w:rPr>
                <w:rFonts w:hint="eastAsia"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W w:w="1348"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项目服务人员</w:t>
            </w:r>
            <w:r>
              <w:rPr>
                <w:rFonts w:hint="eastAsia" w:ascii="宋体" w:hAnsi="宋体" w:cs="宋体"/>
                <w:color w:val="000000"/>
                <w:sz w:val="24"/>
                <w:szCs w:val="24"/>
                <w:highlight w:val="none"/>
              </w:rPr>
            </w:r>
            <w:r/>
          </w:p>
        </w:tc>
        <w:tc>
          <w:tcPr>
            <w:tcW w:w="6090" w:type="dxa"/>
            <w:vAlign w:val="center"/>
            <w:textDirection w:val="lrTb"/>
            <w:noWrap/>
          </w:tcPr>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投标人拟投入的项目团队人员：</w:t>
            </w:r>
            <w:r>
              <w:rPr>
                <w:rFonts w:hint="eastAsia" w:ascii="宋体" w:hAnsi="宋体" w:cs="宋体"/>
                <w:color w:val="000000"/>
                <w:sz w:val="24"/>
                <w:szCs w:val="24"/>
                <w:highlight w:val="none"/>
              </w:rPr>
            </w:r>
            <w:r/>
          </w:p>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具有计算机技术与软件专业技术资格(水平)电子商务设计师或软件设计师证书的，每提供</w:t>
            </w:r>
            <w:r>
              <w:rPr>
                <w:rFonts w:hint="eastAsia" w:ascii="宋体" w:hAnsi="宋体" w:cs="宋体"/>
                <w:color w:val="000000"/>
                <w:sz w:val="24"/>
                <w:szCs w:val="24"/>
                <w:highlight w:val="none"/>
              </w:rPr>
              <w:t xml:space="preserve">其中一项证书的</w:t>
            </w:r>
            <w:r>
              <w:rPr>
                <w:rFonts w:ascii="宋体" w:hAnsi="宋体" w:cs="宋体"/>
                <w:color w:val="000000"/>
                <w:sz w:val="24"/>
                <w:szCs w:val="24"/>
                <w:highlight w:val="none"/>
              </w:rPr>
              <w:t xml:space="preserve">得2分，</w:t>
            </w:r>
            <w:r>
              <w:rPr>
                <w:rFonts w:hint="eastAsia" w:ascii="宋体" w:hAnsi="宋体" w:cs="宋体"/>
                <w:color w:val="000000"/>
                <w:sz w:val="24"/>
                <w:szCs w:val="24"/>
                <w:highlight w:val="none"/>
              </w:rPr>
              <w:t xml:space="preserve">本项最高</w:t>
            </w:r>
            <w:r>
              <w:rPr>
                <w:rFonts w:ascii="宋体" w:hAnsi="宋体" w:cs="宋体"/>
                <w:color w:val="000000"/>
                <w:sz w:val="24"/>
                <w:szCs w:val="24"/>
                <w:highlight w:val="none"/>
              </w:rPr>
              <w:t xml:space="preserve">得4分</w:t>
            </w:r>
            <w:r>
              <w:rPr>
                <w:rFonts w:hint="eastAsia" w:ascii="宋体" w:hAnsi="宋体" w:cs="宋体"/>
                <w:color w:val="000000"/>
                <w:sz w:val="24"/>
                <w:szCs w:val="24"/>
                <w:highlight w:val="none"/>
              </w:rPr>
              <w:t xml:space="preserve">，未提供或提供不全或不满足不得分；</w:t>
            </w:r>
            <w:r>
              <w:rPr>
                <w:rFonts w:hint="eastAsia" w:ascii="宋体" w:hAnsi="宋体" w:cs="宋体"/>
                <w:color w:val="000000"/>
                <w:sz w:val="24"/>
                <w:szCs w:val="24"/>
                <w:highlight w:val="none"/>
              </w:rPr>
            </w:r>
            <w:r/>
          </w:p>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（2）具有</w:t>
            </w:r>
            <w:r>
              <w:rPr>
                <w:rFonts w:hint="eastAsia" w:ascii="宋体" w:hAnsi="宋体" w:cs="宋体"/>
                <w:color w:val="000000"/>
                <w:sz w:val="24"/>
                <w:szCs w:val="24"/>
                <w:highlight w:val="none"/>
                <w:shd w:val="clear" w:color="auto" w:fill="ffffff"/>
              </w:rPr>
              <w:t xml:space="preserve">电子信息工程专业技术资格高级工程师证书的得2分，</w:t>
            </w:r>
            <w:r>
              <w:rPr>
                <w:rFonts w:hint="eastAsia" w:ascii="宋体" w:hAnsi="宋体" w:cs="宋体"/>
                <w:color w:val="000000"/>
                <w:sz w:val="24"/>
                <w:szCs w:val="24"/>
                <w:highlight w:val="none"/>
              </w:rPr>
              <w:t xml:space="preserve">未提供或提供不全或不满足不得分；</w:t>
            </w:r>
            <w:r>
              <w:rPr>
                <w:rFonts w:ascii="宋体" w:hAnsi="宋体" w:cs="宋体"/>
                <w:color w:val="000000"/>
                <w:sz w:val="24"/>
                <w:szCs w:val="24"/>
                <w:highlight w:val="none"/>
              </w:rPr>
            </w:r>
            <w:r/>
          </w:p>
          <w:p>
            <w:pPr>
              <w:pStyle w:val="1114"/>
              <w:ind w:firstLine="24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（3）以上人员须提供有效的专业技术人员职业资格证书扫描件以及人力资源和社会保障部人事考试中心的相对应证书查询结果截图（或</w:t>
            </w:r>
            <w:r>
              <w:rPr>
                <w:rFonts w:hint="eastAsia" w:ascii="宋体" w:hAnsi="宋体" w:cs="宋体"/>
                <w:color w:val="000000"/>
                <w:sz w:val="24"/>
                <w:szCs w:val="24"/>
                <w:highlight w:val="none"/>
                <w:shd w:val="clear" w:color="auto" w:fill="ffffff"/>
              </w:rPr>
              <w:t xml:space="preserve">技术资格</w:t>
            </w:r>
            <w:r>
              <w:rPr>
                <w:rFonts w:hint="eastAsia" w:ascii="宋体" w:hAnsi="宋体" w:cs="宋体"/>
                <w:color w:val="000000"/>
                <w:sz w:val="24"/>
                <w:szCs w:val="24"/>
                <w:highlight w:val="none"/>
              </w:rPr>
              <w:t xml:space="preserve">证书扫描件及人力资源和社会保障官方网址查询截图）、项目服务人员投入承诺函、投标人2026 月1日至投标截止时间以来为其缴纳任意1个月的社保证明材料，并加盖投标人公章。一人多证不重复计分。</w:t>
            </w:r>
            <w:r>
              <w:rPr>
                <w:rFonts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r>
      <w:tr>
        <w:trPr>
          <w:trHeight w:val="936"/>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r>
            <w:r/>
          </w:p>
        </w:tc>
        <w:tc>
          <w:tcPr>
            <w:tcW w:w="1348" w:type="dxa"/>
            <w:vAlign w:val="center"/>
            <w:vMerge w:val="restart"/>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企业能力</w:t>
            </w:r>
            <w:r>
              <w:rPr>
                <w:rFonts w:hint="eastAsia" w:ascii="宋体" w:hAnsi="宋体" w:cs="宋体"/>
                <w:color w:val="000000"/>
                <w:sz w:val="24"/>
                <w:szCs w:val="24"/>
                <w:highlight w:val="none"/>
              </w:rPr>
            </w:r>
            <w:r/>
          </w:p>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c>
          <w:tcPr>
            <w:tcW w:w="6090" w:type="dxa"/>
            <w:vAlign w:val="center"/>
            <w:textDirection w:val="lrTb"/>
            <w:noWrap/>
          </w:tcPr>
          <w:p>
            <w:pPr>
              <w:pStyle w:val="1033"/>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投标人具备参与国家级教学资源库建设经验的</w:t>
            </w:r>
            <w:r>
              <w:rPr>
                <w:rFonts w:hint="eastAsia" w:ascii="宋体" w:hAnsi="宋体" w:cs="宋体"/>
                <w:color w:val="000000"/>
                <w:sz w:val="24"/>
                <w:szCs w:val="24"/>
                <w:highlight w:val="none"/>
                <w:shd w:val="clear" w:color="auto" w:fill="ffffff"/>
              </w:rPr>
              <w:t xml:space="preserve">得2分，具备</w:t>
            </w:r>
            <w:r>
              <w:rPr>
                <w:rFonts w:hint="eastAsia" w:ascii="宋体" w:hAnsi="宋体" w:cs="宋体"/>
                <w:color w:val="000000"/>
                <w:sz w:val="24"/>
                <w:szCs w:val="24"/>
                <w:highlight w:val="none"/>
              </w:rPr>
              <w:t xml:space="preserve">参与省级教学资源库建设经验的</w:t>
            </w:r>
            <w:r>
              <w:rPr>
                <w:rFonts w:hint="eastAsia" w:ascii="宋体" w:hAnsi="宋体" w:cs="宋体"/>
                <w:color w:val="000000"/>
                <w:sz w:val="24"/>
                <w:szCs w:val="24"/>
                <w:highlight w:val="none"/>
                <w:shd w:val="clear" w:color="auto" w:fill="ffffff"/>
              </w:rPr>
              <w:t xml:space="preserve">得1分</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未提供或提供不全或不满足不得分。（须提供</w:t>
            </w:r>
            <w:r>
              <w:rPr>
                <w:rFonts w:hint="eastAsia" w:ascii="宋体" w:hAnsi="宋体" w:cs="宋体"/>
                <w:color w:val="000000"/>
                <w:sz w:val="24"/>
                <w:szCs w:val="24"/>
                <w:highlight w:val="none"/>
                <w:shd w:val="clear" w:color="auto" w:fill="ffffff"/>
              </w:rPr>
              <w:t xml:space="preserve">投标人参与建设资源库网站的链接和网站中参与建设团队名录中包含投标人名称的截图，并加盖</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shd w:val="clear" w:color="auto" w:fill="ffffff"/>
              </w:rPr>
              <w:t xml:space="preserve">公章。</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r>
      <w:tr>
        <w:trPr>
          <w:trHeight w:val="936"/>
        </w:trPr>
        <w:tc>
          <w:tcPr>
            <w:tcW w:w="774" w:type="dxa"/>
            <w:vAlign w:val="center"/>
            <w:textDirection w:val="lrTb"/>
            <w:noWrap/>
          </w:tcPr>
          <w:p>
            <w:pPr>
              <w:pStyle w:val="1114"/>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090" w:type="dxa"/>
            <w:vAlign w:val="center"/>
            <w:textDirection w:val="lrTb"/>
            <w:noWrap/>
          </w:tcPr>
          <w:p>
            <w:pPr>
              <w:pStyle w:val="1114"/>
              <w:ind w:firstLine="24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投标人具备</w:t>
            </w:r>
            <w:r>
              <w:rPr>
                <w:rFonts w:ascii="宋体" w:hAnsi="宋体" w:cs="宋体"/>
                <w:color w:val="000000"/>
                <w:sz w:val="24"/>
                <w:szCs w:val="24"/>
                <w:highlight w:val="none"/>
                <w:shd w:val="clear" w:color="auto" w:fill="ffffff"/>
              </w:rPr>
              <w:t xml:space="preserve">公安</w:t>
            </w:r>
            <w:r>
              <w:rPr>
                <w:rFonts w:hint="eastAsia" w:ascii="宋体" w:hAnsi="宋体" w:cs="宋体"/>
                <w:color w:val="000000"/>
                <w:sz w:val="24"/>
                <w:szCs w:val="24"/>
                <w:highlight w:val="none"/>
                <w:shd w:val="clear" w:color="auto" w:fill="ffffff"/>
              </w:rPr>
              <w:t xml:space="preserve">部门核发的信息系统安全等级保护备案证明（三级及以上）的得2分，</w:t>
            </w:r>
            <w:r>
              <w:rPr>
                <w:rFonts w:hint="eastAsia" w:ascii="宋体" w:hAnsi="宋体" w:cs="宋体"/>
                <w:color w:val="000000"/>
                <w:sz w:val="24"/>
                <w:szCs w:val="24"/>
                <w:highlight w:val="none"/>
              </w:rPr>
              <w:t xml:space="preserve">未提供或提供不全或不满足不得分。（须提供证明材料，并加盖投标人公章。）</w:t>
            </w:r>
            <w:r>
              <w:rPr>
                <w:rFonts w:hint="eastAsia" w:ascii="宋体" w:hAnsi="宋体" w:cs="宋体"/>
                <w:color w:val="000000"/>
                <w:sz w:val="24"/>
                <w:szCs w:val="24"/>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090" w:type="dxa"/>
            <w:vAlign w:val="center"/>
            <w:textDirection w:val="lrTb"/>
            <w:noWrap/>
          </w:tcPr>
          <w:p>
            <w:pPr>
              <w:pStyle w:val="1029"/>
              <w:ind w:firstLine="240"/>
              <w:jc w:val="both"/>
              <w:spacing w:before="0" w:beforeAutospacing="0" w:after="0" w:afterAutospacing="0"/>
              <w:rPr>
                <w:rFonts w:hint="eastAsia"/>
                <w:color w:val="000000"/>
                <w:highlight w:val="none"/>
              </w:rPr>
            </w:pPr>
            <w:r>
              <w:rPr>
                <w:rFonts w:hint="eastAsia"/>
                <w:color w:val="000000"/>
                <w:highlight w:val="none"/>
              </w:rPr>
              <w:t xml:space="preserve">投标人具备</w:t>
            </w:r>
            <w:r>
              <w:rPr>
                <w:rFonts w:hint="eastAsia"/>
                <w:color w:val="000000"/>
                <w:highlight w:val="none"/>
                <w:shd w:val="clear" w:color="auto" w:fill="ffffff"/>
              </w:rPr>
              <w:t xml:space="preserve">国家级财经商贸大类教育教学相关荣誉证书的得2分，具备</w:t>
            </w:r>
            <w:r>
              <w:rPr>
                <w:rFonts w:hint="eastAsia"/>
                <w:color w:val="000000"/>
                <w:highlight w:val="none"/>
              </w:rPr>
              <w:t xml:space="preserve">省级</w:t>
            </w:r>
            <w:r>
              <w:rPr>
                <w:rFonts w:hint="eastAsia"/>
                <w:color w:val="000000"/>
                <w:highlight w:val="none"/>
                <w:shd w:val="clear" w:color="auto" w:fill="ffffff"/>
              </w:rPr>
              <w:t xml:space="preserve">财经商贸大类教育教学相关荣誉证书</w:t>
            </w:r>
            <w:r>
              <w:rPr>
                <w:rFonts w:hint="eastAsia"/>
                <w:color w:val="000000"/>
                <w:highlight w:val="none"/>
              </w:rPr>
              <w:t xml:space="preserve">的</w:t>
            </w:r>
            <w:r>
              <w:rPr>
                <w:rFonts w:hint="eastAsia"/>
                <w:color w:val="000000"/>
                <w:highlight w:val="none"/>
                <w:shd w:val="clear" w:color="auto" w:fill="ffffff"/>
              </w:rPr>
              <w:t xml:space="preserve">得1分</w:t>
            </w:r>
            <w:r>
              <w:rPr>
                <w:rFonts w:hint="eastAsia"/>
                <w:color w:val="000000"/>
                <w:highlight w:val="none"/>
              </w:rPr>
              <w:t xml:space="preserve">，未提供或提供不全或不满足不得分。（须提供相关国家级荣誉证书或官方表彰文件的扫描件，并加盖</w:t>
            </w:r>
            <w:r>
              <w:rPr>
                <w:rFonts w:hint="eastAsia"/>
                <w:color w:val="000000"/>
                <w:highlight w:val="none"/>
              </w:rPr>
              <w:t xml:space="preserve">投标人</w:t>
            </w:r>
            <w:r>
              <w:rPr>
                <w:rFonts w:hint="eastAsia"/>
                <w:color w:val="000000"/>
                <w:highlight w:val="none"/>
              </w:rPr>
              <w:t xml:space="preserve">公章。）</w:t>
            </w:r>
            <w:r>
              <w:rPr>
                <w:rFonts w:hint="eastAsia"/>
                <w:color w:val="000000"/>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w:t>
            </w:r>
            <w:r>
              <w:rPr>
                <w:rFonts w:ascii="宋体" w:hAnsi="宋体" w:cs="宋体"/>
                <w:color w:val="000000"/>
                <w:sz w:val="24"/>
                <w:szCs w:val="24"/>
                <w:highlight w:val="none"/>
              </w:rPr>
            </w:r>
            <w:r/>
          </w:p>
        </w:tc>
        <w:tc>
          <w:tcPr>
            <w:tcW w:w="1348"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类似业绩案例经验证明</w:t>
            </w:r>
            <w:r>
              <w:rPr>
                <w:rFonts w:hint="eastAsia" w:ascii="宋体" w:hAnsi="宋体" w:cs="宋体"/>
                <w:color w:val="000000"/>
                <w:sz w:val="24"/>
                <w:szCs w:val="24"/>
                <w:highlight w:val="none"/>
              </w:rPr>
            </w:r>
            <w:r/>
          </w:p>
        </w:tc>
        <w:tc>
          <w:tcPr>
            <w:tcW w:w="6090" w:type="dxa"/>
            <w:vAlign w:val="center"/>
            <w:textDirection w:val="lrTb"/>
            <w:noWrap/>
          </w:tcPr>
          <w:p>
            <w:pPr>
              <w:pStyle w:val="1029"/>
              <w:ind w:firstLine="240"/>
              <w:jc w:val="both"/>
              <w:spacing w:before="0" w:beforeAutospacing="0" w:after="0" w:afterAutospacing="0"/>
              <w:rPr>
                <w:rFonts w:hint="eastAsia"/>
                <w:color w:val="000000"/>
                <w:highlight w:val="none"/>
              </w:rPr>
            </w:pPr>
            <w:r>
              <w:rPr>
                <w:rFonts w:hint="eastAsia"/>
                <w:color w:val="000000"/>
                <w:highlight w:val="none"/>
              </w:rPr>
              <w:t xml:space="preserve">为确保投标人相关技术能力、经验与项目要求相匹配，投标人需提供承担过自2023年1月1日至今（以合同签订日为准，</w:t>
            </w:r>
            <w:r>
              <w:rPr>
                <w:color w:val="000000"/>
                <w:highlight w:val="none"/>
              </w:rPr>
              <w:t xml:space="preserve">合同中无合同签订日期的，以履约期限为准</w:t>
            </w:r>
            <w:r>
              <w:rPr>
                <w:rFonts w:hint="eastAsia"/>
                <w:color w:val="000000"/>
                <w:highlight w:val="none"/>
              </w:rPr>
              <w:t xml:space="preserve">）的类似业绩案例，每提供1份符合要求的业绩案例得2分，本项最高得6分，未提供或提供不符合要求的</w:t>
            </w:r>
            <w:r>
              <w:rPr>
                <w:rFonts w:hint="eastAsia"/>
                <w:color w:val="000000"/>
                <w:highlight w:val="none"/>
              </w:rPr>
              <w:t xml:space="preserve">不得分。</w:t>
            </w:r>
            <w:r>
              <w:rPr>
                <w:rFonts w:hint="eastAsia"/>
                <w:color w:val="000000"/>
                <w:highlight w:val="none"/>
              </w:rPr>
            </w:r>
            <w:r/>
          </w:p>
          <w:p>
            <w:pPr>
              <w:pStyle w:val="1029"/>
              <w:ind w:firstLine="240"/>
              <w:jc w:val="both"/>
              <w:spacing w:before="0" w:beforeAutospacing="0" w:after="0" w:afterAutospacing="0"/>
              <w:rPr>
                <w:rFonts w:hint="eastAsia"/>
                <w:color w:val="000000"/>
                <w:highlight w:val="none"/>
              </w:rPr>
            </w:pPr>
            <w:r>
              <w:rPr>
                <w:rFonts w:hint="eastAsia"/>
                <w:color w:val="000000"/>
                <w:highlight w:val="none"/>
              </w:rPr>
              <w:t xml:space="preserve">（须提供合同扫描件（</w:t>
            </w:r>
            <w:r>
              <w:rPr>
                <w:color w:val="000000"/>
                <w:highlight w:val="none"/>
              </w:rPr>
              <w:t xml:space="preserve">含签订合同双方的单位名称、合同项目名称、合同清单/合同概况、与含签订合同双方的落款盖章、签订日期页</w:t>
            </w:r>
            <w:r>
              <w:rPr>
                <w:rFonts w:hint="eastAsia"/>
                <w:color w:val="000000"/>
                <w:highlight w:val="none"/>
              </w:rPr>
              <w:t xml:space="preserve">），并加盖投标人公章。</w:t>
            </w:r>
            <w:r>
              <w:rPr>
                <w:rFonts w:hint="eastAsia"/>
                <w:color w:val="000000"/>
                <w:highlight w:val="none"/>
              </w:rPr>
              <w:t xml:space="preserve">类似项目是指与本项目采购标的（跨境电商实训系统、跨境电商课程资源或AI数字人系统）相同或相似的软件系统建设或服务项目</w:t>
            </w:r>
            <w:r>
              <w:rPr>
                <w:rFonts w:hint="eastAsia"/>
                <w:color w:val="000000"/>
                <w:highlight w:val="none"/>
              </w:rPr>
              <w:t xml:space="preserve">。）</w:t>
            </w:r>
            <w:r>
              <w:rPr>
                <w:rFonts w:hint="eastAsia"/>
                <w:color w:val="000000"/>
                <w:highlight w:val="none"/>
              </w:rPr>
            </w:r>
            <w:r/>
          </w:p>
        </w:tc>
        <w:tc>
          <w:tcPr>
            <w:tcW w:w="707"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r>
      <w:tr>
        <w:trPr>
          <w:trHeight w:val="90"/>
        </w:trPr>
        <w:tc>
          <w:tcPr>
            <w:gridSpan w:val="4"/>
            <w:tcW w:w="8919" w:type="dxa"/>
            <w:vAlign w:val="center"/>
            <w:textDirection w:val="lrTb"/>
            <w:noWrap/>
          </w:tcPr>
          <w:p>
            <w:pPr>
              <w:pStyle w:val="1114"/>
              <w:jc w:val="left"/>
              <w:spacing w:line="240" w:lineRule="auto"/>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4.功能演示（30分）</w:t>
            </w:r>
            <w:r>
              <w:rPr>
                <w:rFonts w:ascii="宋体" w:hAnsi="宋体" w:cs="宋体"/>
                <w:color w:val="000000"/>
                <w:sz w:val="24"/>
                <w:szCs w:val="24"/>
                <w:highlight w:val="none"/>
              </w:rPr>
            </w:r>
            <w:r/>
          </w:p>
        </w:tc>
      </w:tr>
      <w:tr>
        <w:trPr>
          <w:trHeight w:val="90"/>
        </w:trPr>
        <w:tc>
          <w:tcPr>
            <w:gridSpan w:val="4"/>
            <w:tcW w:w="8919" w:type="dxa"/>
            <w:vAlign w:val="center"/>
            <w:textDirection w:val="lrTb"/>
            <w:noWrap/>
          </w:tcPr>
          <w:p>
            <w:pPr>
              <w:pStyle w:val="1114"/>
              <w:ind w:firstLine="240"/>
              <w:jc w:val="left"/>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投标人需对“●”标注的功能需求（共15项）进行项目演示。</w:t>
            </w:r>
            <w:r>
              <w:rPr>
                <w:rFonts w:hint="eastAsia" w:ascii="宋体" w:hAnsi="宋体" w:cs="宋体"/>
                <w:color w:val="000000"/>
                <w:sz w:val="24"/>
                <w:szCs w:val="24"/>
                <w:highlight w:val="none"/>
              </w:rPr>
            </w:r>
            <w:r/>
          </w:p>
          <w:p>
            <w:pPr>
              <w:pStyle w:val="1114"/>
              <w:ind w:firstLine="240"/>
              <w:jc w:val="left"/>
              <w:spacing w:line="24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视频文件的格式为*.mp4</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演示视频将作为</w:t>
            </w:r>
            <w:r>
              <w:rPr>
                <w:rFonts w:hint="eastAsia" w:ascii="宋体" w:hAnsi="宋体" w:cs="宋体"/>
                <w:color w:val="000000"/>
                <w:sz w:val="24"/>
                <w:szCs w:val="24"/>
                <w:highlight w:val="none"/>
              </w:rPr>
              <w:t xml:space="preserve">响应</w:t>
            </w:r>
            <w:r>
              <w:rPr>
                <w:rFonts w:ascii="宋体" w:hAnsi="宋体" w:cs="宋体"/>
                <w:color w:val="000000"/>
                <w:sz w:val="24"/>
                <w:szCs w:val="24"/>
                <w:highlight w:val="none"/>
              </w:rPr>
              <w:t xml:space="preserve">文件</w:t>
            </w:r>
            <w:r>
              <w:rPr>
                <w:rFonts w:hint="eastAsia" w:ascii="宋体" w:hAnsi="宋体" w:cs="宋体"/>
                <w:color w:val="000000"/>
                <w:sz w:val="24"/>
                <w:szCs w:val="24"/>
                <w:highlight w:val="none"/>
              </w:rPr>
              <w:t xml:space="preserve">中电子档文件</w:t>
            </w:r>
            <w:r>
              <w:rPr>
                <w:rFonts w:ascii="宋体" w:hAnsi="宋体" w:cs="宋体"/>
                <w:color w:val="000000"/>
                <w:sz w:val="24"/>
                <w:szCs w:val="24"/>
                <w:highlight w:val="none"/>
              </w:rPr>
              <w:t xml:space="preserve">组成部分，</w:t>
            </w:r>
            <w:r>
              <w:rPr>
                <w:rFonts w:hint="eastAsia" w:ascii="宋体" w:hAnsi="宋体" w:cs="宋体"/>
                <w:color w:val="000000"/>
                <w:sz w:val="24"/>
                <w:szCs w:val="24"/>
                <w:highlight w:val="none"/>
              </w:rPr>
              <w:t xml:space="preserve">须与电子档文件一起递交，视频</w:t>
            </w:r>
            <w:r>
              <w:rPr>
                <w:rFonts w:ascii="宋体" w:hAnsi="宋体" w:cs="宋体"/>
                <w:color w:val="000000"/>
                <w:sz w:val="24"/>
                <w:szCs w:val="24"/>
                <w:highlight w:val="none"/>
              </w:rPr>
              <w:t xml:space="preserve">时长不超过</w:t>
            </w: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t xml:space="preserve">分钟</w:t>
            </w:r>
            <w:r>
              <w:rPr>
                <w:rFonts w:hint="eastAsia" w:ascii="宋体" w:hAnsi="宋体" w:cs="宋体"/>
                <w:color w:val="000000"/>
                <w:sz w:val="24"/>
                <w:szCs w:val="24"/>
                <w:highlight w:val="none"/>
              </w:rPr>
              <w:t xml:space="preserve">，总分30分。</w:t>
            </w:r>
            <w:r>
              <w:rPr>
                <w:rFonts w:hint="eastAsia" w:ascii="宋体" w:hAnsi="宋体" w:cs="宋体"/>
                <w:color w:val="000000"/>
                <w:sz w:val="24"/>
                <w:szCs w:val="24"/>
                <w:highlight w:val="none"/>
              </w:rPr>
            </w:r>
            <w:r/>
          </w:p>
          <w:p>
            <w:pPr>
              <w:pStyle w:val="1114"/>
              <w:ind w:firstLine="240"/>
              <w:jc w:val="left"/>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每具备一项完全满足项目需求演示的得2分，本项演示最高得30分，演示内容不能完全满足要求的或不演示的不得分。</w:t>
            </w:r>
            <w:r>
              <w:rPr>
                <w:rFonts w:ascii="宋体" w:hAnsi="宋体" w:cs="宋体"/>
                <w:color w:val="000000"/>
                <w:sz w:val="24"/>
                <w:szCs w:val="24"/>
                <w:highlight w:val="none"/>
              </w:rPr>
            </w:r>
            <w:r/>
          </w:p>
          <w:p>
            <w:pPr>
              <w:pStyle w:val="1114"/>
              <w:ind w:firstLine="240"/>
              <w:jc w:val="left"/>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技术参数中具体标“●”的参数如下：</w:t>
            </w:r>
            <w:r>
              <w:rPr>
                <w:rFonts w:hint="eastAsia" w:ascii="宋体" w:hAnsi="宋体" w:cs="宋体"/>
                <w:color w:val="000000"/>
                <w:sz w:val="24"/>
                <w:szCs w:val="24"/>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w:t>
            </w:r>
            <w:r>
              <w:rPr>
                <w:rFonts w:ascii="宋体" w:hAnsi="宋体" w:cs="宋体"/>
                <w:color w:val="000000"/>
                <w:sz w:val="24"/>
                <w:szCs w:val="24"/>
                <w:highlight w:val="none"/>
              </w:rPr>
            </w:r>
            <w:r/>
          </w:p>
        </w:tc>
        <w:tc>
          <w:tcPr>
            <w:tcW w:w="1348" w:type="dxa"/>
            <w:vAlign w:val="center"/>
            <w:vMerge w:val="restart"/>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跨境电商综合实训软件</w:t>
            </w: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提供电子、服装 、箱包、鞋类、母婴、玩具等将近20个符合我国出口贸易产品特点的行业类目。</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全方位展现跨境特点，主要体现在跨境支付（国际行用卡、第三方国际支付、平台E卡）、跨境物流（跨境直邮、海外仓）、海关监管（检验检疫、原产地证明、报关）、语言环境（中文、英文）等方面。</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围绕直邮以及海外仓两种物流模式的核心业务锻炼学生物流管理全方位的技能：</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a.直邮模块：对仓库以及仓库出入库管理、运单的管理、分拣与合拢、订舱、装运发货、进出口报关、拆封配送、物流配送、物流状态查看；</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b.海外仓模块：分为用户以及管理员两种角色，模拟了海外仓的业务流程，体验海外仓的供应链管理。该模块涉及对海外仓的建设、海外仓仓储管理、对产品的布局以及SKU的设置、头程管理、进口报关、境外物流配送、退货管理等。</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w:t>
            </w:r>
            <w:r>
              <w:rPr>
                <w:rFonts w:ascii="宋体" w:hAnsi="宋体" w:cs="宋体"/>
                <w:color w:val="000000"/>
                <w:sz w:val="24"/>
                <w:szCs w:val="24"/>
                <w:highlight w:val="none"/>
              </w:rPr>
            </w:r>
            <w:r/>
          </w:p>
        </w:tc>
        <w:tc>
          <w:tcPr>
            <w:tcW w:w="1348" w:type="dxa"/>
            <w:vAlign w:val="center"/>
            <w:vMerge w:val="restart"/>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跨境直播运营与销售软件</w:t>
            </w: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实训模块，要求涵盖数据化运营实训、直播话术实训、短视频实训、直播销售实训4类实训主题，提供不少于23个实训任务。</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4.5</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直播销售实训主题，要求提供不少于4个实训任务，涵盖服装用品直播、鞋子箱包直播、数码电子直播、家居日用直播，具备直播脚本撰写、直播录制两项考核内容。</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4.6</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实验的对抗演练模块，要求采用沙盘对抗的形式，以跨境电商直播企业的视角，基于系统提供的背景和数据，联合战略规划部、运营部、物流部、营销部、销售部、财务部进行运营决策与直播销售实施，与同实验下的其他企业竞争市场。</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4.7</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对抗演练的企业各部门，</w:t>
            </w:r>
            <w:r>
              <w:rPr>
                <w:rFonts w:hint="eastAsia"/>
                <w:color w:val="000000"/>
                <w:highlight w:val="none"/>
              </w:rPr>
              <w:t xml:space="preserve">须具备</w:t>
            </w:r>
            <w:r>
              <w:rPr>
                <w:color w:val="000000"/>
                <w:highlight w:val="none"/>
              </w:rPr>
              <w:t xml:space="preserve">但不限于如下功能：</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战略规划部：市场确定、产业选址。</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运营部：商品定位、商品定价、商品录入、销售策略、客服渠道开通、客户咨询处理。</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物流部：物流方式设置、商品采购。</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营销部：①免费推广：短视频引流、社交媒体推广；②付费推广：站内广告、小店随心推、社交媒体广告、Google Ads、邮件营销。</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销售部：直播主题策划、直播互动策划、直播脚本策划、直播间装修。</w:t>
            </w:r>
            <w:r>
              <w:rPr>
                <w:color w:val="000000"/>
                <w:highlight w:val="none"/>
              </w:rPr>
            </w:r>
            <w:r/>
          </w:p>
          <w:p>
            <w:pPr>
              <w:pStyle w:val="1029"/>
              <w:ind w:firstLine="240"/>
              <w:jc w:val="both"/>
              <w:spacing w:before="0" w:beforeAutospacing="0" w:after="0" w:afterAutospacing="0"/>
              <w:rPr>
                <w:color w:val="000000"/>
                <w:highlight w:val="none"/>
              </w:rPr>
            </w:pPr>
            <w:r>
              <w:rPr>
                <w:color w:val="000000"/>
                <w:highlight w:val="none"/>
              </w:rPr>
              <w:t xml:space="preserve">财务部：支付设置、外汇兑换、资金明细。</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4.8</w:t>
            </w:r>
            <w:r>
              <w:rPr>
                <w:rFonts w:ascii="宋体" w:hAnsi="宋体" w:cs="宋体"/>
                <w:color w:val="000000"/>
                <w:sz w:val="24"/>
                <w:szCs w:val="24"/>
                <w:highlight w:val="none"/>
              </w:rPr>
            </w:r>
            <w:r/>
          </w:p>
        </w:tc>
        <w:tc>
          <w:tcPr>
            <w:tcW w:w="1348" w:type="dxa"/>
            <w:vAlign w:val="center"/>
            <w:vMerge w:val="restart"/>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商务数据分析与应用软件</w:t>
            </w: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系统支持数据采集与处理、数据分析方法、数据化运营应用、数据可视化、数据报告5大模块，不少于60个任务，并在后台灵活配置任务，任务包括任务背景、任务说明、任务资源等。</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4.9</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数据分析方法：系统提供14种分析方法的任务，如描述性分析、分组分析、对比分析、漏斗分析、交叉分析、SWOT分析、RFM模型分析、AARRR模型分析、象限分析、电商运营预测分析等；其中，描述性分析、分组分析等部分任务嵌入在线Excel表格工具，并内置任务数据；建模任务是侧重业务需求与建模流程的任务形式。</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4.10</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数据可视化：系统需提供基本的数据可视化展示方式与应用场景，可视化工具包括条形图、折线图、柱状图、饼状图、词云、雷达图、仪表盘15种工具；系统支持可视化自定义大屏设计，通过拖拽图表类型实现数据展示。该模块提供的实训任务，可以让用户基于图表特征及应用场景，结合业务应用场景制作自定义大屏。</w:t>
            </w:r>
            <w:r>
              <w:rPr>
                <w:color w:val="000000"/>
                <w:highlight w:val="none"/>
              </w:rPr>
            </w:r>
            <w:r/>
          </w:p>
        </w:tc>
      </w:tr>
      <w:tr>
        <w:trPr>
          <w:trHeight w:val="90"/>
        </w:trPr>
        <w:tc>
          <w:tcPr>
            <w:tcW w:w="774" w:type="dxa"/>
            <w:vAlign w:val="center"/>
            <w:textDirection w:val="lrTb"/>
            <w:noWrap/>
          </w:tcPr>
          <w:p>
            <w:pPr>
              <w:pStyle w:val="1114"/>
              <w:jc w:val="center"/>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4.11</w:t>
            </w:r>
            <w:r>
              <w:rPr>
                <w:rFonts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数据参谋：系统提供集数据展示与导出、报表池为一体的数据参谋，覆盖市场、商品、推广、流量、交易、服务、客户、直播等维度；商品模块含商品概况、商品效果、类目构成数据；推广模块含搜索排行、关键词助手数据；流量模块含流量总览、流量来源构成、访客分析数据；交易模块含交易与转化、交易构成数据；服务模块含DSR趋势、评价趋势数据；客户模块含客户趋势、客户画像数据。系统提供15个店铺/商品数据日报或周报报表。</w:t>
            </w:r>
            <w:r>
              <w:rPr>
                <w:color w:val="000000"/>
                <w:highlight w:val="none"/>
              </w:rPr>
            </w:r>
            <w:r/>
          </w:p>
        </w:tc>
      </w:tr>
      <w:tr>
        <w:trPr>
          <w:trHeight w:val="90"/>
        </w:trPr>
        <w:tc>
          <w:tcPr>
            <w:tcW w:w="77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w:t>
            </w:r>
            <w:r>
              <w:rPr>
                <w:rFonts w:hint="eastAsia" w:ascii="宋体" w:hAnsi="宋体" w:cs="宋体"/>
                <w:color w:val="000000"/>
                <w:sz w:val="24"/>
                <w:szCs w:val="24"/>
                <w:highlight w:val="none"/>
              </w:rPr>
            </w:r>
            <w:r/>
          </w:p>
        </w:tc>
        <w:tc>
          <w:tcPr>
            <w:tcW w:w="1348" w:type="dxa"/>
            <w:vAlign w:val="center"/>
            <w:vMerge w:val="restart"/>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跨境电商运营决策沙盘软件</w:t>
            </w: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经营选址：要求提供北京、天津、深圳、宁波、郑州、重庆6个城市供选择，不同城市在产业优势、人才素养水平、区域租金、是否属于跨境综合试验区等维度有区别。</w:t>
            </w:r>
            <w:r>
              <w:rPr>
                <w:color w:val="000000"/>
                <w:highlight w:val="none"/>
              </w:rPr>
            </w:r>
            <w:r/>
          </w:p>
        </w:tc>
      </w:tr>
      <w:tr>
        <w:trPr>
          <w:trHeight w:val="90"/>
        </w:trPr>
        <w:tc>
          <w:tcPr>
            <w:tcW w:w="77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w:t>
            </w:r>
            <w:r>
              <w:rPr>
                <w:rFonts w:hint="eastAsia"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商品管理：①支持商品英文标题、商品主图及商品详情信息的设置，不同内容的引流效果不同；②支持不同国家统一定价和独立定价；③要求具备橱窗推荐功能，在限制数量范围内（橱窗数量依据店铺等级不同而不同）自主选择商品进行主推。</w:t>
            </w:r>
            <w:r>
              <w:rPr>
                <w:color w:val="000000"/>
                <w:highlight w:val="none"/>
              </w:rPr>
            </w:r>
            <w:r/>
          </w:p>
        </w:tc>
      </w:tr>
      <w:tr>
        <w:trPr>
          <w:trHeight w:val="90"/>
        </w:trPr>
        <w:tc>
          <w:tcPr>
            <w:tcW w:w="77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4.14</w:t>
            </w:r>
            <w:r>
              <w:rPr>
                <w:rFonts w:hint="eastAsia"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独立站建设与维护：①支持网站域名的申请与服务器的配置；②支持自主建站和利用开源网站二次开发两种模式进行网站建设；③支持网站页面的设计；④支持对网站的性能、内容和活动进行维护。</w:t>
            </w:r>
            <w:r>
              <w:rPr>
                <w:color w:val="000000"/>
                <w:highlight w:val="none"/>
              </w:rPr>
            </w:r>
            <w:r/>
          </w:p>
        </w:tc>
      </w:tr>
      <w:tr>
        <w:trPr>
          <w:trHeight w:val="90"/>
        </w:trPr>
        <w:tc>
          <w:tcPr>
            <w:tcW w:w="77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4.15</w:t>
            </w:r>
            <w:r>
              <w:rPr>
                <w:rFonts w:hint="eastAsia" w:ascii="宋体" w:hAnsi="宋体" w:cs="宋体"/>
                <w:color w:val="000000"/>
                <w:sz w:val="24"/>
                <w:szCs w:val="24"/>
                <w:highlight w:val="none"/>
              </w:rPr>
            </w:r>
            <w:r/>
          </w:p>
        </w:tc>
        <w:tc>
          <w:tcPr>
            <w:tcW w:w="1348" w:type="dxa"/>
            <w:vAlign w:val="center"/>
            <w:vMerge w:val="continue"/>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6797" w:type="dxa"/>
            <w:vAlign w:val="center"/>
            <w:textDirection w:val="lrTb"/>
            <w:noWrap/>
          </w:tcPr>
          <w:p>
            <w:pPr>
              <w:pStyle w:val="1029"/>
              <w:ind w:firstLine="240"/>
              <w:jc w:val="both"/>
              <w:spacing w:before="0" w:beforeAutospacing="0" w:after="0" w:afterAutospacing="0"/>
              <w:rPr>
                <w:color w:val="000000"/>
                <w:highlight w:val="none"/>
              </w:rPr>
            </w:pPr>
            <w:r>
              <w:rPr>
                <w:color w:val="000000"/>
                <w:highlight w:val="none"/>
              </w:rPr>
              <w:t xml:space="preserve">采购管理：①紧扣真实运营市场环境的采购行情，要求在不同运营期，产品价格依据市场环境不同而不同；②针对品牌产品可进行OEM贴牌采购体现品牌运营优势；③提供文字定制、图片定制、包装定制等个性化定制服务。</w:t>
            </w:r>
            <w:r>
              <w:rPr>
                <w:color w:val="000000"/>
                <w:highlight w:val="none"/>
              </w:rPr>
            </w:r>
            <w:r/>
          </w:p>
        </w:tc>
      </w:tr>
    </w:tbl>
    <w:p>
      <w:pPr>
        <w:pStyle w:val="101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r>
      <w:r/>
    </w:p>
    <w:p>
      <w:pPr>
        <w:pStyle w:val="1013"/>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投标人应对投标文件中提供的证明材料和相关承诺函的真实性负责，如有虚假，一经查实，采购人或招标代理机构有权取消其中标资格，并按《中华人民共和国政府采购法》第七十七条相关条例进行处罚。</w:t>
      </w:r>
      <w:r>
        <w:rPr>
          <w:rFonts w:hint="eastAsia" w:ascii="宋体" w:hAnsi="宋体" w:cs="宋体"/>
          <w:color w:val="000000"/>
          <w:sz w:val="24"/>
          <w:szCs w:val="24"/>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4"/>
        <w:rPr>
          <w:rFonts w:hint="eastAsia" w:ascii="黑体" w:hAnsi="黑体" w:eastAsia="黑体" w:cs="黑体"/>
          <w:b w:val="0"/>
          <w:bCs w:val="0"/>
          <w:color w:val="000000"/>
          <w:sz w:val="44"/>
          <w:szCs w:val="44"/>
          <w:highlight w:val="none"/>
        </w:rPr>
      </w:pPr>
      <w:r/>
      <w:bookmarkEnd w:id="495"/>
      <w:r/>
      <w:bookmarkEnd w:id="496"/>
      <w:r/>
      <w:bookmarkEnd w:id="499"/>
      <w:r/>
      <w:bookmarkEnd w:id="501"/>
      <w:r/>
      <w:bookmarkEnd w:id="589"/>
      <w:r/>
      <w:bookmarkStart w:id="604" w:name="_Toc31537"/>
      <w:r>
        <w:rPr>
          <w:rFonts w:hint="eastAsia" w:ascii="黑体" w:hAnsi="黑体" w:eastAsia="黑体" w:cs="黑体"/>
          <w:b w:val="0"/>
          <w:bCs w:val="0"/>
          <w:color w:val="000000"/>
          <w:sz w:val="44"/>
          <w:szCs w:val="44"/>
          <w:highlight w:val="none"/>
        </w:rPr>
        <w:br w:type="page" w:clear="all"/>
      </w:r>
      <w:bookmarkStart w:id="605" w:name="_Toc25140"/>
      <w:r>
        <w:rPr>
          <w:rFonts w:hint="eastAsia" w:ascii="黑体" w:hAnsi="黑体" w:eastAsia="黑体" w:cs="黑体"/>
          <w:b w:val="0"/>
          <w:bCs w:val="0"/>
          <w:color w:val="000000"/>
          <w:sz w:val="44"/>
          <w:szCs w:val="44"/>
          <w:highlight w:val="none"/>
        </w:rPr>
        <w:t xml:space="preserve">第六章  投标文件格式</w:t>
      </w:r>
      <w:bookmarkEnd w:id="604"/>
      <w:r/>
      <w:bookmarkEnd w:id="605"/>
      <w:r>
        <w:rPr>
          <w:rFonts w:hint="eastAsia" w:ascii="黑体" w:hAnsi="黑体" w:eastAsia="黑体" w:cs="黑体"/>
          <w:b w:val="0"/>
          <w:bCs w:val="0"/>
          <w:color w:val="000000"/>
          <w:sz w:val="44"/>
          <w:szCs w:val="44"/>
          <w:highlight w:val="none"/>
        </w:rPr>
      </w:r>
      <w:r/>
    </w:p>
    <w:p>
      <w:pPr>
        <w:pStyle w:val="1013"/>
        <w:jc w:val="center"/>
        <w:rPr>
          <w:rFonts w:hint="eastAsia" w:ascii="宋体" w:hAnsi="宋体" w:cs="宋体"/>
          <w:color w:val="000000"/>
          <w:sz w:val="72"/>
          <w:highlight w:val="none"/>
        </w:rPr>
      </w:pPr>
      <w:r/>
      <w:bookmarkStart w:id="606" w:name="_Hlt26671244"/>
      <w:r/>
      <w:bookmarkEnd w:id="606"/>
      <w:r/>
      <w:bookmarkStart w:id="607" w:name="_Hlt26955039"/>
      <w:r/>
      <w:bookmarkEnd w:id="607"/>
      <w:r/>
      <w:bookmarkStart w:id="608" w:name="_Toc49090576"/>
      <w:r/>
      <w:bookmarkStart w:id="609" w:name="_Toc26554094"/>
      <w:r/>
      <w:bookmarkStart w:id="610" w:name="_Toc120614282"/>
      <w:r>
        <w:rPr>
          <w:rFonts w:hint="eastAsia" w:ascii="宋体" w:hAnsi="宋体" w:cs="宋体"/>
          <w:color w:val="000000"/>
          <w:sz w:val="72"/>
          <w:highlight w:val="none"/>
        </w:rPr>
      </w:r>
      <w:r/>
    </w:p>
    <w:p>
      <w:pPr>
        <w:pStyle w:val="1013"/>
        <w:jc w:val="center"/>
        <w:rPr>
          <w:rFonts w:hint="eastAsia" w:ascii="黑体" w:hAnsi="黑体" w:eastAsia="黑体" w:cs="黑体"/>
          <w:color w:val="000000"/>
          <w:sz w:val="72"/>
          <w:highlight w:val="none"/>
        </w:rPr>
      </w:pPr>
      <w:r>
        <w:rPr>
          <w:rFonts w:hint="eastAsia" w:ascii="黑体" w:hAnsi="黑体" w:eastAsia="黑体" w:cs="黑体"/>
          <w:color w:val="000000"/>
          <w:sz w:val="72"/>
          <w:highlight w:val="none"/>
        </w:rPr>
        <w:t xml:space="preserve">投  标  文  件</w:t>
      </w:r>
      <w:r>
        <w:rPr>
          <w:rFonts w:hint="eastAsia" w:ascii="黑体" w:hAnsi="黑体" w:eastAsia="黑体" w:cs="黑体"/>
          <w:color w:val="000000"/>
          <w:sz w:val="72"/>
          <w:highlight w:val="none"/>
        </w:rPr>
      </w:r>
      <w:r/>
    </w:p>
    <w:p>
      <w:pPr>
        <w:pStyle w:val="1013"/>
        <w:jc w:val="center"/>
        <w:rPr>
          <w:rFonts w:hint="eastAsia" w:ascii="黑体" w:hAnsi="黑体" w:eastAsia="黑体" w:cs="黑体"/>
          <w:color w:val="000000"/>
          <w:sz w:val="72"/>
          <w:highlight w:val="none"/>
        </w:rPr>
      </w:pPr>
      <w:r>
        <w:rPr>
          <w:rFonts w:hint="eastAsia" w:ascii="黑体" w:hAnsi="黑体" w:eastAsia="黑体" w:cs="黑体"/>
          <w:color w:val="000000"/>
          <w:sz w:val="72"/>
          <w:highlight w:val="none"/>
        </w:rPr>
      </w:r>
      <w:r/>
    </w:p>
    <w:p>
      <w:pPr>
        <w:pStyle w:val="1013"/>
        <w:jc w:val="center"/>
        <w:rPr>
          <w:rFonts w:hint="eastAsia" w:ascii="黑体" w:hAnsi="黑体" w:eastAsia="黑体" w:cs="黑体"/>
          <w:color w:val="000000"/>
          <w:sz w:val="56"/>
          <w:szCs w:val="20"/>
          <w:highlight w:val="none"/>
        </w:rPr>
      </w:pPr>
      <w:r>
        <w:rPr>
          <w:rFonts w:hint="eastAsia" w:ascii="黑体" w:hAnsi="黑体" w:eastAsia="黑体" w:cs="黑体"/>
          <w:color w:val="000000"/>
          <w:sz w:val="56"/>
          <w:szCs w:val="20"/>
          <w:highlight w:val="none"/>
        </w:rPr>
        <w:t xml:space="preserve">【正/副本】</w:t>
      </w:r>
      <w:r>
        <w:rPr>
          <w:rFonts w:hint="eastAsia" w:ascii="黑体" w:hAnsi="黑体" w:eastAsia="黑体" w:cs="黑体"/>
          <w:color w:val="000000"/>
          <w:sz w:val="56"/>
          <w:szCs w:val="20"/>
          <w:highlight w:val="none"/>
        </w:rPr>
      </w:r>
      <w:r/>
    </w:p>
    <w:p>
      <w:pPr>
        <w:pStyle w:val="1013"/>
        <w:jc w:val="center"/>
        <w:rPr>
          <w:rFonts w:hint="eastAsia" w:ascii="黑体" w:hAnsi="黑体" w:eastAsia="黑体" w:cs="黑体"/>
          <w:color w:val="000000"/>
          <w:sz w:val="36"/>
          <w:highlight w:val="none"/>
        </w:rPr>
      </w:pPr>
      <w:r>
        <w:rPr>
          <w:rFonts w:hint="eastAsia" w:ascii="黑体" w:hAnsi="黑体" w:eastAsia="黑体" w:cs="黑体"/>
          <w:color w:val="000000"/>
          <w:sz w:val="36"/>
          <w:highlight w:val="none"/>
        </w:rPr>
      </w:r>
      <w:r/>
    </w:p>
    <w:p>
      <w:pPr>
        <w:pStyle w:val="1013"/>
        <w:jc w:val="center"/>
        <w:rPr>
          <w:rFonts w:hint="eastAsia" w:ascii="黑体" w:hAnsi="黑体" w:eastAsia="黑体" w:cs="黑体"/>
          <w:color w:val="000000"/>
          <w:sz w:val="36"/>
          <w:highlight w:val="none"/>
        </w:rPr>
      </w:pPr>
      <w:r>
        <w:rPr>
          <w:rFonts w:hint="eastAsia" w:ascii="黑体" w:hAnsi="黑体" w:eastAsia="黑体" w:cs="黑体"/>
          <w:color w:val="000000"/>
          <w:sz w:val="36"/>
          <w:highlight w:val="none"/>
        </w:rPr>
      </w:r>
      <w:r/>
    </w:p>
    <w:p>
      <w:pPr>
        <w:pStyle w:val="1013"/>
        <w:jc w:val="center"/>
        <w:rPr>
          <w:rFonts w:hint="eastAsia" w:ascii="黑体" w:hAnsi="黑体" w:eastAsia="黑体" w:cs="黑体"/>
          <w:color w:val="000000"/>
          <w:sz w:val="36"/>
          <w:highlight w:val="none"/>
        </w:rPr>
      </w:pPr>
      <w:r>
        <w:rPr>
          <w:rFonts w:hint="eastAsia" w:ascii="黑体" w:hAnsi="黑体" w:eastAsia="黑体" w:cs="黑体"/>
          <w:color w:val="000000"/>
          <w:sz w:val="36"/>
          <w:highlight w:val="none"/>
        </w:rPr>
      </w:r>
      <w:r/>
    </w:p>
    <w:p>
      <w:pPr>
        <w:pStyle w:val="1013"/>
        <w:ind w:firstLine="1080"/>
        <w:rPr>
          <w:rFonts w:hint="eastAsia" w:ascii="黑体" w:hAnsi="黑体" w:eastAsia="黑体" w:cs="黑体"/>
          <w:color w:val="000000"/>
          <w:sz w:val="36"/>
          <w:highlight w:val="none"/>
        </w:rPr>
      </w:pPr>
      <w:r>
        <w:rPr>
          <w:rFonts w:hint="eastAsia" w:ascii="黑体" w:hAnsi="黑体" w:eastAsia="黑体" w:cs="黑体"/>
          <w:color w:val="000000"/>
          <w:sz w:val="36"/>
          <w:highlight w:val="none"/>
        </w:rPr>
        <w:t xml:space="preserve">项 目 名 称：</w:t>
      </w:r>
      <w:r>
        <w:rPr>
          <w:rFonts w:hint="eastAsia" w:ascii="黑体" w:hAnsi="黑体" w:eastAsia="黑体" w:cs="黑体"/>
          <w:color w:val="000000"/>
          <w:sz w:val="36"/>
          <w:highlight w:val="none"/>
          <w:u w:val="single"/>
        </w:rPr>
        <w:t xml:space="preserve">               </w:t>
      </w:r>
      <w:r>
        <w:rPr>
          <w:rFonts w:hint="eastAsia" w:ascii="黑体" w:hAnsi="黑体" w:eastAsia="黑体" w:cs="黑体"/>
          <w:color w:val="000000"/>
          <w:sz w:val="36"/>
          <w:highlight w:val="none"/>
        </w:rPr>
      </w:r>
      <w:r/>
    </w:p>
    <w:p>
      <w:pPr>
        <w:pStyle w:val="1013"/>
        <w:ind w:firstLine="1080"/>
        <w:rPr>
          <w:rFonts w:hint="eastAsia" w:ascii="黑体" w:hAnsi="黑体" w:eastAsia="黑体" w:cs="黑体"/>
          <w:color w:val="000000"/>
          <w:sz w:val="36"/>
          <w:highlight w:val="none"/>
        </w:rPr>
      </w:pPr>
      <w:r>
        <w:rPr>
          <w:rFonts w:hint="eastAsia" w:ascii="黑体" w:hAnsi="黑体" w:eastAsia="黑体" w:cs="黑体"/>
          <w:color w:val="000000"/>
          <w:sz w:val="36"/>
          <w:highlight w:val="none"/>
        </w:rPr>
        <w:t xml:space="preserve">项 目 编 号：</w:t>
      </w:r>
      <w:r>
        <w:rPr>
          <w:rFonts w:hint="eastAsia" w:ascii="黑体" w:hAnsi="黑体" w:eastAsia="黑体" w:cs="黑体"/>
          <w:color w:val="000000"/>
          <w:sz w:val="36"/>
          <w:highlight w:val="none"/>
          <w:u w:val="single"/>
        </w:rPr>
        <w:t xml:space="preserve">               </w:t>
      </w:r>
      <w:r>
        <w:rPr>
          <w:rFonts w:hint="eastAsia" w:ascii="黑体" w:hAnsi="黑体" w:eastAsia="黑体" w:cs="黑体"/>
          <w:color w:val="000000"/>
          <w:sz w:val="36"/>
          <w:highlight w:val="none"/>
        </w:rPr>
      </w:r>
      <w:r/>
    </w:p>
    <w:p>
      <w:pPr>
        <w:pStyle w:val="1013"/>
        <w:ind w:firstLine="1080"/>
        <w:rPr>
          <w:rFonts w:hint="eastAsia" w:ascii="黑体" w:hAnsi="黑体" w:eastAsia="黑体" w:cs="黑体"/>
          <w:color w:val="000000"/>
          <w:sz w:val="36"/>
          <w:highlight w:val="none"/>
          <w:u w:val="single"/>
        </w:rPr>
      </w:pPr>
      <w:r/>
      <w:bookmarkStart w:id="611" w:name="_Toc26914"/>
      <w:r>
        <w:rPr>
          <w:rFonts w:hint="eastAsia" w:ascii="黑体" w:hAnsi="黑体" w:eastAsia="黑体" w:cs="黑体"/>
          <w:color w:val="000000"/>
          <w:sz w:val="36"/>
          <w:highlight w:val="none"/>
        </w:rPr>
        <w:t xml:space="preserve">投标人名称：</w:t>
      </w:r>
      <w:bookmarkEnd w:id="611"/>
      <w:r>
        <w:rPr>
          <w:rFonts w:hint="eastAsia" w:ascii="黑体" w:hAnsi="黑体" w:eastAsia="黑体" w:cs="黑体"/>
          <w:color w:val="000000"/>
          <w:sz w:val="36"/>
          <w:highlight w:val="none"/>
          <w:u w:val="single"/>
        </w:rPr>
        <w:t xml:space="preserve">                </w:t>
      </w:r>
      <w:r>
        <w:rPr>
          <w:rFonts w:hint="eastAsia" w:ascii="黑体" w:hAnsi="黑体" w:eastAsia="黑体" w:cs="黑体"/>
          <w:color w:val="000000"/>
          <w:sz w:val="36"/>
          <w:highlight w:val="none"/>
          <w:u w:val="single"/>
        </w:rPr>
      </w:r>
      <w:r/>
    </w:p>
    <w:p>
      <w:pPr>
        <w:pStyle w:val="1013"/>
        <w:ind w:firstLine="1080"/>
        <w:rPr>
          <w:rFonts w:hint="eastAsia" w:ascii="黑体" w:hAnsi="黑体" w:eastAsia="黑体" w:cs="黑体"/>
          <w:color w:val="000000"/>
          <w:sz w:val="36"/>
          <w:highlight w:val="none"/>
          <w:u w:val="single"/>
        </w:rPr>
      </w:pPr>
      <w:r>
        <w:rPr>
          <w:rFonts w:hint="eastAsia" w:ascii="黑体" w:hAnsi="黑体" w:eastAsia="黑体" w:cs="黑体"/>
          <w:color w:val="000000"/>
          <w:sz w:val="36"/>
          <w:highlight w:val="none"/>
        </w:rPr>
        <w:t xml:space="preserve">授权代表签字：</w:t>
      </w:r>
      <w:r>
        <w:rPr>
          <w:rFonts w:hint="eastAsia" w:ascii="黑体" w:hAnsi="黑体" w:eastAsia="黑体" w:cs="黑体"/>
          <w:color w:val="000000"/>
          <w:sz w:val="36"/>
          <w:highlight w:val="none"/>
          <w:u w:val="single"/>
        </w:rPr>
        <w:t xml:space="preserve">              </w:t>
      </w:r>
      <w:r>
        <w:rPr>
          <w:rFonts w:hint="eastAsia" w:ascii="黑体" w:hAnsi="黑体" w:eastAsia="黑体" w:cs="黑体"/>
          <w:color w:val="000000"/>
          <w:sz w:val="36"/>
          <w:highlight w:val="none"/>
          <w:u w:val="single"/>
        </w:rPr>
      </w:r>
      <w:r/>
    </w:p>
    <w:p>
      <w:pPr>
        <w:pStyle w:val="1013"/>
        <w:ind w:firstLine="1080"/>
        <w:rPr>
          <w:rFonts w:hint="eastAsia" w:ascii="黑体" w:hAnsi="黑体" w:eastAsia="黑体" w:cs="黑体"/>
          <w:color w:val="000000"/>
          <w:sz w:val="36"/>
          <w:highlight w:val="none"/>
        </w:rPr>
      </w:pPr>
      <w:r>
        <w:rPr>
          <w:rFonts w:hint="eastAsia" w:ascii="黑体" w:hAnsi="黑体" w:eastAsia="黑体" w:cs="黑体"/>
          <w:color w:val="000000"/>
          <w:sz w:val="36"/>
          <w:highlight w:val="none"/>
        </w:rPr>
        <w:t xml:space="preserve">联系方式：</w:t>
      </w:r>
      <w:r>
        <w:rPr>
          <w:rFonts w:hint="eastAsia" w:ascii="黑体" w:hAnsi="黑体" w:eastAsia="黑体" w:cs="黑体"/>
          <w:color w:val="000000"/>
          <w:sz w:val="36"/>
          <w:highlight w:val="none"/>
          <w:u w:val="single"/>
        </w:rPr>
        <w:t xml:space="preserve">                  </w:t>
      </w:r>
      <w:r>
        <w:rPr>
          <w:rFonts w:hint="eastAsia" w:ascii="黑体" w:hAnsi="黑体" w:eastAsia="黑体" w:cs="黑体"/>
          <w:color w:val="000000"/>
          <w:sz w:val="36"/>
          <w:highlight w:val="none"/>
        </w:rPr>
      </w:r>
      <w:r/>
    </w:p>
    <w:p>
      <w:pPr>
        <w:pStyle w:val="1013"/>
        <w:ind w:firstLine="1080"/>
        <w:rPr>
          <w:rFonts w:hint="eastAsia" w:ascii="黑体" w:hAnsi="黑体" w:eastAsia="黑体" w:cs="黑体"/>
          <w:color w:val="000000"/>
          <w:highlight w:val="none"/>
        </w:rPr>
      </w:pPr>
      <w:r>
        <w:rPr>
          <w:rFonts w:hint="eastAsia" w:ascii="黑体" w:hAnsi="黑体" w:eastAsia="黑体" w:cs="黑体"/>
          <w:color w:val="000000"/>
          <w:sz w:val="36"/>
          <w:highlight w:val="none"/>
        </w:rPr>
        <w:t xml:space="preserve">日      期 ：</w:t>
      </w:r>
      <w:r>
        <w:rPr>
          <w:rFonts w:hint="eastAsia" w:ascii="黑体" w:hAnsi="黑体" w:eastAsia="黑体" w:cs="黑体"/>
          <w:color w:val="000000"/>
          <w:sz w:val="36"/>
          <w:highlight w:val="none"/>
          <w:u w:val="single"/>
        </w:rPr>
        <w:t xml:space="preserve">               </w:t>
      </w:r>
      <w:r>
        <w:rPr>
          <w:rFonts w:hint="eastAsia" w:ascii="黑体" w:hAnsi="黑体" w:eastAsia="黑体" w:cs="黑体"/>
          <w:color w:val="000000"/>
          <w:highlight w:val="none"/>
        </w:rPr>
      </w:r>
      <w:r/>
    </w:p>
    <w:p>
      <w:pPr>
        <w:pStyle w:val="1015"/>
        <w:spacing w:before="0" w:after="100"/>
        <w:rPr>
          <w:rFonts w:hint="eastAsia" w:ascii="黑体" w:hAnsi="黑体" w:eastAsia="黑体" w:cs="黑体"/>
          <w:iCs/>
          <w:color w:val="000000"/>
          <w:sz w:val="36"/>
          <w:szCs w:val="36"/>
          <w:highlight w:val="none"/>
        </w:rPr>
      </w:pPr>
      <w:r>
        <w:rPr>
          <w:rFonts w:hint="eastAsia" w:ascii="宋体" w:hAnsi="宋体" w:eastAsia="宋体" w:cs="宋体"/>
          <w:color w:val="000000"/>
          <w:sz w:val="36"/>
          <w:highlight w:val="none"/>
          <w:u w:val="single"/>
        </w:rPr>
        <w:br w:type="page" w:clear="all"/>
      </w:r>
      <w:bookmarkEnd w:id="608"/>
      <w:r/>
      <w:bookmarkEnd w:id="609"/>
      <w:r/>
      <w:bookmarkEnd w:id="610"/>
      <w:r/>
      <w:bookmarkStart w:id="612" w:name="_Toc3102"/>
      <w:r/>
      <w:bookmarkStart w:id="613" w:name="_Toc257"/>
      <w:r/>
      <w:bookmarkStart w:id="614" w:name="_Toc120614284"/>
      <w:r/>
      <w:bookmarkStart w:id="615" w:name="_Toc5587"/>
      <w:r>
        <w:rPr>
          <w:rFonts w:hint="eastAsia" w:ascii="黑体" w:hAnsi="黑体" w:eastAsia="黑体" w:cs="黑体"/>
          <w:iCs/>
          <w:color w:val="000000"/>
          <w:sz w:val="36"/>
          <w:szCs w:val="36"/>
          <w:highlight w:val="none"/>
        </w:rPr>
        <w:t xml:space="preserve">资格证明文件</w:t>
      </w:r>
      <w:bookmarkEnd w:id="612"/>
      <w:r/>
      <w:bookmarkEnd w:id="613"/>
      <w:r>
        <w:rPr>
          <w:rFonts w:hint="eastAsia" w:ascii="黑体" w:hAnsi="黑体" w:eastAsia="黑体" w:cs="黑体"/>
          <w:iCs/>
          <w:color w:val="000000"/>
          <w:sz w:val="36"/>
          <w:szCs w:val="36"/>
          <w:highlight w:val="none"/>
        </w:rPr>
      </w:r>
      <w:r/>
    </w:p>
    <w:p>
      <w:pPr>
        <w:pStyle w:val="1015"/>
        <w:jc w:val="both"/>
        <w:spacing w:before="0" w:after="100"/>
        <w:rPr>
          <w:rFonts w:hint="eastAsia" w:ascii="黑体" w:hAnsi="黑体" w:eastAsia="黑体" w:cs="黑体"/>
          <w:iCs/>
          <w:color w:val="000000"/>
          <w:sz w:val="28"/>
          <w:szCs w:val="28"/>
          <w:highlight w:val="none"/>
        </w:rPr>
      </w:pPr>
      <w:r/>
      <w:bookmarkStart w:id="616" w:name="_Toc29407"/>
      <w:r/>
      <w:bookmarkStart w:id="617" w:name="_Toc13326"/>
      <w:r>
        <w:rPr>
          <w:rFonts w:hint="eastAsia" w:ascii="黑体" w:hAnsi="黑体" w:eastAsia="黑体" w:cs="黑体"/>
          <w:iCs/>
          <w:color w:val="000000"/>
          <w:sz w:val="28"/>
          <w:szCs w:val="28"/>
          <w:highlight w:val="none"/>
        </w:rPr>
        <w:t xml:space="preserve">一、具有独立承担民事责任的能力</w:t>
      </w:r>
      <w:bookmarkEnd w:id="616"/>
      <w:r/>
      <w:bookmarkEnd w:id="617"/>
      <w:r>
        <w:rPr>
          <w:rFonts w:hint="eastAsia" w:ascii="黑体" w:hAnsi="黑体" w:eastAsia="黑体" w:cs="黑体"/>
          <w:iCs/>
          <w:color w:val="000000"/>
          <w:sz w:val="28"/>
          <w:szCs w:val="28"/>
          <w:highlight w:val="none"/>
        </w:rPr>
      </w:r>
      <w:r/>
    </w:p>
    <w:p>
      <w:pPr>
        <w:pStyle w:val="1013"/>
        <w:ind w:firstLine="560"/>
        <w:keepLines/>
        <w:keepNext/>
        <w:spacing w:after="100" w:line="416" w:lineRule="auto"/>
        <w:rPr>
          <w:rFonts w:hint="eastAsia" w:ascii="宋体" w:hAnsi="宋体" w:cs="宋体"/>
          <w:iCs/>
          <w:color w:val="000000"/>
          <w:sz w:val="28"/>
          <w:szCs w:val="28"/>
          <w:highlight w:val="none"/>
        </w:rPr>
      </w:pPr>
      <w:r>
        <w:rPr>
          <w:rFonts w:hint="eastAsia" w:ascii="宋体" w:hAnsi="宋体" w:cs="宋体"/>
          <w:iCs/>
          <w:color w:val="000000"/>
          <w:sz w:val="28"/>
          <w:szCs w:val="28"/>
          <w:highlight w:val="none"/>
        </w:rPr>
        <w:t xml:space="preserve">提供法人或者其他组织的营业执照等证明材料，自然人的身份证明；</w:t>
      </w:r>
      <w:r>
        <w:rPr>
          <w:rFonts w:hint="eastAsia" w:ascii="宋体" w:hAnsi="宋体" w:cs="宋体"/>
          <w:iCs/>
          <w:color w:val="000000"/>
          <w:sz w:val="28"/>
          <w:szCs w:val="28"/>
          <w:highlight w:val="none"/>
        </w:rPr>
      </w:r>
      <w:r/>
    </w:p>
    <w:p>
      <w:pPr>
        <w:pStyle w:val="101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3"/>
        <w:rPr>
          <w:rFonts w:hint="eastAsia" w:ascii="黑体" w:hAnsi="黑体" w:eastAsia="黑体" w:cs="黑体"/>
          <w:iCs/>
          <w:color w:val="000000"/>
          <w:sz w:val="28"/>
          <w:szCs w:val="28"/>
          <w:highlight w:val="none"/>
        </w:rPr>
        <w:outlineLvl w:val="1"/>
      </w:pPr>
      <w:r/>
      <w:bookmarkStart w:id="618" w:name="_Toc9698"/>
      <w:r/>
      <w:bookmarkStart w:id="619" w:name="_Toc29877"/>
      <w:r>
        <w:rPr>
          <w:rFonts w:hint="eastAsia" w:ascii="黑体" w:hAnsi="黑体" w:eastAsia="黑体" w:cs="黑体"/>
          <w:iCs/>
          <w:color w:val="000000"/>
          <w:sz w:val="28"/>
          <w:szCs w:val="28"/>
          <w:highlight w:val="none"/>
        </w:rPr>
        <w:t xml:space="preserve">二、具有良好的商业信誉和健全的财务会计制度</w:t>
      </w:r>
      <w:bookmarkEnd w:id="618"/>
      <w:r/>
      <w:bookmarkEnd w:id="619"/>
      <w:r>
        <w:rPr>
          <w:rFonts w:hint="eastAsia" w:ascii="黑体" w:hAnsi="黑体" w:eastAsia="黑体" w:cs="黑体"/>
          <w:iCs/>
          <w:color w:val="000000"/>
          <w:sz w:val="28"/>
          <w:szCs w:val="28"/>
          <w:highlight w:val="none"/>
        </w:rPr>
      </w:r>
      <w:r/>
    </w:p>
    <w:p>
      <w:pPr>
        <w:pStyle w:val="1013"/>
        <w:ind w:firstLine="560"/>
        <w:rPr>
          <w:rFonts w:hint="eastAsia" w:ascii="宋体" w:hAnsi="宋体" w:cs="宋体"/>
          <w:color w:val="000000"/>
          <w:sz w:val="28"/>
          <w:szCs w:val="28"/>
          <w:highlight w:val="none"/>
        </w:rPr>
      </w:pPr>
      <w:r>
        <w:rPr>
          <w:rFonts w:hint="eastAsia" w:ascii="宋体" w:hAnsi="宋体" w:cs="宋体"/>
          <w:iCs/>
          <w:color w:val="000000"/>
          <w:sz w:val="28"/>
          <w:szCs w:val="28"/>
          <w:highlight w:val="none"/>
        </w:rPr>
        <w:t xml:space="preserve">提供提交投标文件截止时间前1年内的经审计的财务报告或银行出具的资信证明或其他会计报表等，成立不满一个月不需提供；</w:t>
      </w:r>
      <w:r>
        <w:rPr>
          <w:rFonts w:hint="eastAsia" w:ascii="宋体" w:hAnsi="宋体" w:cs="宋体"/>
          <w:color w:val="000000"/>
          <w:sz w:val="28"/>
          <w:szCs w:val="28"/>
          <w:highlight w:val="none"/>
        </w:rPr>
      </w:r>
      <w:r/>
    </w:p>
    <w:p>
      <w:pPr>
        <w:pStyle w:val="1013"/>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3"/>
        <w:keepLines/>
        <w:keepNext/>
        <w:spacing w:after="100" w:line="416" w:lineRule="auto"/>
        <w:rPr>
          <w:rFonts w:hint="eastAsia" w:ascii="宋体" w:hAnsi="宋体" w:cs="宋体"/>
          <w:iCs/>
          <w:color w:val="000000"/>
          <w:sz w:val="28"/>
          <w:szCs w:val="28"/>
          <w:highlight w:val="none"/>
        </w:rPr>
      </w:pPr>
      <w:r/>
      <w:bookmarkStart w:id="620" w:name="_Toc16111"/>
      <w:r>
        <w:rPr>
          <w:rFonts w:hint="eastAsia" w:ascii="宋体" w:hAnsi="宋体" w:cs="宋体"/>
          <w:iCs/>
          <w:color w:val="000000"/>
          <w:sz w:val="28"/>
          <w:szCs w:val="28"/>
          <w:highlight w:val="none"/>
        </w:rPr>
      </w:r>
      <w:r/>
    </w:p>
    <w:p>
      <w:pPr>
        <w:pStyle w:val="1013"/>
        <w:rPr>
          <w:rFonts w:hint="eastAsia" w:ascii="黑体" w:hAnsi="黑体" w:eastAsia="黑体" w:cs="黑体"/>
          <w:iCs/>
          <w:color w:val="000000"/>
          <w:sz w:val="28"/>
          <w:szCs w:val="28"/>
          <w:highlight w:val="none"/>
        </w:rPr>
        <w:outlineLvl w:val="1"/>
      </w:pPr>
      <w:r/>
      <w:bookmarkEnd w:id="620"/>
      <w:r/>
      <w:bookmarkStart w:id="621" w:name="_Toc18251"/>
      <w:r/>
      <w:bookmarkStart w:id="622" w:name="_Toc22705"/>
      <w:r>
        <w:rPr>
          <w:rFonts w:hint="eastAsia" w:ascii="黑体" w:hAnsi="黑体" w:eastAsia="黑体" w:cs="黑体"/>
          <w:iCs/>
          <w:color w:val="000000"/>
          <w:sz w:val="28"/>
          <w:szCs w:val="28"/>
          <w:highlight w:val="none"/>
        </w:rPr>
        <w:t xml:space="preserve">三、有依法缴纳税收和社会保障资金的良好记录</w:t>
      </w:r>
      <w:bookmarkEnd w:id="621"/>
      <w:r/>
      <w:bookmarkEnd w:id="622"/>
      <w:r>
        <w:rPr>
          <w:rFonts w:hint="eastAsia" w:ascii="黑体" w:hAnsi="黑体" w:eastAsia="黑体" w:cs="黑体"/>
          <w:iCs/>
          <w:color w:val="000000"/>
          <w:sz w:val="28"/>
          <w:szCs w:val="28"/>
          <w:highlight w:val="none"/>
        </w:rPr>
      </w:r>
      <w:r/>
    </w:p>
    <w:p>
      <w:pPr>
        <w:pStyle w:val="1013"/>
        <w:ind w:firstLine="560"/>
        <w:rPr>
          <w:rFonts w:hint="eastAsia" w:ascii="宋体" w:hAnsi="宋体" w:cs="宋体"/>
          <w:iCs/>
          <w:color w:val="000000"/>
          <w:sz w:val="28"/>
          <w:szCs w:val="28"/>
          <w:highlight w:val="none"/>
        </w:rPr>
      </w:pPr>
      <w:r>
        <w:rPr>
          <w:rFonts w:hint="eastAsia" w:ascii="宋体" w:hAnsi="宋体" w:cs="宋体"/>
          <w:iCs/>
          <w:color w:val="000000"/>
          <w:sz w:val="28"/>
          <w:szCs w:val="28"/>
          <w:highlight w:val="none"/>
        </w:rPr>
        <w:t xml:space="preserve">1.提供提交投标文件截止时间前1年内至少一个月依法缴纳</w:t>
      </w:r>
      <w:r>
        <w:rPr>
          <w:rFonts w:hint="eastAsia" w:ascii="黑体" w:hAnsi="黑体" w:eastAsia="黑体" w:cs="黑体"/>
          <w:iCs/>
          <w:color w:val="000000"/>
          <w:sz w:val="28"/>
          <w:szCs w:val="28"/>
          <w:highlight w:val="none"/>
        </w:rPr>
        <w:t xml:space="preserve">税收</w:t>
      </w:r>
      <w:r>
        <w:rPr>
          <w:rFonts w:hint="eastAsia" w:ascii="宋体" w:hAnsi="宋体" w:cs="宋体"/>
          <w:iCs/>
          <w:color w:val="000000"/>
          <w:sz w:val="28"/>
          <w:szCs w:val="28"/>
          <w:highlight w:val="none"/>
        </w:rPr>
        <w:t xml:space="preserve">证明材料。投标人依法享受缓缴、免缴税收的提供证明材料；</w:t>
      </w:r>
      <w:r>
        <w:rPr>
          <w:rFonts w:hint="eastAsia" w:ascii="宋体" w:hAnsi="宋体" w:cs="宋体"/>
          <w:iCs/>
          <w:color w:val="000000"/>
          <w:sz w:val="28"/>
          <w:szCs w:val="28"/>
          <w:highlight w:val="none"/>
        </w:rPr>
      </w:r>
      <w:r/>
    </w:p>
    <w:p>
      <w:pPr>
        <w:pStyle w:val="1013"/>
        <w:ind w:firstLine="560"/>
        <w:rPr>
          <w:rFonts w:hint="eastAsia" w:ascii="宋体" w:hAnsi="宋体" w:cs="宋体"/>
          <w:iCs/>
          <w:color w:val="000000"/>
          <w:sz w:val="28"/>
          <w:szCs w:val="28"/>
          <w:highlight w:val="none"/>
        </w:rPr>
      </w:pPr>
      <w:r>
        <w:rPr>
          <w:rFonts w:hint="eastAsia" w:ascii="宋体" w:hAnsi="宋体" w:cs="宋体"/>
          <w:iCs/>
          <w:color w:val="000000"/>
          <w:sz w:val="28"/>
          <w:szCs w:val="28"/>
          <w:highlight w:val="none"/>
        </w:rPr>
      </w:r>
      <w:r/>
    </w:p>
    <w:p>
      <w:pPr>
        <w:pStyle w:val="1013"/>
        <w:ind w:firstLine="560"/>
        <w:rPr>
          <w:rFonts w:hint="eastAsia" w:ascii="宋体" w:hAnsi="宋体" w:cs="宋体"/>
          <w:color w:val="000000"/>
          <w:highlight w:val="none"/>
        </w:rPr>
      </w:pPr>
      <w:r>
        <w:rPr>
          <w:rFonts w:hint="eastAsia" w:ascii="宋体" w:hAnsi="宋体" w:cs="宋体"/>
          <w:iCs/>
          <w:color w:val="000000"/>
          <w:sz w:val="28"/>
          <w:szCs w:val="28"/>
          <w:highlight w:val="none"/>
        </w:rPr>
        <w:t xml:space="preserve">2.提供提交投标文件截止时间前1年内至少一个月依法缴纳</w:t>
      </w:r>
      <w:r>
        <w:rPr>
          <w:rFonts w:hint="eastAsia" w:ascii="宋体" w:hAnsi="宋体" w:cs="宋体"/>
          <w:b/>
          <w:bCs/>
          <w:iCs/>
          <w:color w:val="000000"/>
          <w:sz w:val="28"/>
          <w:szCs w:val="28"/>
          <w:highlight w:val="none"/>
        </w:rPr>
        <w:t xml:space="preserve">社会保障资金</w:t>
      </w:r>
      <w:r>
        <w:rPr>
          <w:rFonts w:hint="eastAsia" w:ascii="宋体" w:hAnsi="宋体" w:cs="宋体"/>
          <w:iCs/>
          <w:color w:val="000000"/>
          <w:sz w:val="28"/>
          <w:szCs w:val="28"/>
          <w:highlight w:val="none"/>
        </w:rPr>
        <w:t xml:space="preserve">的证明材料。投标人依法享受缓缴、免缴社会保障资金的提供证明材料。</w:t>
      </w:r>
      <w:r>
        <w:rPr>
          <w:rFonts w:hint="eastAsia" w:ascii="宋体" w:hAnsi="宋体" w:cs="宋体"/>
          <w:color w:val="000000"/>
          <w:highlight w:val="none"/>
        </w:rPr>
      </w:r>
      <w:r/>
    </w:p>
    <w:p>
      <w:pPr>
        <w:pStyle w:val="1015"/>
        <w:jc w:val="both"/>
        <w:spacing w:before="0" w:after="100"/>
        <w:rPr>
          <w:rFonts w:hint="eastAsia" w:ascii="宋体" w:hAnsi="宋体" w:eastAsia="宋体" w:cs="宋体"/>
          <w:iCs/>
          <w:color w:val="000000"/>
          <w:sz w:val="28"/>
          <w:szCs w:val="28"/>
          <w:highlight w:val="none"/>
        </w:rPr>
      </w:pPr>
      <w:r/>
      <w:bookmarkStart w:id="623" w:name="_Toc19161"/>
      <w:r>
        <w:rPr>
          <w:rFonts w:hint="eastAsia" w:ascii="宋体" w:hAnsi="宋体" w:eastAsia="宋体" w:cs="宋体"/>
          <w:iCs/>
          <w:color w:val="000000"/>
          <w:sz w:val="32"/>
          <w:szCs w:val="32"/>
          <w:highlight w:val="none"/>
        </w:rPr>
        <w:br w:type="page" w:clear="all"/>
      </w:r>
      <w:bookmarkStart w:id="624" w:name="_Toc27567"/>
      <w:r/>
      <w:bookmarkStart w:id="625" w:name="_Toc6165"/>
      <w:r>
        <w:rPr>
          <w:rFonts w:hint="eastAsia" w:ascii="黑体" w:hAnsi="黑体" w:eastAsia="黑体" w:cs="黑体"/>
          <w:iCs/>
          <w:color w:val="000000"/>
          <w:sz w:val="28"/>
          <w:szCs w:val="28"/>
          <w:highlight w:val="none"/>
        </w:rPr>
        <w:t xml:space="preserve">四、具备履行合同所必需的设备和专业技术能力的书面声明</w:t>
      </w:r>
      <w:bookmarkEnd w:id="623"/>
      <w:r/>
      <w:bookmarkEnd w:id="624"/>
      <w:r/>
      <w:bookmarkEnd w:id="625"/>
      <w:r>
        <w:rPr>
          <w:rFonts w:hint="eastAsia" w:ascii="宋体" w:hAnsi="宋体" w:eastAsia="宋体" w:cs="宋体"/>
          <w:iCs/>
          <w:color w:val="000000"/>
          <w:sz w:val="28"/>
          <w:szCs w:val="28"/>
          <w:highlight w:val="none"/>
        </w:rPr>
      </w:r>
      <w:r/>
    </w:p>
    <w:p>
      <w:pPr>
        <w:pStyle w:val="1013"/>
        <w:jc w:val="center"/>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声明书</w:t>
      </w:r>
      <w:r>
        <w:rPr>
          <w:rFonts w:hint="eastAsia" w:ascii="黑体" w:hAnsi="黑体" w:eastAsia="黑体" w:cs="黑体"/>
          <w:color w:val="000000"/>
          <w:sz w:val="28"/>
          <w:szCs w:val="28"/>
          <w:highlight w:val="none"/>
        </w:rPr>
      </w:r>
      <w:r/>
    </w:p>
    <w:p>
      <w:pPr>
        <w:pStyle w:val="1013"/>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致：江苏柒采招标代理有限公司</w:t>
      </w:r>
      <w:r>
        <w:rPr>
          <w:rFonts w:hint="eastAsia" w:ascii="宋体" w:hAnsi="宋体" w:cs="宋体"/>
          <w:color w:val="000000"/>
          <w:sz w:val="28"/>
          <w:szCs w:val="28"/>
          <w:highlight w:val="none"/>
        </w:rPr>
      </w:r>
      <w:r/>
    </w:p>
    <w:p>
      <w:pPr>
        <w:pStyle w:val="1013"/>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8"/>
          <w:szCs w:val="28"/>
          <w:highlight w:val="none"/>
        </w:rPr>
      </w:r>
      <w:r/>
    </w:p>
    <w:p>
      <w:pPr>
        <w:pStyle w:val="1013"/>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主要设备有：</w:t>
      </w:r>
      <w:r>
        <w:rPr>
          <w:rFonts w:hint="eastAsia" w:ascii="宋体" w:hAnsi="宋体" w:cs="宋体"/>
          <w:color w:val="000000"/>
          <w:sz w:val="28"/>
          <w:szCs w:val="28"/>
          <w:highlight w:val="none"/>
          <w:u w:val="single"/>
        </w:rPr>
        <w:t xml:space="preserve">      </w:t>
      </w:r>
      <w:r>
        <w:rPr>
          <w:rFonts w:hint="eastAsia" w:ascii="黑体" w:hAnsi="黑体" w:eastAsia="黑体" w:cs="黑体"/>
          <w:color w:val="000000"/>
          <w:sz w:val="28"/>
          <w:szCs w:val="28"/>
          <w:highlight w:val="none"/>
          <w:u w:val="single"/>
        </w:rPr>
        <w:t xml:space="preserve">（必须填写，不能空）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1013"/>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主要专业技术能力有：</w:t>
      </w:r>
      <w:r>
        <w:rPr>
          <w:rFonts w:hint="eastAsia" w:ascii="宋体" w:hAnsi="宋体" w:cs="宋体"/>
          <w:color w:val="000000"/>
          <w:sz w:val="28"/>
          <w:szCs w:val="28"/>
          <w:highlight w:val="none"/>
          <w:u w:val="single"/>
        </w:rPr>
        <w:t xml:space="preserve">   </w:t>
      </w:r>
      <w:r>
        <w:rPr>
          <w:rFonts w:hint="eastAsia" w:ascii="黑体" w:hAnsi="黑体" w:eastAsia="黑体" w:cs="黑体"/>
          <w:color w:val="000000"/>
          <w:sz w:val="28"/>
          <w:szCs w:val="28"/>
          <w:highlight w:val="none"/>
          <w:u w:val="single"/>
        </w:rPr>
        <w:t xml:space="preserve">（必须填写，不能空）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1013"/>
        <w:ind w:right="18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投标人（加盖公章）：</w:t>
      </w:r>
      <w:r>
        <w:rPr>
          <w:rFonts w:hint="eastAsia" w:ascii="宋体" w:hAnsi="宋体" w:cs="宋体"/>
          <w:color w:val="000000"/>
          <w:sz w:val="28"/>
          <w:szCs w:val="28"/>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法人或授权代表（签章或签字）：</w:t>
      </w:r>
      <w:r>
        <w:rPr>
          <w:rFonts w:hint="eastAsia" w:ascii="宋体" w:hAnsi="宋体" w:cs="宋体"/>
          <w:color w:val="000000"/>
          <w:sz w:val="28"/>
          <w:szCs w:val="28"/>
          <w:highlight w:val="none"/>
        </w:rPr>
      </w:r>
      <w:r/>
    </w:p>
    <w:p>
      <w:pPr>
        <w:pStyle w:val="1013"/>
        <w:ind w:right="480" w:firstLine="560"/>
        <w:spacing w:line="560" w:lineRule="exact"/>
        <w:rPr>
          <w:rFonts w:hint="eastAsia" w:ascii="宋体" w:hAnsi="宋体" w:cs="宋体"/>
          <w:color w:val="000000"/>
          <w:sz w:val="24"/>
          <w:highlight w:val="none"/>
        </w:rPr>
      </w:pPr>
      <w:r>
        <w:rPr>
          <w:rFonts w:hint="eastAsia" w:ascii="宋体" w:hAnsi="宋体" w:cs="宋体"/>
          <w:color w:val="000000"/>
          <w:sz w:val="28"/>
          <w:szCs w:val="28"/>
          <w:highlight w:val="none"/>
        </w:rPr>
        <w:t xml:space="preserve">日  期：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15"/>
        <w:jc w:val="both"/>
        <w:spacing w:before="0" w:after="100"/>
        <w:rPr>
          <w:rFonts w:hint="eastAsia" w:ascii="宋体" w:hAnsi="宋体" w:eastAsia="宋体" w:cs="宋体"/>
          <w:color w:val="000000"/>
          <w:sz w:val="28"/>
          <w:szCs w:val="28"/>
          <w:highlight w:val="none"/>
        </w:rPr>
      </w:pPr>
      <w:r/>
      <w:bookmarkStart w:id="626" w:name="_Toc778"/>
      <w:r/>
      <w:bookmarkStart w:id="627" w:name="_Toc31105"/>
      <w:r/>
      <w:bookmarkStart w:id="628" w:name="_Toc17315"/>
      <w:r>
        <w:rPr>
          <w:rFonts w:hint="eastAsia" w:ascii="黑体" w:hAnsi="黑体" w:eastAsia="黑体" w:cs="黑体"/>
          <w:iCs/>
          <w:color w:val="000000"/>
          <w:sz w:val="28"/>
          <w:szCs w:val="28"/>
          <w:highlight w:val="none"/>
        </w:rPr>
        <w:t xml:space="preserve">五、参加政府采购活动前 3 年内在经营活动中没有重大违法记录的书面声明</w:t>
      </w:r>
      <w:bookmarkEnd w:id="626"/>
      <w:r/>
      <w:bookmarkEnd w:id="627"/>
      <w:r/>
      <w:bookmarkEnd w:id="628"/>
      <w:r>
        <w:rPr>
          <w:rFonts w:hint="eastAsia" w:ascii="黑体" w:hAnsi="黑体" w:eastAsia="黑体" w:cs="黑体"/>
          <w:color w:val="000000"/>
          <w:sz w:val="28"/>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1013"/>
        <w:jc w:val="center"/>
        <w:spacing w:line="46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声明书</w:t>
      </w:r>
      <w:r>
        <w:rPr>
          <w:rFonts w:hint="eastAsia" w:ascii="黑体" w:hAnsi="黑体" w:eastAsia="黑体" w:cs="黑体"/>
          <w:color w:val="000000"/>
          <w:sz w:val="28"/>
          <w:szCs w:val="28"/>
          <w:highlight w:val="none"/>
        </w:rPr>
      </w:r>
      <w:r/>
    </w:p>
    <w:p>
      <w:pPr>
        <w:pStyle w:val="1013"/>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致：江苏柒采招标代理有限公司</w:t>
      </w:r>
      <w:r>
        <w:rPr>
          <w:rFonts w:hint="eastAsia" w:ascii="宋体" w:hAnsi="宋体" w:cs="宋体"/>
          <w:color w:val="000000"/>
          <w:sz w:val="28"/>
          <w:szCs w:val="28"/>
          <w:highlight w:val="none"/>
        </w:rPr>
      </w:r>
      <w:r/>
    </w:p>
    <w:p>
      <w:pPr>
        <w:pStyle w:val="1013"/>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color w:val="000000"/>
          <w:sz w:val="28"/>
          <w:szCs w:val="28"/>
          <w:highlight w:val="none"/>
        </w:rPr>
      </w:r>
      <w:r/>
    </w:p>
    <w:p>
      <w:pPr>
        <w:pStyle w:val="1013"/>
        <w:ind w:right="18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投标人（加盖公章）：</w:t>
      </w:r>
      <w:r>
        <w:rPr>
          <w:rFonts w:hint="eastAsia" w:ascii="宋体" w:hAnsi="宋体" w:cs="宋体"/>
          <w:color w:val="000000"/>
          <w:sz w:val="28"/>
          <w:szCs w:val="28"/>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法人或授权代表（签章或签字）：</w:t>
      </w:r>
      <w:r>
        <w:rPr>
          <w:rFonts w:hint="eastAsia" w:ascii="宋体" w:hAnsi="宋体" w:cs="宋体"/>
          <w:color w:val="000000"/>
          <w:sz w:val="28"/>
          <w:szCs w:val="28"/>
          <w:highlight w:val="none"/>
        </w:rPr>
      </w:r>
      <w:r/>
    </w:p>
    <w:p>
      <w:pPr>
        <w:pStyle w:val="1013"/>
        <w:ind w:right="4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w:t>
      </w:r>
      <w:r>
        <w:rPr>
          <w:rFonts w:hint="eastAsia" w:ascii="宋体" w:hAnsi="宋体" w:cs="宋体"/>
          <w:color w:val="000000"/>
          <w:sz w:val="28"/>
          <w:szCs w:val="28"/>
          <w:highlight w:val="none"/>
        </w:rPr>
      </w:r>
      <w:r/>
    </w:p>
    <w:p>
      <w:pPr>
        <w:pStyle w:val="1015"/>
        <w:jc w:val="both"/>
        <w:spacing w:before="0" w:after="100"/>
        <w:rPr>
          <w:rFonts w:hint="eastAsia" w:ascii="宋体" w:hAnsi="宋体" w:eastAsia="宋体" w:cs="宋体"/>
          <w:iCs/>
          <w:color w:val="000000"/>
          <w:sz w:val="28"/>
          <w:szCs w:val="28"/>
          <w:highlight w:val="none"/>
        </w:rPr>
      </w:pPr>
      <w:r/>
      <w:bookmarkStart w:id="629" w:name="_Toc17108"/>
      <w:r>
        <w:rPr>
          <w:rFonts w:hint="eastAsia" w:ascii="宋体" w:hAnsi="宋体" w:eastAsia="宋体" w:cs="宋体"/>
          <w:iCs/>
          <w:color w:val="000000"/>
          <w:sz w:val="32"/>
          <w:szCs w:val="32"/>
          <w:highlight w:val="none"/>
        </w:rPr>
        <w:br w:type="page" w:clear="all"/>
      </w:r>
      <w:bookmarkStart w:id="630" w:name="_Toc4496"/>
      <w:r/>
      <w:bookmarkStart w:id="631" w:name="_Toc3947"/>
      <w:r>
        <w:rPr>
          <w:rFonts w:hint="eastAsia" w:ascii="黑体" w:hAnsi="黑体" w:eastAsia="黑体" w:cs="黑体"/>
          <w:iCs/>
          <w:color w:val="000000"/>
          <w:sz w:val="28"/>
          <w:szCs w:val="28"/>
          <w:highlight w:val="none"/>
        </w:rPr>
        <w:t xml:space="preserve">六、特定资格要求的证明文件</w:t>
      </w:r>
      <w:bookmarkEnd w:id="629"/>
      <w:r/>
      <w:bookmarkEnd w:id="630"/>
      <w:r/>
      <w:bookmarkEnd w:id="631"/>
      <w:r>
        <w:rPr>
          <w:rFonts w:hint="eastAsia" w:ascii="宋体" w:hAnsi="宋体" w:eastAsia="宋体" w:cs="宋体"/>
          <w:iCs/>
          <w:color w:val="000000"/>
          <w:sz w:val="28"/>
          <w:szCs w:val="28"/>
          <w:highlight w:val="none"/>
        </w:rPr>
      </w:r>
      <w:r/>
    </w:p>
    <w:p>
      <w:pPr>
        <w:pStyle w:val="1015"/>
        <w:jc w:val="both"/>
        <w:spacing w:before="0" w:after="100"/>
        <w:rPr>
          <w:rFonts w:ascii="宋体" w:hAnsi="宋体" w:eastAsia="宋体" w:cs="宋体"/>
          <w:iCs/>
          <w:color w:val="000000"/>
          <w:sz w:val="32"/>
          <w:szCs w:val="32"/>
          <w:highlight w:val="none"/>
        </w:rPr>
      </w:pPr>
      <w:r>
        <w:rPr>
          <w:rFonts w:hint="eastAsia" w:ascii="宋体" w:hAnsi="宋体" w:eastAsia="宋体" w:cs="宋体"/>
          <w:color w:val="000000"/>
          <w:sz w:val="24"/>
          <w:szCs w:val="24"/>
          <w:highlight w:val="none"/>
        </w:rPr>
        <w:br w:type="page" w:clear="all"/>
      </w:r>
      <w:bookmarkStart w:id="632" w:name="_Toc24025"/>
      <w:r/>
      <w:bookmarkStart w:id="633" w:name="_Toc11615"/>
      <w:r>
        <w:rPr>
          <w:rFonts w:hint="eastAsia" w:ascii="黑体" w:hAnsi="黑体" w:eastAsia="黑体" w:cs="黑体"/>
          <w:iCs/>
          <w:color w:val="000000"/>
          <w:sz w:val="28"/>
          <w:szCs w:val="28"/>
          <w:highlight w:val="none"/>
        </w:rPr>
        <w:t xml:space="preserve">七、声明书</w:t>
      </w:r>
      <w:bookmarkEnd w:id="632"/>
      <w:r/>
      <w:bookmarkEnd w:id="633"/>
      <w:r>
        <w:rPr>
          <w:rFonts w:ascii="宋体" w:hAnsi="宋体" w:eastAsia="宋体" w:cs="宋体"/>
          <w:iCs/>
          <w:color w:val="000000"/>
          <w:sz w:val="32"/>
          <w:szCs w:val="32"/>
          <w:highlight w:val="none"/>
        </w:rPr>
      </w:r>
      <w:r/>
    </w:p>
    <w:p>
      <w:pPr>
        <w:pStyle w:val="1013"/>
        <w:jc w:val="center"/>
        <w:spacing w:line="460" w:lineRule="exact"/>
        <w:rPr>
          <w:rFonts w:ascii="黑体" w:hAnsi="黑体" w:eastAsia="黑体" w:cs="黑体"/>
          <w:bCs/>
          <w:color w:val="000000"/>
          <w:sz w:val="28"/>
          <w:szCs w:val="28"/>
          <w:highlight w:val="none"/>
        </w:rPr>
      </w:pPr>
      <w:r>
        <w:rPr>
          <w:rFonts w:hint="eastAsia" w:ascii="黑体" w:hAnsi="黑体" w:eastAsia="黑体" w:cs="黑体"/>
          <w:bCs/>
          <w:color w:val="000000"/>
          <w:sz w:val="28"/>
          <w:szCs w:val="28"/>
          <w:highlight w:val="none"/>
        </w:rPr>
        <w:t xml:space="preserve">声明书</w:t>
      </w:r>
      <w:r>
        <w:rPr>
          <w:rFonts w:ascii="黑体" w:hAnsi="黑体" w:eastAsia="黑体" w:cs="黑体"/>
          <w:bCs/>
          <w:color w:val="000000"/>
          <w:sz w:val="28"/>
          <w:szCs w:val="28"/>
          <w:highlight w:val="none"/>
        </w:rPr>
      </w:r>
      <w:r/>
    </w:p>
    <w:p>
      <w:pPr>
        <w:pStyle w:val="1013"/>
        <w:spacing w:line="480" w:lineRule="auto"/>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致：</w:t>
      </w:r>
      <w:r>
        <w:rPr>
          <w:rFonts w:hint="eastAsia" w:ascii="黑体" w:hAnsi="黑体" w:eastAsia="黑体" w:cs="黑体"/>
          <w:bCs/>
          <w:color w:val="000000"/>
          <w:sz w:val="24"/>
          <w:szCs w:val="24"/>
          <w:highlight w:val="none"/>
          <w:u w:val="single"/>
        </w:rPr>
        <w:t xml:space="preserve">江苏柒采招标代理有限公司</w:t>
      </w:r>
      <w:r>
        <w:rPr>
          <w:rFonts w:hint="eastAsia" w:ascii="黑体" w:hAnsi="黑体" w:eastAsia="黑体" w:cs="黑体"/>
          <w:bCs/>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1.我单位不以联合体形式参与投标，中标后不分包、不转包。</w:t>
      </w:r>
      <w:r>
        <w:rPr>
          <w:rFonts w:hint="eastAsia" w:ascii="宋体" w:hAnsi="宋体" w:cs="宋体"/>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2.我单位不以进口产品参与投标。（注：本文件所称进口产品是指通过中国海关报关验放进入中国境内且产自关境外的产品）</w:t>
      </w:r>
      <w:r>
        <w:rPr>
          <w:rFonts w:hint="eastAsia" w:ascii="宋体" w:hAnsi="宋体" w:cs="宋体"/>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w:t>
      </w:r>
      <w:r>
        <w:rPr>
          <w:rFonts w:hint="eastAsia" w:ascii="黑体" w:hAnsi="黑体" w:eastAsia="黑体" w:cs="黑体"/>
          <w:color w:val="000000"/>
          <w:sz w:val="24"/>
          <w:szCs w:val="24"/>
          <w:highlight w:val="none"/>
          <w:u w:val="single"/>
        </w:rPr>
        <w:t xml:space="preserve"> 不存在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以下三种情况：</w:t>
      </w:r>
      <w:r>
        <w:rPr>
          <w:rFonts w:hint="eastAsia" w:ascii="宋体" w:hAnsi="宋体" w:cs="宋体"/>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3.1单位负责人为同一人或者存在直接控股、管理关系的不同投标人，不得参加同一合同项下的政府采购活动。</w:t>
      </w:r>
      <w:r>
        <w:rPr>
          <w:rFonts w:hint="eastAsia" w:ascii="宋体" w:hAnsi="宋体" w:cs="宋体"/>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3.2投标人被“信用中国”（www.creditchina.gov.cn）、“中国政府采购网"(www.ccgp.gov.cn)等网站列入严重失信主体名单、失信被执行人、重大税收违法失信主体名单、政府采购严重违法失信行为记录名单。</w:t>
      </w:r>
      <w:r>
        <w:rPr>
          <w:rFonts w:hint="eastAsia" w:ascii="宋体" w:hAnsi="宋体" w:cs="宋体"/>
          <w:color w:val="000000"/>
          <w:sz w:val="24"/>
          <w:szCs w:val="24"/>
          <w:highlight w:val="none"/>
        </w:rPr>
      </w:r>
      <w:r/>
    </w:p>
    <w:p>
      <w:pPr>
        <w:pStyle w:val="1013"/>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3.3拒绝为采购项目提供整体设计、规范编制或者项目管理、监理、检测等服务的投标人参加本项目的采购活动。</w:t>
      </w:r>
      <w:r>
        <w:rPr>
          <w:rFonts w:hint="eastAsia" w:ascii="宋体" w:hAnsi="宋体" w:cs="宋体"/>
          <w:color w:val="000000"/>
          <w:sz w:val="24"/>
          <w:szCs w:val="24"/>
          <w:highlight w:val="none"/>
        </w:rPr>
      </w:r>
      <w:r/>
    </w:p>
    <w:p>
      <w:pPr>
        <w:pStyle w:val="1013"/>
        <w:ind w:firstLine="720"/>
        <w:spacing w:line="48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特此声明！</w:t>
      </w:r>
      <w:r>
        <w:rPr>
          <w:rFonts w:hint="eastAsia" w:ascii="黑体" w:hAnsi="黑体" w:eastAsia="黑体" w:cs="黑体"/>
          <w:color w:val="000000"/>
          <w:sz w:val="24"/>
          <w:szCs w:val="24"/>
          <w:highlight w:val="none"/>
        </w:rPr>
      </w:r>
      <w:r/>
    </w:p>
    <w:p>
      <w:pPr>
        <w:pStyle w:val="1013"/>
        <w:ind w:right="181"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投标人（加盖公章）：</w:t>
      </w:r>
      <w:r>
        <w:rPr>
          <w:rFonts w:hint="eastAsia" w:ascii="宋体" w:hAnsi="宋体" w:cs="宋体"/>
          <w:color w:val="000000"/>
          <w:sz w:val="28"/>
          <w:szCs w:val="28"/>
          <w:highlight w:val="none"/>
        </w:rPr>
      </w:r>
      <w:r/>
    </w:p>
    <w:p>
      <w:pPr>
        <w:pStyle w:val="1013"/>
        <w:ind w:right="180"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法人或授权代表（签章或签字）：</w:t>
      </w:r>
      <w:r>
        <w:rPr>
          <w:rFonts w:hint="eastAsia" w:ascii="宋体" w:hAnsi="宋体" w:cs="宋体"/>
          <w:color w:val="000000"/>
          <w:sz w:val="28"/>
          <w:szCs w:val="28"/>
          <w:highlight w:val="none"/>
        </w:rPr>
      </w:r>
      <w:r/>
    </w:p>
    <w:p>
      <w:pPr>
        <w:pStyle w:val="1013"/>
        <w:ind w:right="181" w:firstLine="560"/>
        <w:spacing w:line="560" w:lineRule="exact"/>
        <w:rPr>
          <w:rFonts w:hint="eastAsia" w:ascii="宋体" w:hAnsi="宋体" w:cs="宋体"/>
          <w:color w:val="000000"/>
          <w:sz w:val="24"/>
          <w:szCs w:val="24"/>
          <w:highlight w:val="none"/>
        </w:rPr>
      </w:pPr>
      <w:r>
        <w:rPr>
          <w:rFonts w:hint="eastAsia" w:ascii="宋体" w:hAnsi="宋体" w:cs="宋体"/>
          <w:color w:val="000000"/>
          <w:sz w:val="28"/>
          <w:szCs w:val="28"/>
          <w:highlight w:val="none"/>
        </w:rPr>
        <w:t xml:space="preserve">日  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5"/>
        <w:jc w:val="both"/>
        <w:spacing w:before="0" w:after="100"/>
        <w:rPr>
          <w:rFonts w:hint="eastAsia" w:ascii="宋体" w:hAnsi="宋体" w:eastAsia="宋体" w:cs="宋体"/>
          <w:iCs/>
          <w:color w:val="000000"/>
          <w:sz w:val="32"/>
          <w:szCs w:val="32"/>
          <w:highlight w:val="none"/>
        </w:rPr>
      </w:pPr>
      <w:r>
        <w:rPr>
          <w:rFonts w:hint="eastAsia" w:ascii="宋体" w:hAnsi="宋体" w:eastAsia="宋体" w:cs="宋体"/>
          <w:iCs/>
          <w:color w:val="000000"/>
          <w:sz w:val="32"/>
          <w:szCs w:val="32"/>
          <w:highlight w:val="none"/>
        </w:rPr>
        <w:br w:type="page" w:clear="all"/>
      </w:r>
      <w:bookmarkStart w:id="634" w:name="_Toc5934"/>
      <w:r/>
      <w:bookmarkStart w:id="635" w:name="_Toc9007"/>
      <w:r>
        <w:rPr>
          <w:rFonts w:hint="eastAsia" w:ascii="黑体" w:hAnsi="黑体" w:eastAsia="黑体" w:cs="黑体"/>
          <w:iCs/>
          <w:color w:val="000000"/>
          <w:sz w:val="28"/>
          <w:szCs w:val="28"/>
          <w:highlight w:val="none"/>
        </w:rPr>
        <w:t xml:space="preserve">八、法定代表人授权委托书</w:t>
      </w:r>
      <w:bookmarkEnd w:id="615"/>
      <w:r/>
      <w:bookmarkEnd w:id="634"/>
      <w:r/>
      <w:bookmarkEnd w:id="635"/>
      <w:r>
        <w:rPr>
          <w:rFonts w:hint="eastAsia" w:ascii="宋体" w:hAnsi="宋体" w:eastAsia="宋体" w:cs="宋体"/>
          <w:iCs/>
          <w:color w:val="000000"/>
          <w:sz w:val="32"/>
          <w:szCs w:val="32"/>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本授权书声明：___________（投标人名称）授权_________（被授权人的姓名）为我单位就</w:t>
      </w:r>
      <w:r>
        <w:rPr>
          <w:rFonts w:hint="eastAsia" w:ascii="宋体" w:hAnsi="宋体" w:cs="宋体"/>
          <w:color w:val="000000"/>
          <w:sz w:val="24"/>
          <w:szCs w:val="24"/>
          <w:highlight w:val="none"/>
          <w:u w:val="single"/>
        </w:rPr>
        <w:t xml:space="preserve">项目编号为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项目采购活动的合法代理人，以本单位名义全权处理一切与该项目采购有关的事务。</w:t>
      </w:r>
      <w:r>
        <w:rPr>
          <w:rFonts w:hint="eastAsia" w:ascii="宋体" w:hAnsi="宋体" w:cs="宋体"/>
          <w:color w:val="000000"/>
          <w:sz w:val="24"/>
          <w:szCs w:val="24"/>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1085"/>
        <w:ind w:firstLine="480"/>
        <w:spacing w:line="480" w:lineRule="auto"/>
        <w:tabs>
          <w:tab w:val="left" w:pos="360" w:leader="none"/>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rPr>
      </w:pPr>
      <w:r>
        <w:rPr>
          <w:rFonts w:hint="eastAsia" w:ascii="黑体" w:hAnsi="黑体" w:eastAsia="黑体" w:cs="黑体"/>
          <w:color w:val="000000"/>
          <w:sz w:val="24"/>
          <w:szCs w:val="24"/>
          <w:highlight w:val="none"/>
        </w:rPr>
        <w:t xml:space="preserve">法定代表人（签章或签字）：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法定代表人身份证号码：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8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法定代表人联系电话：（手机）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85"/>
        <w:ind w:firstLine="480"/>
        <w:spacing w:line="48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（加盖公章）                        </w:t>
      </w:r>
      <w:r>
        <w:rPr>
          <w:rFonts w:ascii="宋体" w:hAnsi="宋体" w:cs="宋体"/>
          <w:color w:val="000000"/>
          <w:sz w:val="24"/>
          <w:szCs w:val="24"/>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8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85"/>
        <w:ind w:firstLine="480"/>
        <w:spacing w:line="480" w:lineRule="auto"/>
        <w:tabs>
          <w:tab w:val="left" w:pos="360" w:leader="none"/>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被授权人（签章或签字）：</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r>
      <w:r/>
    </w:p>
    <w:p>
      <w:pPr>
        <w:pStyle w:val="108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被授权人身份证号码：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85"/>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被授权人联系电话：（手机）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85"/>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bookmarkStart w:id="636" w:name="_Hlt26671380"/>
      <w:r/>
      <w:bookmarkEnd w:id="636"/>
      <w:r/>
      <w:bookmarkStart w:id="637" w:name="_格式3__银行出具的资信证明"/>
      <w:r/>
      <w:bookmarkEnd w:id="637"/>
      <w:r/>
      <w:bookmarkStart w:id="638" w:name="_Hlt26955070"/>
      <w:r/>
      <w:bookmarkEnd w:id="63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85"/>
        <w:ind w:firstLine="480"/>
        <w:spacing w:line="480" w:lineRule="auto"/>
        <w:tabs>
          <w:tab w:val="left" w:pos="360" w:leader="none"/>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法定代表人的身份证复印件</w:t>
      </w:r>
      <w:r>
        <w:rPr>
          <w:rFonts w:hint="eastAsia" w:ascii="黑体" w:hAnsi="黑体" w:eastAsia="黑体" w:cs="黑体"/>
          <w:color w:val="000000"/>
          <w:sz w:val="24"/>
          <w:szCs w:val="24"/>
          <w:highlight w:val="none"/>
        </w:rPr>
      </w:r>
      <w:r/>
    </w:p>
    <w:p>
      <w:pPr>
        <w:pStyle w:val="1085"/>
        <w:ind w:firstLine="480"/>
        <w:spacing w:line="480" w:lineRule="auto"/>
        <w:tabs>
          <w:tab w:val="left" w:pos="360" w:leader="none"/>
        </w:tabs>
        <w:rPr>
          <w:rFonts w:hint="eastAsia" w:ascii="宋体" w:hAnsi="宋体" w:cs="宋体"/>
          <w:b/>
          <w:bCs/>
          <w:color w:val="000000"/>
          <w:sz w:val="24"/>
          <w:szCs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宋体" w:hAnsi="宋体" w:cs="宋体"/>
          <w:b/>
          <w:bCs/>
          <w:color w:val="000000"/>
          <w:sz w:val="24"/>
          <w:szCs w:val="24"/>
          <w:highlight w:val="none"/>
        </w:rPr>
      </w:r>
      <w:r/>
    </w:p>
    <w:p>
      <w:pPr>
        <w:pStyle w:val="1085"/>
        <w:ind w:firstLine="482"/>
        <w:spacing w:line="480" w:lineRule="auto"/>
        <w:tabs>
          <w:tab w:val="left" w:pos="36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85"/>
        <w:ind w:firstLine="480"/>
        <w:spacing w:line="480" w:lineRule="auto"/>
        <w:tabs>
          <w:tab w:val="left" w:pos="360" w:leader="none"/>
        </w:tabs>
        <w:rPr>
          <w:rFonts w:hint="eastAsia" w:ascii="黑体" w:hAnsi="黑体" w:eastAsia="黑体" w:cs="黑体"/>
          <w:color w:val="000000"/>
          <w:sz w:val="24"/>
          <w:szCs w:val="24"/>
          <w:highlight w:val="none"/>
        </w:rPr>
      </w:pPr>
      <w:r/>
      <w:bookmarkStart w:id="639" w:name="_Toc17268"/>
      <w:r>
        <w:rPr>
          <w:rFonts w:hint="eastAsia" w:ascii="黑体" w:hAnsi="黑体" w:eastAsia="黑体" w:cs="黑体"/>
          <w:color w:val="000000"/>
          <w:sz w:val="24"/>
          <w:szCs w:val="24"/>
          <w:highlight w:val="none"/>
        </w:rPr>
        <w:t xml:space="preserve">被授权人的身份证复印件</w:t>
      </w:r>
      <w:r>
        <w:rPr>
          <w:rFonts w:hint="eastAsia" w:ascii="黑体" w:hAnsi="黑体" w:eastAsia="黑体" w:cs="黑体"/>
          <w:color w:val="000000"/>
          <w:sz w:val="24"/>
          <w:szCs w:val="24"/>
          <w:highlight w:val="none"/>
        </w:rPr>
      </w:r>
      <w:r/>
    </w:p>
    <w:p>
      <w:pPr>
        <w:pStyle w:val="1026"/>
        <w:rPr>
          <w:rFonts w:hint="eastAsia" w:ascii="仿宋" w:hAnsi="仿宋" w:eastAsia="仿宋" w:cs="仿宋"/>
          <w:i/>
          <w:color w:val="000000"/>
          <w:sz w:val="24"/>
          <w:szCs w:val="24"/>
          <w:highlight w:val="none"/>
          <w:u w:val="singl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9" o:spid="_x0000_s9"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仿宋" w:hAnsi="仿宋" w:eastAsia="仿宋" w:cs="仿宋"/>
          <w:i/>
          <w:color w:val="000000"/>
          <w:sz w:val="24"/>
          <w:szCs w:val="24"/>
          <w:highlight w:val="none"/>
          <w:u w:val="single"/>
        </w:rPr>
      </w:r>
      <w:r/>
    </w:p>
    <w:p>
      <w:pPr>
        <w:pStyle w:val="1085"/>
        <w:ind w:firstLine="560"/>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keepLines/>
        <w:keepNext/>
        <w:spacing w:after="100" w:line="416" w:lineRule="auto"/>
        <w:rPr>
          <w:rFonts w:hint="eastAsia" w:ascii="宋体" w:hAnsi="宋体" w:cs="宋体"/>
          <w:iCs/>
          <w:color w:val="000000"/>
          <w:sz w:val="32"/>
          <w:szCs w:val="32"/>
          <w:highlight w:val="none"/>
        </w:rPr>
        <w:outlineLvl w:val="1"/>
      </w:pPr>
      <w:r>
        <w:rPr>
          <w:rFonts w:hint="eastAsia" w:ascii="宋体" w:hAnsi="宋体" w:cs="宋体"/>
          <w:iCs/>
          <w:color w:val="000000"/>
          <w:sz w:val="32"/>
          <w:szCs w:val="32"/>
          <w:highlight w:val="none"/>
        </w:rPr>
        <w:br w:type="page" w:clear="all"/>
      </w:r>
      <w:bookmarkStart w:id="640" w:name="_Toc18039"/>
      <w:r/>
      <w:bookmarkStart w:id="641" w:name="_Toc3972"/>
      <w:r>
        <w:rPr>
          <w:rFonts w:hint="eastAsia" w:ascii="黑体" w:hAnsi="黑体" w:eastAsia="黑体" w:cs="黑体"/>
          <w:iCs/>
          <w:color w:val="000000"/>
          <w:sz w:val="28"/>
          <w:szCs w:val="28"/>
          <w:highlight w:val="none"/>
        </w:rPr>
        <w:t xml:space="preserve">九、投标函</w:t>
      </w:r>
      <w:bookmarkEnd w:id="639"/>
      <w:r/>
      <w:bookmarkEnd w:id="640"/>
      <w:r/>
      <w:bookmarkEnd w:id="641"/>
      <w:r>
        <w:rPr>
          <w:rFonts w:hint="eastAsia" w:ascii="宋体" w:hAnsi="宋体" w:cs="宋体"/>
          <w:iCs/>
          <w:color w:val="000000"/>
          <w:sz w:val="32"/>
          <w:szCs w:val="32"/>
          <w:highlight w:val="none"/>
        </w:rPr>
      </w:r>
      <w:r/>
    </w:p>
    <w:p>
      <w:pPr>
        <w:pStyle w:val="1087"/>
        <w:ind w:firstLine="0"/>
        <w:spacing w:before="0" w:after="0" w:line="420" w:lineRule="exact"/>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致：江苏柒采招标代理有限公司</w:t>
      </w:r>
      <w:r>
        <w:rPr>
          <w:rFonts w:hint="eastAsia" w:ascii="黑体" w:hAnsi="黑体" w:eastAsia="黑体" w:cs="黑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根据贵方的</w:t>
      </w:r>
      <w:r>
        <w:rPr>
          <w:rFonts w:hint="eastAsia" w:ascii="宋体" w:hAnsi="宋体" w:cs="宋体"/>
          <w:color w:val="000000"/>
          <w:highlight w:val="none"/>
          <w:u w:val="single"/>
        </w:rPr>
        <w:t xml:space="preserve">项目编号为        </w:t>
      </w:r>
      <w:r>
        <w:rPr>
          <w:rFonts w:hint="eastAsia" w:ascii="宋体" w:hAnsi="宋体" w:cs="宋体"/>
          <w:color w:val="000000"/>
          <w:highlight w:val="none"/>
        </w:rPr>
        <w:t xml:space="preserve">号的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w:t>
      </w:r>
      <w:r>
        <w:rPr>
          <w:rFonts w:hint="eastAsia" w:ascii="宋体" w:hAnsi="宋体" w:cs="宋体"/>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据此函，__________(姓名)兹宣布同意如下：</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1.按招标文件规定的各项要求，承担买方所需工程（包含于货物相关的产品）。</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2.我们完全理解贵方不一定将合同授予最低报价的投标人。</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4.我们同意从规定的开标日期起60日历天内遵循本投标文件，并在规定的投标有效期期满之前均具有约束力。</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Cs w:val="21"/>
          <w:highlight w:val="none"/>
        </w:rPr>
      </w:r>
      <w:r/>
    </w:p>
    <w:p>
      <w:pPr>
        <w:pStyle w:val="1087"/>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7.与本投标有关的正式通讯地址为：</w:t>
      </w:r>
      <w:r>
        <w:rPr>
          <w:rFonts w:hint="eastAsia" w:ascii="宋体" w:hAnsi="宋体" w:cs="宋体"/>
          <w:color w:val="000000"/>
          <w:szCs w:val="21"/>
          <w:highlight w:val="none"/>
        </w:rPr>
      </w:r>
      <w:r/>
    </w:p>
    <w:p>
      <w:pPr>
        <w:pStyle w:val="1087"/>
        <w:ind w:left="420"/>
        <w:spacing w:before="0" w:after="0"/>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名          称：</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（盖章）</w:t>
      </w:r>
      <w:r>
        <w:rPr>
          <w:rFonts w:hint="eastAsia" w:ascii="黑体" w:hAnsi="黑体" w:eastAsia="黑体" w:cs="黑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邮          编：</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投标人开户行：</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账          户： </w:t>
      </w:r>
      <w:r>
        <w:rPr>
          <w:rFonts w:hint="eastAsia" w:ascii="宋体" w:hAnsi="宋体" w:cs="宋体"/>
          <w:color w:val="000000"/>
          <w:szCs w:val="21"/>
          <w:highlight w:val="none"/>
        </w:rPr>
      </w:r>
      <w:r/>
    </w:p>
    <w:p>
      <w:pPr>
        <w:pStyle w:val="1087"/>
        <w:ind w:left="420"/>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期：________年____月____日</w:t>
      </w:r>
      <w:r>
        <w:rPr>
          <w:rFonts w:hint="eastAsia" w:ascii="宋体" w:hAnsi="宋体" w:cs="宋体"/>
          <w:color w:val="000000"/>
          <w:szCs w:val="21"/>
          <w:highlight w:val="none"/>
        </w:rPr>
      </w:r>
      <w:r/>
    </w:p>
    <w:p>
      <w:pPr>
        <w:pStyle w:val="1015"/>
        <w:jc w:val="both"/>
        <w:spacing w:before="0" w:after="100"/>
        <w:rPr>
          <w:rFonts w:hint="eastAsia" w:ascii="宋体" w:hAnsi="宋体" w:eastAsia="宋体" w:cs="宋体"/>
          <w:iCs/>
          <w:color w:val="000000"/>
          <w:sz w:val="32"/>
          <w:szCs w:val="32"/>
          <w:highlight w:val="none"/>
        </w:rPr>
      </w:pPr>
      <w:r/>
      <w:bookmarkStart w:id="642" w:name="_Toc28074"/>
      <w:r/>
      <w:bookmarkStart w:id="643" w:name="_Toc27944"/>
      <w:r>
        <w:rPr>
          <w:rFonts w:hint="eastAsia" w:ascii="黑体" w:hAnsi="黑体" w:eastAsia="黑体" w:cs="黑体"/>
          <w:iCs/>
          <w:color w:val="000000"/>
          <w:sz w:val="28"/>
          <w:szCs w:val="28"/>
          <w:highlight w:val="none"/>
        </w:rPr>
        <w:br w:type="page" w:clear="all"/>
      </w:r>
      <w:bookmarkStart w:id="644" w:name="_Toc17142"/>
      <w:r>
        <w:rPr>
          <w:rFonts w:hint="eastAsia" w:ascii="黑体" w:hAnsi="黑体" w:eastAsia="黑体" w:cs="黑体"/>
          <w:iCs/>
          <w:color w:val="000000"/>
          <w:sz w:val="28"/>
          <w:szCs w:val="28"/>
          <w:highlight w:val="none"/>
        </w:rPr>
        <w:t xml:space="preserve">十、中小企业声明函（服务类）</w:t>
      </w:r>
      <w:bookmarkEnd w:id="642"/>
      <w:r/>
      <w:bookmarkEnd w:id="643"/>
      <w:r/>
      <w:bookmarkEnd w:id="644"/>
      <w:r>
        <w:rPr>
          <w:rFonts w:hint="eastAsia" w:ascii="宋体" w:hAnsi="宋体" w:eastAsia="宋体" w:cs="宋体"/>
          <w:iCs/>
          <w:color w:val="000000"/>
          <w:sz w:val="32"/>
          <w:szCs w:val="32"/>
          <w:highlight w:val="none"/>
        </w:rPr>
      </w:r>
      <w:r/>
    </w:p>
    <w:p>
      <w:pPr>
        <w:pStyle w:val="1013"/>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本公司郑重声明，根据《政府采购促进中小企业发展管理办法》（财库﹝2020﹞46 号）的规定，本公司参加</w:t>
      </w:r>
      <w:r>
        <w:rPr>
          <w:rFonts w:hint="eastAsia" w:ascii="黑体" w:hAnsi="黑体" w:eastAsia="黑体" w:cs="黑体"/>
          <w:color w:val="000000"/>
          <w:sz w:val="24"/>
          <w:szCs w:val="24"/>
          <w:highlight w:val="none"/>
          <w:u w:val="single"/>
        </w:rPr>
        <w:t xml:space="preserve">江苏柒采招标代理有限公司</w:t>
      </w:r>
      <w:r>
        <w:rPr>
          <w:rFonts w:hint="eastAsia" w:ascii="宋体" w:hAnsi="宋体" w:cs="宋体"/>
          <w:color w:val="000000"/>
          <w:sz w:val="24"/>
          <w:szCs w:val="24"/>
          <w:highlight w:val="none"/>
        </w:rPr>
        <w:t xml:space="preserve">的</w:t>
      </w:r>
      <w:r>
        <w:rPr>
          <w:rFonts w:hint="eastAsia" w:ascii="黑体" w:hAnsi="黑体" w:eastAsia="黑体" w:cs="黑体"/>
          <w:color w:val="000000"/>
          <w:sz w:val="24"/>
          <w:szCs w:val="24"/>
          <w:highlight w:val="none"/>
          <w:u w:val="single"/>
        </w:rPr>
        <w:t xml:space="preserve">京东数字商贸产业学院二期项目AI丝路电商实训平台项目（项目编号：</w:t>
      </w:r>
      <w:r>
        <w:rPr>
          <w:rFonts w:hint="eastAsia" w:ascii="黑体" w:hAnsi="黑体" w:eastAsia="黑体" w:cs="黑体"/>
          <w:color w:val="000000"/>
          <w:sz w:val="24"/>
          <w:szCs w:val="24"/>
          <w:highlight w:val="none"/>
          <w:u w:val="single"/>
          <w:lang w:eastAsia="zh-CN"/>
        </w:rPr>
        <w:t xml:space="preserve">JSZC-320000-JSQC-G2026-0032</w:t>
      </w:r>
      <w:r>
        <w:rPr>
          <w:rFonts w:hint="eastAsia" w:ascii="黑体" w:hAnsi="黑体" w:eastAsia="黑体" w:cs="黑体"/>
          <w:color w:val="000000"/>
          <w:sz w:val="24"/>
          <w:szCs w:val="24"/>
          <w:highlight w:val="none"/>
          <w:u w:val="single"/>
        </w:rPr>
        <w:t xml:space="preserve">/招标文件编号：QC-2026071233C）</w:t>
      </w:r>
      <w:r>
        <w:rPr>
          <w:rFonts w:hint="eastAsia" w:ascii="宋体" w:hAnsi="宋体" w:cs="宋体"/>
          <w:color w:val="000000"/>
          <w:sz w:val="24"/>
          <w:szCs w:val="24"/>
          <w:highlight w:val="none"/>
        </w:rPr>
        <w:t xml:space="preserve">采购活动，提供的货物全部由符合政策要求的中小企业制造。相关企业具体情况如下:</w:t>
      </w:r>
      <w:r>
        <w:rPr>
          <w:rFonts w:hint="eastAsia" w:ascii="宋体" w:hAnsi="宋体" w:cs="宋体"/>
          <w:color w:val="000000"/>
          <w:sz w:val="24"/>
          <w:szCs w:val="24"/>
          <w:highlight w:val="none"/>
        </w:rPr>
      </w:r>
      <w:r/>
    </w:p>
    <w:p>
      <w:pPr>
        <w:pStyle w:val="1013"/>
        <w:ind w:firstLine="360"/>
        <w:spacing w:line="360" w:lineRule="auto"/>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rPr>
        <w:t xml:space="preserve">工业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w:t>
      </w:r>
      <w:r>
        <w:rPr>
          <w:rFonts w:hint="eastAsia" w:ascii="宋体" w:hAnsi="宋体" w:cs="宋体"/>
          <w:b/>
          <w:bCs/>
          <w:color w:val="000000"/>
          <w:sz w:val="24"/>
          <w:szCs w:val="24"/>
          <w:highlight w:val="none"/>
        </w:rPr>
        <w:t xml:space="preserve">制造商</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i/>
          <w:color w:val="000000"/>
          <w:sz w:val="24"/>
          <w:szCs w:val="24"/>
          <w:highlight w:val="none"/>
          <w:u w:val="single"/>
        </w:rPr>
      </w:r>
      <w:r/>
    </w:p>
    <w:p>
      <w:pPr>
        <w:pStyle w:val="1013"/>
        <w:ind w:firstLine="360"/>
        <w:spacing w:line="360" w:lineRule="auto"/>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rPr>
        <w:t xml:space="preserve">工业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w:t>
      </w:r>
      <w:r>
        <w:rPr>
          <w:rFonts w:hint="eastAsia" w:ascii="宋体" w:hAnsi="宋体" w:cs="宋体"/>
          <w:b/>
          <w:bCs/>
          <w:color w:val="000000"/>
          <w:sz w:val="24"/>
          <w:szCs w:val="24"/>
          <w:highlight w:val="none"/>
        </w:rPr>
        <w:t xml:space="preserve">制造商</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i/>
          <w:color w:val="000000"/>
          <w:sz w:val="24"/>
          <w:szCs w:val="24"/>
          <w:highlight w:val="none"/>
          <w:u w:val="single"/>
        </w:rPr>
      </w:r>
      <w:r/>
    </w:p>
    <w:p>
      <w:pPr>
        <w:pStyle w:val="1013"/>
        <w:ind w:firstLine="360"/>
        <w:spacing w:line="360" w:lineRule="auto"/>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rPr>
        <w:t xml:space="preserve">工业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w:t>
      </w:r>
      <w:r>
        <w:rPr>
          <w:rFonts w:hint="eastAsia" w:ascii="宋体" w:hAnsi="宋体" w:cs="宋体"/>
          <w:b/>
          <w:bCs/>
          <w:color w:val="000000"/>
          <w:sz w:val="24"/>
          <w:szCs w:val="24"/>
          <w:highlight w:val="none"/>
        </w:rPr>
        <w:t xml:space="preserve">制造商</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i/>
          <w:color w:val="000000"/>
          <w:sz w:val="24"/>
          <w:szCs w:val="24"/>
          <w:highlight w:val="none"/>
          <w:u w:val="single"/>
        </w:rPr>
      </w:r>
      <w:r/>
    </w:p>
    <w:p>
      <w:pPr>
        <w:pStyle w:val="1013"/>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3"/>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1013"/>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1013"/>
        <w:ind w:right="18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3"/>
        <w:ind w:right="18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企业名称（加盖公章）：</w:t>
      </w:r>
      <w:r>
        <w:rPr>
          <w:rFonts w:hint="eastAsia" w:ascii="宋体" w:hAnsi="宋体" w:cs="宋体"/>
          <w:color w:val="000000"/>
          <w:sz w:val="24"/>
          <w:szCs w:val="24"/>
          <w:highlight w:val="none"/>
        </w:rPr>
      </w:r>
      <w:r/>
    </w:p>
    <w:p>
      <w:pPr>
        <w:pStyle w:val="1013"/>
        <w:ind w:right="48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1013"/>
        <w:ind w:firstLine="420"/>
        <w:rPr>
          <w:rFonts w:hint="eastAsia" w:ascii="宋体" w:hAnsi="宋体" w:cs="宋体"/>
          <w:color w:val="000000"/>
          <w:highlight w:val="none"/>
        </w:rPr>
      </w:pPr>
      <w:r>
        <w:rPr>
          <w:rFonts w:hint="eastAsia" w:ascii="宋体" w:hAnsi="宋体" w:cs="宋体"/>
          <w:color w:val="000000"/>
          <w:highlight w:val="none"/>
        </w:rPr>
      </w:r>
      <w:r/>
    </w:p>
    <w:p>
      <w:pPr>
        <w:pStyle w:val="10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cs="宋体"/>
          <w:color w:val="000000"/>
          <w:sz w:val="24"/>
          <w:szCs w:val="24"/>
          <w:highlight w:val="none"/>
        </w:rPr>
      </w:r>
      <w:r/>
    </w:p>
    <w:p>
      <w:pPr>
        <w:pStyle w:val="10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备注2：投标人如不提供此声明函，价格将不做相应扣除。</w:t>
      </w:r>
      <w:r>
        <w:rPr>
          <w:rFonts w:hint="eastAsia" w:ascii="宋体" w:hAnsi="宋体" w:cs="宋体"/>
          <w:color w:val="000000"/>
          <w:sz w:val="24"/>
          <w:szCs w:val="24"/>
          <w:highlight w:val="none"/>
        </w:rPr>
      </w:r>
      <w:r/>
    </w:p>
    <w:p>
      <w:pPr>
        <w:pStyle w:val="10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备注3：</w:t>
      </w:r>
      <w:r>
        <w:rPr>
          <w:rFonts w:hint="eastAsia" w:ascii="黑体" w:hAnsi="黑体" w:eastAsia="黑体" w:cs="黑体"/>
          <w:color w:val="000000"/>
          <w:sz w:val="24"/>
          <w:szCs w:val="24"/>
          <w:highlight w:val="none"/>
        </w:rPr>
        <w:t xml:space="preserve">本项目所属行业：工业。</w:t>
      </w:r>
      <w:r>
        <w:rPr>
          <w:rFonts w:hint="eastAsia" w:ascii="宋体"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rPr>
      </w:r>
      <w:r/>
    </w:p>
    <w:p>
      <w:pPr>
        <w:pStyle w:val="1015"/>
        <w:jc w:val="both"/>
        <w:spacing w:before="0" w:after="10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bookmarkStart w:id="645" w:name="_Toc23468"/>
      <w:r/>
      <w:bookmarkStart w:id="646" w:name="_Toc11116"/>
      <w:r/>
      <w:bookmarkStart w:id="647" w:name="_Toc30448"/>
      <w:r/>
      <w:bookmarkStart w:id="648" w:name="_Toc8428"/>
      <w:r>
        <w:rPr>
          <w:rFonts w:hint="eastAsia" w:ascii="黑体" w:hAnsi="黑体" w:eastAsia="黑体" w:cs="黑体"/>
          <w:iCs/>
          <w:color w:val="000000"/>
          <w:sz w:val="28"/>
          <w:szCs w:val="28"/>
          <w:highlight w:val="none"/>
        </w:rPr>
        <w:t xml:space="preserve">十一、</w:t>
      </w:r>
      <w:bookmarkEnd w:id="645"/>
      <w:r/>
      <w:bookmarkEnd w:id="648"/>
      <w:r>
        <w:rPr>
          <w:rFonts w:hint="eastAsia" w:ascii="黑体" w:hAnsi="黑体" w:eastAsia="黑体" w:cs="黑体"/>
          <w:iCs/>
          <w:color w:val="000000"/>
          <w:sz w:val="28"/>
          <w:szCs w:val="28"/>
          <w:highlight w:val="none"/>
        </w:rPr>
        <w:t xml:space="preserve">残疾人福利性单位声明函</w:t>
      </w:r>
      <w:bookmarkEnd w:id="646"/>
      <w:r/>
      <w:bookmarkEnd w:id="647"/>
      <w:r>
        <w:rPr>
          <w:rFonts w:hint="eastAsia" w:ascii="宋体" w:hAnsi="宋体" w:eastAsia="宋体" w:cs="宋体"/>
          <w:color w:val="000000"/>
          <w:sz w:val="32"/>
          <w:szCs w:val="32"/>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cs="宋体"/>
          <w:color w:val="000000"/>
          <w:sz w:val="24"/>
          <w:highlight w:val="none"/>
          <w:u w:val="single"/>
        </w:rPr>
        <w:t xml:space="preserve">（货物名称）     </w:t>
      </w:r>
      <w:r>
        <w:rPr>
          <w:rFonts w:hint="eastAsia" w:ascii="宋体" w:hAnsi="宋体" w:cs="宋体"/>
          <w:color w:val="000000"/>
          <w:sz w:val="24"/>
          <w:highlight w:val="none"/>
        </w:rPr>
        <w:t xml:space="preserve">由本单位制造。</w:t>
      </w: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13"/>
        <w:spacing w:line="43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5"/>
        <w:jc w:val="both"/>
        <w:spacing w:before="0" w:after="100"/>
        <w:rPr>
          <w:rFonts w:hint="eastAsia" w:ascii="黑体" w:hAnsi="黑体" w:eastAsia="黑体" w:cs="黑体"/>
          <w:color w:val="000000"/>
          <w:sz w:val="28"/>
          <w:szCs w:val="28"/>
          <w:highlight w:val="none"/>
        </w:rPr>
      </w:pPr>
      <w:r/>
      <w:bookmarkStart w:id="649" w:name="_Toc17664"/>
      <w:r/>
      <w:bookmarkStart w:id="650" w:name="_Toc28107"/>
      <w:r>
        <w:rPr>
          <w:rFonts w:hint="eastAsia" w:ascii="黑体" w:hAnsi="黑体" w:eastAsia="黑体" w:cs="黑体"/>
          <w:iCs/>
          <w:color w:val="000000"/>
          <w:sz w:val="28"/>
          <w:szCs w:val="28"/>
          <w:highlight w:val="none"/>
        </w:rPr>
        <w:t xml:space="preserve">十二、监狱企业证明</w:t>
      </w:r>
      <w:bookmarkEnd w:id="649"/>
      <w:r/>
      <w:bookmarkEnd w:id="650"/>
      <w:r>
        <w:rPr>
          <w:rFonts w:hint="eastAsia" w:ascii="黑体" w:hAnsi="黑体" w:eastAsia="黑体" w:cs="黑体"/>
          <w:color w:val="000000"/>
          <w:sz w:val="28"/>
          <w:szCs w:val="28"/>
          <w:highlight w:val="none"/>
        </w:rPr>
      </w:r>
      <w:r/>
    </w:p>
    <w:p>
      <w:pPr>
        <w:pStyle w:val="1013"/>
        <w:rPr>
          <w:rFonts w:hint="eastAsia" w:ascii="宋体" w:hAnsi="宋体" w:cs="宋体"/>
          <w:color w:val="000000"/>
          <w:highlight w:val="none"/>
        </w:rPr>
      </w:pPr>
      <w:r>
        <w:rPr>
          <w:rFonts w:hint="eastAsia" w:ascii="宋体" w:hAnsi="宋体" w:cs="宋体"/>
          <w:color w:val="000000"/>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监狱企业证明文件[监狱企业投标的，应提交省级以上监狱管理局、戒毒管理局（含新疆生产建设兵团）出具的证明文件复印件]。</w:t>
      </w: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rPr>
      </w:r>
      <w:r/>
    </w:p>
    <w:p>
      <w:pPr>
        <w:pStyle w:val="1013"/>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29"/>
        <w:ind w:firstLine="480"/>
        <w:jc w:val="both"/>
        <w:spacing w:before="30" w:beforeAutospacing="0" w:after="30" w:afterAutospacing="0" w:line="360" w:lineRule="auto"/>
        <w:shd w:val="clear" w:color="auto" w:fill="ffffff"/>
        <w:rPr>
          <w:rFonts w:hint="eastAsia"/>
          <w:color w:val="000000"/>
          <w:sz w:val="28"/>
          <w:szCs w:val="28"/>
          <w:highlight w:val="none"/>
        </w:rPr>
        <w:outlineLvl w:val="1"/>
      </w:pPr>
      <w:r>
        <w:rPr>
          <w:rFonts w:hint="eastAsia"/>
          <w:color w:val="000000"/>
          <w:highlight w:val="none"/>
        </w:rPr>
        <w:br w:type="page" w:clear="all"/>
      </w:r>
      <w:bookmarkStart w:id="651" w:name="_Toc24070"/>
      <w:r/>
      <w:bookmarkStart w:id="652" w:name="_Toc5109"/>
      <w:r/>
      <w:bookmarkStart w:id="653" w:name="_Toc30900"/>
      <w:r/>
      <w:bookmarkStart w:id="654" w:name="_Toc24319"/>
      <w:r>
        <w:rPr>
          <w:rFonts w:hint="eastAsia" w:ascii="黑体" w:hAnsi="黑体" w:eastAsia="黑体" w:cs="黑体"/>
          <w:color w:val="000000"/>
          <w:sz w:val="28"/>
          <w:szCs w:val="28"/>
          <w:highlight w:val="none"/>
        </w:rPr>
        <w:t xml:space="preserve">十三、</w:t>
      </w:r>
      <w:r>
        <w:rPr>
          <w:rStyle w:val="1064"/>
          <w:rFonts w:hint="eastAsia" w:ascii="黑体" w:hAnsi="黑体" w:eastAsia="黑体" w:cs="黑体"/>
          <w:b w:val="0"/>
          <w:bCs w:val="0"/>
          <w:color w:val="000000"/>
          <w:sz w:val="28"/>
          <w:szCs w:val="28"/>
          <w:highlight w:val="none"/>
          <w:shd w:val="clear" w:color="auto" w:fill="ffffff"/>
        </w:rPr>
        <w:t xml:space="preserve">关于符合本国产品标准的声明函</w:t>
      </w:r>
      <w:bookmarkEnd w:id="651"/>
      <w:r/>
      <w:bookmarkEnd w:id="652"/>
      <w:r/>
      <w:bookmarkEnd w:id="653"/>
      <w:r/>
      <w:bookmarkEnd w:id="654"/>
      <w:r>
        <w:rPr>
          <w:rFonts w:hint="eastAsia"/>
          <w:color w:val="000000"/>
          <w:sz w:val="28"/>
          <w:szCs w:val="28"/>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产品名称1</w:t>
      </w:r>
      <w:r>
        <w:rPr>
          <w:rStyle w:val="1067"/>
          <w:rFonts w:hint="eastAsia"/>
          <w:i w:val="0"/>
          <w:color w:val="000000"/>
          <w:highlight w:val="none"/>
          <w:shd w:val="clear" w:color="auto" w:fill="ffffff"/>
        </w:rPr>
        <w:t xml:space="preserve">）</w:t>
      </w:r>
      <w:r>
        <w:rPr>
          <w:rStyle w:val="1067"/>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厂名</w:t>
      </w:r>
      <w:r>
        <w:rPr>
          <w:rStyle w:val="1067"/>
          <w:rFonts w:hint="eastAsia"/>
          <w:i w:val="0"/>
          <w:color w:val="000000"/>
          <w:highlight w:val="none"/>
          <w:shd w:val="clear" w:color="auto" w:fill="ffffff"/>
        </w:rPr>
        <w:t xml:space="preserve">）</w:t>
      </w:r>
      <w:r>
        <w:rPr>
          <w:rStyle w:val="1067"/>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生产厂址</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产品名称1</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规定比例</w:t>
      </w:r>
      <w:r>
        <w:rPr>
          <w:rStyle w:val="1067"/>
          <w:rFonts w:hint="eastAsia"/>
          <w:i w:val="0"/>
          <w:color w:val="000000"/>
          <w:highlight w:val="none"/>
          <w:shd w:val="clear" w:color="auto" w:fill="ffffff"/>
        </w:rPr>
        <w:t xml:space="preserve">）</w:t>
      </w:r>
      <w:r>
        <w:rPr>
          <w:rStyle w:val="1067"/>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产品名称1</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关键组件</w:t>
      </w:r>
      <w:r>
        <w:rPr>
          <w:rStyle w:val="1067"/>
          <w:rFonts w:hint="eastAsia"/>
          <w:i w:val="0"/>
          <w:color w:val="000000"/>
          <w:highlight w:val="none"/>
          <w:shd w:val="clear" w:color="auto" w:fill="ffffff"/>
        </w:rPr>
        <w:t xml:space="preserve">）</w:t>
      </w:r>
      <w:r>
        <w:rPr>
          <w:rStyle w:val="1067"/>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产品名称1</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关键工序</w:t>
      </w:r>
      <w:r>
        <w:rPr>
          <w:rStyle w:val="1067"/>
          <w:rFonts w:hint="eastAsia"/>
          <w:i w:val="0"/>
          <w:color w:val="000000"/>
          <w:highlight w:val="none"/>
          <w:shd w:val="clear" w:color="auto" w:fill="ffffff"/>
        </w:rPr>
        <w:t xml:space="preserve">）</w:t>
      </w:r>
      <w:r>
        <w:rPr>
          <w:rStyle w:val="1067"/>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产品名称2</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，生产厂为</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厂名</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，厂址为</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生产厂址</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产品名称2</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规定比例</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产品名称2</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关键组件</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在中国境内生产。</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产品名称2</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7"/>
          <w:rFonts w:hint="eastAsia"/>
          <w:i w:val="0"/>
          <w:color w:val="000000"/>
          <w:highlight w:val="none"/>
          <w:shd w:val="clear" w:color="auto" w:fill="ffffff"/>
        </w:rPr>
        <w:t xml:space="preserve">（</w:t>
      </w:r>
      <w:r>
        <w:rPr>
          <w:rStyle w:val="1067"/>
          <w:rFonts w:hint="eastAsia"/>
          <w:i w:val="0"/>
          <w:color w:val="000000"/>
          <w:highlight w:val="none"/>
          <w:u w:val="single"/>
          <w:shd w:val="clear" w:color="auto" w:fill="ffffff"/>
        </w:rPr>
        <w:t xml:space="preserve">关键工序</w:t>
      </w:r>
      <w:r>
        <w:rPr>
          <w:rStyle w:val="1067"/>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在中国境内完成。</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029"/>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029"/>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日期：　年　月　日    </w:t>
      </w:r>
      <w:r>
        <w:rPr>
          <w:rFonts w:hint="eastAsia"/>
          <w:color w:val="000000"/>
          <w:highlight w:val="none"/>
        </w:rPr>
      </w:r>
      <w:r/>
    </w:p>
    <w:p>
      <w:pPr>
        <w:pStyle w:val="1029"/>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9"/>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_____________________________</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3.该产品的中国境内生产的组件成本占比相关要求实施前，“规定比例”栏可不填，下同。</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4.该产品的关键组件要求实施前，“关键组件”栏可不填，下同。</w:t>
      </w:r>
      <w:r>
        <w:rPr>
          <w:rFonts w:hint="eastAsia"/>
          <w:color w:val="000000"/>
          <w:sz w:val="21"/>
          <w:szCs w:val="21"/>
          <w:highlight w:val="none"/>
          <w:shd w:val="clear" w:color="auto" w:fill="ffffff"/>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sz w:val="21"/>
          <w:szCs w:val="21"/>
          <w:highlight w:val="none"/>
          <w:shd w:val="clear" w:color="auto" w:fill="ffffff"/>
        </w:rPr>
        <w:t xml:space="preserve">5.该产品的关键工序要求实施前，“关键工序”栏可不填，下同。</w:t>
      </w:r>
      <w:r>
        <w:rPr>
          <w:rFonts w:hint="eastAsia"/>
          <w:color w:val="000000"/>
          <w:highlight w:val="none"/>
        </w:rPr>
      </w:r>
      <w:r/>
    </w:p>
    <w:p>
      <w:pPr>
        <w:pStyle w:val="1013"/>
        <w:jc w:val="center"/>
        <w:spacing w:line="56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13"/>
        <w:spacing w:line="56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15"/>
        <w:jc w:val="both"/>
        <w:spacing w:before="0" w:after="100"/>
        <w:rPr>
          <w:rFonts w:hint="eastAsia" w:ascii="宋体" w:hAnsi="宋体" w:eastAsia="宋体" w:cs="宋体"/>
          <w:iCs/>
          <w:color w:val="000000"/>
          <w:sz w:val="32"/>
          <w:szCs w:val="32"/>
          <w:highlight w:val="none"/>
        </w:rPr>
      </w:pPr>
      <w:r/>
      <w:bookmarkStart w:id="655" w:name="_Toc1477"/>
      <w:r/>
      <w:bookmarkStart w:id="656" w:name="_Toc19298"/>
      <w:r/>
      <w:bookmarkStart w:id="657" w:name="_Toc12959"/>
      <w:r/>
      <w:bookmarkStart w:id="658" w:name="_Toc3428"/>
      <w:r>
        <w:rPr>
          <w:rFonts w:hint="eastAsia" w:ascii="黑体" w:hAnsi="黑体" w:eastAsia="黑体" w:cs="黑体"/>
          <w:iCs/>
          <w:color w:val="000000"/>
          <w:sz w:val="28"/>
          <w:szCs w:val="28"/>
          <w:highlight w:val="none"/>
        </w:rPr>
        <w:t xml:space="preserve">十四、开标一览表</w:t>
      </w:r>
      <w:bookmarkEnd w:id="655"/>
      <w:r/>
      <w:bookmarkEnd w:id="656"/>
      <w:r/>
      <w:bookmarkEnd w:id="657"/>
      <w:r>
        <w:rPr>
          <w:rFonts w:hint="eastAsia" w:ascii="宋体" w:hAnsi="宋体" w:eastAsia="宋体" w:cs="宋体"/>
          <w:iCs/>
          <w:color w:val="000000"/>
          <w:sz w:val="32"/>
          <w:szCs w:val="32"/>
          <w:highlight w:val="none"/>
        </w:rPr>
      </w:r>
      <w:r/>
    </w:p>
    <w:p>
      <w:pPr>
        <w:pStyle w:val="1042"/>
        <w:ind w:firstLine="480"/>
        <w:jc w:val="left"/>
        <w:spacing w:line="360" w:lineRule="auto"/>
        <w:rPr>
          <w:rFonts w:hint="eastAsia" w:ascii="黑体" w:hAnsi="黑体" w:eastAsia="黑体" w:cs="黑体"/>
          <w:iCs/>
          <w:color w:val="000000"/>
          <w:sz w:val="24"/>
          <w:szCs w:val="24"/>
          <w:highlight w:val="none"/>
        </w:rPr>
      </w:pPr>
      <w:r>
        <w:rPr>
          <w:rFonts w:hint="eastAsia" w:ascii="黑体" w:hAnsi="黑体" w:eastAsia="黑体" w:cs="黑体"/>
          <w:iCs/>
          <w:color w:val="000000"/>
          <w:sz w:val="24"/>
          <w:szCs w:val="24"/>
          <w:highlight w:val="none"/>
        </w:rPr>
        <w:t xml:space="preserve">项目名称：京东数字商贸产业学院二期项目AI丝路电商实训平台项目</w:t>
      </w:r>
      <w:r>
        <w:rPr>
          <w:rFonts w:hint="eastAsia" w:ascii="黑体" w:hAnsi="黑体" w:eastAsia="黑体" w:cs="黑体"/>
          <w:iCs/>
          <w:color w:val="000000"/>
          <w:sz w:val="24"/>
          <w:szCs w:val="24"/>
          <w:highlight w:val="none"/>
        </w:rPr>
      </w:r>
      <w:r/>
    </w:p>
    <w:p>
      <w:pPr>
        <w:pStyle w:val="1042"/>
        <w:ind w:firstLine="480"/>
        <w:jc w:val="left"/>
        <w:spacing w:line="360" w:lineRule="auto"/>
        <w:rPr>
          <w:rFonts w:hint="eastAsia" w:ascii="黑体" w:hAnsi="黑体" w:eastAsia="黑体" w:cs="黑体"/>
          <w:iCs/>
          <w:color w:val="000000"/>
          <w:sz w:val="24"/>
          <w:szCs w:val="24"/>
          <w:highlight w:val="none"/>
        </w:rPr>
      </w:pPr>
      <w:r>
        <w:rPr>
          <w:rFonts w:hint="eastAsia" w:ascii="黑体" w:hAnsi="黑体" w:eastAsia="黑体" w:cs="黑体"/>
          <w:iCs/>
          <w:color w:val="000000"/>
          <w:sz w:val="24"/>
          <w:szCs w:val="24"/>
          <w:highlight w:val="none"/>
        </w:rPr>
        <w:t xml:space="preserve">项目编号：</w:t>
      </w:r>
      <w:r>
        <w:rPr>
          <w:rFonts w:hint="eastAsia" w:ascii="黑体" w:hAnsi="黑体" w:eastAsia="黑体" w:cs="黑体"/>
          <w:iCs/>
          <w:color w:val="000000"/>
          <w:sz w:val="24"/>
          <w:szCs w:val="24"/>
          <w:highlight w:val="none"/>
          <w:lang w:eastAsia="zh-CN"/>
        </w:rPr>
        <w:t xml:space="preserve">JSZC-320000-JSQC-G2026-0032</w:t>
      </w:r>
      <w:r>
        <w:rPr>
          <w:rFonts w:hint="eastAsia" w:ascii="黑体" w:hAnsi="黑体" w:eastAsia="黑体" w:cs="黑体"/>
          <w:iCs/>
          <w:color w:val="000000"/>
          <w:sz w:val="24"/>
          <w:szCs w:val="24"/>
          <w:highlight w:val="none"/>
        </w:rPr>
        <w:t xml:space="preserve">/招标文件编号：QC-2026071233C</w:t>
      </w:r>
      <w:r>
        <w:rPr>
          <w:rFonts w:hint="eastAsia" w:ascii="黑体" w:hAnsi="黑体" w:eastAsia="黑体" w:cs="黑体"/>
          <w:iCs/>
          <w:color w:val="000000"/>
          <w:sz w:val="24"/>
          <w:szCs w:val="24"/>
          <w:highlight w:val="none"/>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042"/>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6781" w:type="dxa"/>
            <w:vAlign w:val="center"/>
            <w:textDirection w:val="lrTb"/>
            <w:noWrap w:val="false"/>
          </w:tcPr>
          <w:p>
            <w:pPr>
              <w:pStyle w:val="1042"/>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名称</w:t>
            </w:r>
            <w:r>
              <w:rPr>
                <w:rFonts w:hint="eastAsia" w:ascii="黑体" w:hAnsi="黑体" w:eastAsia="黑体" w:cs="黑体"/>
                <w:color w:val="000000"/>
                <w:sz w:val="24"/>
                <w:szCs w:val="24"/>
                <w:highlight w:val="none"/>
              </w:rPr>
            </w:r>
            <w:r/>
          </w:p>
        </w:tc>
      </w:tr>
      <w:tr>
        <w:trPr>
          <w:trHeight w:val="2163"/>
        </w:trPr>
        <w:tc>
          <w:tcPr>
            <w:tcW w:w="1326" w:type="dxa"/>
            <w:vAlign w:val="center"/>
            <w:textDirection w:val="lrTb"/>
            <w:noWrap w:val="false"/>
          </w:tcPr>
          <w:p>
            <w:pPr>
              <w:pStyle w:val="1042"/>
              <w:jc w:val="cente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rPr>
            </w:r>
            <w:r/>
          </w:p>
        </w:tc>
        <w:tc>
          <w:tcPr>
            <w:tcW w:w="6781" w:type="dxa"/>
            <w:vAlign w:val="center"/>
            <w:textDirection w:val="lrTb"/>
            <w:noWrap w:val="false"/>
          </w:tcPr>
          <w:p>
            <w:pPr>
              <w:pStyle w:val="104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投标报价：</w:t>
            </w:r>
            <w:r>
              <w:rPr>
                <w:rFonts w:hint="eastAsia" w:hAnsi="宋体" w:cs="宋体"/>
                <w:color w:val="000000"/>
                <w:sz w:val="24"/>
                <w:szCs w:val="24"/>
                <w:highlight w:val="none"/>
              </w:rPr>
            </w:r>
            <w:r/>
          </w:p>
          <w:p>
            <w:pPr>
              <w:pStyle w:val="104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元</w:t>
            </w:r>
            <w:r>
              <w:rPr>
                <w:rFonts w:hint="eastAsia" w:hAnsi="宋体" w:cs="宋体"/>
                <w:color w:val="000000"/>
                <w:sz w:val="24"/>
                <w:szCs w:val="24"/>
                <w:highlight w:val="none"/>
              </w:rPr>
            </w:r>
            <w:r/>
          </w:p>
          <w:p>
            <w:pPr>
              <w:pStyle w:val="1042"/>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小写：¥ </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rPr>
            </w:r>
            <w:r/>
          </w:p>
        </w:tc>
      </w:tr>
      <w:tr>
        <w:trPr>
          <w:trHeight w:val="1199"/>
        </w:trPr>
        <w:tc>
          <w:tcPr>
            <w:tcW w:w="1326" w:type="dxa"/>
            <w:vAlign w:val="center"/>
            <w:textDirection w:val="lrTb"/>
            <w:noWrap w:val="false"/>
          </w:tcPr>
          <w:p>
            <w:pPr>
              <w:pStyle w:val="1042"/>
              <w:jc w:val="cente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rPr>
            </w:r>
            <w:r/>
          </w:p>
        </w:tc>
        <w:tc>
          <w:tcPr>
            <w:tcW w:w="6781" w:type="dxa"/>
            <w:vAlign w:val="center"/>
            <w:textDirection w:val="lrTb"/>
            <w:noWrap w:val="false"/>
          </w:tcPr>
          <w:p>
            <w:pPr>
              <w:pStyle w:val="10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合同履行期限：</w:t>
            </w:r>
            <w:r>
              <w:rPr>
                <w:rFonts w:hAnsi="宋体" w:cs="宋体"/>
                <w:color w:val="000000"/>
                <w:sz w:val="24"/>
                <w:szCs w:val="24"/>
                <w:highlight w:val="none"/>
              </w:rPr>
            </w:r>
            <w:r/>
          </w:p>
        </w:tc>
      </w:tr>
      <w:tr>
        <w:trPr>
          <w:trHeight w:val="1304"/>
        </w:trPr>
        <w:tc>
          <w:tcPr>
            <w:tcW w:w="1326" w:type="dxa"/>
            <w:vAlign w:val="center"/>
            <w:textDirection w:val="lrTb"/>
            <w:noWrap w:val="false"/>
          </w:tcPr>
          <w:p>
            <w:pPr>
              <w:pStyle w:val="1042"/>
              <w:jc w:val="cente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rPr>
            </w:r>
            <w:r/>
          </w:p>
        </w:tc>
        <w:tc>
          <w:tcPr>
            <w:tcW w:w="6781" w:type="dxa"/>
            <w:vAlign w:val="center"/>
            <w:textDirection w:val="lrTb"/>
            <w:noWrap w:val="false"/>
          </w:tcPr>
          <w:p>
            <w:pPr>
              <w:pStyle w:val="104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质保期：</w:t>
            </w:r>
            <w:r>
              <w:rPr>
                <w:rFonts w:hint="eastAsia" w:hAnsi="宋体" w:cs="宋体"/>
                <w:color w:val="000000"/>
                <w:sz w:val="24"/>
                <w:szCs w:val="24"/>
                <w:highlight w:val="none"/>
              </w:rPr>
            </w:r>
            <w:r/>
          </w:p>
        </w:tc>
      </w:tr>
    </w:tbl>
    <w:p>
      <w:pPr>
        <w:pStyle w:val="101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投标人全称（加盖公章）：</w:t>
      </w:r>
      <w:r>
        <w:rPr>
          <w:rFonts w:hint="eastAsia" w:ascii="宋体" w:hAnsi="宋体" w:cs="宋体"/>
          <w:bCs/>
          <w:color w:val="000000"/>
          <w:sz w:val="24"/>
          <w:szCs w:val="24"/>
          <w:highlight w:val="none"/>
        </w:rPr>
      </w:r>
      <w:r/>
    </w:p>
    <w:p>
      <w:pPr>
        <w:pStyle w:val="101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法人或授权代表（签章或签字）:</w:t>
      </w:r>
      <w:r>
        <w:rPr>
          <w:rFonts w:hint="eastAsia" w:ascii="宋体" w:hAnsi="宋体" w:cs="宋体"/>
          <w:bCs/>
          <w:color w:val="000000"/>
          <w:sz w:val="24"/>
          <w:szCs w:val="24"/>
          <w:highlight w:val="none"/>
        </w:rPr>
      </w:r>
      <w:r/>
    </w:p>
    <w:p>
      <w:pPr>
        <w:pStyle w:val="101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101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013"/>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说明：</w:t>
      </w:r>
      <w:r>
        <w:rPr>
          <w:rFonts w:hint="eastAsia" w:ascii="宋体" w:hAnsi="宋体" w:cs="宋体"/>
          <w:color w:val="000000"/>
          <w:sz w:val="24"/>
          <w:szCs w:val="24"/>
          <w:highlight w:val="none"/>
        </w:rPr>
      </w:r>
      <w:r/>
    </w:p>
    <w:p>
      <w:pPr>
        <w:pStyle w:val="1013"/>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1、本项目仅接受一个价格，不得填报有选择性报价方案。</w:t>
      </w:r>
      <w:r>
        <w:rPr>
          <w:rFonts w:hint="eastAsia" w:ascii="宋体" w:hAnsi="宋体" w:cs="宋体"/>
          <w:color w:val="000000"/>
          <w:sz w:val="24"/>
          <w:szCs w:val="24"/>
          <w:highlight w:val="none"/>
        </w:rPr>
      </w:r>
      <w:r/>
    </w:p>
    <w:p>
      <w:pPr>
        <w:pStyle w:val="1013"/>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2、投标文件所报的投标价格不得超过招标文件规定的预算价、限价，超过招标文件规定的，按无效投标处理。</w:t>
      </w:r>
      <w:r>
        <w:rPr>
          <w:rFonts w:hint="eastAsia" w:ascii="宋体" w:hAnsi="宋体" w:cs="宋体"/>
          <w:color w:val="000000"/>
          <w:sz w:val="24"/>
          <w:szCs w:val="24"/>
          <w:highlight w:val="none"/>
        </w:rPr>
      </w:r>
      <w:r/>
    </w:p>
    <w:p>
      <w:pPr>
        <w:pStyle w:val="1015"/>
        <w:jc w:val="both"/>
        <w:spacing w:before="0" w:after="100"/>
        <w:rPr>
          <w:rFonts w:hint="eastAsia" w:ascii="宋体" w:hAnsi="宋体" w:eastAsia="宋体" w:cs="宋体"/>
          <w:iCs/>
          <w:color w:val="000000"/>
          <w:sz w:val="32"/>
          <w:szCs w:val="32"/>
          <w:highlight w:val="none"/>
        </w:rPr>
      </w:pPr>
      <w:r>
        <w:rPr>
          <w:rFonts w:hint="eastAsia" w:ascii="宋体" w:hAnsi="宋体" w:eastAsia="宋体" w:cs="宋体"/>
          <w:iCs/>
          <w:color w:val="000000"/>
          <w:sz w:val="32"/>
          <w:szCs w:val="32"/>
          <w:highlight w:val="none"/>
        </w:rPr>
        <w:br w:type="page" w:clear="all"/>
      </w:r>
      <w:bookmarkStart w:id="659" w:name="_Toc30205"/>
      <w:r/>
      <w:bookmarkStart w:id="660" w:name="_Toc193"/>
      <w:r>
        <w:rPr>
          <w:rFonts w:hint="eastAsia" w:ascii="黑体" w:hAnsi="黑体" w:eastAsia="黑体" w:cs="黑体"/>
          <w:iCs/>
          <w:color w:val="000000"/>
          <w:sz w:val="32"/>
          <w:szCs w:val="32"/>
          <w:highlight w:val="none"/>
        </w:rPr>
        <w:t xml:space="preserve">十五、</w:t>
      </w:r>
      <w:bookmarkEnd w:id="658"/>
      <w:r/>
      <w:bookmarkEnd w:id="659"/>
      <w:r>
        <w:rPr>
          <w:rFonts w:hint="eastAsia" w:ascii="黑体" w:hAnsi="黑体" w:eastAsia="黑体" w:cs="黑体"/>
          <w:iCs/>
          <w:color w:val="000000"/>
          <w:sz w:val="32"/>
          <w:szCs w:val="32"/>
          <w:highlight w:val="none"/>
        </w:rPr>
        <w:t xml:space="preserve">分项报价表</w:t>
      </w:r>
      <w:bookmarkEnd w:id="660"/>
      <w:r>
        <w:rPr>
          <w:rFonts w:hint="eastAsia" w:ascii="宋体" w:hAnsi="宋体" w:eastAsia="宋体" w:cs="宋体"/>
          <w:iCs/>
          <w:color w:val="000000"/>
          <w:sz w:val="32"/>
          <w:szCs w:val="32"/>
          <w:highlight w:val="none"/>
        </w:rPr>
      </w:r>
      <w:r/>
    </w:p>
    <w:p>
      <w:pPr>
        <w:pStyle w:val="1013"/>
        <w:ind w:firstLine="440"/>
        <w:jc w:val="left"/>
        <w:spacing w:line="360" w:lineRule="auto"/>
        <w:rPr>
          <w:rFonts w:hint="eastAsia" w:ascii="宋体" w:hAnsi="宋体" w:cs="宋体"/>
          <w:color w:val="000000"/>
          <w:sz w:val="22"/>
          <w:szCs w:val="22"/>
          <w:highlight w:val="none"/>
          <w:u w:val="single"/>
        </w:rPr>
      </w:pPr>
      <w:r>
        <w:rPr>
          <w:rFonts w:hint="eastAsia" w:ascii="黑体" w:hAnsi="黑体" w:eastAsia="黑体" w:cs="黑体"/>
          <w:color w:val="000000"/>
          <w:sz w:val="22"/>
          <w:szCs w:val="22"/>
          <w:highlight w:val="none"/>
        </w:rPr>
        <w:t xml:space="preserve">项目名称：</w:t>
      </w:r>
      <w:r>
        <w:rPr>
          <w:rFonts w:hint="eastAsia" w:ascii="宋体" w:hAnsi="宋体" w:cs="宋体"/>
          <w:color w:val="000000"/>
          <w:sz w:val="22"/>
          <w:szCs w:val="22"/>
          <w:highlight w:val="none"/>
          <w:u w:val="single"/>
        </w:rPr>
        <w:t xml:space="preserve"> 京东数字商贸产业学院二期项目AI丝路电商实训平台项目</w:t>
      </w:r>
      <w:r>
        <w:rPr>
          <w:rFonts w:hint="eastAsia" w:ascii="宋体" w:hAnsi="宋体" w:cs="宋体"/>
          <w:color w:val="000000"/>
          <w:sz w:val="22"/>
          <w:szCs w:val="22"/>
          <w:highlight w:val="none"/>
          <w:u w:val="single"/>
        </w:rPr>
      </w:r>
      <w:r/>
    </w:p>
    <w:p>
      <w:pPr>
        <w:pStyle w:val="1013"/>
        <w:ind w:firstLine="440"/>
        <w:jc w:val="left"/>
        <w:spacing w:line="36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项目编号：</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lang w:eastAsia="zh-CN"/>
        </w:rPr>
        <w:t xml:space="preserve">JSZC-320000-JSQC-G2026-0032</w:t>
      </w:r>
      <w:r>
        <w:rPr>
          <w:rFonts w:hint="eastAsia" w:ascii="宋体" w:hAnsi="宋体" w:cs="宋体"/>
          <w:color w:val="000000"/>
          <w:sz w:val="22"/>
          <w:szCs w:val="22"/>
          <w:highlight w:val="none"/>
          <w:u w:val="single"/>
        </w:rPr>
        <w:t xml:space="preserve">  </w:t>
      </w:r>
      <w:r>
        <w:rPr>
          <w:rFonts w:hint="eastAsia" w:ascii="黑体" w:hAnsi="黑体" w:eastAsia="黑体" w:cs="黑体"/>
          <w:color w:val="000000"/>
          <w:sz w:val="22"/>
          <w:szCs w:val="22"/>
          <w:highlight w:val="none"/>
        </w:rPr>
      </w:r>
      <w:r/>
    </w:p>
    <w:p>
      <w:pPr>
        <w:pStyle w:val="1013"/>
        <w:ind w:right="840" w:firstLine="440"/>
        <w:spacing w:line="360" w:lineRule="auto"/>
        <w:rPr>
          <w:rFonts w:hint="eastAsia" w:ascii="黑体" w:hAnsi="黑体" w:eastAsia="黑体" w:cs="黑体"/>
          <w:bCs/>
          <w:color w:val="000000"/>
          <w:sz w:val="22"/>
          <w:szCs w:val="22"/>
          <w:highlight w:val="none"/>
        </w:rPr>
      </w:pPr>
      <w:r>
        <w:rPr>
          <w:rFonts w:hint="eastAsia" w:ascii="黑体" w:hAnsi="黑体" w:eastAsia="黑体" w:cs="黑体"/>
          <w:color w:val="000000"/>
          <w:sz w:val="22"/>
          <w:szCs w:val="22"/>
          <w:highlight w:val="none"/>
        </w:rPr>
        <w:t xml:space="preserve">价格单位：</w:t>
      </w:r>
      <w:r>
        <w:rPr>
          <w:rFonts w:hint="eastAsia" w:ascii="宋体" w:hAnsi="宋体" w:cs="宋体"/>
          <w:color w:val="000000"/>
          <w:sz w:val="22"/>
          <w:szCs w:val="22"/>
          <w:highlight w:val="none"/>
        </w:rPr>
        <w:t xml:space="preserve">人民币/元</w:t>
      </w:r>
      <w:r>
        <w:rPr>
          <w:rFonts w:hint="eastAsia" w:ascii="黑体" w:hAnsi="黑体" w:eastAsia="黑体" w:cs="黑体"/>
          <w:bCs/>
          <w:color w:val="000000"/>
          <w:sz w:val="22"/>
          <w:szCs w:val="2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42"/>
        <w:gridCol w:w="758"/>
        <w:gridCol w:w="759"/>
        <w:gridCol w:w="759"/>
        <w:gridCol w:w="500"/>
        <w:gridCol w:w="497"/>
        <w:gridCol w:w="944"/>
        <w:gridCol w:w="1065"/>
        <w:gridCol w:w="495"/>
        <w:gridCol w:w="497"/>
        <w:gridCol w:w="913"/>
      </w:tblGrid>
      <w:tr>
        <w:trPr/>
        <w:tc>
          <w:tcPr>
            <w:tcW w:w="455"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序号</w:t>
            </w:r>
            <w:r>
              <w:rPr>
                <w:rFonts w:hint="eastAsia" w:ascii="黑体" w:hAnsi="黑体" w:eastAsia="黑体" w:cs="黑体"/>
                <w:color w:val="000000"/>
                <w:sz w:val="22"/>
                <w:szCs w:val="22"/>
                <w:highlight w:val="none"/>
              </w:rPr>
            </w:r>
            <w:r/>
          </w:p>
        </w:tc>
        <w:tc>
          <w:tcPr>
            <w:tcW w:w="623"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名称</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品牌</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生产</w:t>
            </w:r>
            <w:r>
              <w:rPr>
                <w:rFonts w:hint="eastAsia" w:ascii="黑体" w:hAnsi="黑体" w:eastAsia="黑体" w:cs="黑体"/>
                <w:color w:val="000000"/>
                <w:sz w:val="22"/>
                <w:szCs w:val="22"/>
                <w:highlight w:val="none"/>
              </w:rPr>
            </w:r>
            <w:r/>
          </w:p>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厂家</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规格</w:t>
            </w:r>
            <w:r>
              <w:rPr>
                <w:rFonts w:hint="eastAsia" w:ascii="黑体" w:hAnsi="黑体" w:eastAsia="黑体" w:cs="黑体"/>
                <w:color w:val="000000"/>
                <w:sz w:val="22"/>
                <w:szCs w:val="22"/>
                <w:highlight w:val="none"/>
              </w:rPr>
            </w:r>
            <w:r/>
          </w:p>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型号</w:t>
            </w:r>
            <w:r>
              <w:rPr>
                <w:rFonts w:hint="eastAsia" w:ascii="黑体" w:hAnsi="黑体" w:eastAsia="黑体" w:cs="黑体"/>
                <w:color w:val="000000"/>
                <w:sz w:val="22"/>
                <w:szCs w:val="22"/>
                <w:highlight w:val="none"/>
              </w:rPr>
            </w:r>
            <w:r/>
          </w:p>
        </w:tc>
        <w:tc>
          <w:tcPr>
            <w:tcW w:w="272" w:type="dxa"/>
            <w:vAlign w:val="center"/>
            <w:textDirection w:val="lrTb"/>
            <w:noWrap w:val="false"/>
          </w:tcPr>
          <w:p>
            <w:pPr>
              <w:pStyle w:val="1042"/>
              <w:jc w:val="center"/>
              <w:rPr>
                <w:rFonts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技术参数</w:t>
            </w:r>
            <w:r>
              <w:rPr>
                <w:rFonts w:ascii="黑体" w:hAnsi="黑体" w:eastAsia="黑体" w:cs="黑体"/>
                <w:color w:val="000000"/>
                <w:sz w:val="22"/>
                <w:szCs w:val="22"/>
                <w:highlight w:val="none"/>
              </w:rPr>
            </w:r>
            <w:r/>
          </w:p>
        </w:tc>
        <w:tc>
          <w:tcPr>
            <w:tcW w:w="271"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单价</w:t>
            </w:r>
            <w:r>
              <w:rPr>
                <w:rFonts w:hint="eastAsia" w:ascii="黑体" w:hAnsi="黑体" w:eastAsia="黑体" w:cs="黑体"/>
                <w:color w:val="000000"/>
                <w:sz w:val="22"/>
                <w:szCs w:val="22"/>
                <w:highlight w:val="none"/>
              </w:rPr>
            </w:r>
            <w:r/>
          </w:p>
        </w:tc>
        <w:tc>
          <w:tcPr>
            <w:tcW w:w="515"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数量</w:t>
            </w:r>
            <w:r>
              <w:rPr>
                <w:rFonts w:hint="eastAsia" w:ascii="黑体" w:hAnsi="黑体" w:eastAsia="黑体" w:cs="黑体"/>
                <w:color w:val="000000"/>
                <w:sz w:val="22"/>
                <w:szCs w:val="22"/>
                <w:highlight w:val="none"/>
              </w:rPr>
            </w:r>
            <w:r/>
          </w:p>
        </w:tc>
        <w:tc>
          <w:tcPr>
            <w:tcW w:w="581"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合计</w:t>
            </w:r>
            <w:r>
              <w:rPr>
                <w:rFonts w:hint="eastAsia" w:ascii="黑体" w:hAnsi="黑体" w:eastAsia="黑体" w:cs="黑体"/>
                <w:color w:val="000000"/>
                <w:sz w:val="22"/>
                <w:szCs w:val="22"/>
                <w:highlight w:val="none"/>
              </w:rPr>
            </w:r>
            <w:r/>
          </w:p>
        </w:tc>
        <w:tc>
          <w:tcPr>
            <w:gridSpan w:val="2"/>
            <w:tcW w:w="992" w:type="dxa"/>
            <w:vAlign w:val="center"/>
            <w:textDirection w:val="lrTb"/>
            <w:noWrap w:val="false"/>
          </w:tcPr>
          <w:p>
            <w:pPr>
              <w:pStyle w:val="1042"/>
              <w:jc w:val="center"/>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是否为中小企业制造</w:t>
            </w:r>
            <w:r>
              <w:rPr>
                <w:rFonts w:hint="eastAsia" w:ascii="黑体" w:hAnsi="黑体" w:eastAsia="黑体" w:cs="黑体"/>
                <w:color w:val="000000"/>
                <w:sz w:val="22"/>
                <w:szCs w:val="22"/>
                <w:highlight w:val="none"/>
              </w:rPr>
            </w:r>
            <w:r/>
          </w:p>
        </w:tc>
        <w:tc>
          <w:tcPr>
            <w:tcW w:w="498" w:type="dxa"/>
            <w:vAlign w:val="center"/>
            <w:textDirection w:val="lrTb"/>
            <w:noWrap w:val="false"/>
          </w:tcPr>
          <w:p>
            <w:pPr>
              <w:pStyle w:val="1042"/>
              <w:jc w:val="center"/>
              <w:rPr>
                <w:rFonts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备注</w:t>
            </w:r>
            <w:r>
              <w:rPr>
                <w:rFonts w:ascii="黑体" w:hAnsi="黑体" w:eastAsia="黑体" w:cs="黑体"/>
                <w:color w:val="000000"/>
                <w:sz w:val="22"/>
                <w:szCs w:val="22"/>
                <w:highlight w:val="none"/>
              </w:rPr>
            </w:r>
            <w:r/>
          </w:p>
        </w:tc>
      </w:tr>
      <w:tr>
        <w:trPr/>
        <w:tc>
          <w:tcPr>
            <w:tcW w:w="45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1</w:t>
            </w:r>
            <w:r>
              <w:rPr>
                <w:rFonts w:hint="eastAsia" w:hAnsi="宋体" w:cs="宋体"/>
                <w:color w:val="000000"/>
                <w:sz w:val="22"/>
                <w:szCs w:val="22"/>
                <w:highlight w:val="none"/>
              </w:rPr>
            </w:r>
            <w:r/>
          </w:p>
        </w:tc>
        <w:tc>
          <w:tcPr>
            <w:tcW w:w="623"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2</w:t>
            </w:r>
            <w:r>
              <w:rPr>
                <w:rFonts w:hint="eastAsia" w:hAnsi="宋体" w:cs="宋体"/>
                <w:color w:val="000000"/>
                <w:sz w:val="22"/>
                <w:szCs w:val="22"/>
                <w:highlight w:val="none"/>
              </w:rPr>
            </w:r>
            <w:r/>
          </w:p>
        </w:tc>
        <w:tc>
          <w:tcPr>
            <w:tcW w:w="623"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3</w:t>
            </w:r>
            <w:r>
              <w:rPr>
                <w:rFonts w:hint="eastAsia" w:hAnsi="宋体" w:cs="宋体"/>
                <w:color w:val="000000"/>
                <w:sz w:val="22"/>
                <w:szCs w:val="22"/>
                <w:highlight w:val="none"/>
              </w:rPr>
            </w:r>
            <w:r/>
          </w:p>
        </w:tc>
        <w:tc>
          <w:tcPr>
            <w:tcW w:w="623"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w:t>
            </w:r>
            <w:r>
              <w:rPr>
                <w:rFonts w:hint="eastAsia" w:hAnsi="宋体" w:cs="宋体"/>
                <w:color w:val="000000"/>
                <w:sz w:val="22"/>
                <w:szCs w:val="22"/>
                <w:highlight w:val="none"/>
              </w:rPr>
            </w:r>
            <w:r/>
          </w:p>
        </w:tc>
        <w:tc>
          <w:tcPr>
            <w:tcW w:w="623"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gridSpan w:val="2"/>
            <w:tcW w:w="1975" w:type="dxa"/>
            <w:vAlign w:val="center"/>
            <w:textDirection w:val="lrTb"/>
            <w:noWrap w:val="false"/>
          </w:tcPr>
          <w:p>
            <w:pPr>
              <w:pStyle w:val="1042"/>
              <w:jc w:val="left"/>
              <w:rPr>
                <w:rFonts w:hint="eastAsia" w:hAnsi="宋体" w:cs="宋体"/>
                <w:color w:val="000000"/>
                <w:sz w:val="22"/>
                <w:szCs w:val="22"/>
                <w:highlight w:val="none"/>
              </w:rPr>
            </w:pPr>
            <w:r>
              <w:rPr>
                <w:rFonts w:hint="eastAsia" w:hAnsi="宋体" w:cs="宋体"/>
                <w:color w:val="000000"/>
                <w:sz w:val="22"/>
                <w:szCs w:val="22"/>
                <w:highlight w:val="none"/>
              </w:rPr>
              <w:t xml:space="preserve">备品备件(包括专用工具等)</w:t>
            </w: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gridSpan w:val="2"/>
            <w:tcW w:w="1975" w:type="dxa"/>
            <w:vAlign w:val="center"/>
            <w:textDirection w:val="lrTb"/>
            <w:noWrap w:val="false"/>
          </w:tcPr>
          <w:p>
            <w:pPr>
              <w:pStyle w:val="1042"/>
              <w:jc w:val="left"/>
              <w:rPr>
                <w:rFonts w:hint="eastAsia" w:hAnsi="宋体" w:cs="宋体"/>
                <w:color w:val="000000"/>
                <w:sz w:val="22"/>
                <w:szCs w:val="22"/>
                <w:highlight w:val="none"/>
              </w:rPr>
            </w:pPr>
            <w:r>
              <w:rPr>
                <w:rFonts w:hint="eastAsia" w:hAnsi="宋体" w:cs="宋体"/>
                <w:color w:val="000000"/>
                <w:sz w:val="22"/>
                <w:szCs w:val="22"/>
                <w:highlight w:val="none"/>
              </w:rPr>
              <w:t xml:space="preserve">耗材</w:t>
            </w: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14"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1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58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992"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gridSpan w:val="2"/>
            <w:tcW w:w="1975" w:type="dxa"/>
            <w:vAlign w:val="center"/>
            <w:textDirection w:val="lrTb"/>
            <w:noWrap w:val="false"/>
          </w:tcPr>
          <w:p>
            <w:pPr>
              <w:pStyle w:val="1042"/>
              <w:jc w:val="left"/>
              <w:rPr>
                <w:rFonts w:hint="eastAsia" w:hAnsi="宋体" w:cs="宋体"/>
                <w:color w:val="000000"/>
                <w:sz w:val="22"/>
                <w:szCs w:val="22"/>
                <w:highlight w:val="none"/>
              </w:rPr>
            </w:pPr>
            <w:r>
              <w:rPr>
                <w:rFonts w:hint="eastAsia" w:hAnsi="宋体" w:cs="宋体"/>
                <w:color w:val="000000"/>
                <w:sz w:val="22"/>
                <w:szCs w:val="22"/>
                <w:highlight w:val="none"/>
              </w:rPr>
              <w:t xml:space="preserve">货物费合计</w:t>
            </w:r>
            <w:r>
              <w:rPr>
                <w:rFonts w:hint="eastAsia" w:hAnsi="宋体" w:cs="宋体"/>
                <w:color w:val="000000"/>
                <w:sz w:val="22"/>
                <w:szCs w:val="22"/>
                <w:highlight w:val="none"/>
              </w:rPr>
            </w:r>
            <w:r/>
          </w:p>
        </w:tc>
        <w:tc>
          <w:tcPr>
            <w:gridSpan w:val="8"/>
            <w:tcW w:w="5777"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49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restart"/>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包装</w:t>
            </w:r>
            <w:r>
              <w:rPr>
                <w:rFonts w:hint="eastAsia" w:hAnsi="宋体" w:cs="宋体"/>
                <w:color w:val="000000"/>
                <w:sz w:val="22"/>
                <w:szCs w:val="22"/>
                <w:highlight w:val="none"/>
              </w:rPr>
            </w:r>
            <w:r/>
          </w:p>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运输</w:t>
            </w:r>
            <w:r>
              <w:rPr>
                <w:rFonts w:hint="eastAsia" w:hAnsi="宋体" w:cs="宋体"/>
                <w:color w:val="000000"/>
                <w:sz w:val="22"/>
                <w:szCs w:val="22"/>
                <w:highlight w:val="none"/>
              </w:rPr>
            </w:r>
            <w:r/>
          </w:p>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费</w:t>
            </w: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包装费</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restart"/>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安装调试费</w:t>
            </w: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安装费</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运输费</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调试费</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装卸费</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保险费</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小计</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restart"/>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售后服务费</w:t>
            </w: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培训费</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小计</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技术服务费</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restart"/>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其他</w:t>
            </w:r>
            <w:r>
              <w:rPr>
                <w:rFonts w:hint="eastAsia" w:hAnsi="宋体" w:cs="宋体"/>
                <w:color w:val="000000"/>
                <w:sz w:val="22"/>
                <w:szCs w:val="22"/>
                <w:highlight w:val="none"/>
              </w:rPr>
            </w:r>
            <w:r/>
          </w:p>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费用</w:t>
            </w: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代理费</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r>
        <w:trPr/>
        <w:tc>
          <w:tcPr>
            <w:tcW w:w="455"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1900"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小计</w:t>
            </w:r>
            <w:r>
              <w:rPr>
                <w:rFonts w:hint="eastAsia" w:hAnsi="宋体" w:cs="宋体"/>
                <w:color w:val="000000"/>
                <w:sz w:val="22"/>
                <w:szCs w:val="22"/>
                <w:highlight w:val="none"/>
              </w:rPr>
            </w:r>
            <w:r/>
          </w:p>
        </w:tc>
        <w:tc>
          <w:tcPr>
            <w:gridSpan w:val="3"/>
            <w:tcW w:w="2018"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tcW w:w="271" w:type="dxa"/>
            <w:vAlign w:val="center"/>
            <w:vMerge w:val="continue"/>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c>
          <w:tcPr>
            <w:gridSpan w:val="2"/>
            <w:tcW w:w="2009"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t xml:space="preserve">小计</w:t>
            </w:r>
            <w:r>
              <w:rPr>
                <w:rFonts w:hint="eastAsia" w:hAnsi="宋体" w:cs="宋体"/>
                <w:color w:val="000000"/>
                <w:sz w:val="22"/>
                <w:szCs w:val="22"/>
                <w:highlight w:val="none"/>
              </w:rPr>
            </w:r>
            <w:r/>
          </w:p>
        </w:tc>
        <w:tc>
          <w:tcPr>
            <w:gridSpan w:val="3"/>
            <w:tcW w:w="1905" w:type="dxa"/>
            <w:vAlign w:val="center"/>
            <w:textDirection w:val="lrTb"/>
            <w:noWrap w:val="false"/>
          </w:tcPr>
          <w:p>
            <w:pPr>
              <w:pStyle w:val="1042"/>
              <w:jc w:val="center"/>
              <w:rPr>
                <w:rFonts w:hint="eastAsia" w:hAnsi="宋体" w:cs="宋体"/>
                <w:color w:val="000000"/>
                <w:sz w:val="22"/>
                <w:szCs w:val="22"/>
                <w:highlight w:val="none"/>
              </w:rPr>
            </w:pPr>
            <w:r>
              <w:rPr>
                <w:rFonts w:hint="eastAsia" w:hAnsi="宋体" w:cs="宋体"/>
                <w:color w:val="000000"/>
                <w:sz w:val="22"/>
                <w:szCs w:val="22"/>
                <w:highlight w:val="none"/>
              </w:rPr>
            </w:r>
            <w:r/>
          </w:p>
        </w:tc>
      </w:tr>
    </w:tbl>
    <w:p>
      <w:pPr>
        <w:pStyle w:val="1013"/>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1.本项目总价及分项报价均不接受任何形式的赠送、“零”报价和折扣报价。</w:t>
      </w:r>
      <w:r>
        <w:rPr>
          <w:rFonts w:hint="eastAsia" w:ascii="宋体" w:hAnsi="宋体" w:cs="宋体"/>
          <w:color w:val="000000"/>
          <w:highlight w:val="none"/>
        </w:rPr>
      </w:r>
      <w:r/>
    </w:p>
    <w:p>
      <w:pPr>
        <w:pStyle w:val="101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2.如报价不一致，按照投标人须知“27.4”进行修正。</w:t>
      </w:r>
      <w:r>
        <w:rPr>
          <w:rFonts w:hint="eastAsia" w:ascii="宋体" w:hAnsi="宋体" w:cs="宋体"/>
          <w:color w:val="000000"/>
          <w:highlight w:val="none"/>
        </w:rPr>
      </w:r>
      <w:r/>
    </w:p>
    <w:p>
      <w:pPr>
        <w:pStyle w:val="1013"/>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3.本表为参考格式，可扩展。</w:t>
      </w:r>
      <w:r>
        <w:rPr>
          <w:rFonts w:hint="eastAsia" w:ascii="宋体" w:hAnsi="宋体" w:cs="宋体"/>
          <w:color w:val="000000"/>
          <w:highlight w:val="none"/>
        </w:rPr>
      </w:r>
      <w:r/>
    </w:p>
    <w:p>
      <w:pPr>
        <w:pStyle w:val="1013"/>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3"/>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投标人全称（加盖公章）：</w:t>
      </w:r>
      <w:r>
        <w:rPr>
          <w:rFonts w:hint="eastAsia" w:ascii="宋体" w:hAnsi="宋体" w:cs="宋体"/>
          <w:color w:val="000000"/>
          <w:highlight w:val="none"/>
        </w:rPr>
      </w:r>
      <w:r/>
    </w:p>
    <w:p>
      <w:pPr>
        <w:pStyle w:val="1013"/>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法人或授权代表（签章或签字）:</w:t>
      </w:r>
      <w:r>
        <w:rPr>
          <w:rFonts w:hint="eastAsia" w:ascii="宋体" w:hAnsi="宋体" w:cs="宋体"/>
          <w:color w:val="000000"/>
          <w:highlight w:val="none"/>
        </w:rPr>
      </w:r>
      <w:r/>
    </w:p>
    <w:p>
      <w:pPr>
        <w:pStyle w:val="1013"/>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13"/>
        <w:spacing w:line="360" w:lineRule="auto"/>
        <w:rPr>
          <w:rFonts w:ascii="宋体" w:hAnsi="宋体" w:cs="宋体"/>
          <w:b/>
          <w:bCs/>
          <w:color w:val="000000"/>
          <w:sz w:val="28"/>
          <w:szCs w:val="28"/>
          <w:highlight w:val="none"/>
        </w:rPr>
        <w:outlineLvl w:val="1"/>
      </w:pPr>
      <w:r>
        <w:rPr>
          <w:rFonts w:hint="eastAsia" w:ascii="宋体" w:hAnsi="宋体" w:cs="宋体"/>
          <w:color w:val="000000"/>
          <w:highlight w:val="none"/>
        </w:rPr>
        <w:br w:type="page" w:clear="all"/>
      </w:r>
      <w:bookmarkStart w:id="661" w:name="_Toc6422"/>
      <w:r>
        <w:rPr>
          <w:rFonts w:hint="eastAsia" w:ascii="黑体" w:hAnsi="黑体" w:eastAsia="黑体" w:cs="黑体"/>
          <w:color w:val="000000"/>
          <w:sz w:val="32"/>
          <w:szCs w:val="32"/>
          <w:highlight w:val="none"/>
        </w:rPr>
        <w:t xml:space="preserve">十六、</w:t>
      </w:r>
      <w:r>
        <w:rPr>
          <w:rFonts w:hint="eastAsia" w:ascii="黑体" w:hAnsi="黑体" w:eastAsia="黑体" w:cs="黑体"/>
          <w:color w:val="000000"/>
          <w:sz w:val="32"/>
          <w:szCs w:val="32"/>
          <w:highlight w:val="none"/>
          <w:lang w:val="en-US" w:eastAsia="zh-CN"/>
        </w:rPr>
        <w:t xml:space="preserve">拟投入服务</w:t>
      </w:r>
      <w:r>
        <w:rPr>
          <w:rFonts w:hint="eastAsia" w:ascii="黑体" w:hAnsi="黑体" w:eastAsia="黑体" w:cs="黑体"/>
          <w:color w:val="000000"/>
          <w:sz w:val="32"/>
          <w:szCs w:val="32"/>
          <w:highlight w:val="none"/>
        </w:rPr>
        <w:t xml:space="preserve">说明一览表</w:t>
      </w:r>
      <w:bookmarkEnd w:id="661"/>
      <w:r>
        <w:rPr>
          <w:rFonts w:ascii="宋体" w:hAnsi="宋体" w:cs="宋体"/>
          <w:b/>
          <w:bCs/>
          <w:color w:val="000000"/>
          <w:sz w:val="28"/>
          <w:szCs w:val="28"/>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黑体" w:hAnsi="黑体" w:eastAsia="黑体" w:cs="黑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京东数字商贸产业学院二期项目AI丝路电商实训平台项目</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u w:val="single"/>
        </w:rPr>
      </w:pPr>
      <w:r>
        <w:rPr>
          <w:rFonts w:hint="eastAsia" w:ascii="黑体" w:hAnsi="黑体" w:eastAsia="黑体" w:cs="黑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JSZC-320000-JSQC-G2026-0032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13"/>
        <w:ind w:firstLine="480"/>
        <w:jc w:val="left"/>
        <w:spacing w:line="360" w:lineRule="auto"/>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价格单位：</w:t>
      </w:r>
      <w:r>
        <w:rPr>
          <w:rFonts w:hint="eastAsia" w:ascii="宋体" w:hAnsi="宋体" w:cs="宋体"/>
          <w:color w:val="000000"/>
          <w:sz w:val="24"/>
          <w:szCs w:val="24"/>
          <w:highlight w:val="none"/>
        </w:rPr>
        <w:t xml:space="preserve">人民币/元</w:t>
      </w:r>
      <w:r>
        <w:rPr>
          <w:rFonts w:ascii="宋体" w:hAnsi="宋体" w:cs="宋体"/>
          <w:color w:val="000000"/>
          <w:sz w:val="24"/>
          <w:szCs w:val="24"/>
          <w:highlight w:val="none"/>
        </w:rPr>
      </w:r>
      <w:r/>
    </w:p>
    <w:tbl>
      <w:tblPr>
        <w:tblW w:w="47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222"/>
        <w:gridCol w:w="1432"/>
        <w:gridCol w:w="1222"/>
        <w:gridCol w:w="2930"/>
        <w:gridCol w:w="1066"/>
      </w:tblGrid>
      <w:tr>
        <w:trPr>
          <w:trHeight w:val="468"/>
        </w:trPr>
        <w:tc>
          <w:tcPr>
            <w:tcW w:w="463"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rPr>
              <w:t xml:space="preserve">名称</w:t>
            </w:r>
            <w:r>
              <w:rPr>
                <w:rFonts w:hint="eastAsia" w:ascii="黑体" w:hAnsi="黑体" w:eastAsia="黑体" w:cs="黑体"/>
                <w:color w:val="000000"/>
                <w:sz w:val="24"/>
                <w:szCs w:val="24"/>
                <w:highlight w:val="none"/>
              </w:rPr>
            </w:r>
            <w:r/>
          </w:p>
        </w:tc>
        <w:tc>
          <w:tcPr>
            <w:tcW w:w="825"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制造商名称</w:t>
            </w:r>
            <w:r>
              <w:rPr>
                <w:rFonts w:hint="eastAsia" w:ascii="黑体" w:hAnsi="黑体" w:eastAsia="黑体" w:cs="黑体"/>
                <w:color w:val="000000"/>
                <w:sz w:val="24"/>
                <w:szCs w:val="24"/>
                <w:highlight w:val="none"/>
              </w:rPr>
            </w:r>
            <w:r/>
          </w:p>
        </w:tc>
        <w:tc>
          <w:tcPr>
            <w:tcW w:w="704"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型号规格</w:t>
            </w:r>
            <w:r>
              <w:rPr>
                <w:rFonts w:hint="eastAsia" w:ascii="黑体" w:hAnsi="黑体" w:eastAsia="黑体" w:cs="黑体"/>
                <w:color w:val="000000"/>
                <w:sz w:val="24"/>
                <w:szCs w:val="24"/>
                <w:highlight w:val="none"/>
              </w:rPr>
            </w:r>
            <w:r/>
          </w:p>
        </w:tc>
        <w:tc>
          <w:tcPr>
            <w:tcW w:w="1688"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主要技术参数和技术指标</w:t>
            </w:r>
            <w:r>
              <w:rPr>
                <w:rFonts w:hint="eastAsia" w:ascii="黑体" w:hAnsi="黑体" w:eastAsia="黑体" w:cs="黑体"/>
                <w:color w:val="000000"/>
                <w:sz w:val="24"/>
                <w:szCs w:val="24"/>
                <w:highlight w:val="none"/>
              </w:rPr>
            </w:r>
            <w:r/>
          </w:p>
        </w:tc>
        <w:tc>
          <w:tcPr>
            <w:tcW w:w="614" w:type="dxa"/>
            <w:vAlign w:val="center"/>
            <w:textDirection w:val="lrTb"/>
            <w:noWrap w:val="false"/>
          </w:tcPr>
          <w:p>
            <w:pPr>
              <w:pStyle w:val="1013"/>
              <w:jc w:val="center"/>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黑体" w:hAnsi="黑体" w:eastAsia="黑体" w:cs="黑体"/>
                <w:color w:val="000000"/>
                <w:sz w:val="24"/>
                <w:szCs w:val="24"/>
                <w:highlight w:val="none"/>
              </w:rPr>
            </w:r>
            <w:r/>
          </w:p>
        </w:tc>
      </w:tr>
      <w:tr>
        <w:trPr>
          <w:trHeight w:val="416"/>
        </w:trPr>
        <w:tc>
          <w:tcPr>
            <w:tcW w:w="463" w:type="dxa"/>
            <w:vAlign w:val="center"/>
            <w:textDirection w:val="lrTb"/>
            <w:noWrap w:val="false"/>
          </w:tcPr>
          <w:p>
            <w:pPr>
              <w:pStyle w:val="1013"/>
              <w:jc w:val="center"/>
              <w:spacing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line="360" w:lineRule="auto"/>
              <w:rPr>
                <w:rFonts w:hint="eastAsia"/>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r>
      <w:tr>
        <w:trPr>
          <w:trHeight w:val="416"/>
        </w:trPr>
        <w:tc>
          <w:tcPr>
            <w:tcW w:w="463" w:type="dxa"/>
            <w:vAlign w:val="center"/>
            <w:textDirection w:val="lrTb"/>
            <w:noWrap w:val="false"/>
          </w:tcPr>
          <w:p>
            <w:pPr>
              <w:pStyle w:val="1013"/>
              <w:jc w:val="center"/>
              <w:spacing w:line="360" w:lineRule="auto"/>
              <w:rPr>
                <w:rFonts w:hint="eastAsia"/>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r>
      <w:tr>
        <w:trPr>
          <w:trHeight w:val="478"/>
        </w:trPr>
        <w:tc>
          <w:tcPr>
            <w:tcW w:w="463" w:type="dxa"/>
            <w:vAlign w:val="center"/>
            <w:textDirection w:val="lrTb"/>
            <w:noWrap w:val="false"/>
          </w:tcPr>
          <w:p>
            <w:pPr>
              <w:pStyle w:val="1013"/>
              <w:jc w:val="center"/>
              <w:spacing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825"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70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1688"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c>
          <w:tcPr>
            <w:tcW w:w="614" w:type="dxa"/>
            <w:vAlign w:val="center"/>
            <w:textDirection w:val="lrTb"/>
            <w:noWrap w:val="false"/>
          </w:tcPr>
          <w:p>
            <w:pPr>
              <w:pStyle w:val="1013"/>
              <w:jc w:val="center"/>
              <w:spacing w:line="360" w:lineRule="auto"/>
              <w:rPr>
                <w:color w:val="000000"/>
                <w:sz w:val="24"/>
                <w:szCs w:val="24"/>
                <w:highlight w:val="none"/>
              </w:rPr>
            </w:pPr>
            <w:r>
              <w:rPr>
                <w:color w:val="000000"/>
                <w:sz w:val="24"/>
                <w:szCs w:val="24"/>
                <w:highlight w:val="none"/>
              </w:rPr>
            </w:r>
            <w:r/>
          </w:p>
        </w:tc>
      </w:tr>
    </w:tbl>
    <w:p>
      <w:pPr>
        <w:pStyle w:val="1013"/>
        <w:ind w:firstLine="480"/>
        <w:spacing w:line="360" w:lineRule="auto"/>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rPr>
        <w:t xml:space="preserve">主要技术参数和技术指标可另页描述。</w:t>
      </w:r>
      <w:r>
        <w:rPr>
          <w:rFonts w:ascii="宋体" w:hAnsi="宋体" w:cs="宋体"/>
          <w:color w:val="000000"/>
          <w:sz w:val="24"/>
          <w:szCs w:val="24"/>
          <w:highlight w:val="none"/>
        </w:rPr>
      </w:r>
      <w:r/>
    </w:p>
    <w:p>
      <w:pPr>
        <w:pStyle w:val="1013"/>
        <w:ind w:firstLine="480"/>
        <w:rPr>
          <w:color w:val="000000"/>
          <w:sz w:val="24"/>
          <w:szCs w:val="24"/>
          <w:highlight w:val="none"/>
        </w:rPr>
      </w:pPr>
      <w:r>
        <w:rPr>
          <w:color w:val="000000"/>
          <w:sz w:val="24"/>
          <w:szCs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投标人全称（加盖公章）：</w:t>
      </w: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法人或授权代表（签章或签字）:</w:t>
      </w: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1013"/>
        <w:jc w:val="left"/>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13"/>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39"/>
        <w:ind w:left="0"/>
        <w:rPr>
          <w:rFonts w:hint="eastAsia" w:ascii="宋体" w:hAnsi="宋体" w:cs="宋体"/>
          <w:color w:val="000000"/>
          <w:highlight w:val="none"/>
        </w:rPr>
      </w:pPr>
      <w:r>
        <w:rPr>
          <w:rFonts w:hint="eastAsia" w:ascii="宋体" w:hAnsi="宋体" w:cs="宋体"/>
          <w:color w:val="000000"/>
          <w:highlight w:val="none"/>
        </w:rPr>
      </w:r>
      <w:r/>
    </w:p>
    <w:p>
      <w:pPr>
        <w:pStyle w:val="1015"/>
        <w:jc w:val="both"/>
        <w:spacing w:before="0" w:after="100"/>
        <w:rPr>
          <w:rFonts w:hint="eastAsia" w:ascii="宋体" w:hAnsi="宋体" w:eastAsia="宋体" w:cs="宋体"/>
          <w:iCs/>
          <w:color w:val="000000"/>
          <w:sz w:val="32"/>
          <w:szCs w:val="32"/>
          <w:highlight w:val="none"/>
        </w:rPr>
      </w:pPr>
      <w:r/>
      <w:bookmarkStart w:id="662" w:name="_Toc5442"/>
      <w:r/>
      <w:bookmarkStart w:id="663" w:name="_Toc18326"/>
      <w:r>
        <w:rPr>
          <w:rFonts w:hint="eastAsia" w:ascii="黑体" w:hAnsi="黑体" w:eastAsia="黑体" w:cs="黑体"/>
          <w:iCs/>
          <w:color w:val="000000"/>
          <w:sz w:val="32"/>
          <w:szCs w:val="32"/>
          <w:highlight w:val="none"/>
        </w:rPr>
        <w:br w:type="page" w:clear="all"/>
      </w:r>
      <w:bookmarkStart w:id="664" w:name="_Toc21608"/>
      <w:r>
        <w:rPr>
          <w:rFonts w:hint="eastAsia" w:ascii="黑体" w:hAnsi="黑体" w:eastAsia="黑体" w:cs="黑体"/>
          <w:iCs/>
          <w:color w:val="000000"/>
          <w:sz w:val="32"/>
          <w:szCs w:val="32"/>
          <w:highlight w:val="none"/>
        </w:rPr>
        <w:t xml:space="preserve">十七、技术要求响应及偏离表</w:t>
      </w:r>
      <w:bookmarkEnd w:id="662"/>
      <w:r/>
      <w:bookmarkEnd w:id="663"/>
      <w:r/>
      <w:bookmarkEnd w:id="664"/>
      <w:r>
        <w:rPr>
          <w:rFonts w:hint="eastAsia" w:ascii="宋体" w:hAnsi="宋体" w:eastAsia="宋体" w:cs="宋体"/>
          <w:iCs/>
          <w:color w:val="000000"/>
          <w:sz w:val="32"/>
          <w:szCs w:val="32"/>
          <w:highlight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3104"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招标文件要求</w:t>
            </w:r>
            <w:r>
              <w:rPr>
                <w:rFonts w:hint="eastAsia" w:ascii="黑体" w:hAnsi="黑体" w:eastAsia="黑体" w:cs="黑体"/>
                <w:color w:val="000000"/>
                <w:sz w:val="24"/>
                <w:szCs w:val="24"/>
                <w:highlight w:val="none"/>
              </w:rPr>
            </w:r>
            <w:r/>
          </w:p>
        </w:tc>
        <w:tc>
          <w:tcPr>
            <w:tcW w:w="2880"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投标响应情况</w:t>
            </w:r>
            <w:r>
              <w:rPr>
                <w:rFonts w:hint="eastAsia" w:ascii="黑体" w:hAnsi="黑体" w:eastAsia="黑体" w:cs="黑体"/>
                <w:color w:val="000000"/>
                <w:sz w:val="24"/>
                <w:szCs w:val="24"/>
                <w:highlight w:val="none"/>
              </w:rPr>
            </w:r>
            <w:r/>
          </w:p>
        </w:tc>
        <w:tc>
          <w:tcPr>
            <w:tcW w:w="2226"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满足、正或负偏离</w:t>
            </w:r>
            <w:r>
              <w:rPr>
                <w:rFonts w:hint="eastAsia" w:ascii="黑体" w:hAnsi="黑体" w:eastAsia="黑体" w:cs="黑体"/>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10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80"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10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80"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10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80"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64"/>
        </w:trPr>
        <w:tc>
          <w:tcPr>
            <w:tcW w:w="76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10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880"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1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 行数不够，可自行添加。</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请投标人针对招标文件“第四章采购需求/一、技术要求/（二）具体技术要求中的2、建设需求和4、配置技术指标”进行响应。</w:t>
      </w:r>
      <w:r>
        <w:rPr>
          <w:rFonts w:hint="eastAsia" w:ascii="宋体" w:hAnsi="宋体" w:cs="宋体"/>
          <w:color w:val="000000"/>
          <w:sz w:val="24"/>
          <w:szCs w:val="24"/>
          <w:highlight w:val="none"/>
        </w:rPr>
      </w:r>
      <w:r/>
    </w:p>
    <w:p>
      <w:pPr>
        <w:pStyle w:val="1013"/>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法人或授权代表（签章或签字）:</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1076"/>
        <w:ind w:firstLine="400"/>
        <w:rPr>
          <w:rFonts w:hint="eastAsia" w:ascii="宋体" w:hAnsi="宋体" w:cs="宋体"/>
          <w:color w:val="000000"/>
          <w:highlight w:val="none"/>
        </w:rPr>
      </w:pPr>
      <w:r>
        <w:rPr>
          <w:rFonts w:hint="eastAsia" w:ascii="宋体" w:hAnsi="宋体" w:cs="宋体"/>
          <w:color w:val="000000"/>
          <w:highlight w:val="none"/>
        </w:rPr>
      </w:r>
      <w:r/>
    </w:p>
    <w:p>
      <w:pPr>
        <w:pStyle w:val="1015"/>
        <w:jc w:val="both"/>
        <w:spacing w:before="0" w:after="100"/>
        <w:rPr>
          <w:rFonts w:hint="eastAsia" w:ascii="黑体" w:hAnsi="黑体" w:eastAsia="黑体" w:cs="黑体"/>
          <w:iCs/>
          <w:color w:val="000000"/>
          <w:sz w:val="32"/>
          <w:szCs w:val="32"/>
          <w:highlight w:val="none"/>
        </w:rPr>
      </w:pPr>
      <w:r/>
      <w:bookmarkEnd w:id="614"/>
      <w:r/>
      <w:bookmarkStart w:id="665" w:name="_Hlt26955054"/>
      <w:r/>
      <w:bookmarkEnd w:id="665"/>
      <w:r/>
      <w:bookmarkStart w:id="666" w:name="_Toc2858"/>
      <w:r>
        <w:rPr>
          <w:rFonts w:hint="eastAsia" w:ascii="黑体" w:hAnsi="黑体" w:eastAsia="黑体" w:cs="黑体"/>
          <w:iCs/>
          <w:color w:val="000000"/>
          <w:sz w:val="32"/>
          <w:szCs w:val="32"/>
          <w:highlight w:val="none"/>
        </w:rPr>
        <w:br w:type="page" w:clear="all"/>
      </w:r>
      <w:bookmarkStart w:id="667" w:name="_Toc24197"/>
      <w:r/>
      <w:bookmarkStart w:id="668" w:name="_Toc29937"/>
      <w:r>
        <w:rPr>
          <w:rFonts w:hint="eastAsia" w:ascii="黑体" w:hAnsi="黑体" w:eastAsia="黑体" w:cs="黑体"/>
          <w:iCs/>
          <w:color w:val="000000"/>
          <w:sz w:val="32"/>
          <w:szCs w:val="32"/>
          <w:highlight w:val="none"/>
        </w:rPr>
        <w:t xml:space="preserve">十八、商务要求响应及偏离表</w:t>
      </w:r>
      <w:bookmarkEnd w:id="666"/>
      <w:r/>
      <w:bookmarkEnd w:id="667"/>
      <w:r/>
      <w:bookmarkEnd w:id="668"/>
      <w:r>
        <w:rPr>
          <w:rFonts w:hint="eastAsia" w:ascii="黑体" w:hAnsi="黑体" w:eastAsia="黑体" w:cs="黑体"/>
          <w:iCs/>
          <w:color w:val="000000"/>
          <w:sz w:val="32"/>
          <w:szCs w:val="32"/>
          <w:highlight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013"/>
              <w:jc w:val="center"/>
              <w:rPr>
                <w:rFonts w:hint="eastAsia" w:ascii="黑体" w:hAnsi="黑体" w:eastAsia="黑体" w:cs="黑体"/>
                <w:color w:val="000000"/>
                <w:sz w:val="24"/>
                <w:szCs w:val="24"/>
                <w:highlight w:val="none"/>
              </w:rPr>
            </w:pPr>
            <w:r/>
            <w:bookmarkStart w:id="669" w:name="_Hlt26955056"/>
            <w:r/>
            <w:bookmarkEnd w:id="669"/>
            <w:r/>
            <w:bookmarkStart w:id="670" w:name="_Hlt26955064"/>
            <w:r/>
            <w:bookmarkEnd w:id="670"/>
            <w:r/>
            <w:bookmarkStart w:id="671" w:name="_Hlt26580838"/>
            <w:r/>
            <w:bookmarkEnd w:id="671"/>
            <w:r/>
            <w:bookmarkStart w:id="672" w:name="_Hlt26782999"/>
            <w:r/>
            <w:bookmarkEnd w:id="672"/>
            <w:r/>
            <w:bookmarkStart w:id="673" w:name="_Hlt26609391"/>
            <w:r/>
            <w:bookmarkEnd w:id="673"/>
            <w:r/>
            <w:bookmarkStart w:id="674" w:name="_Hlt26671343"/>
            <w:r/>
            <w:bookmarkEnd w:id="674"/>
            <w:r/>
            <w:bookmarkStart w:id="675" w:name="_Hlt24879081"/>
            <w:r/>
            <w:bookmarkEnd w:id="675"/>
            <w:r/>
            <w:bookmarkStart w:id="676" w:name="_Hlt26671372"/>
            <w:r/>
            <w:bookmarkEnd w:id="676"/>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2403"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招标文件要求</w:t>
            </w:r>
            <w:r>
              <w:rPr>
                <w:rFonts w:hint="eastAsia" w:ascii="黑体" w:hAnsi="黑体" w:eastAsia="黑体" w:cs="黑体"/>
                <w:color w:val="000000"/>
                <w:sz w:val="24"/>
                <w:szCs w:val="24"/>
                <w:highlight w:val="none"/>
              </w:rPr>
            </w:r>
            <w:r/>
          </w:p>
        </w:tc>
        <w:tc>
          <w:tcPr>
            <w:tcW w:w="2892"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投标响应情况</w:t>
            </w:r>
            <w:r>
              <w:rPr>
                <w:rFonts w:hint="eastAsia" w:ascii="黑体" w:hAnsi="黑体" w:eastAsia="黑体" w:cs="黑体"/>
                <w:color w:val="000000"/>
                <w:sz w:val="24"/>
                <w:szCs w:val="24"/>
                <w:highlight w:val="none"/>
              </w:rPr>
            </w:r>
            <w:r/>
          </w:p>
        </w:tc>
        <w:tc>
          <w:tcPr>
            <w:tcW w:w="2523"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满足、正或负偏离</w:t>
            </w:r>
            <w:r>
              <w:rPr>
                <w:rFonts w:hint="eastAsia" w:ascii="黑体" w:hAnsi="黑体" w:eastAsia="黑体" w:cs="黑体"/>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9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2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9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2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9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2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978"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9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2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1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 行数不够，可自行添加。</w:t>
      </w:r>
      <w:r>
        <w:rPr>
          <w:rFonts w:hint="eastAsia" w:ascii="宋体" w:hAnsi="宋体" w:cs="宋体"/>
          <w:color w:val="000000"/>
          <w:sz w:val="24"/>
          <w:szCs w:val="24"/>
          <w:highlight w:val="none"/>
        </w:rPr>
      </w:r>
      <w:r/>
    </w:p>
    <w:p>
      <w:pPr>
        <w:pStyle w:val="10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请投标人针对</w:t>
      </w:r>
      <w:r>
        <w:rPr>
          <w:rFonts w:hint="eastAsia" w:ascii="宋体" w:hAnsi="宋体" w:cs="宋体"/>
          <w:color w:val="000000"/>
          <w:sz w:val="22"/>
          <w:szCs w:val="22"/>
          <w:highlight w:val="none"/>
        </w:rPr>
        <w:t xml:space="preserve">除去</w:t>
      </w:r>
      <w:r>
        <w:rPr>
          <w:rFonts w:hint="eastAsia" w:ascii="宋体" w:hAnsi="宋体" w:cs="宋体"/>
          <w:color w:val="000000"/>
          <w:sz w:val="24"/>
          <w:szCs w:val="24"/>
          <w:highlight w:val="none"/>
        </w:rPr>
        <w:t xml:space="preserve">招标文件“第四章采购需求/一、技术要求/（二）具体技术要求中的2、建设需求和4、配置技术指标”的其他内容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cs="宋体"/>
          <w:color w:val="000000"/>
          <w:sz w:val="24"/>
          <w:szCs w:val="24"/>
          <w:highlight w:val="none"/>
        </w:rPr>
      </w:r>
      <w:r/>
    </w:p>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投标人全称（加盖公章）：</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法人或授权代表（签章或签字）:</w:t>
      </w:r>
      <w:r>
        <w:rPr>
          <w:rFonts w:hint="eastAsia" w:ascii="宋体" w:hAnsi="宋体" w:cs="宋体"/>
          <w:color w:val="000000"/>
          <w:sz w:val="24"/>
          <w:szCs w:val="24"/>
          <w:highlight w:val="none"/>
        </w:rPr>
      </w:r>
      <w:r/>
    </w:p>
    <w:p>
      <w:pPr>
        <w:pStyle w:val="101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1076"/>
        <w:ind w:firstLine="0"/>
        <w:rPr>
          <w:rFonts w:hint="eastAsia" w:ascii="宋体" w:hAnsi="宋体" w:cs="宋体"/>
          <w:color w:val="000000"/>
          <w:highlight w:val="none"/>
        </w:rPr>
      </w:pPr>
      <w:r>
        <w:rPr>
          <w:rFonts w:hint="eastAsia" w:ascii="宋体" w:hAnsi="宋体" w:cs="宋体"/>
          <w:color w:val="000000"/>
          <w:highlight w:val="none"/>
        </w:rPr>
      </w:r>
      <w:r/>
    </w:p>
    <w:p>
      <w:pPr>
        <w:pStyle w:val="1015"/>
        <w:jc w:val="both"/>
        <w:spacing w:before="0" w:after="100"/>
        <w:rPr>
          <w:rFonts w:hint="eastAsia" w:ascii="黑体" w:hAnsi="黑体" w:eastAsia="黑体" w:cs="黑体"/>
          <w:iCs/>
          <w:color w:val="000000"/>
          <w:sz w:val="32"/>
          <w:szCs w:val="32"/>
          <w:highlight w:val="none"/>
        </w:rPr>
      </w:pPr>
      <w:r/>
      <w:bookmarkStart w:id="677" w:name="_Hlt26955066"/>
      <w:r/>
      <w:bookmarkEnd w:id="677"/>
      <w:r/>
      <w:bookmarkStart w:id="678" w:name="_格式2__法定代表人授权书"/>
      <w:r/>
      <w:bookmarkEnd w:id="678"/>
      <w:r/>
      <w:bookmarkStart w:id="679" w:name="_Hlt26671374"/>
      <w:r/>
      <w:bookmarkEnd w:id="679"/>
      <w:r/>
      <w:bookmarkStart w:id="680" w:name="_Hlt26609389"/>
      <w:r/>
      <w:bookmarkEnd w:id="680"/>
      <w:r>
        <w:rPr>
          <w:rFonts w:hint="eastAsia" w:ascii="黑体" w:hAnsi="黑体" w:eastAsia="黑体" w:cs="黑体"/>
          <w:iCs/>
          <w:color w:val="000000"/>
          <w:sz w:val="32"/>
          <w:szCs w:val="32"/>
          <w:highlight w:val="none"/>
        </w:rPr>
        <w:br w:type="page" w:clear="all"/>
      </w:r>
      <w:bookmarkStart w:id="681" w:name="_Toc9206"/>
      <w:r/>
      <w:bookmarkStart w:id="682" w:name="_Toc15760"/>
      <w:r>
        <w:rPr>
          <w:rFonts w:hint="eastAsia" w:ascii="黑体" w:hAnsi="黑体" w:eastAsia="黑体" w:cs="黑体"/>
          <w:iCs/>
          <w:color w:val="000000"/>
          <w:sz w:val="32"/>
          <w:szCs w:val="32"/>
          <w:highlight w:val="none"/>
        </w:rPr>
        <w:t xml:space="preserve">十九、其他证明文件</w:t>
      </w:r>
      <w:bookmarkEnd w:id="681"/>
      <w:r/>
      <w:bookmarkEnd w:id="682"/>
      <w:r>
        <w:rPr>
          <w:rFonts w:hint="eastAsia" w:ascii="黑体" w:hAnsi="黑体" w:eastAsia="黑体" w:cs="黑体"/>
          <w:iCs/>
          <w:color w:val="000000"/>
          <w:sz w:val="32"/>
          <w:szCs w:val="32"/>
          <w:highlight w:val="none"/>
        </w:rPr>
      </w:r>
      <w:r/>
    </w:p>
    <w:p>
      <w:pPr>
        <w:pStyle w:val="1013"/>
        <w:jc w:val="center"/>
        <w:spacing w:line="360" w:lineRule="auto"/>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经营业绩（参考格式）</w:t>
      </w:r>
      <w:r>
        <w:rPr>
          <w:rFonts w:hint="eastAsia" w:ascii="黑体" w:hAnsi="黑体" w:eastAsia="黑体" w:cs="黑体"/>
          <w:color w:val="000000"/>
          <w:sz w:val="28"/>
          <w:szCs w:val="28"/>
          <w:highlight w:val="none"/>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525"/>
        <w:gridCol w:w="1462"/>
        <w:gridCol w:w="1725"/>
        <w:gridCol w:w="1805"/>
        <w:gridCol w:w="2026"/>
      </w:tblGrid>
      <w:tr>
        <w:trPr>
          <w:trHeight w:val="417"/>
        </w:trPr>
        <w:tc>
          <w:tcPr>
            <w:tcW w:w="733"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1525"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项目名称</w:t>
            </w:r>
            <w:r>
              <w:rPr>
                <w:rFonts w:hint="eastAsia" w:ascii="黑体" w:hAnsi="黑体" w:eastAsia="黑体" w:cs="黑体"/>
                <w:color w:val="000000"/>
                <w:sz w:val="24"/>
                <w:szCs w:val="24"/>
                <w:highlight w:val="none"/>
              </w:rPr>
            </w:r>
            <w:r/>
          </w:p>
        </w:tc>
        <w:tc>
          <w:tcPr>
            <w:tcW w:w="1462"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采购单位</w:t>
            </w:r>
            <w:r>
              <w:rPr>
                <w:rFonts w:hint="eastAsia" w:ascii="黑体" w:hAnsi="黑体" w:eastAsia="黑体" w:cs="黑体"/>
                <w:color w:val="000000"/>
                <w:sz w:val="24"/>
                <w:szCs w:val="24"/>
                <w:highlight w:val="none"/>
              </w:rPr>
            </w:r>
            <w:r/>
          </w:p>
        </w:tc>
        <w:tc>
          <w:tcPr>
            <w:tcW w:w="1725" w:type="dxa"/>
            <w:vAlign w:val="center"/>
            <w:textDirection w:val="lrTb"/>
            <w:noWrap w:val="false"/>
          </w:tcPr>
          <w:p>
            <w:pPr>
              <w:pStyle w:val="1013"/>
              <w:jc w:val="center"/>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合同主要内容</w:t>
            </w:r>
            <w:r>
              <w:rPr>
                <w:rFonts w:hint="eastAsia" w:ascii="黑体" w:hAnsi="黑体" w:eastAsia="黑体" w:cs="黑体"/>
                <w:color w:val="000000"/>
                <w:sz w:val="24"/>
                <w:szCs w:val="24"/>
                <w:highlight w:val="none"/>
              </w:rPr>
            </w:r>
            <w:r/>
          </w:p>
        </w:tc>
        <w:tc>
          <w:tcPr>
            <w:tcW w:w="1805" w:type="dxa"/>
            <w:vAlign w:val="center"/>
            <w:textDirection w:val="lrTb"/>
            <w:noWrap w:val="false"/>
          </w:tcPr>
          <w:p>
            <w:pPr>
              <w:pStyle w:val="1013"/>
              <w:jc w:val="center"/>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合同签订时间</w:t>
            </w:r>
            <w:r>
              <w:rPr>
                <w:rFonts w:ascii="黑体" w:hAnsi="黑体" w:eastAsia="黑体" w:cs="黑体"/>
                <w:color w:val="000000"/>
                <w:sz w:val="24"/>
                <w:szCs w:val="24"/>
                <w:highlight w:val="none"/>
              </w:rPr>
            </w:r>
            <w:r/>
          </w:p>
        </w:tc>
        <w:tc>
          <w:tcPr>
            <w:tcW w:w="2026" w:type="dxa"/>
            <w:vAlign w:val="center"/>
            <w:textDirection w:val="lrTb"/>
            <w:noWrap w:val="false"/>
          </w:tcPr>
          <w:p>
            <w:pPr>
              <w:pStyle w:val="1013"/>
              <w:jc w:val="center"/>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用户联系人、电话</w:t>
            </w:r>
            <w:r>
              <w:rPr>
                <w:rFonts w:ascii="黑体" w:hAnsi="黑体" w:eastAsia="黑体" w:cs="黑体"/>
                <w:color w:val="000000"/>
                <w:sz w:val="24"/>
                <w:szCs w:val="24"/>
                <w:highlight w:val="none"/>
              </w:rPr>
            </w:r>
            <w:r/>
          </w:p>
        </w:tc>
      </w:tr>
      <w:tr>
        <w:trPr>
          <w:trHeight w:val="522"/>
        </w:trPr>
        <w:tc>
          <w:tcPr>
            <w:tcW w:w="73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3"/>
        </w:trPr>
        <w:tc>
          <w:tcPr>
            <w:tcW w:w="73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3"/>
        </w:trPr>
        <w:tc>
          <w:tcPr>
            <w:tcW w:w="73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3"/>
        </w:trPr>
        <w:tc>
          <w:tcPr>
            <w:tcW w:w="73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3"/>
        </w:trPr>
        <w:tc>
          <w:tcPr>
            <w:tcW w:w="73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22"/>
        </w:trPr>
        <w:tc>
          <w:tcPr>
            <w:tcW w:w="73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5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62"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0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投标人全称（加盖公章）：</w:t>
      </w: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法人或授权代表（签章或签字）:</w:t>
      </w: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3"/>
        <w:ind w:firstLine="480"/>
        <w:spacing w:line="360" w:lineRule="auto"/>
        <w:rPr>
          <w:rFonts w:hint="eastAsia" w:ascii="宋体" w:hAnsi="宋体" w:cs="宋体"/>
          <w:bCs/>
          <w:color w:val="000000"/>
          <w:sz w:val="24"/>
          <w:highlight w:val="none"/>
        </w:rPr>
      </w:pPr>
      <w:r>
        <w:rPr>
          <w:rFonts w:hint="eastAsia" w:ascii="黑体" w:hAnsi="黑体" w:eastAsia="黑体" w:cs="黑体"/>
          <w:bCs/>
          <w:color w:val="000000"/>
          <w:sz w:val="24"/>
          <w:highlight w:val="none"/>
        </w:rPr>
        <w:t xml:space="preserve">附件：合同</w:t>
      </w:r>
      <w:r>
        <w:rPr>
          <w:rFonts w:hint="eastAsia" w:ascii="宋体" w:hAnsi="宋体" w:cs="宋体"/>
          <w:bCs/>
          <w:color w:val="000000"/>
          <w:sz w:val="24"/>
          <w:highlight w:val="none"/>
        </w:rPr>
      </w:r>
      <w:r/>
    </w:p>
    <w:p>
      <w:pPr>
        <w:pStyle w:val="101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3"/>
        <w:ind w:firstLine="480"/>
        <w:jc w:val="center"/>
        <w:spacing w:line="360" w:lineRule="auto"/>
        <w:rPr>
          <w:rFonts w:ascii="宋体" w:hAnsi="宋体" w:cs="宋体"/>
          <w:b/>
          <w:bCs/>
          <w:color w:val="000000"/>
          <w:sz w:val="28"/>
          <w:szCs w:val="28"/>
          <w:highlight w:val="none"/>
        </w:rPr>
      </w:pPr>
      <w:r>
        <w:rPr>
          <w:rFonts w:hint="eastAsia" w:ascii="宋体" w:hAnsi="宋体" w:cs="宋体"/>
          <w:bCs/>
          <w:color w:val="000000"/>
          <w:sz w:val="24"/>
          <w:highlight w:val="none"/>
        </w:rPr>
        <w:br w:type="page" w:clear="all"/>
      </w:r>
      <w:r>
        <w:rPr>
          <w:rFonts w:hint="eastAsia" w:ascii="黑体" w:hAnsi="黑体" w:eastAsia="黑体" w:cs="黑体"/>
          <w:color w:val="000000"/>
          <w:sz w:val="28"/>
          <w:szCs w:val="28"/>
          <w:highlight w:val="none"/>
        </w:rPr>
        <w:t xml:space="preserve">技术力量一览表（参考格式）</w:t>
      </w:r>
      <w:r>
        <w:rPr>
          <w:rFonts w:ascii="宋体" w:hAnsi="宋体" w:cs="宋体"/>
          <w:b/>
          <w:bCs/>
          <w:color w:val="000000"/>
          <w:sz w:val="28"/>
          <w:szCs w:val="28"/>
          <w:highlight w:val="none"/>
        </w:rPr>
      </w:r>
      <w:r/>
    </w:p>
    <w:tbl>
      <w:tblPr>
        <w:tblW w:w="8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W w:w="794"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序号</w:t>
            </w:r>
            <w:r>
              <w:rPr>
                <w:rFonts w:hint="eastAsia" w:ascii="黑体" w:hAnsi="黑体" w:eastAsia="黑体" w:cs="黑体"/>
                <w:bCs/>
                <w:color w:val="000000"/>
                <w:sz w:val="24"/>
                <w:szCs w:val="24"/>
                <w:highlight w:val="none"/>
              </w:rPr>
            </w:r>
            <w:r/>
          </w:p>
        </w:tc>
        <w:tc>
          <w:tcPr>
            <w:tcW w:w="1356"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姓 名</w:t>
            </w:r>
            <w:r>
              <w:rPr>
                <w:rFonts w:hint="eastAsia" w:ascii="黑体" w:hAnsi="黑体" w:eastAsia="黑体" w:cs="黑体"/>
                <w:bCs/>
                <w:color w:val="000000"/>
                <w:sz w:val="24"/>
                <w:szCs w:val="24"/>
                <w:highlight w:val="none"/>
              </w:rPr>
            </w:r>
            <w:r/>
          </w:p>
        </w:tc>
        <w:tc>
          <w:tcPr>
            <w:tcW w:w="1187"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技术职称</w:t>
            </w:r>
            <w:r>
              <w:rPr>
                <w:rFonts w:hint="eastAsia" w:ascii="黑体" w:hAnsi="黑体" w:eastAsia="黑体" w:cs="黑体"/>
                <w:bCs/>
                <w:color w:val="000000"/>
                <w:sz w:val="24"/>
                <w:szCs w:val="24"/>
                <w:highlight w:val="none"/>
              </w:rPr>
            </w:r>
            <w:r/>
          </w:p>
        </w:tc>
        <w:tc>
          <w:tcPr>
            <w:tcW w:w="1189"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人员级别</w:t>
            </w:r>
            <w:r>
              <w:rPr>
                <w:rFonts w:hint="eastAsia" w:ascii="黑体" w:hAnsi="黑体" w:eastAsia="黑体" w:cs="黑体"/>
                <w:bCs/>
                <w:color w:val="000000"/>
                <w:sz w:val="24"/>
                <w:szCs w:val="24"/>
                <w:highlight w:val="none"/>
              </w:rPr>
            </w:r>
            <w:r/>
          </w:p>
        </w:tc>
        <w:tc>
          <w:tcPr>
            <w:tcW w:w="1275"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工作年限</w:t>
            </w:r>
            <w:r>
              <w:rPr>
                <w:rFonts w:hint="eastAsia" w:ascii="黑体" w:hAnsi="黑体" w:eastAsia="黑体" w:cs="黑体"/>
                <w:bCs/>
                <w:color w:val="000000"/>
                <w:sz w:val="24"/>
                <w:szCs w:val="24"/>
                <w:highlight w:val="none"/>
              </w:rPr>
            </w:r>
            <w:r/>
          </w:p>
        </w:tc>
        <w:tc>
          <w:tcPr>
            <w:tcW w:w="1243"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本项目中担任职务</w:t>
            </w:r>
            <w:r>
              <w:rPr>
                <w:rFonts w:hint="eastAsia" w:ascii="黑体" w:hAnsi="黑体" w:eastAsia="黑体" w:cs="黑体"/>
                <w:bCs/>
                <w:color w:val="000000"/>
                <w:sz w:val="24"/>
                <w:szCs w:val="24"/>
                <w:highlight w:val="none"/>
              </w:rPr>
            </w:r>
            <w:r/>
          </w:p>
        </w:tc>
        <w:tc>
          <w:tcPr>
            <w:tcW w:w="1916" w:type="dxa"/>
            <w:vAlign w:val="center"/>
            <w:textDirection w:val="lrTb"/>
            <w:noWrap/>
          </w:tcPr>
          <w:p>
            <w:pPr>
              <w:pStyle w:val="1013"/>
              <w:jc w:val="center"/>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认证情况</w:t>
            </w:r>
            <w:r>
              <w:rPr>
                <w:rFonts w:hint="eastAsia" w:ascii="黑体" w:hAnsi="黑体" w:eastAsia="黑体" w:cs="黑体"/>
                <w:bCs/>
                <w:color w:val="000000"/>
                <w:sz w:val="24"/>
                <w:szCs w:val="24"/>
                <w:highlight w:val="none"/>
              </w:rPr>
            </w:r>
            <w:r/>
          </w:p>
        </w:tc>
      </w:tr>
      <w:tr>
        <w:trPr>
          <w:trHeight w:val="90"/>
        </w:trPr>
        <w:tc>
          <w:tcPr>
            <w:gridSpan w:val="7"/>
            <w:tcW w:w="8960" w:type="dxa"/>
            <w:vAlign w:val="center"/>
            <w:textDirection w:val="lrTb"/>
            <w:noWrap/>
          </w:tcPr>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一、项目实施总负责人</w:t>
            </w:r>
            <w:r>
              <w:rPr>
                <w:rFonts w:hint="eastAsia" w:ascii="宋体" w:hAnsi="宋体" w:cs="宋体"/>
                <w:color w:val="000000"/>
                <w:sz w:val="24"/>
                <w:szCs w:val="24"/>
                <w:highlight w:val="none"/>
              </w:rPr>
            </w:r>
            <w:r/>
          </w:p>
        </w:tc>
      </w:tr>
      <w:tr>
        <w:trPr>
          <w:trHeight w:val="90"/>
        </w:trPr>
        <w:tc>
          <w:tcPr>
            <w:tcW w:w="79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5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gridSpan w:val="7"/>
            <w:tcW w:w="8960" w:type="dxa"/>
            <w:vAlign w:val="center"/>
            <w:textDirection w:val="lrTb"/>
            <w:noWrap/>
          </w:tcPr>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二、项目实施技术负责人</w:t>
            </w:r>
            <w:r>
              <w:rPr>
                <w:rFonts w:hint="eastAsia" w:ascii="宋体" w:hAnsi="宋体" w:cs="宋体"/>
                <w:color w:val="000000"/>
                <w:sz w:val="24"/>
                <w:szCs w:val="24"/>
                <w:highlight w:val="none"/>
              </w:rPr>
            </w:r>
            <w:r/>
          </w:p>
        </w:tc>
      </w:tr>
      <w:tr>
        <w:trPr/>
        <w:tc>
          <w:tcPr>
            <w:tcW w:w="79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5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gridSpan w:val="7"/>
            <w:tcW w:w="8960" w:type="dxa"/>
            <w:vAlign w:val="center"/>
            <w:textDirection w:val="lrTb"/>
            <w:noWrap/>
          </w:tcPr>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三、技术人员</w:t>
            </w:r>
            <w:r>
              <w:rPr>
                <w:rFonts w:hint="eastAsia" w:ascii="宋体" w:hAnsi="宋体" w:cs="宋体"/>
                <w:color w:val="000000"/>
                <w:sz w:val="24"/>
                <w:szCs w:val="24"/>
                <w:highlight w:val="none"/>
              </w:rPr>
            </w:r>
            <w:r/>
          </w:p>
        </w:tc>
      </w:tr>
      <w:tr>
        <w:trPr/>
        <w:tc>
          <w:tcPr>
            <w:tcW w:w="794"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5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gridSpan w:val="7"/>
            <w:tcW w:w="8960" w:type="dxa"/>
            <w:vAlign w:val="center"/>
            <w:textDirection w:val="lrTb"/>
            <w:noWrap/>
          </w:tcPr>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四、售后服务人员</w:t>
            </w:r>
            <w:r>
              <w:rPr>
                <w:rFonts w:hint="eastAsia" w:ascii="宋体" w:hAnsi="宋体" w:cs="宋体"/>
                <w:color w:val="000000"/>
                <w:sz w:val="24"/>
                <w:szCs w:val="24"/>
                <w:highlight w:val="none"/>
              </w:rPr>
            </w:r>
            <w:r/>
          </w:p>
        </w:tc>
      </w:tr>
      <w:tr>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gridSpan w:val="7"/>
            <w:tcW w:w="8960" w:type="dxa"/>
            <w:vAlign w:val="center"/>
            <w:textDirection w:val="lrTb"/>
            <w:noWrap w:val="false"/>
          </w:tcPr>
          <w:p>
            <w:pPr>
              <w:pStyle w:val="1013"/>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五、其他人员</w:t>
            </w:r>
            <w:r>
              <w:rPr>
                <w:rFonts w:hint="eastAsia" w:ascii="宋体" w:hAnsi="宋体" w:cs="宋体"/>
                <w:color w:val="000000"/>
                <w:sz w:val="24"/>
                <w:szCs w:val="24"/>
                <w:highlight w:val="none"/>
              </w:rPr>
            </w:r>
            <w:r/>
          </w:p>
        </w:tc>
      </w:tr>
      <w:tr>
        <w:trPr>
          <w:trHeight w:val="288"/>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W w:w="794"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5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7"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9"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75"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3"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16" w:type="dxa"/>
            <w:vAlign w:val="center"/>
            <w:textDirection w:val="lrTb"/>
            <w:noWrap w:val="false"/>
          </w:tcPr>
          <w:p>
            <w:pPr>
              <w:pStyle w:val="10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13"/>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投标人应按照上述格式填写投入本项目所有人员的相关信息。</w:t>
      </w:r>
      <w:r>
        <w:rPr>
          <w:rFonts w:ascii="宋体" w:hAnsi="宋体" w:cs="宋体"/>
          <w:color w:val="000000"/>
          <w:sz w:val="24"/>
          <w:szCs w:val="24"/>
          <w:highlight w:val="none"/>
        </w:rPr>
      </w:r>
      <w:r/>
    </w:p>
    <w:p>
      <w:pPr>
        <w:pStyle w:val="1013"/>
        <w:spacing w:line="460" w:lineRule="exact"/>
        <w:rPr>
          <w:rFonts w:ascii="宋体" w:hAnsi="宋体" w:cs="宋体"/>
          <w:bCs/>
          <w:color w:val="000000"/>
          <w:sz w:val="24"/>
          <w:highlight w:val="none"/>
          <w:shd w:val="clear" w:color="auto" w:fill="ffff00"/>
        </w:rPr>
      </w:pPr>
      <w:r>
        <w:rPr>
          <w:rFonts w:ascii="宋体" w:hAnsi="宋体" w:cs="宋体"/>
          <w:bCs/>
          <w:color w:val="000000"/>
          <w:sz w:val="24"/>
          <w:highlight w:val="none"/>
          <w:shd w:val="clear" w:color="auto" w:fill="ffff00"/>
        </w:rPr>
      </w:r>
      <w:r/>
    </w:p>
    <w:p>
      <w:pPr>
        <w:pStyle w:val="1013"/>
        <w:jc w:val="center"/>
        <w:spacing w:line="360" w:lineRule="auto"/>
        <w:rPr>
          <w:rFonts w:hint="eastAsia" w:ascii="黑体" w:hAnsi="黑体" w:eastAsia="黑体" w:cs="黑体"/>
          <w:color w:val="000000"/>
          <w:sz w:val="28"/>
          <w:szCs w:val="28"/>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u w:val="single"/>
        </w:rPr>
        <w:t xml:space="preserve">     </w:t>
      </w:r>
      <w:r>
        <w:rPr>
          <w:rFonts w:hint="eastAsia" w:ascii="黑体" w:hAnsi="黑体" w:eastAsia="黑体" w:cs="黑体"/>
          <w:color w:val="000000"/>
          <w:sz w:val="28"/>
          <w:szCs w:val="28"/>
          <w:highlight w:val="none"/>
        </w:rPr>
        <w:t xml:space="preserve">人员简历表（参考格式）</w:t>
      </w:r>
      <w:r>
        <w:rPr>
          <w:rFonts w:hint="eastAsia" w:ascii="黑体" w:hAnsi="黑体" w:eastAsia="黑体" w:cs="黑体"/>
          <w:color w:val="000000"/>
          <w:sz w:val="28"/>
          <w:szCs w:val="28"/>
          <w:highlight w:val="none"/>
        </w:rPr>
      </w:r>
      <w:r/>
    </w:p>
    <w:p>
      <w:pPr>
        <w:pStyle w:val="1013"/>
        <w:jc w:val="center"/>
        <w:spacing w:line="360" w:lineRule="auto"/>
        <w:rPr>
          <w:rFonts w:hint="eastAsia" w:ascii="宋体" w:hAnsi="宋体" w:eastAsia="黑体" w:cs="宋体"/>
          <w:b/>
          <w:bCs/>
          <w:color w:val="000000"/>
          <w:highlight w:val="none"/>
        </w:rPr>
      </w:pPr>
      <w:r>
        <w:rPr>
          <w:rFonts w:hint="eastAsia" w:ascii="黑体" w:hAnsi="黑体" w:eastAsia="黑体" w:cs="黑体"/>
          <w:color w:val="000000"/>
          <w:highlight w:val="none"/>
        </w:rPr>
        <w:t xml:space="preserve">（项目实施总负责人/项目实施技术负责人/技术人员/售后服务人员，自行选择人员填写）</w:t>
      </w:r>
      <w:r>
        <w:rPr>
          <w:rFonts w:hint="eastAsia" w:ascii="宋体" w:hAnsi="宋体" w:eastAsia="黑体" w:cs="宋体"/>
          <w:b/>
          <w:bCs/>
          <w:color w:val="000000"/>
          <w:highlight w:val="none"/>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ascii="宋体" w:hAnsi="宋体" w:cs="宋体"/>
                <w:color w:val="000000"/>
                <w:sz w:val="24"/>
                <w:szCs w:val="24"/>
                <w:highlight w:val="none"/>
              </w:rPr>
            </w:r>
            <w:r/>
          </w:p>
        </w:tc>
        <w:tc>
          <w:tcPr>
            <w:tcW w:w="171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性    别</w:t>
            </w:r>
            <w:r>
              <w:rPr>
                <w:rFonts w:ascii="宋体" w:hAnsi="宋体" w:cs="宋体"/>
                <w:color w:val="000000"/>
                <w:sz w:val="24"/>
                <w:szCs w:val="24"/>
                <w:highlight w:val="none"/>
              </w:rPr>
            </w:r>
            <w:r/>
          </w:p>
        </w:tc>
        <w:tc>
          <w:tcPr>
            <w:tcW w:w="1388"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出生日期</w:t>
            </w:r>
            <w:r>
              <w:rPr>
                <w:rFonts w:ascii="宋体" w:hAnsi="宋体" w:cs="宋体"/>
                <w:color w:val="000000"/>
                <w:sz w:val="24"/>
                <w:szCs w:val="24"/>
                <w:highlight w:val="none"/>
              </w:rPr>
            </w:r>
            <w:r/>
          </w:p>
        </w:tc>
        <w:tc>
          <w:tcPr>
            <w:tcW w:w="126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学   历</w:t>
            </w:r>
            <w:r>
              <w:rPr>
                <w:rFonts w:ascii="宋体" w:hAnsi="宋体" w:cs="宋体"/>
                <w:color w:val="000000"/>
                <w:sz w:val="24"/>
                <w:szCs w:val="24"/>
                <w:highlight w:val="none"/>
              </w:rPr>
            </w:r>
            <w:r/>
          </w:p>
        </w:tc>
        <w:tc>
          <w:tcPr>
            <w:tcW w:w="171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毕业学校</w:t>
            </w:r>
            <w:r>
              <w:rPr>
                <w:rFonts w:ascii="宋体" w:hAnsi="宋体" w:cs="宋体"/>
                <w:color w:val="000000"/>
                <w:sz w:val="24"/>
                <w:szCs w:val="24"/>
                <w:highlight w:val="none"/>
              </w:rPr>
            </w:r>
            <w:r/>
          </w:p>
        </w:tc>
        <w:tc>
          <w:tcPr>
            <w:tcW w:w="1388"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技术职称</w:t>
            </w:r>
            <w:r>
              <w:rPr>
                <w:rFonts w:ascii="宋体" w:hAnsi="宋体" w:cs="宋体"/>
                <w:color w:val="000000"/>
                <w:sz w:val="24"/>
                <w:szCs w:val="24"/>
                <w:highlight w:val="none"/>
              </w:rPr>
            </w:r>
            <w:r/>
          </w:p>
        </w:tc>
        <w:tc>
          <w:tcPr>
            <w:tcW w:w="126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公司职务</w:t>
            </w:r>
            <w:r>
              <w:rPr>
                <w:rFonts w:ascii="宋体" w:hAnsi="宋体" w:cs="宋体"/>
                <w:color w:val="000000"/>
                <w:sz w:val="24"/>
                <w:szCs w:val="24"/>
                <w:highlight w:val="none"/>
              </w:rPr>
            </w:r>
            <w:r/>
          </w:p>
        </w:tc>
        <w:tc>
          <w:tcPr>
            <w:tcW w:w="171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任职时间</w:t>
            </w:r>
            <w:r>
              <w:rPr>
                <w:rFonts w:ascii="宋体" w:hAnsi="宋体" w:cs="宋体"/>
                <w:color w:val="000000"/>
                <w:sz w:val="24"/>
                <w:szCs w:val="24"/>
                <w:highlight w:val="none"/>
              </w:rPr>
            </w:r>
            <w:r/>
          </w:p>
        </w:tc>
        <w:tc>
          <w:tcPr>
            <w:tcW w:w="1388"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本项目任职</w:t>
            </w:r>
            <w:r>
              <w:rPr>
                <w:rFonts w:ascii="宋体" w:hAnsi="宋体" w:cs="宋体"/>
                <w:color w:val="000000"/>
                <w:sz w:val="24"/>
                <w:szCs w:val="24"/>
                <w:highlight w:val="none"/>
              </w:rPr>
            </w:r>
            <w:r/>
          </w:p>
        </w:tc>
        <w:tc>
          <w:tcPr>
            <w:tcW w:w="1263"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70"/>
        </w:trPr>
        <w:tc>
          <w:tcPr>
            <w:tcW w:w="126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人员级别</w:t>
            </w:r>
            <w:r>
              <w:rPr>
                <w:rFonts w:ascii="宋体" w:hAnsi="宋体" w:cs="宋体"/>
                <w:color w:val="000000"/>
                <w:sz w:val="24"/>
                <w:szCs w:val="24"/>
                <w:highlight w:val="none"/>
              </w:rPr>
            </w:r>
            <w:r/>
          </w:p>
        </w:tc>
        <w:tc>
          <w:tcPr>
            <w:gridSpan w:val="2"/>
            <w:tcW w:w="3218"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388"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从事XXX工作年限</w:t>
            </w:r>
            <w:r>
              <w:rPr>
                <w:rFonts w:ascii="宋体" w:hAnsi="宋体" w:cs="宋体"/>
                <w:color w:val="000000"/>
                <w:sz w:val="24"/>
                <w:szCs w:val="24"/>
                <w:highlight w:val="none"/>
              </w:rPr>
            </w:r>
            <w:r/>
          </w:p>
        </w:tc>
        <w:tc>
          <w:tcPr>
            <w:gridSpan w:val="2"/>
            <w:tcW w:w="3059"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684"/>
        </w:trPr>
        <w:tc>
          <w:tcPr>
            <w:tcW w:w="1263" w:type="dxa"/>
            <w:vAlign w:val="center"/>
            <w:textDirection w:val="lrTb"/>
            <w:noWrap w:val="false"/>
          </w:tcPr>
          <w:p>
            <w:pPr>
              <w:pStyle w:val="1013"/>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认证证书</w:t>
            </w:r>
            <w:r>
              <w:rPr>
                <w:rFonts w:ascii="宋体" w:hAnsi="宋体" w:cs="宋体"/>
                <w:color w:val="000000"/>
                <w:sz w:val="24"/>
                <w:szCs w:val="24"/>
                <w:highlight w:val="none"/>
              </w:rPr>
            </w:r>
            <w:r/>
          </w:p>
        </w:tc>
        <w:tc>
          <w:tcPr>
            <w:gridSpan w:val="5"/>
            <w:tcW w:w="7665" w:type="dxa"/>
            <w:vAlign w:val="center"/>
            <w:textDirection w:val="lrTb"/>
            <w:noWrap w:val="false"/>
          </w:tcPr>
          <w:p>
            <w:pPr>
              <w:pStyle w:val="1013"/>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353"/>
        </w:trPr>
        <w:tc>
          <w:tcPr>
            <w:gridSpan w:val="6"/>
            <w:tcW w:w="8928" w:type="dxa"/>
            <w:vAlign w:val="center"/>
            <w:textDirection w:val="lrTb"/>
            <w:noWrap w:val="false"/>
          </w:tcPr>
          <w:p>
            <w:pPr>
              <w:pStyle w:val="1013"/>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工作简历及主要业绩</w:t>
            </w:r>
            <w:r>
              <w:rPr>
                <w:rFonts w:ascii="宋体" w:hAnsi="宋体" w:cs="宋体"/>
                <w:color w:val="000000"/>
                <w:sz w:val="24"/>
                <w:szCs w:val="24"/>
                <w:highlight w:val="none"/>
              </w:rPr>
            </w:r>
            <w:r/>
          </w:p>
          <w:p>
            <w:pPr>
              <w:pStyle w:val="1013"/>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13"/>
        <w:spacing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1.投标人应提供投入本项目所有人员的简历。 </w:t>
      </w:r>
      <w:r>
        <w:rPr>
          <w:rFonts w:hint="eastAsia" w:ascii="宋体" w:hAnsi="宋体" w:cs="宋体"/>
          <w:color w:val="000000"/>
          <w:sz w:val="24"/>
          <w:szCs w:val="24"/>
          <w:highlight w:val="none"/>
        </w:rPr>
      </w:r>
      <w:r/>
    </w:p>
    <w:p>
      <w:pPr>
        <w:pStyle w:val="1013"/>
        <w:jc w:val="left"/>
        <w:widowControl/>
        <w:rPr>
          <w:color w:val="000000"/>
          <w:highlight w:val="none"/>
        </w:rPr>
      </w:pPr>
      <w:r>
        <w:rPr>
          <w:color w:val="000000"/>
          <w:highlight w:val="none"/>
        </w:rPr>
      </w:r>
      <w:r/>
    </w:p>
    <w:p>
      <w:pPr>
        <w:pStyle w:val="1013"/>
        <w:jc w:val="center"/>
        <w:spacing w:line="360" w:lineRule="auto"/>
        <w:widowControl/>
        <w:rPr>
          <w:color w:val="000000"/>
          <w:highlight w:val="none"/>
        </w:rPr>
      </w:pPr>
      <w:r>
        <w:rPr>
          <w:rFonts w:ascii="宋体" w:hAnsi="宋体"/>
          <w:b/>
          <w:bCs/>
          <w:color w:val="000000"/>
          <w:sz w:val="36"/>
          <w:szCs w:val="36"/>
          <w:highlight w:val="none"/>
        </w:rPr>
        <w:br w:type="page" w:clear="all"/>
      </w:r>
      <w:r>
        <w:rPr>
          <w:rFonts w:hint="eastAsia" w:ascii="黑体" w:hAnsi="黑体" w:eastAsia="黑体" w:cs="黑体"/>
          <w:color w:val="000000"/>
          <w:sz w:val="28"/>
          <w:szCs w:val="28"/>
          <w:highlight w:val="none"/>
        </w:rPr>
        <w:t xml:space="preserve">售后服务</w:t>
      </w:r>
      <w:r>
        <w:rPr>
          <w:color w:val="000000"/>
          <w:highlight w:val="none"/>
        </w:rPr>
      </w:r>
      <w:r/>
    </w:p>
    <w:p>
      <w:pPr>
        <w:pStyle w:val="1013"/>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(示例略）</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imSun">
    <w:panose1 w:val="02010600030101010101"/>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r/>
                  </w:p>
                  <w:p>
                    <w:pPr>
                      <w:pStyle w:val="1013"/>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8"/>
      <w:isLgl w:val="false"/>
      <w:suff w:val="tab"/>
      <w:lvlText w:val="%1."/>
      <w:lvlJc w:val="left"/>
      <w:pPr>
        <w:pStyle w:val="101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013"/>
        <w:ind w:left="562" w:hanging="420"/>
      </w:pPr>
      <w:rPr>
        <w:rFonts w:hint="eastAsia"/>
      </w:rPr>
    </w:lvl>
    <w:lvl w:ilvl="1">
      <w:start w:val="1"/>
      <w:numFmt w:val="lowerLetter"/>
      <w:pStyle w:val="1073"/>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1"/>
      <w:numFmt w:val="upperLetter"/>
      <w:pStyle w:val="1079"/>
      <w:isLgl w:val="false"/>
      <w:suff w:val="tab"/>
      <w:lvlText w:val="附录%1."/>
      <w:lvlJc w:val="left"/>
      <w:pPr>
        <w:pStyle w:val="10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6"/>
      <w:isLgl w:val="false"/>
      <w:suff w:val="tab"/>
      <w:lvlText w:val="%1."/>
      <w:lvlJc w:val="left"/>
      <w:pPr>
        <w:pStyle w:val="1013"/>
        <w:ind w:left="709" w:hanging="709"/>
        <w:tabs>
          <w:tab w:val="num" w:pos="709" w:leader="none"/>
        </w:tabs>
      </w:pPr>
      <w:rPr>
        <w:rFonts w:hint="eastAsia"/>
      </w:rPr>
    </w:lvl>
    <w:lvl w:ilvl="1">
      <w:start w:val="1"/>
      <w:numFmt w:val="decimal"/>
      <w:isLgl w:val="false"/>
      <w:suff w:val="tab"/>
      <w:lvlText w:val="%1.%2"/>
      <w:lvlJc w:val="left"/>
      <w:pPr>
        <w:pStyle w:val="1013"/>
        <w:ind w:left="709" w:hanging="709"/>
        <w:tabs>
          <w:tab w:val="num" w:pos="709" w:leader="none"/>
        </w:tabs>
      </w:pPr>
      <w:rPr>
        <w:rFonts w:hint="eastAsia"/>
      </w:rPr>
    </w:lvl>
    <w:lvl w:ilvl="2">
      <w:start w:val="1"/>
      <w:numFmt w:val="decimal"/>
      <w:isLgl w:val="false"/>
      <w:suff w:val="tab"/>
      <w:lvlText w:val="%1.%2.%3."/>
      <w:lvlJc w:val="left"/>
      <w:pPr>
        <w:pStyle w:val="1013"/>
        <w:ind w:left="425" w:hanging="425"/>
        <w:tabs>
          <w:tab w:val="num" w:pos="425" w:leader="none"/>
        </w:tabs>
      </w:pPr>
      <w:rPr>
        <w:rFonts w:hint="eastAsia"/>
      </w:rPr>
    </w:lvl>
    <w:lvl w:ilvl="3">
      <w:start w:val="1"/>
      <w:numFmt w:val="decimal"/>
      <w:isLgl w:val="false"/>
      <w:suff w:val="tab"/>
      <w:lvlText w:val="%1.%2.%3.%4."/>
      <w:lvlJc w:val="left"/>
      <w:pPr>
        <w:pStyle w:val="1013"/>
        <w:ind w:left="851" w:hanging="851"/>
        <w:tabs>
          <w:tab w:val="num" w:pos="851" w:leader="none"/>
        </w:tabs>
      </w:pPr>
      <w:rPr>
        <w:rFonts w:hint="eastAsia"/>
      </w:rPr>
    </w:lvl>
    <w:lvl w:ilvl="4">
      <w:start w:val="1"/>
      <w:numFmt w:val="decimal"/>
      <w:isLgl w:val="false"/>
      <w:suff w:val="tab"/>
      <w:lvlText w:val="%1.%2.%3.%4.%5."/>
      <w:lvlJc w:val="left"/>
      <w:pPr>
        <w:pStyle w:val="1013"/>
        <w:ind w:left="992" w:hanging="992"/>
        <w:tabs>
          <w:tab w:val="num" w:pos="992" w:leader="none"/>
        </w:tabs>
      </w:pPr>
      <w:rPr>
        <w:rFonts w:hint="eastAsia"/>
      </w:rPr>
    </w:lvl>
    <w:lvl w:ilvl="5">
      <w:start w:val="1"/>
      <w:numFmt w:val="decimal"/>
      <w:isLgl w:val="false"/>
      <w:suff w:val="tab"/>
      <w:lvlText w:val="%1.%2.%3.%4.%5.%6."/>
      <w:lvlJc w:val="left"/>
      <w:pPr>
        <w:pStyle w:val="1013"/>
        <w:ind w:left="1134" w:hanging="1134"/>
        <w:tabs>
          <w:tab w:val="num" w:pos="1134" w:leader="none"/>
        </w:tabs>
      </w:pPr>
      <w:rPr>
        <w:rFonts w:hint="eastAsia"/>
      </w:rPr>
    </w:lvl>
    <w:lvl w:ilvl="6">
      <w:start w:val="1"/>
      <w:numFmt w:val="decimal"/>
      <w:isLgl w:val="false"/>
      <w:suff w:val="tab"/>
      <w:lvlText w:val="%1.%2.%3.%4.%5.%6.%7."/>
      <w:lvlJc w:val="left"/>
      <w:pPr>
        <w:pStyle w:val="1013"/>
        <w:ind w:left="1276" w:hanging="1276"/>
        <w:tabs>
          <w:tab w:val="num" w:pos="1276" w:leader="none"/>
        </w:tabs>
      </w:pPr>
      <w:rPr>
        <w:rFonts w:hint="eastAsia"/>
      </w:rPr>
    </w:lvl>
    <w:lvl w:ilvl="7">
      <w:start w:val="1"/>
      <w:numFmt w:val="decimal"/>
      <w:isLgl w:val="false"/>
      <w:suff w:val="tab"/>
      <w:lvlText w:val="%1.%2.%3.%4.%5.%6.%7.%8."/>
      <w:lvlJc w:val="left"/>
      <w:pPr>
        <w:pStyle w:val="1013"/>
        <w:ind w:left="1418" w:hanging="1418"/>
        <w:tabs>
          <w:tab w:val="num" w:pos="1418" w:leader="none"/>
        </w:tabs>
      </w:pPr>
      <w:rPr>
        <w:rFonts w:hint="eastAsia"/>
      </w:rPr>
    </w:lvl>
    <w:lvl w:ilvl="8">
      <w:start w:val="1"/>
      <w:numFmt w:val="decimal"/>
      <w:isLgl w:val="false"/>
      <w:suff w:val="tab"/>
      <w:lvlText w:val="%1.%2.%3.%4.%5.%6.%7.%8.%9."/>
      <w:lvlJc w:val="left"/>
      <w:pPr>
        <w:pStyle w:val="10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13"/>
        <w:ind w:left="0" w:firstLine="0"/>
      </w:pPr>
      <w:rPr>
        <w:rFonts w:hint="eastAsia"/>
      </w:rPr>
    </w:lvl>
    <w:lvl w:ilvl="1">
      <w:start w:val="1"/>
      <w:numFmt w:val="decimal"/>
      <w:isLgl w:val="false"/>
      <w:suff w:val="nothing"/>
      <w:lvlText w:val="%2、"/>
      <w:lvlJc w:val="left"/>
      <w:pPr>
        <w:pStyle w:val="1013"/>
        <w:ind w:left="0" w:firstLine="0"/>
      </w:pPr>
      <w:rPr>
        <w:rFonts w:hint="eastAsia"/>
      </w:rPr>
    </w:lvl>
    <w:lvl w:ilvl="2">
      <w:start w:val="1"/>
      <w:numFmt w:val="decimal"/>
      <w:isLgl w:val="false"/>
      <w:suff w:val="nothing"/>
      <w:lvlText w:val="%2.%3 "/>
      <w:lvlJc w:val="left"/>
      <w:pPr>
        <w:pStyle w:val="1013"/>
        <w:ind w:left="0" w:firstLine="0"/>
      </w:pPr>
      <w:rPr>
        <w:rFonts w:hint="eastAsia"/>
      </w:rPr>
    </w:lvl>
    <w:lvl w:ilvl="3">
      <w:start w:val="1"/>
      <w:numFmt w:val="decimal"/>
      <w:isLgl w:val="false"/>
      <w:suff w:val="nothing"/>
      <w:lvlText w:val="%2.%3.%4 "/>
      <w:lvlJc w:val="left"/>
      <w:pPr>
        <w:pStyle w:val="1013"/>
        <w:ind w:left="0" w:firstLine="0"/>
      </w:pPr>
      <w:rPr>
        <w:rFonts w:hint="eastAsia"/>
      </w:rPr>
    </w:lvl>
    <w:lvl w:ilvl="4">
      <w:start w:val="1"/>
      <w:numFmt w:val="decimal"/>
      <w:isLgl w:val="false"/>
      <w:suff w:val="nothing"/>
      <w:lvlText w:val="%2.%3.%4.%5 "/>
      <w:lvlJc w:val="left"/>
      <w:pPr>
        <w:pStyle w:val="1013"/>
        <w:ind w:left="0" w:firstLine="0"/>
      </w:pPr>
      <w:rPr>
        <w:rFonts w:hint="eastAsia"/>
      </w:rPr>
    </w:lvl>
    <w:lvl w:ilvl="5">
      <w:start w:val="1"/>
      <w:numFmt w:val="decimal"/>
      <w:pStyle w:val="1019"/>
      <w:isLgl w:val="false"/>
      <w:suff w:val="nothing"/>
      <w:lvlText w:val=""/>
      <w:lvlJc w:val="left"/>
      <w:pPr>
        <w:pStyle w:val="1013"/>
        <w:ind w:left="0" w:firstLine="0"/>
      </w:pPr>
      <w:rPr>
        <w:rFonts w:hint="eastAsia"/>
      </w:rPr>
    </w:lvl>
    <w:lvl w:ilvl="6">
      <w:start w:val="1"/>
      <w:numFmt w:val="decimal"/>
      <w:pStyle w:val="1020"/>
      <w:isLgl w:val="false"/>
      <w:suff w:val="nothing"/>
      <w:lvlText w:val=""/>
      <w:lvlJc w:val="left"/>
      <w:pPr>
        <w:pStyle w:val="1013"/>
        <w:ind w:left="0" w:firstLine="0"/>
      </w:pPr>
      <w:rPr>
        <w:rFonts w:hint="eastAsia"/>
      </w:rPr>
    </w:lvl>
    <w:lvl w:ilvl="7">
      <w:start w:val="1"/>
      <w:numFmt w:val="decimal"/>
      <w:pStyle w:val="1021"/>
      <w:isLgl w:val="false"/>
      <w:suff w:val="nothing"/>
      <w:lvlText w:val=""/>
      <w:lvlJc w:val="left"/>
      <w:pPr>
        <w:pStyle w:val="1013"/>
        <w:ind w:left="0" w:firstLine="0"/>
      </w:pPr>
      <w:rPr>
        <w:rFonts w:hint="eastAsia"/>
      </w:rPr>
    </w:lvl>
    <w:lvl w:ilvl="8">
      <w:start w:val="1"/>
      <w:numFmt w:val="decimal"/>
      <w:pStyle w:val="1022"/>
      <w:isLgl w:val="false"/>
      <w:suff w:val="nothing"/>
      <w:lvlText w:val=""/>
      <w:lvlJc w:val="left"/>
      <w:pPr>
        <w:pStyle w:val="1013"/>
        <w:ind w:left="0" w:firstLine="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3"/>
    <w:next w:val="1013"/>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3"/>
    <w:next w:val="1013"/>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3"/>
    <w:next w:val="1013"/>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7"/>
    <w:link w:val="1013"/>
    <w:qFormat/>
    <w:pPr>
      <w:jc w:val="both"/>
      <w:widowControl w:val="off"/>
    </w:pPr>
    <w:rPr>
      <w:sz w:val="21"/>
      <w:szCs w:val="21"/>
      <w:lang w:val="en-US" w:eastAsia="zh-CN" w:bidi="ar-SA"/>
    </w:rPr>
  </w:style>
  <w:style w:type="paragraph" w:styleId="1014">
    <w:name w:val="标题 1"/>
    <w:basedOn w:val="1025"/>
    <w:next w:val="1013"/>
    <w:link w:val="1013"/>
    <w:qFormat/>
    <w:pPr>
      <w:jc w:val="center"/>
      <w:keepNext/>
      <w:outlineLvl w:val="0"/>
    </w:pPr>
    <w:rPr>
      <w:rFonts w:ascii="楷体_GB2312" w:eastAsia="楷体_GB2312"/>
      <w:sz w:val="28"/>
      <w:szCs w:val="28"/>
    </w:rPr>
  </w:style>
  <w:style w:type="paragraph" w:styleId="1015">
    <w:name w:val="标题 2"/>
    <w:basedOn w:val="1014"/>
    <w:next w:val="1013"/>
    <w:link w:val="1013"/>
    <w:qFormat/>
    <w:pPr>
      <w:jc w:val="center"/>
      <w:keepLines/>
      <w:keepNext/>
      <w:spacing w:before="260" w:after="260" w:line="416" w:lineRule="auto"/>
      <w:outlineLvl w:val="1"/>
    </w:pPr>
    <w:rPr>
      <w:rFonts w:ascii="Arial" w:hAnsi="Arial" w:eastAsia="幼圆" w:cs="Arial"/>
      <w:b w:val="0"/>
      <w:bCs w:val="0"/>
      <w:sz w:val="44"/>
      <w:szCs w:val="44"/>
    </w:rPr>
  </w:style>
  <w:style w:type="paragraph" w:styleId="1016">
    <w:name w:val="标题 3"/>
    <w:basedOn w:val="1013"/>
    <w:next w:val="1026"/>
    <w:link w:val="1013"/>
    <w:qFormat/>
    <w:pPr>
      <w:keepLines/>
      <w:keepNext/>
      <w:spacing w:before="260" w:after="260" w:line="416" w:lineRule="auto"/>
      <w:outlineLvl w:val="2"/>
    </w:pPr>
    <w:rPr>
      <w:b/>
      <w:bCs/>
      <w:sz w:val="32"/>
      <w:szCs w:val="32"/>
    </w:rPr>
  </w:style>
  <w:style w:type="paragraph" w:styleId="1017">
    <w:name w:val="标题 4"/>
    <w:basedOn w:val="1013"/>
    <w:next w:val="1013"/>
    <w:link w:val="1013"/>
    <w:qFormat/>
    <w:pPr>
      <w:keepLines/>
      <w:keepNext/>
      <w:spacing w:before="280" w:after="290" w:line="376" w:lineRule="auto"/>
      <w:outlineLvl w:val="3"/>
    </w:pPr>
    <w:rPr>
      <w:rFonts w:ascii="Arial" w:hAnsi="Arial" w:eastAsia="黑体" w:cs="Arial"/>
      <w:b/>
      <w:bCs/>
      <w:sz w:val="28"/>
      <w:szCs w:val="28"/>
    </w:rPr>
  </w:style>
  <w:style w:type="paragraph" w:styleId="1018">
    <w:name w:val="标题 5"/>
    <w:basedOn w:val="1028"/>
    <w:next w:val="1029"/>
    <w:link w:val="1013"/>
    <w:qFormat/>
    <w:pPr>
      <w:keepNext/>
      <w:tabs>
        <w:tab w:val="left" w:pos="780" w:leader="none"/>
      </w:tabs>
      <w:outlineLvl w:val="4"/>
    </w:pPr>
    <w:rPr>
      <w:rFonts w:ascii="宋体"/>
      <w:color w:val="000000"/>
      <w:sz w:val="28"/>
      <w:szCs w:val="28"/>
    </w:rPr>
  </w:style>
  <w:style w:type="paragraph" w:styleId="1019">
    <w:name w:val="标题 6"/>
    <w:basedOn w:val="1013"/>
    <w:next w:val="1013"/>
    <w:link w:val="1013"/>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0">
    <w:name w:val="标题 7"/>
    <w:basedOn w:val="1013"/>
    <w:next w:val="1013"/>
    <w:link w:val="1013"/>
    <w:qFormat/>
    <w:pPr>
      <w:numPr>
        <w:ilvl w:val="6"/>
        <w:numId w:val="2"/>
      </w:numPr>
      <w:keepLines/>
      <w:keepNext/>
      <w:spacing w:before="240" w:after="64" w:line="320" w:lineRule="auto"/>
      <w:outlineLvl w:val="6"/>
    </w:pPr>
    <w:rPr>
      <w:b/>
      <w:bCs/>
      <w:sz w:val="24"/>
      <w:szCs w:val="24"/>
    </w:rPr>
  </w:style>
  <w:style w:type="paragraph" w:styleId="1021">
    <w:name w:val="标题 8"/>
    <w:basedOn w:val="1013"/>
    <w:next w:val="1013"/>
    <w:link w:val="1013"/>
    <w:qFormat/>
    <w:pPr>
      <w:numPr>
        <w:ilvl w:val="7"/>
        <w:numId w:val="2"/>
      </w:numPr>
      <w:keepLines/>
      <w:keepNext/>
      <w:spacing w:before="240" w:after="64" w:line="320" w:lineRule="auto"/>
      <w:outlineLvl w:val="7"/>
    </w:pPr>
    <w:rPr>
      <w:rFonts w:ascii="Arial" w:hAnsi="Arial" w:eastAsia="黑体"/>
      <w:sz w:val="24"/>
      <w:szCs w:val="24"/>
    </w:rPr>
  </w:style>
  <w:style w:type="paragraph" w:styleId="1022">
    <w:name w:val="标题 9"/>
    <w:basedOn w:val="1013"/>
    <w:next w:val="1013"/>
    <w:link w:val="1013"/>
    <w:qFormat/>
    <w:pPr>
      <w:numPr>
        <w:ilvl w:val="8"/>
        <w:numId w:val="2"/>
      </w:numPr>
      <w:keepLines/>
      <w:keepNext/>
      <w:spacing w:before="240" w:after="64" w:line="320" w:lineRule="auto"/>
      <w:outlineLvl w:val="8"/>
    </w:pPr>
    <w:rPr>
      <w:rFonts w:ascii="Arial" w:hAnsi="Arial" w:eastAsia="黑体"/>
    </w:rPr>
  </w:style>
  <w:style w:type="character" w:styleId="1023">
    <w:name w:val="默认段落字体"/>
    <w:next w:val="1023"/>
    <w:link w:val="1013"/>
    <w:semiHidden/>
  </w:style>
  <w:style w:type="table" w:styleId="1024">
    <w:name w:val="普通表格"/>
    <w:next w:val="1024"/>
    <w:link w:val="1013"/>
    <w:semiHidden/>
    <w:tblPr/>
  </w:style>
  <w:style w:type="paragraph" w:styleId="1025">
    <w:name w:val="标题"/>
    <w:basedOn w:val="1013"/>
    <w:next w:val="1025"/>
    <w:link w:val="1013"/>
    <w:uiPriority w:val="10"/>
    <w:qFormat/>
    <w:pPr>
      <w:jc w:val="center"/>
      <w:spacing w:before="240" w:after="60"/>
      <w:outlineLvl w:val="0"/>
    </w:pPr>
    <w:rPr>
      <w:rFonts w:ascii="Cambria" w:hAnsi="Cambria" w:eastAsia="宋体" w:cs="Times New Roman"/>
      <w:b/>
      <w:bCs/>
      <w:sz w:val="32"/>
      <w:szCs w:val="32"/>
    </w:rPr>
  </w:style>
  <w:style w:type="paragraph" w:styleId="1026">
    <w:name w:val="正文缩进"/>
    <w:basedOn w:val="1013"/>
    <w:next w:val="1026"/>
    <w:link w:val="1027"/>
    <w:pPr>
      <w:ind w:firstLine="420"/>
    </w:pPr>
  </w:style>
  <w:style w:type="character" w:styleId="1027">
    <w:name w:val="正文缩进 Char"/>
    <w:next w:val="1027"/>
    <w:link w:val="1026"/>
    <w:rPr>
      <w:sz w:val="21"/>
      <w:szCs w:val="21"/>
    </w:rPr>
  </w:style>
  <w:style w:type="paragraph" w:styleId="1028">
    <w:name w:val="列表编号 2"/>
    <w:basedOn w:val="1013"/>
    <w:next w:val="1028"/>
    <w:link w:val="1013"/>
    <w:pPr>
      <w:numPr>
        <w:ilvl w:val="0"/>
        <w:numId w:val="1"/>
      </w:numPr>
      <w:tabs>
        <w:tab w:val="left" w:pos="780" w:leader="none"/>
      </w:tabs>
    </w:pPr>
  </w:style>
  <w:style w:type="paragraph" w:styleId="1029">
    <w:name w:val="普通(网站)"/>
    <w:basedOn w:val="1013"/>
    <w:next w:val="1029"/>
    <w:link w:val="1013"/>
    <w:uiPriority w:val="99"/>
    <w:pPr>
      <w:jc w:val="left"/>
      <w:spacing w:before="100" w:beforeAutospacing="1" w:after="100" w:afterAutospacing="1"/>
      <w:widowControl/>
    </w:pPr>
    <w:rPr>
      <w:rFonts w:ascii="宋体" w:hAnsi="宋体" w:cs="宋体"/>
      <w:sz w:val="24"/>
      <w:szCs w:val="24"/>
    </w:rPr>
  </w:style>
  <w:style w:type="paragraph" w:styleId="1030">
    <w:name w:val="列表 3"/>
    <w:basedOn w:val="1013"/>
    <w:next w:val="1030"/>
    <w:link w:val="1013"/>
    <w:pPr>
      <w:ind w:left="100" w:hanging="200"/>
    </w:pPr>
  </w:style>
  <w:style w:type="paragraph" w:styleId="1031">
    <w:name w:val="目录 7"/>
    <w:basedOn w:val="1013"/>
    <w:next w:val="1013"/>
    <w:link w:val="1013"/>
    <w:semiHidden/>
    <w:pPr>
      <w:ind w:left="1260"/>
      <w:jc w:val="left"/>
    </w:pPr>
  </w:style>
  <w:style w:type="paragraph" w:styleId="1032">
    <w:name w:val="文档结构图"/>
    <w:basedOn w:val="1013"/>
    <w:next w:val="1032"/>
    <w:link w:val="1013"/>
    <w:semiHidden/>
    <w:pPr>
      <w:shd w:val="clear" w:color="auto" w:fill="000080"/>
    </w:pPr>
  </w:style>
  <w:style w:type="paragraph" w:styleId="1033">
    <w:name w:val="批注文字"/>
    <w:basedOn w:val="1013"/>
    <w:next w:val="1033"/>
    <w:link w:val="1013"/>
    <w:semiHidden/>
    <w:pPr>
      <w:jc w:val="left"/>
    </w:pPr>
  </w:style>
  <w:style w:type="paragraph" w:styleId="1034">
    <w:name w:val="正文文本 3"/>
    <w:basedOn w:val="1013"/>
    <w:next w:val="1034"/>
    <w:link w:val="1013"/>
    <w:rPr>
      <w:rFonts w:ascii="仿宋_GB2312" w:hAnsi="Arial" w:eastAsia="仿宋_GB2312"/>
      <w:sz w:val="32"/>
      <w:szCs w:val="32"/>
    </w:rPr>
  </w:style>
  <w:style w:type="paragraph" w:styleId="1035">
    <w:name w:val="正文文本"/>
    <w:basedOn w:val="1013"/>
    <w:next w:val="1035"/>
    <w:link w:val="1013"/>
    <w:rPr>
      <w:rFonts w:ascii="楷体_GB2312" w:hAnsi="Arial" w:eastAsia="楷体_GB2312"/>
      <w:sz w:val="28"/>
      <w:szCs w:val="28"/>
    </w:rPr>
  </w:style>
  <w:style w:type="paragraph" w:styleId="1036">
    <w:name w:val="正文文本缩进"/>
    <w:basedOn w:val="1013"/>
    <w:next w:val="1036"/>
    <w:link w:val="1013"/>
    <w:pPr>
      <w:ind w:firstLine="645"/>
    </w:pPr>
    <w:rPr>
      <w:rFonts w:ascii="楷体_GB2312" w:eastAsia="楷体_GB2312"/>
      <w:sz w:val="32"/>
      <w:szCs w:val="32"/>
    </w:rPr>
  </w:style>
  <w:style w:type="paragraph" w:styleId="1037">
    <w:name w:val="列表 2"/>
    <w:basedOn w:val="1013"/>
    <w:next w:val="1037"/>
    <w:link w:val="1013"/>
    <w:pPr>
      <w:ind w:left="100" w:hanging="200"/>
    </w:pPr>
  </w:style>
  <w:style w:type="paragraph" w:styleId="1038">
    <w:name w:val="文本块"/>
    <w:basedOn w:val="1013"/>
    <w:next w:val="1038"/>
    <w:link w:val="1013"/>
    <w:uiPriority w:val="99"/>
    <w:unhideWhenUsed/>
    <w:qFormat/>
    <w:pPr>
      <w:ind w:left="1440" w:right="700"/>
    </w:pPr>
  </w:style>
  <w:style w:type="paragraph" w:styleId="1039">
    <w:name w:val="索引 4"/>
    <w:basedOn w:val="1013"/>
    <w:next w:val="1013"/>
    <w:link w:val="1013"/>
    <w:uiPriority w:val="99"/>
    <w:unhideWhenUsed/>
    <w:qFormat/>
    <w:pPr>
      <w:ind w:left="600"/>
    </w:pPr>
  </w:style>
  <w:style w:type="paragraph" w:styleId="1040">
    <w:name w:val="目录 5"/>
    <w:basedOn w:val="1013"/>
    <w:next w:val="1013"/>
    <w:link w:val="1013"/>
    <w:semiHidden/>
    <w:pPr>
      <w:ind w:left="840"/>
      <w:jc w:val="left"/>
    </w:pPr>
  </w:style>
  <w:style w:type="paragraph" w:styleId="1041">
    <w:name w:val="目录 3"/>
    <w:basedOn w:val="1013"/>
    <w:next w:val="1013"/>
    <w:link w:val="1013"/>
    <w:semiHidden/>
    <w:pPr>
      <w:ind w:left="420"/>
      <w:jc w:val="left"/>
    </w:pPr>
    <w:rPr>
      <w:i/>
      <w:iCs/>
      <w:szCs w:val="24"/>
    </w:rPr>
  </w:style>
  <w:style w:type="paragraph" w:styleId="1042">
    <w:name w:val="纯文本"/>
    <w:basedOn w:val="1013"/>
    <w:next w:val="1042"/>
    <w:link w:val="1013"/>
    <w:rPr>
      <w:rFonts w:ascii="宋体" w:hAnsi="Courier New" w:cs="Courier New"/>
    </w:rPr>
  </w:style>
  <w:style w:type="paragraph" w:styleId="1043">
    <w:name w:val="目录 8"/>
    <w:basedOn w:val="1013"/>
    <w:next w:val="1013"/>
    <w:link w:val="1013"/>
    <w:semiHidden/>
    <w:pPr>
      <w:ind w:left="1470"/>
      <w:jc w:val="left"/>
    </w:pPr>
  </w:style>
  <w:style w:type="paragraph" w:styleId="1044">
    <w:name w:val="日期"/>
    <w:basedOn w:val="1013"/>
    <w:next w:val="1013"/>
    <w:link w:val="1013"/>
    <w:rPr>
      <w:sz w:val="24"/>
      <w:szCs w:val="24"/>
    </w:rPr>
  </w:style>
  <w:style w:type="paragraph" w:styleId="1045">
    <w:name w:val="正文文本缩进 2"/>
    <w:basedOn w:val="1013"/>
    <w:next w:val="1045"/>
    <w:link w:val="1013"/>
    <w:pPr>
      <w:ind w:left="630" w:firstLine="645"/>
    </w:pPr>
    <w:rPr>
      <w:rFonts w:ascii="Arial" w:hAnsi="Arial" w:eastAsia="仿宋_GB2312" w:cs="Arial"/>
      <w:sz w:val="32"/>
      <w:szCs w:val="32"/>
    </w:rPr>
  </w:style>
  <w:style w:type="paragraph" w:styleId="1046">
    <w:name w:val="批注框文本"/>
    <w:basedOn w:val="1013"/>
    <w:next w:val="1046"/>
    <w:link w:val="1013"/>
    <w:semiHidden/>
    <w:rPr>
      <w:sz w:val="18"/>
      <w:szCs w:val="18"/>
    </w:rPr>
  </w:style>
  <w:style w:type="paragraph" w:styleId="1047">
    <w:name w:val="页脚"/>
    <w:basedOn w:val="1013"/>
    <w:next w:val="1047"/>
    <w:link w:val="1013"/>
    <w:pPr>
      <w:jc w:val="left"/>
      <w:tabs>
        <w:tab w:val="center" w:pos="4153" w:leader="none"/>
        <w:tab w:val="right" w:pos="8306" w:leader="none"/>
      </w:tabs>
    </w:pPr>
    <w:rPr>
      <w:sz w:val="18"/>
      <w:szCs w:val="18"/>
    </w:rPr>
  </w:style>
  <w:style w:type="paragraph" w:styleId="1048">
    <w:name w:val="页眉"/>
    <w:basedOn w:val="1013"/>
    <w:next w:val="1048"/>
    <w:link w:val="1013"/>
    <w:pPr>
      <w:jc w:val="center"/>
      <w:tabs>
        <w:tab w:val="center" w:pos="4153" w:leader="none"/>
        <w:tab w:val="right" w:pos="8306" w:leader="none"/>
      </w:tabs>
      <w:pBdr>
        <w:bottom w:val="single" w:color="000000" w:sz="6" w:space="1"/>
      </w:pBdr>
    </w:pPr>
    <w:rPr>
      <w:sz w:val="18"/>
      <w:szCs w:val="18"/>
    </w:rPr>
  </w:style>
  <w:style w:type="paragraph" w:styleId="1049">
    <w:name w:val="目录 1"/>
    <w:basedOn w:val="1013"/>
    <w:next w:val="1013"/>
    <w:link w:val="1013"/>
    <w:semiHidden/>
    <w:pPr>
      <w:jc w:val="left"/>
      <w:spacing w:before="120" w:after="120" w:line="400" w:lineRule="exact"/>
      <w:tabs>
        <w:tab w:val="right" w:pos="8720" w:leader="dot"/>
      </w:tabs>
    </w:pPr>
    <w:rPr>
      <w:rFonts w:ascii="宋体" w:hAnsi="宋体"/>
      <w:caps/>
      <w:sz w:val="24"/>
      <w:szCs w:val="24"/>
    </w:rPr>
  </w:style>
  <w:style w:type="paragraph" w:styleId="1050">
    <w:name w:val="目录 4"/>
    <w:basedOn w:val="1013"/>
    <w:next w:val="1013"/>
    <w:link w:val="1013"/>
    <w:semiHidden/>
    <w:pPr>
      <w:ind w:left="630"/>
      <w:jc w:val="left"/>
    </w:pPr>
  </w:style>
  <w:style w:type="paragraph" w:styleId="1051">
    <w:name w:val="列表"/>
    <w:basedOn w:val="1013"/>
    <w:next w:val="1051"/>
    <w:link w:val="1013"/>
    <w:pPr>
      <w:ind w:left="200" w:hanging="200"/>
    </w:pPr>
  </w:style>
  <w:style w:type="paragraph" w:styleId="1052">
    <w:name w:val="脚注文本"/>
    <w:basedOn w:val="1013"/>
    <w:next w:val="1052"/>
    <w:link w:val="1013"/>
    <w:uiPriority w:val="99"/>
    <w:semiHidden/>
    <w:qFormat/>
    <w:pPr>
      <w:jc w:val="left"/>
    </w:pPr>
    <w:rPr>
      <w:sz w:val="18"/>
      <w:szCs w:val="18"/>
    </w:rPr>
  </w:style>
  <w:style w:type="paragraph" w:styleId="1053">
    <w:name w:val="目录 6"/>
    <w:basedOn w:val="1013"/>
    <w:next w:val="1013"/>
    <w:link w:val="1013"/>
    <w:semiHidden/>
    <w:pPr>
      <w:ind w:left="1050"/>
      <w:jc w:val="left"/>
    </w:pPr>
  </w:style>
  <w:style w:type="paragraph" w:styleId="1054">
    <w:name w:val="正文文本缩进 3"/>
    <w:basedOn w:val="1013"/>
    <w:next w:val="1054"/>
    <w:link w:val="1013"/>
    <w:pPr>
      <w:ind w:left="645" w:firstLine="645"/>
    </w:pPr>
    <w:rPr>
      <w:rFonts w:ascii="Arial" w:hAnsi="Arial" w:eastAsia="仿宋_GB2312" w:cs="Arial"/>
      <w:color w:val="ffff00"/>
      <w:sz w:val="32"/>
      <w:szCs w:val="32"/>
    </w:rPr>
  </w:style>
  <w:style w:type="paragraph" w:styleId="1055">
    <w:name w:val="图表目录"/>
    <w:basedOn w:val="1013"/>
    <w:next w:val="1013"/>
    <w:link w:val="1013"/>
    <w:semiHidden/>
    <w:pPr>
      <w:ind w:left="840" w:hanging="420"/>
    </w:pPr>
  </w:style>
  <w:style w:type="paragraph" w:styleId="1056">
    <w:name w:val="目录 2"/>
    <w:basedOn w:val="1013"/>
    <w:next w:val="1013"/>
    <w:link w:val="1013"/>
    <w:semiHidden/>
    <w:pPr>
      <w:ind w:left="210"/>
      <w:jc w:val="left"/>
    </w:pPr>
    <w:rPr>
      <w:smallCaps/>
      <w:szCs w:val="24"/>
    </w:rPr>
  </w:style>
  <w:style w:type="paragraph" w:styleId="1057">
    <w:name w:val="目录 9"/>
    <w:basedOn w:val="1013"/>
    <w:next w:val="1013"/>
    <w:link w:val="1013"/>
    <w:semiHidden/>
    <w:pPr>
      <w:ind w:left="1680"/>
      <w:jc w:val="left"/>
    </w:pPr>
  </w:style>
  <w:style w:type="paragraph" w:styleId="1058">
    <w:name w:val="正文文本 2"/>
    <w:basedOn w:val="1013"/>
    <w:next w:val="1058"/>
    <w:link w:val="1013"/>
    <w:pPr>
      <w:jc w:val="center"/>
      <w:widowControl/>
    </w:pPr>
    <w:rPr>
      <w:rFonts w:ascii="楷体_GB2312" w:eastAsia="楷体_GB2312"/>
      <w:sz w:val="28"/>
      <w:szCs w:val="28"/>
    </w:rPr>
  </w:style>
  <w:style w:type="paragraph" w:styleId="1059">
    <w:name w:val="索引 1"/>
    <w:basedOn w:val="1013"/>
    <w:next w:val="1013"/>
    <w:link w:val="1013"/>
    <w:semiHidden/>
    <w:pPr>
      <w:spacing w:line="240" w:lineRule="atLeast"/>
    </w:pPr>
    <w:rPr>
      <w:b/>
      <w:bCs/>
    </w:rPr>
  </w:style>
  <w:style w:type="paragraph" w:styleId="1060">
    <w:name w:val="批注主题"/>
    <w:basedOn w:val="1033"/>
    <w:next w:val="1033"/>
    <w:link w:val="1013"/>
    <w:semiHidden/>
    <w:rPr>
      <w:b/>
      <w:bCs/>
    </w:rPr>
  </w:style>
  <w:style w:type="paragraph" w:styleId="1061">
    <w:name w:val="正文首行缩进"/>
    <w:basedOn w:val="1035"/>
    <w:next w:val="1061"/>
    <w:link w:val="1013"/>
    <w:pPr>
      <w:ind w:firstLine="200"/>
      <w:spacing w:line="360" w:lineRule="auto"/>
    </w:pPr>
    <w:rPr>
      <w:rFonts w:ascii="仿宋_GB2312" w:eastAsia="仿宋_GB2312"/>
      <w:sz w:val="30"/>
      <w:szCs w:val="30"/>
    </w:rPr>
  </w:style>
  <w:style w:type="paragraph" w:styleId="1062">
    <w:name w:val="正文首行缩进 2"/>
    <w:basedOn w:val="1036"/>
    <w:next w:val="1062"/>
    <w:link w:val="1013"/>
    <w:pPr>
      <w:ind w:firstLine="420"/>
      <w:spacing w:line="360" w:lineRule="auto"/>
    </w:pPr>
    <w:rPr>
      <w:rFonts w:ascii="宋体" w:hAnsi="宋体" w:eastAsia="宋体"/>
      <w:sz w:val="21"/>
      <w:szCs w:val="20"/>
    </w:rPr>
  </w:style>
  <w:style w:type="table" w:styleId="1063">
    <w:name w:val="网格型"/>
    <w:basedOn w:val="1024"/>
    <w:next w:val="1063"/>
    <w:link w:val="1013"/>
    <w:pPr>
      <w:jc w:val="both"/>
      <w:widowControl w:val="off"/>
    </w:pPr>
    <w:tblPr/>
  </w:style>
  <w:style w:type="character" w:styleId="1064">
    <w:name w:val="要点"/>
    <w:next w:val="1064"/>
    <w:link w:val="1013"/>
    <w:qFormat/>
    <w:rPr>
      <w:b/>
      <w:bCs/>
    </w:rPr>
  </w:style>
  <w:style w:type="character" w:styleId="1065">
    <w:name w:val="页码"/>
    <w:next w:val="1065"/>
    <w:link w:val="1013"/>
  </w:style>
  <w:style w:type="character" w:styleId="1066">
    <w:name w:val="已访问的超链接"/>
    <w:next w:val="1066"/>
    <w:link w:val="1013"/>
    <w:rPr>
      <w:color w:val="800080"/>
      <w:u w:val="single"/>
    </w:rPr>
  </w:style>
  <w:style w:type="character" w:styleId="1067">
    <w:name w:val="强调"/>
    <w:next w:val="1067"/>
    <w:link w:val="1013"/>
    <w:qFormat/>
    <w:rPr>
      <w:i/>
    </w:rPr>
  </w:style>
  <w:style w:type="character" w:styleId="1068">
    <w:name w:val="超链接"/>
    <w:next w:val="1068"/>
    <w:link w:val="1013"/>
    <w:rPr>
      <w:color w:val="0000ff"/>
      <w:u w:val="single"/>
    </w:rPr>
  </w:style>
  <w:style w:type="character" w:styleId="1069">
    <w:name w:val="批注引用"/>
    <w:next w:val="1069"/>
    <w:link w:val="1013"/>
    <w:semiHidden/>
    <w:rPr>
      <w:sz w:val="21"/>
      <w:szCs w:val="21"/>
    </w:rPr>
  </w:style>
  <w:style w:type="character" w:styleId="1070">
    <w:name w:val="脚注引用"/>
    <w:next w:val="1070"/>
    <w:link w:val="1013"/>
    <w:uiPriority w:val="99"/>
    <w:semiHidden/>
    <w:qFormat/>
    <w:rPr>
      <w:vertAlign w:val="superscript"/>
    </w:rPr>
  </w:style>
  <w:style w:type="paragraph" w:styleId="1071">
    <w:name w:val="(标书)正文 Char Char"/>
    <w:basedOn w:val="1013"/>
    <w:next w:val="1071"/>
    <w:link w:val="1013"/>
    <w:qFormat/>
    <w:pPr>
      <w:ind w:firstLine="522"/>
      <w:spacing w:line="380" w:lineRule="exact"/>
    </w:pPr>
    <w:rPr>
      <w:rFonts w:ascii="宋体" w:hAnsi="宋体"/>
      <w:spacing w:val="10"/>
      <w:sz w:val="24"/>
      <w:szCs w:val="24"/>
    </w:rPr>
  </w:style>
  <w:style w:type="paragraph" w:styleId="1072">
    <w:name w:val="正文缩进1"/>
    <w:basedOn w:val="1013"/>
    <w:next w:val="1013"/>
    <w:link w:val="1013"/>
    <w:qFormat/>
    <w:pPr>
      <w:ind w:firstLine="420"/>
    </w:pPr>
  </w:style>
  <w:style w:type="paragraph" w:styleId="1073">
    <w:name w:val="一级条标题"/>
    <w:basedOn w:val="1074"/>
    <w:next w:val="1075"/>
    <w:link w:val="1013"/>
    <w:qFormat/>
    <w:pPr>
      <w:numPr>
        <w:ilvl w:val="1"/>
        <w:numId w:val="3"/>
      </w:numPr>
      <w:tabs>
        <w:tab w:val="left" w:pos="810" w:leader="none"/>
        <w:tab w:val="left" w:pos="1265" w:leader="none"/>
      </w:tabs>
      <w:outlineLvl w:val="2"/>
    </w:pPr>
    <w:rPr>
      <w:rFonts w:hAnsi="Times New Roman" w:cs="Times New Roman"/>
      <w:szCs w:val="21"/>
    </w:rPr>
  </w:style>
  <w:style w:type="paragraph" w:styleId="1074">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75">
    <w:name w:val="段"/>
    <w:basedOn w:val="1013"/>
    <w:next w:val="1013"/>
    <w:link w:val="1013"/>
    <w:qFormat/>
    <w:pPr>
      <w:ind w:firstLine="200"/>
      <w:widowControl/>
    </w:pPr>
    <w:rPr>
      <w:rFonts w:hint="eastAsia" w:ascii="宋体"/>
      <w:szCs w:val="20"/>
    </w:rPr>
  </w:style>
  <w:style w:type="paragraph" w:styleId="1076">
    <w:name w:val="首行缩进"/>
    <w:basedOn w:val="1013"/>
    <w:next w:val="1076"/>
    <w:link w:val="1013"/>
    <w:qFormat/>
    <w:pPr>
      <w:ind w:firstLine="420"/>
      <w:spacing w:line="360" w:lineRule="auto"/>
    </w:pPr>
    <w:rPr>
      <w:sz w:val="20"/>
    </w:rPr>
  </w:style>
  <w:style w:type="character" w:styleId="1077">
    <w:name w:val="font5 Char"/>
    <w:next w:val="1077"/>
    <w:link w:val="1013"/>
    <w:rPr>
      <w:rFonts w:ascii="宋体" w:hAnsi="宋体" w:eastAsia="宋体"/>
      <w:sz w:val="28"/>
      <w:szCs w:val="28"/>
      <w:lang w:val="en-US" w:eastAsia="zh-CN" w:bidi="ar-SA"/>
    </w:rPr>
  </w:style>
  <w:style w:type="character" w:styleId="1078">
    <w:name w:val="二级目录 Char"/>
    <w:next w:val="1078"/>
    <w:link w:val="1079"/>
    <w:rPr>
      <w:b/>
      <w:sz w:val="30"/>
      <w:szCs w:val="28"/>
      <w:lang w:val="en-US" w:eastAsia="zh-CN" w:bidi="ar-SA"/>
    </w:rPr>
  </w:style>
  <w:style w:type="paragraph" w:styleId="1079">
    <w:name w:val="二级目录"/>
    <w:next w:val="1013"/>
    <w:link w:val="1078"/>
    <w:pPr>
      <w:numPr>
        <w:ilvl w:val="0"/>
        <w:numId w:val="4"/>
      </w:numPr>
      <w:tabs>
        <w:tab w:val="left" w:pos="907" w:leader="none"/>
        <w:tab w:val="left" w:pos="1145" w:leader="none"/>
      </w:tabs>
      <w:outlineLvl w:val="1"/>
    </w:pPr>
    <w:rPr>
      <w:b/>
      <w:sz w:val="30"/>
      <w:szCs w:val="28"/>
      <w:lang w:val="en-US" w:eastAsia="zh-CN" w:bidi="ar-SA"/>
    </w:rPr>
  </w:style>
  <w:style w:type="character" w:styleId="1080">
    <w:name w:val="列出段落 Char,Bullet List Char,numbered Char,FooterText Char,List Paragraph1 Char,Paragraphe de liste1 Char"/>
    <w:next w:val="1080"/>
    <w:link w:val="1081"/>
    <w:rPr>
      <w:rFonts w:ascii="Calibri" w:hAnsi="Calibri"/>
      <w:sz w:val="24"/>
      <w:szCs w:val="24"/>
      <w:lang w:eastAsia="en-US" w:bidi="en-US"/>
    </w:rPr>
  </w:style>
  <w:style w:type="paragraph" w:styleId="1081">
    <w:name w:val="列出段落1"/>
    <w:basedOn w:val="1013"/>
    <w:next w:val="1081"/>
    <w:link w:val="1080"/>
    <w:qFormat/>
    <w:pPr>
      <w:contextualSpacing/>
      <w:ind w:left="720"/>
      <w:jc w:val="left"/>
      <w:widowControl/>
    </w:pPr>
    <w:rPr>
      <w:rFonts w:ascii="Calibri" w:hAnsi="Calibri"/>
      <w:sz w:val="24"/>
      <w:szCs w:val="24"/>
      <w:lang w:eastAsia="en-US" w:bidi="en-US"/>
    </w:rPr>
  </w:style>
  <w:style w:type="paragraph" w:styleId="1082">
    <w:name w:val="Body Text(ch)"/>
    <w:basedOn w:val="1013"/>
    <w:next w:val="1035"/>
    <w:link w:val="1013"/>
    <w:pPr>
      <w:spacing w:after="120"/>
    </w:pPr>
    <w:rPr>
      <w:rFonts w:ascii="宋体" w:hAnsi="Arial"/>
      <w:bCs/>
      <w:iCs/>
      <w:szCs w:val="24"/>
    </w:rPr>
  </w:style>
  <w:style w:type="paragraph" w:styleId="1083">
    <w:name w:val="xl27"/>
    <w:basedOn w:val="1013"/>
    <w:next w:val="1083"/>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xl26"/>
    <w:basedOn w:val="1013"/>
    <w:next w:val="1084"/>
    <w:link w:val="10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name w:val="Char"/>
    <w:basedOn w:val="1013"/>
    <w:next w:val="1085"/>
    <w:link w:val="1013"/>
    <w:pPr>
      <w:ind w:firstLine="200"/>
      <w:tabs>
        <w:tab w:val="left" w:pos="360" w:leader="none"/>
      </w:tabs>
    </w:pPr>
    <w:rPr>
      <w:sz w:val="28"/>
      <w:szCs w:val="30"/>
    </w:rPr>
  </w:style>
  <w:style w:type="paragraph" w:styleId="1086">
    <w:name w:val=" Char"/>
    <w:basedOn w:val="1032"/>
    <w:next w:val="1086"/>
    <w:link w:val="1013"/>
    <w:rPr>
      <w:rFonts w:ascii="Tahoma" w:hAnsi="Tahoma"/>
      <w:sz w:val="24"/>
      <w:szCs w:val="24"/>
    </w:rPr>
  </w:style>
  <w:style w:type="paragraph" w:styleId="1087">
    <w:name w:val="普通正文"/>
    <w:basedOn w:val="1013"/>
    <w:next w:val="1087"/>
    <w:link w:val="1013"/>
    <w:pPr>
      <w:ind w:firstLine="480"/>
      <w:jc w:val="left"/>
      <w:spacing w:before="120" w:after="120" w:line="360" w:lineRule="auto"/>
    </w:pPr>
    <w:rPr>
      <w:rFonts w:ascii="Arial" w:hAnsi="Arial"/>
      <w:sz w:val="24"/>
      <w:szCs w:val="24"/>
    </w:rPr>
  </w:style>
  <w:style w:type="paragraph" w:styleId="1088">
    <w:name w:val="table_lines"/>
    <w:basedOn w:val="1013"/>
    <w:next w:val="1088"/>
    <w:link w:val="1013"/>
    <w:pPr>
      <w:jc w:val="left"/>
      <w:widowControl/>
    </w:pPr>
    <w:rPr>
      <w:sz w:val="20"/>
      <w:szCs w:val="20"/>
      <w:lang w:val="de-DE" w:eastAsia="de-DE"/>
    </w:rPr>
  </w:style>
  <w:style w:type="paragraph" w:styleId="1089">
    <w:name w:val="附录1"/>
    <w:next w:val="1089"/>
    <w:link w:val="1013"/>
    <w:pPr>
      <w:numPr>
        <w:ilvl w:val="0"/>
        <w:numId w:val="4"/>
      </w:numPr>
      <w:spacing w:before="240" w:line="600" w:lineRule="atLeast"/>
      <w:tabs>
        <w:tab w:val="left" w:pos="907" w:leader="none"/>
      </w:tabs>
    </w:pPr>
    <w:rPr>
      <w:b/>
      <w:i/>
      <w:sz w:val="28"/>
      <w:lang w:val="en-US" w:eastAsia="zh-CN" w:bidi="ar-SA"/>
    </w:rPr>
  </w:style>
  <w:style w:type="paragraph" w:styleId="1090">
    <w:name w:val="font7"/>
    <w:basedOn w:val="1013"/>
    <w:next w:val="1090"/>
    <w:link w:val="1013"/>
    <w:pPr>
      <w:jc w:val="left"/>
      <w:spacing w:before="100" w:beforeAutospacing="1" w:after="100" w:afterAutospacing="1"/>
      <w:widowControl/>
    </w:pPr>
    <w:rPr>
      <w:rFonts w:hint="eastAsia" w:ascii="宋体" w:hAnsi="宋体"/>
      <w:sz w:val="18"/>
      <w:szCs w:val="18"/>
    </w:rPr>
  </w:style>
  <w:style w:type="paragraph" w:styleId="1091">
    <w:name w:val=" Char Char Char Char"/>
    <w:basedOn w:val="1032"/>
    <w:next w:val="1091"/>
    <w:link w:val="1013"/>
    <w:pPr>
      <w:spacing w:line="360" w:lineRule="auto"/>
    </w:pPr>
    <w:rPr>
      <w:rFonts w:ascii="Tahoma" w:hAnsi="Tahoma"/>
      <w:sz w:val="24"/>
      <w:szCs w:val="24"/>
    </w:rPr>
  </w:style>
  <w:style w:type="paragraph" w:styleId="1092">
    <w:name w:val="列出段落"/>
    <w:basedOn w:val="1013"/>
    <w:next w:val="1092"/>
    <w:link w:val="1013"/>
    <w:qFormat/>
    <w:pPr>
      <w:contextualSpacing/>
      <w:ind w:left="720"/>
      <w:jc w:val="left"/>
      <w:widowControl/>
    </w:pPr>
    <w:rPr>
      <w:rFonts w:ascii="Calibri" w:hAnsi="Calibri"/>
      <w:sz w:val="24"/>
      <w:szCs w:val="24"/>
      <w:lang w:eastAsia="en-US" w:bidi="en-US"/>
    </w:rPr>
  </w:style>
  <w:style w:type="paragraph" w:styleId="1093">
    <w:name w:val="4"/>
    <w:basedOn w:val="1013"/>
    <w:next w:val="1054"/>
    <w:link w:val="1013"/>
    <w:pPr>
      <w:ind w:firstLine="420"/>
      <w:spacing w:line="360" w:lineRule="auto"/>
    </w:pPr>
    <w:rPr>
      <w:color w:val="ff0000"/>
      <w:sz w:val="24"/>
      <w:szCs w:val="24"/>
    </w:rPr>
  </w:style>
  <w:style w:type="paragraph" w:styleId="1094">
    <w:name w:val="普通 (Web)"/>
    <w:basedOn w:val="1013"/>
    <w:next w:val="1094"/>
    <w:link w:val="1013"/>
    <w:pPr>
      <w:jc w:val="left"/>
      <w:spacing w:before="100" w:beforeAutospacing="1" w:after="100" w:afterAutospacing="1"/>
      <w:widowControl/>
    </w:pPr>
    <w:rPr>
      <w:rFonts w:ascii="宋体" w:hAnsi="宋体"/>
      <w:sz w:val="24"/>
      <w:szCs w:val="24"/>
    </w:rPr>
  </w:style>
  <w:style w:type="paragraph" w:styleId="1095">
    <w:name w:val=" Char Char Char Char Char Char Char Char Char Char"/>
    <w:basedOn w:val="1013"/>
    <w:next w:val="1095"/>
    <w:link w:val="1013"/>
    <w:pPr>
      <w:spacing w:line="360" w:lineRule="auto"/>
    </w:pPr>
    <w:rPr>
      <w:sz w:val="24"/>
      <w:szCs w:val="20"/>
    </w:rPr>
  </w:style>
  <w:style w:type="paragraph" w:styleId="1096">
    <w:name w:val="样式1"/>
    <w:basedOn w:val="1013"/>
    <w:next w:val="1096"/>
    <w:link w:val="1013"/>
    <w:pPr>
      <w:numPr>
        <w:ilvl w:val="0"/>
        <w:numId w:val="5"/>
      </w:numPr>
      <w:tabs>
        <w:tab w:val="left" w:pos="709" w:leader="none"/>
      </w:tabs>
    </w:pPr>
    <w:rPr>
      <w:rFonts w:ascii="宋体" w:hAnsi="宋体"/>
    </w:rPr>
  </w:style>
  <w:style w:type="paragraph" w:styleId="1097">
    <w:name w:val="font6"/>
    <w:basedOn w:val="1013"/>
    <w:next w:val="1097"/>
    <w:link w:val="1013"/>
    <w:pPr>
      <w:jc w:val="left"/>
      <w:spacing w:before="100" w:beforeAutospacing="1" w:after="100" w:afterAutospacing="1"/>
      <w:widowControl/>
    </w:pPr>
    <w:rPr>
      <w:rFonts w:hint="eastAsia" w:ascii="宋体" w:hAnsi="宋体"/>
      <w:sz w:val="28"/>
      <w:szCs w:val="28"/>
      <w:u w:val="single"/>
    </w:rPr>
  </w:style>
  <w:style w:type="paragraph" w:styleId="1098">
    <w:name w:val="xl25"/>
    <w:basedOn w:val="1013"/>
    <w:next w:val="1098"/>
    <w:link w:val="10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name w:val="图标"/>
    <w:basedOn w:val="1013"/>
    <w:next w:val="1013"/>
    <w:link w:val="10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0">
    <w:name w:val="标题3"/>
    <w:basedOn w:val="1013"/>
    <w:next w:val="1013"/>
    <w:link w:val="1013"/>
    <w:pPr>
      <w:ind w:firstLine="624"/>
      <w:spacing w:line="590" w:lineRule="atLeast"/>
    </w:pPr>
    <w:rPr>
      <w:rFonts w:ascii="方正黑体_GBK" w:eastAsia="方正黑体_GBK"/>
      <w:sz w:val="32"/>
      <w:szCs w:val="32"/>
    </w:rPr>
  </w:style>
  <w:style w:type="paragraph" w:styleId="1101">
    <w:name w:val="xl24"/>
    <w:basedOn w:val="1013"/>
    <w:next w:val="1101"/>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name w:val="xl29"/>
    <w:basedOn w:val="1013"/>
    <w:next w:val="1102"/>
    <w:link w:val="10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Char Char Char Char Char Char Char Char"/>
    <w:basedOn w:val="1013"/>
    <w:next w:val="1103"/>
    <w:link w:val="1013"/>
    <w:pPr>
      <w:jc w:val="left"/>
      <w:spacing w:after="160" w:line="240" w:lineRule="exact"/>
      <w:widowControl/>
    </w:pPr>
    <w:rPr>
      <w:rFonts w:ascii="Verdana" w:hAnsi="Verdana"/>
      <w:sz w:val="20"/>
      <w:szCs w:val="20"/>
      <w:lang w:eastAsia="en-US"/>
    </w:rPr>
  </w:style>
  <w:style w:type="paragraph" w:styleId="1104">
    <w:name w:val="xl28"/>
    <w:basedOn w:val="1013"/>
    <w:next w:val="1104"/>
    <w:link w:val="10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5">
    <w:name w:val=" Char Char Char Char Char Char Char Char"/>
    <w:basedOn w:val="1013"/>
    <w:next w:val="1105"/>
    <w:link w:val="1013"/>
    <w:pPr>
      <w:jc w:val="left"/>
      <w:spacing w:after="160" w:line="240" w:lineRule="exact"/>
      <w:widowControl/>
    </w:pPr>
    <w:rPr>
      <w:rFonts w:ascii="Verdana" w:hAnsi="Verdana"/>
      <w:sz w:val="20"/>
      <w:szCs w:val="20"/>
      <w:lang w:eastAsia="en-US"/>
    </w:rPr>
  </w:style>
  <w:style w:type="paragraph" w:styleId="1106">
    <w:name w:val="xl30"/>
    <w:basedOn w:val="1013"/>
    <w:next w:val="1106"/>
    <w:link w:val="1013"/>
    <w:pPr>
      <w:jc w:val="center"/>
      <w:spacing w:before="100" w:beforeAutospacing="1" w:after="100" w:afterAutospacing="1"/>
      <w:widowControl/>
    </w:pPr>
    <w:rPr>
      <w:rFonts w:ascii="宋体" w:hAnsi="宋体"/>
      <w:b/>
      <w:bCs/>
      <w:sz w:val="36"/>
      <w:szCs w:val="36"/>
    </w:rPr>
  </w:style>
  <w:style w:type="paragraph" w:styleId="1107">
    <w:name w:val="Char Char Char Char"/>
    <w:basedOn w:val="1032"/>
    <w:next w:val="1107"/>
    <w:link w:val="1013"/>
    <w:pPr>
      <w:spacing w:line="360" w:lineRule="auto"/>
    </w:pPr>
    <w:rPr>
      <w:rFonts w:ascii="Tahoma" w:hAnsi="Tahoma"/>
      <w:sz w:val="24"/>
      <w:szCs w:val="24"/>
    </w:rPr>
  </w:style>
  <w:style w:type="paragraph" w:styleId="1108">
    <w:name w:val="table_1stline"/>
    <w:basedOn w:val="1013"/>
    <w:next w:val="1108"/>
    <w:link w:val="1013"/>
    <w:pPr>
      <w:jc w:val="left"/>
      <w:spacing w:before="120"/>
      <w:widowControl/>
    </w:pPr>
    <w:rPr>
      <w:bCs/>
      <w:sz w:val="20"/>
      <w:szCs w:val="20"/>
      <w:lang w:val="de-DE" w:eastAsia="de-DE"/>
    </w:rPr>
  </w:style>
  <w:style w:type="paragraph" w:styleId="1109">
    <w:name w:val="font5"/>
    <w:basedOn w:val="1013"/>
    <w:next w:val="1109"/>
    <w:link w:val="1013"/>
    <w:pPr>
      <w:jc w:val="left"/>
      <w:spacing w:before="100" w:beforeAutospacing="1" w:after="100" w:afterAutospacing="1"/>
      <w:widowControl/>
    </w:pPr>
    <w:rPr>
      <w:rFonts w:hint="eastAsia" w:ascii="宋体" w:hAnsi="宋体"/>
      <w:sz w:val="28"/>
      <w:szCs w:val="28"/>
    </w:rPr>
  </w:style>
  <w:style w:type="paragraph" w:styleId="1110">
    <w:name w:val="标题1"/>
    <w:basedOn w:val="1013"/>
    <w:next w:val="1013"/>
    <w:link w:val="10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1">
    <w:name w:val="修订"/>
    <w:next w:val="1111"/>
    <w:link w:val="1013"/>
    <w:uiPriority w:val="99"/>
    <w:semiHidden/>
    <w:rPr>
      <w:sz w:val="21"/>
      <w:szCs w:val="21"/>
      <w:lang w:val="en-US" w:eastAsia="zh-CN" w:bidi="ar-SA"/>
    </w:rPr>
  </w:style>
  <w:style w:type="paragraph" w:styleId="1112">
    <w:name w:val="无间隔"/>
    <w:next w:val="1112"/>
    <w:link w:val="1013"/>
    <w:uiPriority w:val="99"/>
    <w:qFormat/>
    <w:pPr>
      <w:jc w:val="both"/>
      <w:widowControl w:val="off"/>
    </w:pPr>
    <w:rPr>
      <w:sz w:val="21"/>
      <w:szCs w:val="21"/>
      <w:lang w:val="en-US" w:eastAsia="zh-CN" w:bidi="ar-SA"/>
    </w:rPr>
  </w:style>
  <w:style w:type="paragraph" w:styleId="1113">
    <w:name w:val="项目需求正文文本"/>
    <w:basedOn w:val="1013"/>
    <w:next w:val="1113"/>
    <w:link w:val="1013"/>
    <w:qFormat/>
    <w:pPr>
      <w:ind w:firstLine="1682"/>
      <w:spacing w:line="360" w:lineRule="auto"/>
    </w:pPr>
    <w:rPr>
      <w:sz w:val="24"/>
      <w:szCs w:val="20"/>
    </w:rPr>
  </w:style>
  <w:style w:type="paragraph" w:styleId="1114">
    <w:name w:val="表格字体"/>
    <w:basedOn w:val="1013"/>
    <w:next w:val="1114"/>
    <w:link w:val="1013"/>
    <w:qFormat/>
    <w:pPr>
      <w:spacing w:line="360" w:lineRule="auto"/>
    </w:pPr>
  </w:style>
  <w:style w:type="paragraph" w:styleId="1115">
    <w:name w:val="H正文"/>
    <w:basedOn w:val="1013"/>
    <w:next w:val="1115"/>
    <w:link w:val="1013"/>
    <w:qFormat/>
    <w:pPr>
      <w:ind w:firstLine="200"/>
    </w:pPr>
    <w:rPr>
      <w:rFonts w:ascii="宋体"/>
      <w:sz w:val="24"/>
      <w:szCs w:val="20"/>
    </w:rPr>
  </w:style>
  <w:style w:type="paragraph" w:styleId="1116">
    <w:name w:val="WPSOffice手动目录 1"/>
    <w:next w:val="1116"/>
    <w:link w:val="1013"/>
    <w:rPr>
      <w:lang w:val="en-US" w:eastAsia="zh-CN" w:bidi="ar-SA"/>
    </w:rPr>
  </w:style>
  <w:style w:type="paragraph" w:styleId="1117">
    <w:name w:val="WPSOffice手动目录 2"/>
    <w:next w:val="1117"/>
    <w:link w:val="1013"/>
    <w:rPr>
      <w:lang w:val="en-US" w:eastAsia="zh-CN" w:bidi="ar-SA"/>
    </w:rPr>
  </w:style>
  <w:style w:type="character" w:styleId="1118">
    <w:name w:val="font01"/>
    <w:next w:val="1118"/>
    <w:link w:val="1013"/>
    <w:rPr>
      <w:rFonts w:hint="eastAsia" w:ascii="宋体" w:hAnsi="宋体" w:eastAsia="宋体" w:cs="宋体"/>
      <w:color w:val="000000"/>
      <w:sz w:val="22"/>
      <w:szCs w:val="22"/>
      <w:u w:val="none"/>
    </w:rPr>
  </w:style>
  <w:style w:type="paragraph" w:styleId="1119">
    <w:name w:val="标题 31"/>
    <w:basedOn w:val="1013"/>
    <w:next w:val="1013"/>
    <w:link w:val="1013"/>
    <w:qFormat/>
    <w:pPr>
      <w:keepLines/>
      <w:keepNext/>
      <w:spacing w:before="260" w:after="260" w:line="416" w:lineRule="auto"/>
      <w:outlineLvl w:val="2"/>
    </w:pPr>
    <w:rPr>
      <w:rFonts w:ascii="黑体" w:eastAsia="黑体"/>
      <w:b/>
      <w:bCs/>
      <w:sz w:val="32"/>
      <w:szCs w:val="32"/>
    </w:rPr>
  </w:style>
  <w:style w:type="paragraph" w:styleId="1120">
    <w:name w:val="AONormal"/>
    <w:next w:val="1120"/>
    <w:link w:val="1013"/>
    <w:qFormat/>
    <w:pPr>
      <w:ind w:firstLine="440"/>
      <w:spacing w:line="400" w:lineRule="exact"/>
    </w:pPr>
    <w:rPr>
      <w:rFonts w:ascii="华文楷体" w:hAnsi="华文楷体" w:eastAsia="华文楷体" w:cs="华文楷体"/>
      <w:sz w:val="22"/>
      <w:szCs w:val="21"/>
      <w:lang w:val="en-US" w:eastAsia="zh-CN" w:bidi="ar-SA"/>
    </w:rPr>
  </w:style>
  <w:style w:type="paragraph" w:styleId="1121">
    <w:name w:val="Normal Indent1"/>
    <w:next w:val="1121"/>
    <w:link w:val="1013"/>
    <w:qFormat/>
    <w:pPr>
      <w:ind w:firstLine="420"/>
      <w:spacing w:line="360" w:lineRule="auto"/>
    </w:pPr>
    <w:rPr>
      <w:lang w:val="en-US" w:eastAsia="zh-CN" w:bidi="ar-SA"/>
    </w:rPr>
  </w:style>
  <w:style w:type="paragraph" w:styleId="1122">
    <w:name w:val="null3"/>
    <w:next w:val="1122"/>
    <w:link w:val="1013"/>
    <w:qFormat/>
    <w:rPr>
      <w:rFonts w:hint="eastAsia" w:ascii="Calibri" w:hAnsi="Calibri"/>
      <w:lang w:val="en-US" w:eastAsia="zh-CN" w:bidi="ar-SA"/>
    </w:rPr>
  </w:style>
  <w:style w:type="paragraph" w:styleId="1123">
    <w:name w:val="纯文本1"/>
    <w:basedOn w:val="1013"/>
    <w:next w:val="1123"/>
    <w:link w:val="1013"/>
    <w:qFormat/>
    <w:rPr>
      <w:rFonts w:ascii="宋体" w:hAnsi="Courier New" w:cs="Courier New"/>
    </w:rPr>
  </w:style>
  <w:style w:type="table" w:styleId="1124">
    <w:name w:val="网格型1"/>
    <w:basedOn w:val="1024"/>
    <w:next w:val="1124"/>
    <w:link w:val="1013"/>
    <w:uiPriority w:val="39"/>
    <w:qFormat/>
    <w:tblPr/>
  </w:style>
  <w:style w:type="paragraph" w:styleId="1125">
    <w:name w:val="索引 41"/>
    <w:basedOn w:val="1013"/>
    <w:next w:val="1013"/>
    <w:link w:val="1013"/>
    <w:semiHidden/>
    <w:qFormat/>
    <w:pPr>
      <w:ind w:left="1260"/>
    </w:pPr>
    <w:rPr>
      <w:rFonts w:ascii="Calibri" w:hAnsi="Calibri" w:eastAsia="Calibri" w:cs="宋体"/>
      <w:sz w:val="20"/>
      <w:lang w:val="zh-CN"/>
    </w:rPr>
  </w:style>
  <w:style w:type="paragraph" w:styleId="1126">
    <w:name w:val="Body text|1"/>
    <w:basedOn w:val="1013"/>
    <w:next w:val="1126"/>
    <w:link w:val="1013"/>
    <w:qFormat/>
    <w:pPr>
      <w:ind w:firstLine="400"/>
      <w:jc w:val="left"/>
      <w:spacing w:line="420" w:lineRule="auto"/>
    </w:pPr>
    <w:rPr>
      <w:rFonts w:ascii="宋体" w:hAnsi="宋体" w:cs="宋体"/>
      <w:color w:val="000000"/>
      <w:sz w:val="22"/>
      <w:lang w:val="zh-TW" w:eastAsia="zh-TW"/>
    </w:rPr>
  </w:style>
  <w:style w:type="character" w:styleId="1127">
    <w:name w:val="默认段落字体111"/>
    <w:next w:val="1127"/>
    <w:link w:val="1013"/>
    <w:uiPriority w:val="1"/>
    <w:qFormat/>
    <w:rPr>
      <w:sz w:val="21"/>
      <w:szCs w:val="21"/>
      <w:lang w:val="en-US" w:eastAsia="zh-CN" w:bidi="ar-SA"/>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李可鑫</cp:lastModifiedBy>
  <cp:revision>4</cp:revision>
  <dcterms:created xsi:type="dcterms:W3CDTF">2026-07-21T00:44:00Z</dcterms:created>
  <dcterms:modified xsi:type="dcterms:W3CDTF">2026-07-29T05:59:50Z</dcterms:modified>
</cp:coreProperties>
</file>