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48"/>
          <w:szCs w:val="48"/>
          <w:highlight w:val="none"/>
        </w:rPr>
      </w:pPr>
      <w:r>
        <w:rPr>
          <w:color w:val="auto"/>
          <w:sz w:val="48"/>
          <w:highlight w:val="none"/>
        </w:rPr>
      </w:r>
      <w:r/>
    </w:p>
    <w:p>
      <w:pPr>
        <w:rPr>
          <w:rFonts w:ascii="宋体" w:hAnsi="宋体"/>
          <w:b/>
          <w:color w:val="auto"/>
          <w:sz w:val="48"/>
          <w:szCs w:val="48"/>
          <w:highlight w:val="none"/>
        </w:rPr>
      </w:pPr>
      <w:r>
        <w:rPr>
          <w:rFonts w:ascii="宋体" w:hAnsi="宋体"/>
          <w:b/>
          <w:color w:val="auto"/>
          <w:sz w:val="48"/>
          <w:szCs w:val="48"/>
          <w:highlight w:val="none"/>
        </w:rPr>
      </w:r>
      <w:r/>
    </w:p>
    <w:p>
      <w:pPr>
        <w:jc w:val="center"/>
        <w:rPr>
          <w:rFonts w:ascii="华文新魏" w:hAnsi="华文新魏" w:eastAsia="华文新魏" w:cs="华文新魏"/>
          <w:b/>
          <w:color w:val="auto"/>
          <w:spacing w:val="113"/>
          <w:sz w:val="116"/>
          <w:szCs w:val="72"/>
          <w:highlight w:val="none"/>
        </w:rPr>
      </w:pPr>
      <w:r>
        <w:rPr>
          <w:rFonts w:hint="eastAsia" w:ascii="华文新魏" w:hAnsi="华文新魏" w:eastAsia="华文新魏" w:cs="华文新魏"/>
          <w:b/>
          <w:color w:val="auto"/>
          <w:spacing w:val="113"/>
          <w:sz w:val="116"/>
          <w:szCs w:val="72"/>
          <w:highlight w:val="none"/>
        </w:rPr>
        <w:t xml:space="preserve">竞争性谈判</w:t>
      </w:r>
      <w:r/>
    </w:p>
    <w:p>
      <w:pPr>
        <w:jc w:val="center"/>
        <w:rPr>
          <w:rFonts w:ascii="华文新魏" w:hAnsi="华文新魏" w:eastAsia="华文新魏" w:cs="华文新魏"/>
          <w:b/>
          <w:color w:val="auto"/>
          <w:spacing w:val="113"/>
          <w:sz w:val="144"/>
          <w:szCs w:val="72"/>
          <w:highlight w:val="none"/>
        </w:rPr>
      </w:pPr>
      <w:r>
        <w:rPr>
          <w:rFonts w:hint="eastAsia" w:ascii="华文新魏" w:hAnsi="华文新魏" w:eastAsia="华文新魏" w:cs="华文新魏"/>
          <w:b/>
          <w:color w:val="auto"/>
          <w:spacing w:val="113"/>
          <w:sz w:val="116"/>
          <w:szCs w:val="72"/>
          <w:highlight w:val="none"/>
        </w:rPr>
        <w:t xml:space="preserve">采购文件</w:t>
      </w:r>
      <w:r/>
    </w:p>
    <w:p>
      <w:pPr>
        <w:ind w:firstLine="4579"/>
        <w:rPr>
          <w:rFonts w:ascii="宋体" w:hAnsi="宋体"/>
          <w:bCs/>
          <w:color w:val="auto"/>
          <w:sz w:val="72"/>
          <w:szCs w:val="72"/>
          <w:highlight w:val="none"/>
        </w:rPr>
      </w:pPr>
      <w:r>
        <w:rPr>
          <w:rFonts w:ascii="宋体" w:hAnsi="宋体"/>
          <w:bCs/>
          <w:color w:val="auto"/>
          <w:sz w:val="72"/>
          <w:szCs w:val="72"/>
          <w:highlight w:val="none"/>
        </w:rPr>
      </w:r>
      <w:r/>
    </w:p>
    <w:p>
      <w:pPr>
        <w:ind w:firstLine="2528"/>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采购编号：</w:t>
      </w:r>
      <w:r>
        <w:rPr>
          <w:rFonts w:hint="eastAsia" w:ascii="宋体" w:hAnsi="宋体"/>
          <w:b/>
          <w:color w:val="auto"/>
          <w:sz w:val="32"/>
          <w:szCs w:val="32"/>
          <w:highlight w:val="none"/>
          <w:lang w:eastAsia="zh-CN"/>
        </w:rPr>
        <w:t xml:space="preserve">JSZC-320591-SZYX-T2026-0023</w:t>
      </w:r>
      <w:r/>
    </w:p>
    <w:p>
      <w:pPr>
        <w:ind w:firstLine="2107"/>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采购单位：苏州工业园区服务外包职业学院</w:t>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采购内容：</w:t>
      </w:r>
      <w:r>
        <w:rPr>
          <w:rFonts w:hint="eastAsia" w:ascii="宋体" w:hAnsi="宋体"/>
          <w:b/>
          <w:color w:val="auto"/>
          <w:sz w:val="30"/>
          <w:highlight w:val="none"/>
          <w:lang w:eastAsia="zh-CN"/>
        </w:rPr>
        <w:t xml:space="preserve">外包学院2026年度教学实训设备（四标段）</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5" o:title=""/>
              </v:shape>
            </w:pict>
          </mc:Fallback>
        </mc:AlternateContent>
      </w:r>
      <w:r/>
    </w:p>
    <w:p>
      <w:pPr>
        <w:jc w:val="center"/>
        <w:rPr>
          <w:rFonts w:ascii="宋体" w:hAnsi="宋体"/>
          <w:color w:val="auto"/>
          <w:sz w:val="28"/>
          <w:szCs w:val="28"/>
          <w:highlight w:val="none"/>
        </w:rPr>
      </w:pPr>
      <w:r>
        <w:rPr>
          <w:rFonts w:ascii="宋体" w:hAnsi="宋体"/>
          <w:color w:val="auto"/>
          <w:sz w:val="28"/>
          <w:szCs w:val="28"/>
          <w:highlight w:val="none"/>
        </w:rPr>
      </w: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rPr>
          <w:rFonts w:ascii="宋体" w:hAnsi="宋体"/>
          <w:color w:val="auto"/>
          <w:sz w:val="28"/>
          <w:szCs w:val="28"/>
          <w:highlight w:val="none"/>
        </w:rPr>
      </w:r>
      <w:r/>
    </w:p>
    <w:p>
      <w:pPr>
        <w:jc w:val="center"/>
        <w:rPr>
          <w:rFonts w:ascii="宋体" w:hAnsi="宋体"/>
          <w:color w:val="auto"/>
          <w:sz w:val="28"/>
          <w:szCs w:val="28"/>
          <w:highlight w:val="none"/>
        </w:rPr>
      </w:pPr>
      <w:r>
        <w:rPr>
          <w:rFonts w:hint="eastAsia" w:ascii="宋体" w:hAnsi="宋体" w:cs="宋体"/>
          <w:color w:val="auto"/>
          <w:highlight w:val="none"/>
        </w:rPr>
      </w:r>
      <w:r>
        <w:rPr>
          <w:rFonts w:hint="eastAsia" w:ascii="宋体" w:hAnsi="宋体" w:cs="宋体"/>
          <w:color w:val="auto"/>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hint="eastAsia" w:ascii="宋体" w:hAnsi="宋体"/>
          <w:b/>
          <w:bCs/>
          <w:color w:val="auto"/>
          <w:sz w:val="32"/>
          <w:szCs w:val="32"/>
          <w:highlight w:val="none"/>
        </w:rPr>
      </w:pPr>
      <w:r>
        <w:rPr>
          <w:rFonts w:hint="eastAsia" w:ascii="宋体" w:hAnsi="宋体"/>
          <w:b/>
          <w:color w:val="auto"/>
          <w:sz w:val="32"/>
          <w:szCs w:val="28"/>
          <w:highlight w:val="none"/>
          <w:lang w:val="en-US" w:eastAsia="zh-CN"/>
        </w:rPr>
        <w:t xml:space="preserve">二〇二六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七</w:t>
      </w:r>
      <w:r>
        <w:rPr>
          <w:rFonts w:hint="eastAsia" w:ascii="宋体" w:hAnsi="宋体"/>
          <w:b/>
          <w:color w:val="auto"/>
          <w:sz w:val="32"/>
          <w:szCs w:val="28"/>
          <w:highlight w:val="none"/>
        </w:rPr>
        <w:t xml:space="preserve">月</w:t>
      </w:r>
      <w:r>
        <w:rPr>
          <w:rFonts w:ascii="宋体" w:hAnsi="宋体"/>
          <w:b/>
          <w:bCs/>
          <w:color w:val="auto"/>
          <w:sz w:val="32"/>
          <w:szCs w:val="32"/>
          <w:highlight w:val="none"/>
        </w:rPr>
        <w:br w:type="page" w:clear="all"/>
      </w:r>
      <w:r>
        <w:rPr>
          <w:rFonts w:hint="eastAsia" w:ascii="宋体" w:hAnsi="宋体"/>
          <w:b/>
          <w:bCs/>
          <w:color w:val="auto"/>
          <w:sz w:val="32"/>
          <w:szCs w:val="32"/>
          <w:highlight w:val="none"/>
        </w:rPr>
      </w:r>
      <w:r/>
    </w:p>
    <w:p>
      <w:pPr>
        <w:jc w:val="center"/>
        <w:rPr>
          <w:rFonts w:ascii="宋体" w:hAnsi="宋体"/>
          <w:b/>
          <w:color w:val="auto"/>
          <w:sz w:val="32"/>
          <w:highlight w:val="none"/>
        </w:rPr>
        <w:outlineLvl w:val="0"/>
      </w:pPr>
      <w:r>
        <w:rPr>
          <w:rFonts w:hint="eastAsia" w:ascii="宋体" w:hAnsi="宋体"/>
          <w:b/>
          <w:color w:val="auto"/>
          <w:sz w:val="32"/>
          <w:highlight w:val="none"/>
        </w:rPr>
        <w:t xml:space="preserve">一、竞争性谈判公告</w:t>
      </w:r>
      <w:r/>
    </w:p>
    <w:tbl>
      <w:tblPr>
        <w:tblStyle w:val="944"/>
        <w:tblW w:w="9705"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705"/>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textDirection w:val="lrTb"/>
            <w:noWrap w:val="false"/>
          </w:tcPr>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项目概况：</w:t>
            </w:r>
            <w:r/>
          </w:p>
          <w:p>
            <w:pPr>
              <w:ind w:firstLine="420"/>
              <w:jc w:val="left"/>
              <w:spacing w:line="360" w:lineRule="auto"/>
              <w:widowControl/>
              <w:rPr>
                <w:rFonts w:ascii="宋体" w:hAnsi="宋体" w:cs="宋体"/>
                <w:color w:val="auto"/>
                <w:szCs w:val="21"/>
                <w:highlight w:val="none"/>
              </w:rPr>
            </w:pPr>
            <w:r>
              <w:rPr>
                <w:rFonts w:hint="eastAsia" w:ascii="宋体" w:hAnsi="宋体"/>
                <w:color w:val="auto"/>
                <w:szCs w:val="21"/>
                <w:highlight w:val="none"/>
                <w:u w:val="single"/>
                <w:lang w:eastAsia="zh-CN"/>
              </w:rPr>
              <w:t xml:space="preserve">外包学院2026年度教学实训设备（四标段）</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“苏采云”政府采购一体化平台</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hint="eastAsia" w:ascii="宋体" w:hAnsi="宋体" w:cs="宋体"/>
                <w:color w:val="auto"/>
                <w:szCs w:val="21"/>
                <w:highlight w:val="none"/>
                <w:u w:val="single"/>
                <w:lang w:eastAsia="zh-CN"/>
              </w:rPr>
              <w:t xml:space="preserve">2026年8月5日</w:t>
            </w:r>
            <w:r>
              <w:rPr>
                <w:rFonts w:hint="eastAsia" w:ascii="宋体" w:hAnsi="宋体" w:cs="宋体"/>
                <w:color w:val="auto"/>
                <w:szCs w:val="21"/>
                <w:highlight w:val="none"/>
                <w:u w:val="single"/>
              </w:rPr>
              <w:t xml:space="preserve">14：00</w:t>
            </w:r>
            <w:r>
              <w:rPr>
                <w:rFonts w:ascii="宋体" w:hAnsi="宋体" w:cs="宋体"/>
                <w:color w:val="auto"/>
                <w:szCs w:val="21"/>
                <w:highlight w:val="none"/>
              </w:rPr>
              <w:t xml:space="preserve">（北京时间）前递交</w:t>
            </w:r>
            <w:r>
              <w:rPr>
                <w:rFonts w:hint="eastAsia" w:ascii="宋体" w:hAnsi="宋体" w:cs="宋体"/>
                <w:color w:val="auto"/>
                <w:szCs w:val="21"/>
                <w:highlight w:val="none"/>
              </w:rPr>
              <w:t xml:space="preserve">谈判</w:t>
            </w:r>
            <w:r>
              <w:rPr>
                <w:rFonts w:ascii="宋体" w:hAnsi="宋体" w:cs="宋体"/>
                <w:color w:val="auto"/>
                <w:szCs w:val="21"/>
                <w:highlight w:val="none"/>
              </w:rPr>
              <w:t xml:space="preserve">响应文件。</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olor w:val="auto"/>
          <w:szCs w:val="21"/>
          <w:highlight w:val="none"/>
        </w:rPr>
        <w:t xml:space="preserve">苏州工业园区服务外包职业学院</w:t>
      </w:r>
      <w:r>
        <w:rPr>
          <w:rFonts w:hint="eastAsia" w:ascii="宋体" w:hAnsi="宋体" w:cs="宋体"/>
          <w:color w:val="auto"/>
          <w:szCs w:val="21"/>
          <w:highlight w:val="none"/>
        </w:rPr>
        <w:t xml:space="preserve">的委托，就</w:t>
      </w:r>
      <w:r>
        <w:rPr>
          <w:rFonts w:hint="eastAsia" w:ascii="宋体" w:hAnsi="宋体"/>
          <w:color w:val="auto"/>
          <w:szCs w:val="21"/>
          <w:highlight w:val="none"/>
          <w:lang w:eastAsia="zh-CN"/>
        </w:rPr>
        <w:t xml:space="preserve">外包学院2026年度教学实训设备（四标段）</w:t>
      </w:r>
      <w:r>
        <w:rPr>
          <w:rFonts w:hint="eastAsia" w:ascii="宋体" w:hAnsi="宋体" w:cs="宋体"/>
          <w:color w:val="auto"/>
          <w:szCs w:val="21"/>
          <w:highlight w:val="none"/>
        </w:rPr>
        <w:t xml:space="preserve">进行竞争性谈判采购，现欢迎符合相关条件的供应商参加响应。</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一、项目基本情况</w:t>
      </w:r>
      <w:r/>
    </w:p>
    <w:p>
      <w:pPr>
        <w:ind w:firstLine="420"/>
        <w:jc w:val="left"/>
        <w:spacing w:line="4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olor w:val="auto"/>
          <w:szCs w:val="21"/>
          <w:highlight w:val="none"/>
          <w:lang w:eastAsia="zh-CN"/>
        </w:rPr>
        <w:t xml:space="preserve">JSZC-320591-SZYX-T2026-0023</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外包学院2026年度教学实训设备（四标段）</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采购方式：竞争性谈判</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预算金额：人民币</w:t>
      </w:r>
      <w:r>
        <w:rPr>
          <w:rFonts w:hint="eastAsia" w:ascii="宋体" w:hAnsi="宋体" w:cs="宋体"/>
          <w:color w:val="auto"/>
          <w:szCs w:val="21"/>
          <w:highlight w:val="none"/>
          <w:lang w:val="en-US" w:eastAsia="zh-CN"/>
        </w:rPr>
        <w:t xml:space="preserve">贰拾柒万伍仟肆佰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275400</w:t>
      </w:r>
      <w:r>
        <w:rPr>
          <w:rFonts w:hint="eastAsia" w:ascii="宋体" w:hAnsi="宋体" w:cs="宋体"/>
          <w:color w:val="auto"/>
          <w:szCs w:val="21"/>
          <w:highlight w:val="none"/>
        </w:rPr>
        <w:t xml:space="preserve">.00）</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详见采购需求</w:t>
      </w:r>
      <w:r>
        <w:rPr>
          <w:rFonts w:hint="eastAsia" w:ascii="宋体" w:hAnsi="宋体" w:cs="宋体"/>
          <w:color w:val="auto"/>
          <w:szCs w:val="21"/>
          <w:highlight w:val="none"/>
        </w:rPr>
        <w:t xml:space="preserve">采购清单</w:t>
      </w:r>
      <w:r>
        <w:rPr>
          <w:rFonts w:hint="eastAsia" w:ascii="宋体" w:hAnsi="宋体" w:cs="宋体"/>
          <w:color w:val="auto"/>
          <w:szCs w:val="21"/>
          <w:highlight w:val="none"/>
          <w:lang w:val="en-US" w:eastAsia="zh-CN"/>
        </w:rPr>
        <w:t xml:space="preserve">中</w:t>
      </w:r>
      <w:r>
        <w:rPr>
          <w:rFonts w:hint="eastAsia" w:ascii="宋体" w:hAnsi="宋体" w:cs="宋体"/>
          <w:color w:val="auto"/>
          <w:szCs w:val="21"/>
          <w:highlight w:val="none"/>
        </w:rPr>
        <w:t xml:space="preserve">单价最高限价</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采购需求：</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采购清单：</w:t>
      </w:r>
      <w:r/>
    </w:p>
    <w:tbl>
      <w:tblPr>
        <w:tblStyle w:val="944"/>
        <w:tblW w:w="8220" w:type="dxa"/>
        <w:tblInd w:w="5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908"/>
        <w:gridCol w:w="825"/>
        <w:gridCol w:w="705"/>
      </w:tblGrid>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9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数字化产品设计与开发赛训套件</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视觉艺术设计实训设备</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智能视频生成系统</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AIGC智能创作引擎</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合同履约期限：合同签订之日起30天内交付并安装调试完毕。</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本项目不接受联合体响应。</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400" w:lineRule="exact"/>
        <w:tabs>
          <w:tab w:val="left" w:pos="567" w:leader="none"/>
        </w:tabs>
        <w:rPr>
          <w:rFonts w:ascii="宋体" w:hAnsi="宋体" w:cs="宋体"/>
          <w:color w:val="auto"/>
          <w:szCs w:val="21"/>
          <w:highlight w:val="none"/>
        </w:rPr>
      </w:pPr>
      <w:r/>
      <w:bookmarkStart w:id="0" w:name="_Toc916371710"/>
      <w:r>
        <w:rPr>
          <w:rFonts w:hint="eastAsia" w:ascii="宋体" w:hAnsi="宋体" w:cs="宋体"/>
          <w:color w:val="auto"/>
          <w:szCs w:val="21"/>
          <w:highlight w:val="none"/>
        </w:rPr>
        <w:t xml:space="preserve">(1)具有独立承担民事责任的能力；</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bookmarkEnd w:id="0"/>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本项目所属行业为：工业。本项目专门面向中小企业采购。供应商参加本项目采购活动时应在响应文件中出具《中小企业声明函》，残疾人福利性单位（监狱企业）供应商提供的残疾人福利性单位声明函（监狱企业证明文件）视同提供了中小企业声明函。</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(2)单位负责人为同一人或者存在直接控股、管理关系的不同供应商，不得参加同一合同项下的政府采购活动。</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(3)为采购项目提供整体设计、规范编制或者项目管理、监理、检测等服务的供应商，不得再参加该采购项目的其他采购活动。</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)存在可能影响采购活动公平、公正的利害关系的不同供应商，不得参加同一合同项下的采购活动。</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3.本项目的特定资格要求：无。</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三、获取谈判采购文件：</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1.时间：自本采购公告发布之日起三个工作日</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rPr>
        <w:t xml:space="preserve">江苏省政府采购一体化平台“苏采云”系统自行下载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3.方式：登录江苏省政府采购一体化平台“苏采云”系统，确认参与项目后自行下载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四、响应文件提交</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2026年8月5日</w:t>
      </w:r>
      <w:r>
        <w:rPr>
          <w:rFonts w:hint="eastAsia" w:ascii="宋体" w:hAnsi="宋体" w:cs="宋体"/>
          <w:color w:val="auto"/>
          <w:szCs w:val="21"/>
          <w:highlight w:val="none"/>
        </w:rPr>
        <w:t xml:space="preserve">14：00（北京时间）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rPr>
          <w:rFonts w:hint="eastAsia" w:ascii="宋体" w:hAnsi="宋体" w:cs="宋体"/>
          <w:color w:val="auto"/>
          <w:szCs w:val="21"/>
          <w:highlight w:val="none"/>
        </w:rPr>
        <w:t xml:space="preserve">响应文件网上递交，无需至现场参加采购活动</w:t>
      </w:r>
      <w:r>
        <w:rPr>
          <w:rFonts w:hint="eastAsia" w:ascii="宋体" w:hAnsi="宋体" w:cs="宋体"/>
          <w:color w:val="auto"/>
          <w:szCs w:val="21"/>
          <w:highlight w:val="none"/>
        </w:rPr>
        <w:t xml:space="preserve">。</w:t>
      </w:r>
      <w:r/>
    </w:p>
    <w:p>
      <w:pPr>
        <w:numPr>
          <w:ilvl w:val="0"/>
          <w:numId w:val="4"/>
        </w:num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开启</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2026年8月5日</w:t>
      </w:r>
      <w:r>
        <w:rPr>
          <w:rFonts w:hint="eastAsia" w:ascii="宋体" w:hAnsi="宋体" w:cs="宋体"/>
          <w:color w:val="auto"/>
          <w:szCs w:val="21"/>
          <w:highlight w:val="none"/>
        </w:rPr>
        <w:t xml:space="preserve">14：00（北京时间）</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ind w:firstLine="420"/>
        <w:jc w:val="left"/>
        <w:spacing w:line="40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评标地点：苏州工业园区苏州大道东136号星塘大厦3楼北苏州工业园区公共资源交易中心</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六、公告期限：自本公告发布之日起3个工作日。</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七、其他相关事宜：</w:t>
      </w:r>
      <w:r/>
    </w:p>
    <w:p>
      <w:pPr>
        <w:ind w:firstLine="42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1.CA证书办理：供应商</w:t>
      </w:r>
      <w:r>
        <w:rPr>
          <w:rFonts w:hint="eastAsia" w:ascii="宋体" w:hAnsi="宋体" w:cs="宋体"/>
          <w:color w:val="auto"/>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highlight w:val="none"/>
        </w:rPr>
        <w:t xml:space="preserve">苏州市高新区邓尉路105号狮山科技馆1楼服务大厅，咨询电话：0512-69820834。</w:t>
      </w:r>
      <w:r>
        <w:rPr>
          <w:rFonts w:hint="eastAsia" w:ascii="宋体" w:hAnsi="宋体" w:cs="宋体"/>
          <w:color w:val="auto"/>
          <w:highlight w:val="none"/>
        </w:rPr>
      </w:r>
      <w:r/>
    </w:p>
    <w:p>
      <w:pPr>
        <w:ind w:firstLine="42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3.技术服务咨询电话：CA技术咨询电话：400-608-6099；电子签章技术咨询电话：</w:t>
      </w:r>
      <w:r>
        <w:rPr>
          <w:rFonts w:hint="eastAsia" w:ascii="宋体" w:hAnsi="宋体" w:cs="宋体"/>
          <w:color w:val="auto"/>
          <w:highlight w:val="none"/>
          <w:shd w:val="clear" w:color="auto" w:fill="ffffff"/>
        </w:rPr>
        <w:t xml:space="preserve">025-83633811、025-83633812、</w:t>
      </w:r>
      <w:r>
        <w:rPr>
          <w:rFonts w:hint="eastAsia" w:ascii="宋体" w:hAnsi="宋体" w:cs="宋体"/>
          <w:color w:val="auto"/>
          <w:highlight w:val="none"/>
        </w:rPr>
        <w:t xml:space="preserve">15380932027、15371015030；系统使用指导与咨询电话：18261002950（不见面项目）QQ：3048755361、895706745。</w:t>
      </w:r>
      <w:r/>
    </w:p>
    <w:p>
      <w:pPr>
        <w:ind w:firstLine="42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widowControl/>
        <w:rPr>
          <w:rFonts w:ascii="宋体" w:hAnsi="宋体" w:cs="宋体"/>
          <w:b/>
          <w:color w:val="auto"/>
          <w:highlight w:val="none"/>
        </w:rPr>
      </w:pPr>
      <w:r>
        <w:rPr>
          <w:rFonts w:hint="eastAsia" w:ascii="宋体" w:hAnsi="宋体" w:cs="宋体"/>
          <w:color w:val="auto"/>
          <w:highlight w:val="none"/>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rPr>
          <w:rFonts w:ascii="宋体" w:hAnsi="宋体" w:cs="宋体"/>
          <w:color w:val="auto"/>
          <w:highlight w:val="none"/>
        </w:rPr>
      </w:pPr>
      <w:r>
        <w:rPr>
          <w:rFonts w:hint="eastAsia" w:ascii="宋体" w:hAnsi="宋体" w:cs="宋体"/>
          <w:color w:val="auto"/>
          <w:highlight w:val="none"/>
        </w:rPr>
        <w:t xml:space="preserve">6.线上参加开标（开启）会方式：供应商登录“苏采云”系统，点击“开标大厅”，选择对应项目，点击进入不见面开标系统。</w:t>
      </w:r>
      <w:r/>
    </w:p>
    <w:p>
      <w:pPr>
        <w:ind w:firstLine="422"/>
        <w:jc w:val="left"/>
        <w:spacing w:line="400" w:lineRule="exact"/>
        <w:shd w:val="clear" w:color="auto" w:fill="ffffff"/>
        <w:widowControl/>
        <w:rPr>
          <w:rFonts w:ascii="宋体" w:hAnsi="宋体" w:cs="宋体"/>
          <w:color w:val="auto"/>
          <w:highlight w:val="none"/>
        </w:rPr>
      </w:pPr>
      <w:r>
        <w:rPr>
          <w:rFonts w:hint="eastAsia" w:ascii="宋体" w:hAnsi="宋体" w:cs="宋体"/>
          <w:color w:val="auto"/>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0"/>
        <w:spacing w:line="400" w:lineRule="exact"/>
        <w:widowControl/>
        <w:rPr>
          <w:rFonts w:ascii="宋体" w:hAnsi="宋体" w:cs="宋体"/>
          <w:color w:val="auto"/>
          <w:highlight w:val="none"/>
        </w:rPr>
      </w:pPr>
      <w:r>
        <w:rPr>
          <w:rFonts w:hint="eastAsia" w:ascii="宋体" w:hAnsi="宋体" w:cs="宋体"/>
          <w:color w:val="auto"/>
          <w:highlight w:val="none"/>
        </w:rPr>
        <w:t xml:space="preserve">8.请供应商确保电脑、系统及其他设备（视频输入输出设备等）无误，且开启直至项目结束始终保持系统在线状态</w:t>
      </w:r>
      <w:r/>
    </w:p>
    <w:p>
      <w:pPr>
        <w:ind w:firstLine="420"/>
        <w:spacing w:line="400" w:lineRule="exact"/>
        <w:widowControl/>
        <w:rPr>
          <w:rFonts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本项目支持政府采购合同信用融资。</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10.政府采购监督电话：0512-66681110</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11.本公告同时在江苏省政府采购网、苏州市政府采购网上发布。</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八、对本次采购提出询问，请按以下方式联系：</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 采购人信息</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olor w:val="auto"/>
          <w:szCs w:val="21"/>
          <w:highlight w:val="none"/>
        </w:rPr>
        <w:t xml:space="preserve">苏州工业园区服务外包职业学院</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地址：苏州工业园区松涛街208号</w:t>
      </w:r>
      <w:r/>
    </w:p>
    <w:p>
      <w:pPr>
        <w:pStyle w:val="979"/>
        <w:spacing w:line="400" w:lineRule="exact"/>
        <w:rPr>
          <w:rFonts w:hAnsi="宋体" w:cs="宋体"/>
          <w:color w:val="auto"/>
          <w:szCs w:val="21"/>
          <w:highlight w:val="none"/>
        </w:rPr>
      </w:pPr>
      <w:r>
        <w:rPr>
          <w:rFonts w:hint="eastAsia" w:hAnsi="宋体" w:cs="宋体"/>
          <w:color w:val="auto"/>
          <w:szCs w:val="21"/>
          <w:highlight w:val="none"/>
        </w:rPr>
        <w:t xml:space="preserve">联系方式：</w:t>
      </w:r>
      <w:r>
        <w:rPr>
          <w:rFonts w:hint="default" w:hAnsi="宋体" w:cs="宋体"/>
          <w:color w:val="auto"/>
          <w:szCs w:val="21"/>
          <w:highlight w:val="none"/>
          <w:lang w:val="en-US" w:eastAsia="zh-CN"/>
        </w:rPr>
        <w:t xml:space="preserve">18606203579</w:t>
      </w:r>
      <w:r>
        <w:rPr>
          <w:rFonts w:hint="eastAsia" w:hAnsi="宋体" w:cs="宋体"/>
          <w:color w:val="auto"/>
          <w:szCs w:val="21"/>
          <w:highlight w:val="none"/>
          <w:lang w:val="en-US" w:eastAsia="zh-CN"/>
        </w:rPr>
        <w:t xml:space="preserve">、</w:t>
      </w:r>
      <w:r>
        <w:rPr>
          <w:rFonts w:hint="eastAsia" w:hAnsi="宋体" w:cs="宋体"/>
          <w:color w:val="auto"/>
          <w:szCs w:val="21"/>
          <w:highlight w:val="none"/>
        </w:rPr>
        <w:t xml:space="preserve">13862177740</w:t>
      </w:r>
      <w:r/>
    </w:p>
    <w:p>
      <w:pPr>
        <w:pStyle w:val="979"/>
        <w:spacing w:line="400" w:lineRule="exact"/>
        <w:rPr>
          <w:rFonts w:hint="eastAsia"/>
          <w:color w:val="auto"/>
          <w:highlight w:val="none"/>
        </w:rPr>
      </w:pPr>
      <w:r>
        <w:rPr>
          <w:rFonts w:hint="eastAsia" w:hAnsi="宋体" w:cs="宋体"/>
          <w:color w:val="auto"/>
          <w:szCs w:val="21"/>
          <w:highlight w:val="none"/>
        </w:rPr>
        <w:t xml:space="preserve">联系人：</w:t>
      </w:r>
      <w:r>
        <w:rPr>
          <w:rFonts w:hint="default" w:hAnsi="宋体" w:cs="宋体"/>
          <w:color w:val="auto"/>
          <w:szCs w:val="21"/>
          <w:highlight w:val="none"/>
          <w:lang w:val="en-US" w:eastAsia="zh-CN"/>
        </w:rPr>
        <w:t xml:space="preserve">张老师</w:t>
      </w:r>
      <w:r>
        <w:rPr>
          <w:rFonts w:hint="eastAsia" w:hAnsi="宋体" w:cs="宋体"/>
          <w:color w:val="auto"/>
          <w:szCs w:val="21"/>
          <w:highlight w:val="none"/>
          <w:lang w:val="en-US" w:eastAsia="zh-CN"/>
        </w:rPr>
        <w:t xml:space="preserve">、</w:t>
      </w:r>
      <w:r>
        <w:rPr>
          <w:rFonts w:hint="eastAsia"/>
          <w:color w:val="auto"/>
          <w:highlight w:val="none"/>
        </w:rPr>
        <w:t xml:space="preserve">程老师</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 采购代理机构</w:t>
      </w:r>
      <w:r>
        <w:rPr>
          <w:rFonts w:hint="eastAsia" w:cs="宋体"/>
          <w:color w:val="auto"/>
          <w:highlight w:val="none"/>
        </w:rPr>
        <w:t xml:space="preserve">信息</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名称：苏州市原鑫招投标咨询服务有限公司</w:t>
      </w:r>
      <w:r/>
    </w:p>
    <w:p>
      <w:pPr>
        <w:ind w:firstLine="420"/>
        <w:jc w:val="left"/>
        <w:spacing w:line="4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苏州工业园区苏州大道西313号嘉实大厦东楼5楼</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联系方式：0512-68364647、68361806*8002</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rPr>
        <w:t xml:space="preserve">金健、周详、祝晓忠、周悦婷</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电话：0512-68364647、68361806*8002 </w:t>
      </w:r>
      <w:r/>
    </w:p>
    <w:p>
      <w:pPr>
        <w:numPr>
          <w:ilvl w:val="0"/>
          <w:numId w:val="5"/>
        </w:numPr>
        <w:jc w:val="center"/>
        <w:spacing w:line="400" w:lineRule="exact"/>
        <w:tabs>
          <w:tab w:val="left" w:pos="5250" w:leader="none"/>
        </w:tabs>
        <w:rPr>
          <w:rFonts w:ascii="宋体" w:hAnsi="宋体"/>
          <w:b/>
          <w:bCs/>
          <w:color w:val="auto"/>
          <w:sz w:val="32"/>
          <w:szCs w:val="32"/>
          <w:highlight w:val="none"/>
        </w:rPr>
        <w:outlineLvl w:val="0"/>
      </w:pPr>
      <w:r>
        <w:rPr>
          <w:rFonts w:ascii="宋体" w:hAnsi="宋体"/>
          <w:color w:val="auto"/>
          <w:szCs w:val="21"/>
          <w:highlight w:val="none"/>
        </w:rPr>
        <w:br w:type="page" w:clear="all"/>
      </w:r>
      <w:r>
        <w:rPr>
          <w:rFonts w:hint="eastAsia" w:ascii="宋体" w:hAnsi="宋体"/>
          <w:b/>
          <w:bCs/>
          <w:color w:val="auto"/>
          <w:sz w:val="32"/>
          <w:szCs w:val="32"/>
          <w:highlight w:val="none"/>
        </w:rPr>
        <w:t xml:space="preserve">谈判文件</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olor w:val="auto"/>
          <w:szCs w:val="21"/>
          <w:highlight w:val="none"/>
        </w:rPr>
        <w:t xml:space="preserve">苏州工业园区服务外包职业学院</w:t>
      </w:r>
      <w:r>
        <w:rPr>
          <w:rFonts w:hint="eastAsia" w:ascii="宋体" w:hAnsi="宋体" w:cs="宋体"/>
          <w:color w:val="auto"/>
          <w:szCs w:val="21"/>
          <w:highlight w:val="none"/>
        </w:rPr>
        <w:t xml:space="preserve">的委托，就</w:t>
      </w:r>
      <w:r>
        <w:rPr>
          <w:rFonts w:hint="eastAsia" w:ascii="宋体" w:hAnsi="宋体"/>
          <w:color w:val="auto"/>
          <w:szCs w:val="21"/>
          <w:highlight w:val="none"/>
          <w:lang w:eastAsia="zh-CN"/>
        </w:rPr>
        <w:t xml:space="preserve">外包学院2026年度教学实训设备（四标段）</w:t>
      </w:r>
      <w:r>
        <w:rPr>
          <w:rFonts w:hint="eastAsia" w:ascii="宋体" w:hAnsi="宋体" w:cs="宋体"/>
          <w:color w:val="auto"/>
          <w:szCs w:val="21"/>
          <w:highlight w:val="none"/>
        </w:rPr>
        <w:t xml:space="preserve">进行竞争性谈判采购，现欢迎符合相关条件的供应商参加响应。</w:t>
      </w:r>
      <w:r/>
    </w:p>
    <w:p>
      <w:pPr>
        <w:numPr>
          <w:ilvl w:val="0"/>
          <w:numId w:val="6"/>
        </w:numPr>
        <w:contextualSpacing/>
        <w:spacing w:line="400" w:lineRule="exact"/>
        <w:tabs>
          <w:tab w:val="left" w:pos="0" w:leader="none"/>
        </w:tabs>
        <w:rPr>
          <w:rFonts w:ascii="宋体" w:hAnsi="宋体" w:cs="宋体"/>
          <w:bCs/>
          <w:color w:val="auto"/>
          <w:highlight w:val="none"/>
        </w:rPr>
      </w:pPr>
      <w:r>
        <w:rPr>
          <w:rFonts w:hint="eastAsia" w:ascii="宋体" w:hAnsi="宋体" w:cs="宋体"/>
          <w:bCs/>
          <w:color w:val="auto"/>
          <w:highlight w:val="none"/>
        </w:rPr>
        <w:t xml:space="preserve">采购内容：</w:t>
      </w:r>
      <w:r>
        <w:rPr>
          <w:rFonts w:hint="eastAsia" w:ascii="宋体" w:hAnsi="宋体" w:cs="宋体"/>
          <w:bCs/>
          <w:color w:val="auto"/>
          <w:szCs w:val="21"/>
          <w:highlight w:val="none"/>
          <w:lang w:eastAsia="zh-CN"/>
        </w:rPr>
        <w:t xml:space="preserve">外包学院2026年度教学实训设备（四标段）</w:t>
      </w:r>
      <w:r/>
    </w:p>
    <w:p>
      <w:pPr>
        <w:numPr>
          <w:ilvl w:val="0"/>
          <w:numId w:val="6"/>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采购编号：</w:t>
      </w:r>
      <w:r>
        <w:rPr>
          <w:rFonts w:hint="eastAsia" w:ascii="宋体" w:hAnsi="宋体" w:cs="宋体"/>
          <w:bCs/>
          <w:color w:val="auto"/>
          <w:szCs w:val="21"/>
          <w:highlight w:val="none"/>
          <w:lang w:eastAsia="zh-CN"/>
        </w:rPr>
        <w:t xml:space="preserve">JSZC-320591-SZYX-T2026-0023</w:t>
      </w:r>
      <w:r/>
    </w:p>
    <w:p>
      <w:pPr>
        <w:numPr>
          <w:ilvl w:val="0"/>
          <w:numId w:val="6"/>
        </w:numPr>
        <w:contextualSpacing/>
        <w:spacing w:line="400" w:lineRule="exact"/>
        <w:tabs>
          <w:tab w:val="left" w:pos="0" w:leader="none"/>
        </w:tabs>
        <w:rPr>
          <w:rFonts w:ascii="宋体" w:hAnsi="宋体" w:cs="宋体"/>
          <w:color w:val="auto"/>
          <w:szCs w:val="21"/>
          <w:highlight w:val="none"/>
        </w:rPr>
      </w:pPr>
      <w:r>
        <w:rPr>
          <w:rFonts w:hint="eastAsia" w:ascii="宋体" w:hAnsi="宋体" w:cs="宋体"/>
          <w:bCs/>
          <w:color w:val="auto"/>
          <w:szCs w:val="21"/>
          <w:highlight w:val="none"/>
        </w:rPr>
        <w:t xml:space="preserve">采购需求：</w:t>
      </w:r>
      <w:r/>
    </w:p>
    <w:p>
      <w:pPr>
        <w:numPr>
          <w:ilvl w:val="0"/>
          <w:numId w:val="7"/>
        </w:numPr>
        <w:contextualSpacing/>
        <w:spacing w:line="400" w:lineRule="exact"/>
        <w:tabs>
          <w:tab w:val="left" w:pos="0" w:leader="none"/>
        </w:tabs>
        <w:rPr>
          <w:rFonts w:ascii="宋体" w:hAnsi="宋体" w:cs="宋体"/>
          <w:color w:val="auto"/>
          <w:highlight w:val="none"/>
        </w:rPr>
      </w:pPr>
      <w:r>
        <w:rPr>
          <w:rFonts w:hint="eastAsia" w:ascii="宋体" w:hAnsi="宋体" w:cs="宋体"/>
          <w:bCs/>
          <w:color w:val="auto"/>
          <w:szCs w:val="21"/>
          <w:highlight w:val="none"/>
        </w:rPr>
        <w:t xml:space="preserve">采购内容及要求</w:t>
      </w:r>
      <w:r/>
    </w:p>
    <w:p>
      <w:pPr>
        <w:numPr>
          <w:ilvl w:val="0"/>
          <w:numId w:val="8"/>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数字艺术实训设备采购清单：</w:t>
      </w:r>
      <w:r/>
    </w:p>
    <w:tbl>
      <w:tblPr>
        <w:tblStyle w:val="944"/>
        <w:tblW w:w="10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857"/>
        <w:gridCol w:w="735"/>
        <w:gridCol w:w="795"/>
        <w:gridCol w:w="1995"/>
      </w:tblGrid>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85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7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199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单价最高限价（元）</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数字化产品设计与开发赛训套件</w:t>
            </w:r>
            <w:r/>
          </w:p>
        </w:tc>
        <w:tc>
          <w:tcPr>
            <w:shd w:val="clear" w:color="auto" w:fill="auto"/>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9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65600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视觉艺术设计实训设备</w:t>
            </w:r>
            <w:r/>
          </w:p>
        </w:tc>
        <w:tc>
          <w:tcPr>
            <w:shd w:val="clear" w:color="auto" w:fill="auto"/>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9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99800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智能视频生成系统</w:t>
            </w:r>
            <w:r/>
          </w:p>
        </w:tc>
        <w:tc>
          <w:tcPr>
            <w:shd w:val="clear" w:color="auto" w:fill="auto"/>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9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50000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AIGC智能创作引擎</w:t>
            </w:r>
            <w:r/>
          </w:p>
        </w:tc>
        <w:tc>
          <w:tcPr>
            <w:shd w:val="clear" w:color="auto" w:fill="auto"/>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95"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60000</w:t>
            </w:r>
            <w:r/>
          </w:p>
        </w:tc>
      </w:tr>
    </w:tbl>
    <w:p>
      <w:pPr>
        <w:numPr>
          <w:ilvl w:val="0"/>
          <w:numId w:val="8"/>
        </w:numPr>
        <w:contextualSpacing/>
        <w:ind w:left="420" w:hanging="420"/>
        <w:spacing w:line="400" w:lineRule="exact"/>
        <w:tabs>
          <w:tab w:val="left" w:pos="420" w:leader="none"/>
        </w:tabs>
        <w:rPr>
          <w:rFonts w:hint="eastAsia" w:ascii="宋体" w:hAnsi="宋体"/>
          <w:color w:val="auto"/>
          <w:szCs w:val="21"/>
          <w:highlight w:val="none"/>
        </w:rPr>
      </w:pPr>
      <w:r>
        <w:rPr>
          <w:rFonts w:hint="eastAsia" w:ascii="宋体" w:hAnsi="宋体"/>
          <w:color w:val="auto"/>
          <w:szCs w:val="21"/>
          <w:highlight w:val="none"/>
        </w:rPr>
        <w:t xml:space="preserve">详细技术参数、指标要求：</w:t>
      </w:r>
      <w:r/>
    </w:p>
    <w:tbl>
      <w:tblPr>
        <w:tblStyle w:val="944"/>
        <w:tblW w:w="10056"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711"/>
        <w:gridCol w:w="825"/>
        <w:gridCol w:w="7335"/>
        <w:gridCol w:w="555"/>
        <w:gridCol w:w="630"/>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rPr>
              <w:t xml:space="preserve">详细技术参数、指标要求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数字化产品设计与开发赛训套件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numPr>
                <w:ilvl w:val="0"/>
                <w:numId w:val="9"/>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★AI 3D生成模型聚合：系统须聚合≥2个文生3D/图生3D生成管道，须同时包含国产模型模型，。模型列表以投标人实际接入情况为准</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t xml:space="preserve">提供模型的接入清单及相应的接入证明。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2.文生3D：支持通过自然语言描述生成三维模型，提交前完成内容安全检测，支持轮询检测机制，超时阈值不低于12分钟。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图生3D：支持通过参考图片生成三维模型，输出OBJ/FBX/GLB/STL/ 等主流3D格式，支持白模/贴图模式切换。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★多材质与多风格渲染：支持PBR材质渲染，贴图风格≥5种（通用、石雕、青花瓷、卡通、赛博朋克等），光影预设≥3种（工作室光、户外天光、戏剧光影）。</w:t>
            </w:r>
            <w:r>
              <w:rPr>
                <w:rFonts w:hint="eastAsia" w:ascii="宋体" w:hAnsi="宋体" w:cs="宋体"/>
                <w:i w:val="0"/>
                <w:color w:val="auto"/>
                <w:sz w:val="18"/>
                <w:szCs w:val="18"/>
                <w:highlight w:val="none"/>
                <w:u w:val="none"/>
                <w:lang w:val="en-US" w:eastAsia="zh-CN" w:bidi="ar"/>
              </w:rPr>
              <w:t xml:space="preserve">提供软件功能截图证明</w:t>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3D模型库：内置≥50个工业产品3D模型库（覆盖玩具、家电、机械零件、文创产品等类别），支持模型文件直接导入实训平台使用。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赛项适配：系统须满足职业院校技能大赛“数字化产品设计与开发”赛项技术要求，支持产品数字化建模、渲染输出、装配展示等全流程赛项训练。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教学说明：确保软件为正版授权，无知识产权纠纷。</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 赛训环境：数字化产品终端显示设备、手绘板、软件制作开发设备环境</w:t>
            </w:r>
            <w:r/>
          </w:p>
          <w:p>
            <w:pPr>
              <w:numPr>
                <w:ilvl w:val="0"/>
                <w:numId w:val="0"/>
              </w:numPr>
              <w:jc w:val="left"/>
              <w:keepLines w:val="0"/>
              <w:keepNext w:val="0"/>
              <w:pageBreakBefore w:val="0"/>
              <w:widowControl/>
              <w:rPr>
                <w:rFonts w:hint="eastAsia" w:ascii="宋体" w:hAnsi="宋体" w:cs="宋体"/>
                <w:i w:val="0"/>
                <w:color w:val="auto"/>
                <w:sz w:val="18"/>
                <w:szCs w:val="18"/>
                <w:highlight w:val="none"/>
                <w:u w:val="none"/>
                <w:lang w:val="en-US" w:eastAsia="zh-CN" w:bidi="ar"/>
              </w:rPr>
              <w:outlineLvl w:val="9"/>
              <w:suppressLineNumbers w:val="0"/>
            </w:pPr>
            <w:r>
              <w:rPr>
                <w:rFonts w:hint="eastAsia" w:ascii="宋体" w:hAnsi="宋体" w:cs="宋体"/>
                <w:i w:val="0"/>
                <w:color w:val="auto"/>
                <w:sz w:val="18"/>
                <w:szCs w:val="18"/>
                <w:highlight w:val="none"/>
                <w:u w:val="none"/>
                <w:lang w:val="en-US" w:eastAsia="zh-CN" w:bidi="ar"/>
              </w:rPr>
              <w:t xml:space="preserve">硬件套件：</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1、核心计算平台</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1.1处理器：高通® Snapdragon™ XR2 Gen 2以上</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1.2内存：</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12GB LPDDR5</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1.3存储：</w:t>
            </w:r>
            <w:r>
              <w:rPr>
                <w:rFonts w:hint="eastAsia" w:ascii="宋体" w:hAnsi="宋体" w:cs="宋体"/>
                <w:i w:val="0"/>
                <w:color w:val="auto"/>
                <w:sz w:val="18"/>
                <w:szCs w:val="18"/>
                <w:highlight w:val="none"/>
                <w:u w:val="none"/>
                <w:lang w:val="en-US" w:eastAsia="zh-CN" w:bidi="ar"/>
              </w:rPr>
              <w:t xml:space="preserve">不低</w:t>
            </w:r>
            <w:r>
              <w:rPr>
                <w:rFonts w:hint="eastAsia" w:ascii="宋体" w:hAnsi="宋体" w:eastAsia="宋体" w:cs="宋体"/>
                <w:i w:val="0"/>
                <w:color w:val="auto"/>
                <w:sz w:val="18"/>
                <w:szCs w:val="18"/>
                <w:highlight w:val="none"/>
                <w:u w:val="none"/>
                <w:lang w:val="en-US" w:eastAsia="zh-CN" w:bidi="ar"/>
              </w:rPr>
              <w:t xml:space="preserve">256GB UFS 3.1</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1.4无线连接：Wi-Fi 7（支持 802.11 a/b/g/n/ac/ax/be），双频段 2.4GHz / 5GHz</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1.5蓝牙版本：Bluetooth 5.3</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1.6操作系统：</w:t>
            </w:r>
            <w:r>
              <w:rPr>
                <w:rFonts w:hint="eastAsia" w:ascii="宋体" w:hAnsi="宋体" w:cs="宋体"/>
                <w:i w:val="0"/>
                <w:color w:val="auto"/>
                <w:sz w:val="18"/>
                <w:szCs w:val="18"/>
                <w:highlight w:val="none"/>
                <w:u w:val="none"/>
                <w:lang w:val="en-US" w:eastAsia="zh-CN" w:bidi="ar"/>
              </w:rPr>
              <w:t xml:space="preserve">不低</w:t>
            </w:r>
            <w:r>
              <w:rPr>
                <w:rFonts w:hint="eastAsia" w:ascii="宋体" w:hAnsi="宋体" w:eastAsia="宋体" w:cs="宋体"/>
                <w:i w:val="0"/>
                <w:color w:val="auto"/>
                <w:sz w:val="18"/>
                <w:szCs w:val="18"/>
                <w:highlight w:val="none"/>
                <w:u w:val="none"/>
                <w:lang w:val="en-US" w:eastAsia="zh-CN" w:bidi="ar"/>
              </w:rPr>
              <w:t xml:space="preserve">Android 14</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2、显示系统</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2.1屏幕类型：不低于2.56英寸双路 SFR TFT 显示屏</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2.2分辨率：总分辨率 4320×2160，单眼分辨率 2160×2160</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3、摄像头系统</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3.1四目单色鱼眼相机：共4颗，分辨率 640×480 @60Hz，用于6DoF 空间定位与环境建图</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3.2双目 RGB 摄像头：2颗 3200 万像素高清相机，支持 MR 混合现实透视功能</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3.3 MR 深度摄像头：搭载 iTof（间接飞行时间）相机，实现高精度深度感知与空间理解</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4、交互方式</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4.1头部追踪：Inside-out方案，支持 6DoF 头部定位</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手柄控制器：配备6DoF 宽频触感手柄×2，支持高精度追踪与多级震动反馈</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4.2手势识别：支持双手 26 自由度追踪，内置 4 种常用手势模型，可自定义扩展</w:t>
            </w:r>
            <w:r/>
          </w:p>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5、接口8.3USB Type-C 接口：支持 USB 3.0 数据传输（需另购 USB 3.0 数据线，标配线为 USB 2.0）支持 OTG 扩展功能：输出供电能力为 5V/1A，可通过 USB 3.0 OTG 转接线连接外设LED 指示灯：三色 LED 灯，实时显示设备状态（开机、关机、充电中）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课程套件：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需包含《3D模型设计与制作》（64课时）：内容包含但不限于数字雕刻基础、多边形建模基础、道具资产高模制作、道具资产低模制作等内容。所有课程均包含理论课件、实践作业提纲、教学视频、案例素材、案例演示源文件等资源材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 课程套件：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需包含《3D模型设计与制作》（64课时）：内容包含但不限于数字雕刻基础、多边形建模基础、道具资产高模制作、道具资产低模制作等内容。所有课程均包含理论课件、实践作业提纲、教学视频、案例素材、案例演示源文件等资源材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视觉艺术设计实训设备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平台系统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1.★AI绘画模型聚合：平台须聚合≥10个主流文生图/图生图模型，支持用户端动态切换模型，管理端统一启用/禁用。模型列表以投标人实际接入情况为准，提供模型的接入清单及相应的接入证明；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2.精细化参数控制：文生图须支持正向/反向提示词控制、（用云端模型的参数替代）。反向提示词须能精确排除不需要的生成元素。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主体一致性控制：须支持多图融合创作能力。系统须支持角色特征锁定功能，允许教师为赛项训练中的固定角色创建“角色特征模板”，学生可在后续创作中直接调用该模板，保持角色服装特征、身体特征、面部特征的一致性。</w:t>
            </w:r>
            <w:r>
              <w:rPr>
                <w:rFonts w:hint="eastAsia" w:ascii="宋体" w:hAnsi="宋体" w:cs="宋体"/>
                <w:i w:val="0"/>
                <w:color w:val="auto"/>
                <w:sz w:val="18"/>
                <w:szCs w:val="18"/>
                <w:highlight w:val="none"/>
                <w:u w:val="none"/>
                <w:lang w:val="en-US" w:eastAsia="zh-CN" w:bidi="ar"/>
              </w:rPr>
              <w:t xml:space="preserve">提供软件功能截图证明</w:t>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参考图精准控制：须支持多种参考图类型控制，包括角色特征参考、人物长相参考、主体参考（支持2-4张参考图综合生成）、场景参考、风格参考，并支持参考图强度调节。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智能资源库：系统内置≥50个教学模板（海报、标志、VI系统、包装等）、≥500条分类提示词案例库（支持教师自定义扩充、按模态检索）、≥100个商用授权素材。资源库与AI绘画功能一键调用。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世赛适配：系统须针对世界职业院校技能大赛视觉艺术设计赛项进行专项适配，内置赛项训练模块，支持标志设计、海报合成、品牌VI系统设计、包装展开图等全流程赛项训练任务。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作品社区：系统提供校内作品画廊，支持学生作品自动发布、点赞、评论、及个人作品集导出。</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硬件套件：</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1.机身框架 塑胶和钢材</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2.支持打印板类型 纹理 PEI 打印板、光面 PEI 打印板、增稳低温打印板、工程材料打印板</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3.热床支持最高温度 ≥120 ℃</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4.工具头最大移动速度不低于 1000 mm/s；工具头最大移动加速度 不低于20,000 mm/s²</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5.辅助热端支持耗材 PLA (不含发泡 PLA), PETG, ABS, ASA, AMS 专用 TPU, PET, PA, PC；PLA 支撑专用耗材, PLA/PETG 支撑专用耗材, ABS 支撑专用耗材, PA/PET 支撑专用耗材, PVA 水溶性支撑耗材；碳纤/玻纤增强: PLA、PETG、ABS、ASA、PA6、PAHT、PET</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6.屏幕 ≥5 英寸 1280*720 触摸屏</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存储 内置≥8 GB EMMC，支持外挂U盘</w:t>
            </w:r>
            <w:r/>
          </w:p>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7、操作界面 支持触摸屏、手机端应用、电脑端应用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课程套件：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(1)《AI绘画》（48课时）：内容包含但不限于AI绘画基础、AI绘画运用、AI绘画描述、AI绘画模型、AI绘画实例等内容。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(2)《原画设计》（80课时）：内容包含但不限于原画基础概念、原画基础设计、原画概念设计、原画进阶设计、原画创作设计等内容。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(3)所有课程均包含理论课件、实践作业提纲、教学视频、案例素材、案例演示源文件等资源材料。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云端算力支持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云端算力积分预充值：用于数字化产品设计与开发赛训套件、视觉艺术设计实训设备、智能视频生成系统及AIGC智能创作引擎云端API调用的算力积分预付，涵盖大语言模型≥13个、图像生成模型≥25个、视频生成模型≥19个、音乐生成模型≥3个、3D生成模型≥3个等云端API的调用消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服务期内（3年）云端算力积分总额度不低于50万积分；最多可完成（非并列）文案生成：3亿Token输入或1亿Token输出；图片生成：150000张；AI换装：30000张；视频生成/5s：8000个；3d模型生成：8000个；音乐生成：15000首；语音合成：4000万字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支持按课程/班级/学生的精细化额度分配管理；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提供积分消耗明细报表，支持多维度查询和统计；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积分有效期与合同服务期同步，未使用积分可顺延至下一服务年度。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智能视频生成系统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AI视频模型聚合：系统须聚合≥5个文生视频/图生视频/动作控制模型，须同时包含国产模型主流模型，覆盖快速生成、高质量成片、首尾帧驱动、多图参考、角色动作控制等能力。模型列表以投标人实际接入情况为准</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t xml:space="preserve">提供模型的接入清单及相应的接入证明。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2.文生视频能力：支持通过文本描述生成动态视频片段，单次生成基础时长≥15秒连贯叙事。支持自由设置运镜风格（推、拉、摇、移、跟拍、环绕等）。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3.★首尾帧平滑控制：支持以静态图像为基础生成动态视频，支持首尾帧平滑控制——用户可指定首帧和尾帧图像，系统自动生成中间过渡动画，帧间过渡无明显跳帧或突变。支持多图参考混合生成。</w:t>
            </w:r>
            <w:r>
              <w:rPr>
                <w:rFonts w:hint="eastAsia" w:ascii="宋体" w:hAnsi="宋体" w:cs="宋体"/>
                <w:i w:val="0"/>
                <w:color w:val="auto"/>
                <w:sz w:val="18"/>
                <w:szCs w:val="18"/>
                <w:highlight w:val="none"/>
                <w:u w:val="none"/>
                <w:lang w:val="en-US" w:eastAsia="zh-CN" w:bidi="ar"/>
              </w:rPr>
              <w:t xml:space="preserve">提供软件功能截图证明</w:t>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4.多分辨率与多时长：须支持分辨率档位480p/720p/1080p/多档输出，生成时长档位5s/10s/15s档位设定，画面长宽比支持16:9/9:16/4:3/1:1，生成风格≥10种（含写实、动漫、赛博朋克、国风等）。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跨模型视频任务接力：系统须支持跨模型视频任务接力工作流。当一个视频生成模型无法完成特定创作需求时（如首尾帧平滑过渡效果欠佳、视频延长能力不足、特定镜头运镜难以实现），系统须支持将当前任务中间状态无缝迁移至另一个具备相应能力的视频模型继续处理。迁移过程须保持已生成部分的视频内容质量不衰减，最终输出合并为完整视频。提供跨模型接力工作流的技术实现方案说明，验收时须对至少两种不同架构的AI视频模型进行接力工作流现场演示验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6.并发处理：支持多任务并行提交，任务状态通过Socket.IO实时推送到客户端，支持任务取消、重试、进度百分比查看。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7.输出格式：支持MP4等主流视频格式导出，支持按任务独立下载。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课程套件：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《数字资产全流程制作实践》</w:t>
            </w:r>
            <w:r>
              <w:rPr>
                <w:rFonts w:hint="eastAsia" w:ascii="宋体" w:hAnsi="宋体" w:eastAsia="宋体" w:cs="宋体"/>
                <w:i w:val="0"/>
                <w:color w:val="auto"/>
                <w:sz w:val="18"/>
                <w:szCs w:val="18"/>
                <w:highlight w:val="none"/>
                <w:u w:val="none"/>
                <w:lang w:val="en-US" w:eastAsia="zh-CN" w:bidi="ar"/>
              </w:rPr>
              <w:t xml:space="preserve">（42课时）：内容包含但不限于美术资产制作流程、分工及规范，角色裸模及皮肤制作、发型模型材质贴图制作、角色服装、服装材质贴图、角色模型资产输出、主建筑模型、物件模型、场景材质贴图、场景模型资产输出、角色绑定（低模）、角色动画（低模）、角色绑定（中高模）、角色动画（中高模）、动画资产输出地形搭建、布局及素材运用、灯光布局、机位及运镜设置、角色场景资产导入、材质效果调整、片头片尾制作、转场及特效制作、素材资产剪辑、合成输出视频；所有课程均包含理论课件、实践作业提纲、教学视频、案例素材、案例演示源文件等资源材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AIGC智能创作引擎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引擎基础功能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自定义模型接入与管理：平台须支持用户通过API Key和模型接入点URL的方式自行配置和接入符合用户需求的生成式人工智能模型。平台提供标准的API接入规范，用户可在平台后台管理界面填写模型名称、API Key、模型接入点URL等参数后完成接入配置，接入后的模型自动纳入平台的统一调度体系，支持用户端动态切换。平台不负责对用户自行接入的模型进行备案审查，用户须自行确保所接入模型符合国家相关法律法规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流式输出：所有模型响应须支持SSE流式逐字输出，首字响应延迟≤200ms，支持Markdown实时渲染，代码块语法高亮支持≥15种编程语言。</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多轮对话管理：支持按时间段（当日/昨日/近7天/更早）智能分组展示，支持对话分组的关键词检索、新建、删除、重命名。支持消息终止生成、重新生成、复制、点赞/点踩。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API负载均衡：系统须支持多API Key池化负载均衡，支持按累计使用次数与最近使用时间轮询调度，单Key支持独立配置启用/禁用状态及权重系数。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统一API协议适配与参数自动映射：平台须支持对异构AI模型的统一API封装，内置协议适配层，兼容RESTful、gRPC、WebSocket等多种通信协议，实现不同厂商模型API的差异化接口统一封装。具体包括：请求参数的自动格式映射（将平台通用参数自动转换为各模型的特定输入格式），以及响应结果的标准化解析。提供至少三家主流模型厂商API的协议适配方案说明，并承诺在交付验收时对至少五类不同模态的AI模型API完成协议适配验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多模型统一调度与智能路由：平台须提供统一API网关，内置智能路由引擎，支持“成本优先”、“质量优先”和“均衡优先”三种调度策略，系统可根据用户场景自动或手动切换调度策略。当某模型实例出现超时、限流或服务异常时，平台须支持秒级自动切换至备用模型实例或同类型等效模型，确保教学业务连续性不中断。</w:t>
            </w:r>
            <w:r>
              <w:rPr>
                <w:rFonts w:hint="eastAsia" w:ascii="宋体" w:hAnsi="宋体" w:cs="宋体"/>
                <w:i w:val="0"/>
                <w:color w:val="auto"/>
                <w:sz w:val="18"/>
                <w:szCs w:val="18"/>
                <w:highlight w:val="none"/>
                <w:u w:val="none"/>
                <w:lang w:val="en-US" w:eastAsia="zh-CN" w:bidi="ar"/>
              </w:rPr>
              <w:t xml:space="preserve">提供软件功能截图证明</w:t>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跨模态智能路由：平台须支持跨模态路由能力。当系统接收到AI创作请求时，智能路由引擎须自动判断任务类型（文生图/图生图/文生视频/图生视频等），并根据预设策略将任务自动路由至最适合完成该任务的模型。路由策略须支持自定义配置，允许教师根据教学需要为不同任务类型指定默认模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 异步任务队列：系统须基于异步任务队列架构，按功能模块建立独立队列（chat/draw/video/music/3d等≥6个），各队列并发度、重试次数、退避策略可独立配置。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 内容安全审核：系统须内置≥5000条敏感词库（覆盖政治、色情、暴力、违法、广告等类别），支持数据库动态增量同步。设置三级分级管控策略：HIGH级直接拒绝并记录违规日志、MEDIUM级须用户确认后继续、LOW级页面标签提示。覆盖文本审核与图片审核双重模态，执行生成前预检与生成后复核双重审核流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 精细化算力成本与积分池治理：平台须支持全链路Token消耗的实时精准计量。用户发起API调用时，平台自动记录调用时间、消耗积分、调用模型、任务类型等数据，积分池余额变更时延≤1分钟。须支持按院系/课程/班级的精细化配额管理，系统管理员可设定各层级的积分上限（日/周/月度），当额度达到阈值时自动触发预警提醒。须提供积分消耗明细报表的多维度检索及数据导出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 数据驾驶舱：平台提供数据驾驶舱，包含运营总览（用户数、日活、月活、各功能模块使用量排行）、教学行为分析（学生使用频率、模型偏好、创作量趋势）、资源使用分析（积分消耗分布、API调用统计、各模型调用成功率）、教学效果评估（成绩分布、作业完成率）。所有维度支持图表可视化展示及数据导出，且须支持按时间范围（日/周/月/学期）自定义筛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 教学管理子系统：系统提供课程创建与编排、作业在线发布与批改、班级管理、积分额度精细化管理（按课程/班级分配初始额度，自动记录各模块消耗）。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 附件上传：支持对话中上传图片与文档附件（支持PDF、Word、TXT等格式）。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 作品社区：支持作品自动发布至校内作品画廊，支持点赞、评论、及个人作品集导出。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 并发性能：系统须支持≥120名学生同时在线进行AI创作实训，主流创作任务响应延迟≤10秒。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bl>
    <w:p>
      <w:pPr>
        <w:numPr>
          <w:ilvl w:val="0"/>
          <w:numId w:val="7"/>
        </w:numPr>
        <w:contextualSpacing/>
        <w:spacing w:line="400" w:lineRule="exact"/>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综合说明</w:t>
      </w:r>
      <w:r/>
    </w:p>
    <w:p>
      <w:pPr>
        <w:numPr>
          <w:ilvl w:val="0"/>
          <w:numId w:val="10"/>
        </w:numPr>
        <w:jc w:val="left"/>
        <w:spacing w:line="400" w:lineRule="exact"/>
        <w:rPr>
          <w:rFonts w:ascii="宋体" w:hAnsi="宋体" w:cs="宋体"/>
          <w:color w:val="auto"/>
          <w:highlight w:val="none"/>
        </w:rPr>
      </w:pPr>
      <w:r>
        <w:rPr>
          <w:rFonts w:hint="eastAsia" w:ascii="宋体" w:hAnsi="宋体" w:cs="宋体"/>
          <w:b/>
          <w:bCs/>
          <w:color w:val="auto"/>
          <w:highlight w:val="none"/>
        </w:rPr>
        <w:t xml:space="preserve">本项目采购需求中的所有内容及要求均不允许出现负偏离，否则视为未实质性响应采购文件的要求。</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本项目不接受进口产品投标。</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本项目核心产品为：视觉艺术设计实训设备</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项目履约期限：合同签订之日起30天内交付并安装调试完毕。</w:t>
      </w:r>
      <w:r>
        <w:rPr>
          <w:rFonts w:hint="eastAsia" w:cs="宋体"/>
          <w:color w:val="auto"/>
          <w:highlight w:val="none"/>
        </w:rPr>
        <w:t xml:space="preserve">如不能如期供货，采购方有权终止合同，供应商须承担由此对采购方造成的损失。</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项目交付地点：采购人指定地点。</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响应单位须保证所投软件必须为正版，因版权问题造成的一切后果均由成交供应商承担。</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产品测试：</w:t>
      </w:r>
      <w:r/>
    </w:p>
    <w:p>
      <w:pPr>
        <w:ind w:left="567"/>
        <w:jc w:val="left"/>
        <w:spacing w:line="400" w:lineRule="exact"/>
        <w:tabs>
          <w:tab w:val="left" w:pos="420" w:leader="none"/>
        </w:tabs>
        <w:rPr>
          <w:rFonts w:ascii="宋体" w:hAnsi="宋体" w:cs="宋体"/>
          <w:color w:val="auto"/>
          <w:highlight w:val="none"/>
        </w:rPr>
      </w:pPr>
      <w:r>
        <w:rPr>
          <w:rFonts w:hint="eastAsia" w:ascii="宋体" w:hAnsi="宋体" w:cs="宋体"/>
          <w:color w:val="auto"/>
          <w:highlight w:val="none"/>
        </w:rPr>
        <w:t xml:space="preserve">签订合同时采购人有权要求成交单位提供主要产品进行功能测试，如不满足采购要求，采购人有权认定产品不合格，视为虚假响应，并追究其相应责任，承担由此对采购人造成的一切损失并解除合同。</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免费质保期：自项目验收合格之日起提供不低于一年的免费质保期</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特殊产品质保期按照不低于技术参数中要求执行</w:t>
      </w:r>
      <w:r>
        <w:rPr>
          <w:rFonts w:hint="eastAsia" w:ascii="宋体" w:hAnsi="宋体" w:cs="宋体"/>
          <w:color w:val="auto"/>
          <w:highlight w:val="none"/>
        </w:rPr>
        <w:t xml:space="preserve">，产品原厂质保期高于此标准的按原厂质保期限执行。</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售后服务响应：在免费质保期内提供免费优质的售后服务，如发生质量问题，供应商应在采购人发出通知后于1小时内响应，6小时内到达现场进行维修、更换或退货，遇有紧急情况或发生重大故障时须在4小时内到达现场进行维修，24小时内解决问题，否则为保障采购人正常使用，应提供满足采购人需求的相应替代产品，否则采购人有权自行采取相应补救措施，产生的一切费用由供应商全权承担。</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质量保证：响应单位须保证成交后</w:t>
      </w:r>
      <w:r>
        <w:rPr>
          <w:rFonts w:hint="eastAsia" w:ascii="宋体" w:hAnsi="宋体" w:cs="宋体"/>
          <w:color w:val="auto"/>
          <w:highlight w:val="none"/>
          <w:lang w:val="zh-CN"/>
        </w:rPr>
        <w:t xml:space="preserve">提供的货物均为按国家规格条例生产的合格正规产品、符合设计规范要求。</w:t>
      </w:r>
      <w:r>
        <w:rPr>
          <w:rFonts w:hint="eastAsia" w:ascii="宋体" w:hAnsi="宋体" w:cs="宋体"/>
          <w:color w:val="auto"/>
          <w:highlight w:val="none"/>
        </w:rPr>
        <w:t xml:space="preserve">响应单位</w:t>
      </w:r>
      <w:r>
        <w:rPr>
          <w:rFonts w:hint="eastAsia" w:ascii="宋体" w:hAnsi="宋体" w:cs="宋体"/>
          <w:color w:val="auto"/>
          <w:highlight w:val="none"/>
          <w:lang w:val="zh-CN"/>
        </w:rPr>
        <w:t xml:space="preserve">应能保证所提供货物涉及到的知识产权是合法取得，并享有完整的知识产权，不会因为采购人的使用而被责令停</w:t>
      </w:r>
      <w:r>
        <w:rPr>
          <w:rFonts w:hint="eastAsia" w:ascii="宋体" w:hAnsi="宋体" w:cs="宋体"/>
          <w:color w:val="auto"/>
          <w:highlight w:val="none"/>
        </w:rPr>
        <w:t xml:space="preserve">止使用、追偿或要求赔偿损失，如出现此情况，一切经济和法律责任均由成交单位承担。</w:t>
      </w:r>
      <w:r/>
    </w:p>
    <w:p>
      <w:pPr>
        <w:numPr>
          <w:ilvl w:val="0"/>
          <w:numId w:val="10"/>
        </w:numPr>
        <w:jc w:val="left"/>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安装</w:t>
      </w:r>
      <w:r>
        <w:rPr>
          <w:rFonts w:hint="eastAsia" w:ascii="宋体" w:hAnsi="宋体" w:cs="宋体"/>
          <w:color w:val="auto"/>
          <w:highlight w:val="none"/>
        </w:rPr>
        <w:t xml:space="preserve">调试</w:t>
      </w:r>
      <w:r>
        <w:rPr>
          <w:rFonts w:hint="eastAsia" w:ascii="宋体" w:hAnsi="宋体" w:cs="宋体"/>
          <w:color w:val="auto"/>
          <w:highlight w:val="none"/>
          <w:lang w:val="zh-CN"/>
        </w:rPr>
        <w:t xml:space="preserve">要求：</w:t>
      </w:r>
      <w:r/>
    </w:p>
    <w:p>
      <w:pPr>
        <w:numPr>
          <w:ilvl w:val="0"/>
          <w:numId w:val="11"/>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安装</w:t>
      </w:r>
      <w:r>
        <w:rPr>
          <w:rFonts w:hint="eastAsia" w:ascii="宋体" w:hAnsi="宋体" w:cs="宋体"/>
          <w:color w:val="auto"/>
          <w:highlight w:val="none"/>
        </w:rPr>
        <w:t xml:space="preserve">调试时须</w:t>
      </w:r>
      <w:r>
        <w:rPr>
          <w:rFonts w:hint="eastAsia" w:ascii="宋体" w:hAnsi="宋体" w:cs="宋体"/>
          <w:color w:val="auto"/>
          <w:highlight w:val="none"/>
          <w:lang w:val="zh-CN"/>
        </w:rPr>
        <w:t xml:space="preserve">遵守</w:t>
      </w:r>
      <w:r>
        <w:rPr>
          <w:rFonts w:hint="eastAsia" w:ascii="宋体" w:hAnsi="宋体" w:cs="宋体"/>
          <w:color w:val="auto"/>
          <w:highlight w:val="none"/>
        </w:rPr>
        <w:t xml:space="preserve">学校</w:t>
      </w:r>
      <w:r>
        <w:rPr>
          <w:rFonts w:hint="eastAsia" w:ascii="宋体" w:hAnsi="宋体" w:cs="宋体"/>
          <w:color w:val="auto"/>
          <w:highlight w:val="none"/>
          <w:lang w:val="zh-CN"/>
        </w:rPr>
        <w:t xml:space="preserve">现场的一切规章制度；</w:t>
      </w:r>
      <w:r/>
    </w:p>
    <w:p>
      <w:pPr>
        <w:numPr>
          <w:ilvl w:val="0"/>
          <w:numId w:val="11"/>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负责保管、看护进场的设备及附配件直至完成安装调试后交付甲方；</w:t>
      </w:r>
      <w:r/>
    </w:p>
    <w:p>
      <w:pPr>
        <w:numPr>
          <w:ilvl w:val="0"/>
          <w:numId w:val="11"/>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负责设备、安装工具等提供适当的保护、包装或覆盖等处理，直至验收合格，以免受损；</w:t>
      </w:r>
      <w:r/>
    </w:p>
    <w:p>
      <w:pPr>
        <w:numPr>
          <w:ilvl w:val="0"/>
          <w:numId w:val="11"/>
        </w:numPr>
        <w:spacing w:line="400" w:lineRule="exact"/>
        <w:rPr>
          <w:rFonts w:ascii="宋体" w:hAnsi="宋体" w:cs="宋体"/>
          <w:color w:val="auto"/>
          <w:highlight w:val="none"/>
        </w:rPr>
      </w:pPr>
      <w:r>
        <w:rPr>
          <w:rFonts w:hint="eastAsia" w:ascii="宋体" w:hAnsi="宋体" w:cs="宋体"/>
          <w:color w:val="auto"/>
          <w:highlight w:val="none"/>
          <w:lang w:val="zh-CN"/>
        </w:rPr>
        <w:t xml:space="preserve">无论调试期间或保修过程中，</w:t>
      </w: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负责及时清理垃圾。</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验收说明：</w:t>
      </w:r>
      <w:r>
        <w:rPr>
          <w:rFonts w:hint="eastAsia" w:ascii="宋体" w:hAnsi="宋体" w:cs="仿宋_GB2312"/>
          <w:color w:val="auto"/>
          <w:szCs w:val="21"/>
          <w:highlight w:val="none"/>
        </w:rPr>
        <w:t xml:space="preserve">本项目将根据政府采购法及相关法规，以及《苏州工业园区政府采购履约验收管理暂行办法》</w:t>
      </w:r>
      <w:bookmarkStart w:id="1" w:name="OLE_LINK17"/>
      <w:r>
        <w:rPr>
          <w:rFonts w:hint="eastAsia" w:ascii="宋体" w:hAnsi="宋体" w:cs="宋体"/>
          <w:color w:val="auto"/>
          <w:szCs w:val="21"/>
          <w:highlight w:val="none"/>
        </w:rPr>
        <w:t xml:space="preserve">以</w:t>
      </w:r>
      <w:bookmarkEnd w:id="1"/>
      <w:r>
        <w:rPr>
          <w:rFonts w:hint="eastAsia" w:ascii="宋体" w:hAnsi="宋体" w:cs="宋体"/>
          <w:color w:val="auto"/>
          <w:szCs w:val="21"/>
          <w:highlight w:val="none"/>
        </w:rPr>
        <w:t xml:space="preserve">及《江苏省政府采购履约验收管理办法》</w:t>
      </w:r>
      <w:r>
        <w:rPr>
          <w:rFonts w:hint="eastAsia" w:ascii="宋体" w:hAnsi="宋体" w:cs="仿宋_GB2312"/>
          <w:color w:val="auto"/>
          <w:szCs w:val="21"/>
          <w:highlight w:val="none"/>
        </w:rPr>
        <w:t xml:space="preserve">文件的规定,对供应商进行履约验收，确认验收合格的，将出具《政府采购履约验收书》。《政府采购履约验收书》、合同是申请支付政府采购合同价款的必备资料。</w:t>
      </w:r>
      <w:r/>
    </w:p>
    <w:p>
      <w:pPr>
        <w:numPr>
          <w:ilvl w:val="0"/>
          <w:numId w:val="7"/>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其他说明</w:t>
      </w:r>
      <w:r/>
    </w:p>
    <w:p>
      <w:pPr>
        <w:numPr>
          <w:ilvl w:val="0"/>
          <w:numId w:val="12"/>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响应单位在投标时应注明所投货物的品牌、型号、</w:t>
      </w:r>
      <w:r>
        <w:rPr>
          <w:rFonts w:hint="eastAsia" w:ascii="宋体" w:hAnsi="宋体" w:cs="宋体"/>
          <w:color w:val="auto"/>
          <w:szCs w:val="21"/>
          <w:highlight w:val="none"/>
        </w:rPr>
        <w:t xml:space="preserve">详细技术参数、指标</w:t>
      </w:r>
      <w:r>
        <w:rPr>
          <w:rFonts w:hint="eastAsia" w:ascii="宋体" w:hAnsi="宋体" w:cs="宋体"/>
          <w:color w:val="auto"/>
          <w:highlight w:val="none"/>
        </w:rPr>
        <w:t xml:space="preserve">等。</w:t>
      </w:r>
      <w:r/>
    </w:p>
    <w:p>
      <w:pPr>
        <w:numPr>
          <w:ilvl w:val="0"/>
          <w:numId w:val="12"/>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所提供的相关产品应根据国家标准和规范进行设计和制造，并遵循采购文件的要求，其产品是技术成熟的、性能优良，整体设计和软硬件配备全新的原厂产品，并提供详细的产品说明。如其中某些条款不能完全满足时，必须在响应文件中逐条列出，未列出的视为完全响应，但不作为判断是否满足采购文件要求的唯一条件。</w:t>
      </w:r>
      <w:r/>
    </w:p>
    <w:p>
      <w:pPr>
        <w:numPr>
          <w:ilvl w:val="0"/>
          <w:numId w:val="12"/>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响应单位须负责其所提供的所有设备的安装调试、以及与之相关的一切必要配套工作。</w:t>
      </w:r>
      <w:r/>
    </w:p>
    <w:p>
      <w:pPr>
        <w:numPr>
          <w:ilvl w:val="0"/>
          <w:numId w:val="12"/>
        </w:numPr>
        <w:jc w:val="left"/>
        <w:spacing w:line="400" w:lineRule="exact"/>
        <w:rPr>
          <w:rFonts w:ascii="宋体" w:hAnsi="宋体" w:cs="宋体"/>
          <w:color w:val="auto"/>
          <w:highlight w:val="none"/>
        </w:rPr>
      </w:pPr>
      <w:r>
        <w:rPr>
          <w:rFonts w:hint="eastAsia" w:ascii="宋体" w:hAnsi="宋体" w:cs="宋体"/>
          <w:color w:val="auto"/>
          <w:highlight w:val="none"/>
        </w:rPr>
        <w:t xml:space="preserve">本次谈判总报价包括所有货物及备品、备件、辅配件和专用工具费用、安装、调试、技术支持与培训、检测验收、配套服务、包装、运输、售后与维保、保险及相关劳务支出等工作所发生的全部费用以及响应单位企业利润、税金和政策性文件规定及合同包含的所有风险、责任等各项应有费用。响应单位应保证如项目实施过程中有辅助材料缺漏，响应单位负责无条件补齐，费用包含在本次谈判报价中，采购人不再另行支付。</w:t>
      </w:r>
      <w:r/>
    </w:p>
    <w:p>
      <w:pPr>
        <w:numPr>
          <w:ilvl w:val="0"/>
          <w:numId w:val="12"/>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响应单位在项目交货及实施过程中须做好安全防范工作，出现一切人身安全事故及财产损失由成交单位全权负责、承担。采购人在此项目中不再就安全问题承担任何责任。</w:t>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根据财政部、发展改革委、生态环境部、市场监管总局关于调整优化节能产品、环境标志产品政府采购执行机制的通知：</w:t>
      </w:r>
      <w:r/>
    </w:p>
    <w:p>
      <w:pPr>
        <w:ind w:firstLine="567"/>
        <w:keepLines w:val="0"/>
        <w:keepNext w:val="0"/>
        <w:pageBreakBefore w:val="0"/>
        <w:spacing w:line="440" w:lineRule="exact"/>
        <w:widowControl w:val="off"/>
        <w:rPr>
          <w:rFonts w:hint="eastAsia" w:ascii="宋体" w:hAnsi="宋体" w:cs="宋体"/>
          <w:color w:val="auto"/>
          <w:highlight w:val="none"/>
        </w:rPr>
        <w:outlineLvl w:val="9"/>
      </w:pPr>
      <w:r>
        <w:rPr>
          <w:rFonts w:hint="eastAsia" w:ascii="宋体" w:hAnsi="宋体" w:cs="宋体"/>
          <w:color w:val="auto"/>
          <w:highlight w:val="none"/>
        </w:rPr>
        <w:t xml:space="preserve">本次拟采购产品中未涉及到节能强制采购产品、优先采购节能产品、优先采购环保产品。</w:t>
      </w:r>
      <w:r/>
    </w:p>
    <w:p>
      <w:pPr>
        <w:numPr>
          <w:ilvl w:val="0"/>
          <w:numId w:val="7"/>
        </w:numPr>
        <w:contextualSpacing/>
        <w:spacing w:line="400" w:lineRule="exact"/>
        <w:tabs>
          <w:tab w:val="left" w:pos="0" w:leader="none"/>
        </w:tabs>
        <w:rPr>
          <w:rFonts w:hint="eastAsia" w:ascii="宋体" w:hAnsi="宋体" w:eastAsia="宋体" w:cs="宋体"/>
          <w:b/>
          <w:bCs/>
          <w:color w:val="auto"/>
          <w:highlight w:val="none"/>
        </w:rPr>
      </w:pPr>
      <w:r/>
      <w:bookmarkStart w:id="2" w:name="OLE_LINK9"/>
      <w:r/>
      <w:bookmarkStart w:id="3" w:name="_Hlk195711144"/>
      <w:r>
        <w:rPr>
          <w:rFonts w:hint="eastAsia" w:ascii="宋体" w:hAnsi="宋体" w:eastAsia="宋体" w:cs="宋体"/>
          <w:b/>
          <w:bCs/>
          <w:color w:val="auto"/>
          <w:highlight w:val="none"/>
        </w:rPr>
        <w:t xml:space="preserve">实施本国产品标准及相关政策</w:t>
      </w:r>
      <w:r/>
    </w:p>
    <w:p>
      <w:pPr>
        <w:numPr>
          <w:ilvl w:val="0"/>
          <w:numId w:val="13"/>
        </w:num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根据《国务院办公厅关于在政府采购中实施本国产品标准及相关政策的通知》（国办发〔2025〕34号）的规定，本项目对采购本国产品给予政策支持。</w:t>
      </w:r>
      <w:r/>
    </w:p>
    <w:p>
      <w:pPr>
        <w:numPr>
          <w:ilvl w:val="0"/>
          <w:numId w:val="13"/>
        </w:num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13"/>
        </w:num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jc w:val="left"/>
        <w:spacing w:line="400" w:lineRule="exact"/>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本项目政府采购</w:t>
      </w:r>
      <w:r>
        <w:rPr>
          <w:rFonts w:hint="eastAsia" w:ascii="宋体" w:hAnsi="宋体" w:eastAsia="宋体" w:cs="宋体"/>
          <w:color w:val="auto"/>
          <w:szCs w:val="24"/>
          <w:highlight w:val="none"/>
        </w:rPr>
        <w:t xml:space="preserve">活动中既有本国产品又有非本国产品参与竞争的，依法对本国产品给予价格评审优惠，对本国产品的报价给予</w:t>
      </w:r>
      <w:r>
        <w:rPr>
          <w:rFonts w:hint="eastAsia" w:ascii="宋体" w:hAnsi="宋体" w:eastAsia="宋体" w:cs="宋体"/>
          <w:color w:val="auto"/>
          <w:szCs w:val="24"/>
          <w:highlight w:val="none"/>
          <w:u w:val="single"/>
        </w:rPr>
        <w:t xml:space="preserve">20%</w:t>
      </w:r>
      <w:r>
        <w:rPr>
          <w:rFonts w:hint="eastAsia" w:ascii="宋体" w:hAnsi="宋体" w:eastAsia="宋体" w:cs="宋体"/>
          <w:color w:val="auto"/>
          <w:szCs w:val="24"/>
          <w:highlight w:val="none"/>
        </w:rPr>
        <w:t xml:space="preserve">的价格扣除，用扣除后的价格参与评审。</w:t>
      </w:r>
      <w:r/>
    </w:p>
    <w:p>
      <w:pPr>
        <w:ind w:firstLine="567"/>
        <w:keepLines w:val="0"/>
        <w:keepNext w:val="0"/>
        <w:pageBreakBefore w:val="0"/>
        <w:spacing w:line="44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Cs w:val="24"/>
          <w:highlight w:val="none"/>
          <w:u w:val="single"/>
        </w:rPr>
        <w:t xml:space="preserve">80%</w:t>
      </w:r>
      <w:r>
        <w:rPr>
          <w:rFonts w:hint="eastAsia" w:ascii="宋体" w:hAnsi="宋体" w:eastAsia="宋体" w:cs="宋体"/>
          <w:color w:val="auto"/>
          <w:szCs w:val="24"/>
          <w:highlight w:val="none"/>
        </w:rPr>
        <w:t xml:space="preserve">以上时（供应商需在“第六章 响应文件格式”的“谈判响应报价表”中填写比例数值），依法对该供应商提供的全部产品给予价格评审优惠，即对该供应商提供的全部产品的总报价给予20%的价格扣除，用扣除后的价格参与评审。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b/>
          <w:color w:val="auto"/>
          <w:szCs w:val="24"/>
          <w:highlight w:val="none"/>
        </w:rPr>
        <w:t xml:space="preserve">供应商未填写比例数值，或比例数值未达到</w:t>
      </w:r>
      <w:r>
        <w:rPr>
          <w:rFonts w:hint="eastAsia" w:ascii="宋体" w:hAnsi="宋体" w:eastAsia="宋体" w:cs="宋体"/>
          <w:b/>
          <w:color w:val="auto"/>
          <w:szCs w:val="24"/>
          <w:highlight w:val="none"/>
          <w:u w:val="single"/>
        </w:rPr>
        <w:t xml:space="preserve">80%</w:t>
      </w:r>
      <w:r>
        <w:rPr>
          <w:rFonts w:hint="eastAsia" w:ascii="宋体" w:hAnsi="宋体" w:eastAsia="宋体" w:cs="宋体"/>
          <w:b/>
          <w:color w:val="auto"/>
          <w:szCs w:val="24"/>
          <w:highlight w:val="none"/>
        </w:rPr>
        <w:t xml:space="preserve">的，将不享受本国产品价格评审优惠。</w:t>
      </w:r>
      <w:r/>
    </w:p>
    <w:p>
      <w:pPr>
        <w:numPr>
          <w:ilvl w:val="0"/>
          <w:numId w:val="13"/>
        </w:numPr>
        <w:jc w:val="left"/>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Cs w:val="24"/>
          <w:highlight w:val="none"/>
        </w:rPr>
        <w:t xml:space="preserve">如不提供或提供不符要求的将不享受本国产品价格评审优惠。</w:t>
      </w:r>
      <w:r/>
    </w:p>
    <w:p>
      <w:pPr>
        <w:numPr>
          <w:ilvl w:val="0"/>
          <w:numId w:val="13"/>
        </w:numPr>
        <w:jc w:val="left"/>
        <w:spacing w:line="400" w:lineRule="exact"/>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供应商需在《声明函》中逐一、准确填写产品名称、厂名、生产厂址三项信息</w:t>
      </w:r>
      <w:r>
        <w:rPr>
          <w:rFonts w:hint="eastAsia" w:ascii="宋体" w:hAnsi="宋体" w:eastAsia="宋体" w:cs="宋体"/>
          <w:color w:val="auto"/>
          <w:szCs w:val="21"/>
          <w:highlight w:val="none"/>
        </w:rPr>
        <w:t xml:space="preserve">（《声明函》中标注</w:t>
      </w:r>
      <w:r>
        <w:rPr>
          <w:rFonts w:hint="eastAsia" w:ascii="宋体" w:hAnsi="宋体" w:eastAsia="宋体" w:cs="宋体"/>
          <w:color w:val="auto"/>
          <w:szCs w:val="21"/>
          <w:highlight w:val="none"/>
          <w:lang w:val="en-US" w:eastAsia="zh-CN"/>
        </w:rPr>
        <w:t xml:space="preserve">横线划除</w:t>
      </w:r>
      <w:r>
        <w:rPr>
          <w:rFonts w:hint="eastAsia" w:ascii="宋体" w:hAnsi="宋体" w:eastAsia="宋体" w:cs="宋体"/>
          <w:color w:val="auto"/>
          <w:szCs w:val="21"/>
          <w:highlight w:val="none"/>
        </w:rPr>
        <w:t xml:space="preserve">的地方无需填写）</w:t>
      </w:r>
      <w:r>
        <w:rPr>
          <w:rFonts w:hint="eastAsia" w:ascii="宋体" w:hAnsi="宋体" w:eastAsia="宋体" w:cs="宋体"/>
          <w:color w:val="auto"/>
          <w:szCs w:val="24"/>
          <w:highlight w:val="none"/>
        </w:rPr>
        <w:t xml:space="preserve">，</w:t>
      </w:r>
      <w:r>
        <w:rPr>
          <w:rFonts w:hint="eastAsia" w:ascii="宋体" w:hAnsi="宋体" w:eastAsia="宋体" w:cs="宋体"/>
          <w:b/>
          <w:color w:val="auto"/>
          <w:szCs w:val="24"/>
          <w:highlight w:val="none"/>
        </w:rPr>
        <w:t xml:space="preserve">三项信息中任意一项未填写的视为该项产品不符合本国产品标准，不享受本国产品价格评审优惠。</w:t>
      </w:r>
      <w:r/>
    </w:p>
    <w:p>
      <w:pPr>
        <w:numPr>
          <w:ilvl w:val="0"/>
          <w:numId w:val="13"/>
        </w:numPr>
        <w:jc w:val="left"/>
        <w:spacing w:line="400" w:lineRule="exact"/>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Cs w:val="24"/>
          <w:highlight w:val="none"/>
        </w:rPr>
        <w:t xml:space="preserve">供应商提供的相关产品视为不符合本国产品标准。</w:t>
      </w:r>
      <w:bookmarkEnd w:id="2"/>
      <w:r/>
      <w:bookmarkEnd w:id="3"/>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针对小微企业、监狱企业及残疾人企业的评审：</w:t>
      </w:r>
      <w:r/>
    </w:p>
    <w:p>
      <w:pPr>
        <w:numPr>
          <w:ilvl w:val="0"/>
          <w:numId w:val="14"/>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（财库〔2022〕19号）等文件的精神，对属于小微企业、监狱企业、残疾人企业价格评审做如下约定：</w:t>
      </w:r>
      <w:r/>
    </w:p>
    <w:p>
      <w:pPr>
        <w:numPr>
          <w:ilvl w:val="0"/>
          <w:numId w:val="15"/>
        </w:numPr>
        <w:spacing w:line="400" w:lineRule="exact"/>
        <w:tabs>
          <w:tab w:val="left" w:pos="540" w:leader="none"/>
        </w:tabs>
        <w:rPr>
          <w:rFonts w:ascii="宋体" w:hAnsi="宋体" w:cs="宋体"/>
          <w:color w:val="auto"/>
          <w:highlight w:val="none"/>
        </w:rPr>
      </w:pPr>
      <w:r>
        <w:rPr>
          <w:rFonts w:hint="eastAsia" w:ascii="宋体" w:hAnsi="宋体" w:cs="宋体"/>
          <w:b/>
          <w:bCs/>
          <w:color w:val="auto"/>
          <w:highlight w:val="none"/>
          <w:lang w:val="en-US" w:eastAsia="zh-CN"/>
        </w:rPr>
        <w:t xml:space="preserve">本项目</w:t>
      </w:r>
      <w:r>
        <w:rPr>
          <w:rFonts w:hint="eastAsia" w:ascii="宋体" w:hAnsi="宋体" w:cs="宋体"/>
          <w:b/>
          <w:bCs/>
          <w:color w:val="auto"/>
          <w:highlight w:val="none"/>
        </w:rPr>
        <w:t xml:space="preserve">专门面向中小企业采购，故不再执行价格评审优惠的扶持政策。</w:t>
      </w:r>
      <w:r>
        <w:rPr>
          <w:rFonts w:hint="eastAsia" w:ascii="宋体" w:hAnsi="宋体" w:cs="宋体"/>
          <w:color w:val="auto"/>
          <w:highlight w:val="none"/>
        </w:rPr>
        <w:t xml:space="preserve">供应商必须按要求提供《中小企业声明函》或《残疾人福利性单位声明函》或由省级以上监狱管理局、戒毒管理局（含新疆生产建设兵团）出具的属于监狱企业的证明文件。</w:t>
      </w:r>
      <w:r/>
    </w:p>
    <w:p>
      <w:pPr>
        <w:numPr>
          <w:ilvl w:val="0"/>
          <w:numId w:val="14"/>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color w:val="auto"/>
          <w:highlight w:val="none"/>
          <w:lang w:val="zh-CN"/>
        </w:rPr>
        <w:t xml:space="preserve">中小微企业划型标准根据《中小企业划型标准规定》（工信部联企业【2011】300号）</w:t>
      </w:r>
      <w:r>
        <w:rPr>
          <w:rFonts w:hint="eastAsia" w:ascii="宋体" w:hAnsi="宋体" w:cs="宋体"/>
          <w:color w:val="auto"/>
          <w:highlight w:val="none"/>
        </w:rPr>
        <w:t xml:space="preserve">。</w:t>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关于对参与供应商信用记录的政府采购要求：</w:t>
      </w:r>
      <w:r/>
    </w:p>
    <w:p>
      <w:pPr>
        <w:numPr>
          <w:ilvl w:val="0"/>
          <w:numId w:val="16"/>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采购代理机构会在接收投标文件截止时间后，在信用中国等网站输入供应商全称或统一社会信用代码查询信用记录，并将查询结果递交评审小组。</w:t>
      </w:r>
      <w:r/>
    </w:p>
    <w:p>
      <w:pPr>
        <w:numPr>
          <w:ilvl w:val="0"/>
          <w:numId w:val="16"/>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17"/>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政府采购严重违法记录，即供应商被全国各级财政部门列入“政府采购严重违法失信行为记录名单”，且在处罚有效期内的。</w:t>
      </w:r>
      <w:r/>
    </w:p>
    <w:p>
      <w:pPr>
        <w:numPr>
          <w:ilvl w:val="0"/>
          <w:numId w:val="17"/>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财政部门与法院、市监、税务等部门联合惩戒的失信信息，包括：</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 被列入失信被执行人名单；</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2) 被列入重大税收违法案件当事人名单；</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16"/>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7"/>
        </w:numPr>
        <w:contextualSpacing/>
        <w:spacing w:line="400" w:lineRule="exact"/>
        <w:tabs>
          <w:tab w:val="left" w:pos="0" w:leader="none"/>
        </w:tabs>
        <w:rPr>
          <w:rFonts w:ascii="宋体" w:hAnsi="宋体" w:cs="宋体"/>
          <w:b/>
          <w:color w:val="auto"/>
          <w:highlight w:val="none"/>
        </w:rPr>
      </w:pPr>
      <w:r>
        <w:rPr>
          <w:rFonts w:hint="eastAsia" w:ascii="宋体" w:hAnsi="宋体" w:cs="宋体"/>
          <w:b/>
          <w:color w:val="auto"/>
          <w:highlight w:val="none"/>
        </w:rPr>
        <w:t xml:space="preserve">凡涉及采购文件的补充说明和修改，均以发布媒体上公示的通知为准。</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cs="宋体"/>
          <w:b/>
          <w:color w:val="auto"/>
          <w:szCs w:val="21"/>
          <w:highlight w:val="none"/>
        </w:rPr>
        <w:t xml:space="preserve">谈判</w:t>
      </w:r>
      <w:r>
        <w:rPr>
          <w:rFonts w:hint="eastAsia" w:ascii="宋体" w:hAnsi="宋体"/>
          <w:b/>
          <w:color w:val="auto"/>
          <w:szCs w:val="21"/>
          <w:highlight w:val="none"/>
        </w:rPr>
        <w:t xml:space="preserve">响应文件的组成及要求：</w:t>
      </w:r>
      <w:r/>
    </w:p>
    <w:p>
      <w:pPr>
        <w:contextualSpacing/>
        <w:spacing w:line="400" w:lineRule="exact"/>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（一）文件组成：</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响应文件封面；</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谈判报价表；</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谈判报价分项明细表；</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其他针对本次</w:t>
      </w:r>
      <w:r>
        <w:rPr>
          <w:rFonts w:hint="eastAsia" w:ascii="宋体" w:hAnsi="宋体"/>
          <w:color w:val="auto"/>
          <w:szCs w:val="21"/>
          <w:highlight w:val="none"/>
          <w:lang w:val="en-US" w:eastAsia="zh-CN"/>
        </w:rPr>
        <w:t xml:space="preserve">谈判</w:t>
      </w:r>
      <w:r>
        <w:rPr>
          <w:rFonts w:hint="eastAsia" w:ascii="宋体" w:hAnsi="宋体"/>
          <w:color w:val="auto"/>
          <w:szCs w:val="21"/>
          <w:highlight w:val="none"/>
        </w:rPr>
        <w:t xml:space="preserve">的详细说明；</w:t>
      </w:r>
      <w:r/>
    </w:p>
    <w:p>
      <w:pPr>
        <w:numPr>
          <w:ilvl w:val="1"/>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无对应模块上传的响应文件内容可传至此，含“四、附件”中部分表格、内容。</w:t>
      </w:r>
      <w:r/>
    </w:p>
    <w:p>
      <w:pPr>
        <w:numPr>
          <w:ilvl w:val="0"/>
          <w:numId w:val="18"/>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资格</w:t>
      </w:r>
      <w:r>
        <w:rPr>
          <w:rFonts w:hint="eastAsia" w:ascii="宋体" w:hAnsi="宋体"/>
          <w:b/>
          <w:bCs/>
          <w:color w:val="auto"/>
          <w:highlight w:val="none"/>
        </w:rPr>
        <w:t xml:space="preserve">审查响应文件：</w:t>
      </w:r>
      <w:r/>
    </w:p>
    <w:p>
      <w:pPr>
        <w:numPr>
          <w:ilvl w:val="1"/>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谈判响应承诺书；</w:t>
      </w:r>
      <w:r/>
    </w:p>
    <w:p>
      <w:pPr>
        <w:numPr>
          <w:ilvl w:val="1"/>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1"/>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lang w:val="zh-CN"/>
        </w:rPr>
        <w:t xml:space="preserve">供应商法定代表人</w:t>
      </w:r>
      <w:r>
        <w:rPr>
          <w:rFonts w:hint="eastAsia" w:ascii="宋体" w:hAnsi="宋体"/>
          <w:color w:val="auto"/>
          <w:szCs w:val="21"/>
          <w:highlight w:val="none"/>
        </w:rPr>
        <w:t xml:space="preserve">身份证复印件；</w:t>
      </w:r>
      <w:r/>
    </w:p>
    <w:p>
      <w:pPr>
        <w:numPr>
          <w:ilvl w:val="1"/>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法定代表人授权委托书、供应商代理人身份证复印件（如有授权）；</w:t>
      </w:r>
      <w:r/>
    </w:p>
    <w:p>
      <w:pPr>
        <w:numPr>
          <w:ilvl w:val="1"/>
          <w:numId w:val="18"/>
        </w:numPr>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供应商参加政</w:t>
      </w:r>
      <w:r>
        <w:rPr>
          <w:rFonts w:hint="eastAsia" w:ascii="宋体" w:hAnsi="宋体"/>
          <w:color w:val="auto"/>
          <w:highlight w:val="none"/>
        </w:rPr>
        <w:t xml:space="preserve">府采购活动应当具备的条件（提供复印件）：</w:t>
      </w:r>
      <w:r/>
    </w:p>
    <w:p>
      <w:pPr>
        <w:numPr>
          <w:ilvl w:val="0"/>
          <w:numId w:val="19"/>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具有独立承担民事责任的能力（提供响应单位法人或者其他组织的营业执照等证明文件，自然人的身份证明）；</w:t>
      </w:r>
      <w:r/>
    </w:p>
    <w:p>
      <w:pPr>
        <w:numPr>
          <w:ilvl w:val="0"/>
          <w:numId w:val="19"/>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具有良好的商业信誉和健全的财务会计制度（提供响应单位参加本次政府采购前的财务报表或银行出具的资信证明）；</w:t>
      </w:r>
      <w:r/>
    </w:p>
    <w:p>
      <w:pPr>
        <w:numPr>
          <w:ilvl w:val="0"/>
          <w:numId w:val="19"/>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具有履行合同所必需的设备和专业技术能力（企业法人性质的政府采购供应商应在经工商管理部门核准登记注册的经营范围内参与经营活动，提供具有履行合同所必需的设备和专业技术能力的证明材料）；</w:t>
      </w:r>
      <w:r/>
    </w:p>
    <w:p>
      <w:pPr>
        <w:numPr>
          <w:ilvl w:val="0"/>
          <w:numId w:val="19"/>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有依法缴纳税收和社会保障资金的良好记录（应商参加本次政府采购活动前半年内（至少一个月）依法缴纳税收和社会保险的凭据）；</w:t>
      </w:r>
      <w:r/>
    </w:p>
    <w:p>
      <w:pPr>
        <w:numPr>
          <w:ilvl w:val="0"/>
          <w:numId w:val="19"/>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参加政府采购活动前三年内，在经营活动中没有出现重大违法记录（提供书面声明）；</w:t>
      </w:r>
      <w:r/>
    </w:p>
    <w:p>
      <w:pPr>
        <w:numPr>
          <w:ilvl w:val="0"/>
          <w:numId w:val="18"/>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符合</w:t>
      </w:r>
      <w:r>
        <w:rPr>
          <w:rFonts w:hint="eastAsia"/>
          <w:b/>
          <w:bCs/>
          <w:color w:val="auto"/>
          <w:highlight w:val="none"/>
        </w:rPr>
        <w:t xml:space="preserve">性审查响应文件</w:t>
      </w:r>
      <w:r>
        <w:rPr>
          <w:rFonts w:hint="eastAsia" w:ascii="宋体" w:hAnsi="宋体"/>
          <w:b/>
          <w:bCs/>
          <w:color w:val="auto"/>
          <w:highlight w:val="none"/>
        </w:rPr>
        <w:t xml:space="preserve">：</w:t>
      </w:r>
      <w:r/>
    </w:p>
    <w:p>
      <w:pPr>
        <w:numPr>
          <w:ilvl w:val="1"/>
          <w:numId w:val="18"/>
        </w:numPr>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响</w:t>
      </w:r>
      <w:r>
        <w:rPr>
          <w:rFonts w:hint="eastAsia" w:ascii="宋体" w:hAnsi="宋体"/>
          <w:color w:val="auto"/>
          <w:szCs w:val="21"/>
          <w:highlight w:val="none"/>
        </w:rPr>
        <w:t xml:space="preserve">应货物的数量、品牌、规格、技术参数、指标、质量要求、偏离说明等；</w:t>
      </w:r>
      <w:r/>
    </w:p>
    <w:p>
      <w:pPr>
        <w:numPr>
          <w:ilvl w:val="1"/>
          <w:numId w:val="18"/>
        </w:numPr>
        <w:spacing w:line="400" w:lineRule="exact"/>
        <w:tabs>
          <w:tab w:val="left" w:pos="540" w:leader="none"/>
        </w:tabs>
        <w:rPr>
          <w:rFonts w:ascii="宋体" w:hAnsi="宋体" w:cs="宋体"/>
          <w:color w:val="auto"/>
          <w:szCs w:val="21"/>
          <w:highlight w:val="none"/>
        </w:rPr>
      </w:pPr>
      <w:r>
        <w:rPr>
          <w:rFonts w:hint="eastAsia" w:ascii="宋体" w:hAnsi="宋体"/>
          <w:color w:val="auto"/>
          <w:szCs w:val="21"/>
          <w:highlight w:val="none"/>
        </w:rPr>
        <w:t xml:space="preserve">响应单位须按</w:t>
      </w:r>
      <w:r>
        <w:rPr>
          <w:rFonts w:hint="eastAsia" w:ascii="宋体" w:hAnsi="宋体" w:cs="宋体"/>
          <w:color w:val="auto"/>
          <w:szCs w:val="21"/>
          <w:highlight w:val="none"/>
        </w:rPr>
        <w:t xml:space="preserve">采购需求“详细技术参数、指标要求”中打“★”项要求提供符合要求的相应证明材料，否则视为非实质性响应。</w:t>
      </w:r>
      <w:r/>
    </w:p>
    <w:p>
      <w:pPr>
        <w:numPr>
          <w:ilvl w:val="1"/>
          <w:numId w:val="18"/>
        </w:numPr>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履约交付、质保、售后、服务响应等的书面服务承诺；</w:t>
      </w:r>
      <w:r/>
    </w:p>
    <w:p>
      <w:pPr>
        <w:numPr>
          <w:ilvl w:val="1"/>
          <w:numId w:val="18"/>
        </w:numPr>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其他需供应商对本次响应作出的详细说明、承诺等；</w:t>
      </w:r>
      <w:r/>
    </w:p>
    <w:p>
      <w:pPr>
        <w:numPr>
          <w:ilvl w:val="0"/>
          <w:numId w:val="18"/>
        </w:numPr>
        <w:spacing w:line="400" w:lineRule="exact"/>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企业报价折扣证明：</w:t>
      </w:r>
      <w:r/>
    </w:p>
    <w:p>
      <w:pPr>
        <w:numPr>
          <w:ilvl w:val="1"/>
          <w:numId w:val="18"/>
        </w:numPr>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属于中型企业或小型企业或微型企业或残疾人企业或监狱企业的相关材料。</w:t>
      </w:r>
      <w:r/>
    </w:p>
    <w:p>
      <w:p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（二）电子投标（响应）文件的编制与提交 </w:t>
      </w:r>
      <w:r/>
    </w:p>
    <w:p>
      <w:pPr>
        <w:numPr>
          <w:ilvl w:val="0"/>
          <w:numId w:val="20"/>
        </w:numPr>
        <w:spacing w:line="400" w:lineRule="exact"/>
        <w:tabs>
          <w:tab w:val="left" w:pos="540" w:leader="none"/>
        </w:tabs>
        <w:rPr>
          <w:rFonts w:ascii="宋体" w:hAnsi="宋体"/>
          <w:color w:val="auto"/>
          <w:szCs w:val="21"/>
          <w:highlight w:val="none"/>
        </w:rPr>
      </w:pPr>
      <w:r>
        <w:rPr>
          <w:rFonts w:hint="eastAsia" w:ascii="宋体" w:hAnsi="宋体" w:cs="宋体"/>
          <w:color w:val="auto"/>
          <w:szCs w:val="21"/>
          <w:highlight w:val="none"/>
        </w:rPr>
        <w:t xml:space="preserve">电子响应文件按上述文件组成统一顺序、统一</w:t>
      </w:r>
      <w:r>
        <w:rPr>
          <w:rFonts w:hint="eastAsia" w:ascii="宋体" w:hAnsi="宋体"/>
          <w:color w:val="auto"/>
          <w:szCs w:val="21"/>
          <w:highlight w:val="none"/>
        </w:rPr>
        <w:t xml:space="preserve">格式编写。</w:t>
      </w:r>
      <w:r/>
    </w:p>
    <w:p>
      <w:pPr>
        <w:numPr>
          <w:ilvl w:val="0"/>
          <w:numId w:val="20"/>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电子投标（响应）文件制作：本项目采用电子网上招投标，请供应商插入CA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numPr>
          <w:ilvl w:val="0"/>
          <w:numId w:val="20"/>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numPr>
          <w:ilvl w:val="0"/>
          <w:numId w:val="20"/>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numPr>
          <w:ilvl w:val="0"/>
          <w:numId w:val="20"/>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0"/>
          <w:numId w:val="20"/>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电子投标文件中的资料应按采购文件的要求加盖投标人的电子签章或公章。</w:t>
      </w:r>
      <w:r/>
    </w:p>
    <w:p>
      <w:pPr>
        <w:numPr>
          <w:ilvl w:val="0"/>
          <w:numId w:val="20"/>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w:t>
      </w:r>
      <w:r>
        <w:rPr>
          <w:rFonts w:hint="eastAsia" w:ascii="宋体" w:hAnsi="宋体"/>
          <w:b/>
          <w:color w:val="auto"/>
          <w:highlight w:val="none"/>
        </w:rPr>
        <w:t xml:space="preserve">综合</w:t>
      </w:r>
      <w:r>
        <w:rPr>
          <w:rFonts w:hint="eastAsia" w:ascii="宋体" w:hAnsi="宋体"/>
          <w:b/>
          <w:color w:val="auto"/>
          <w:szCs w:val="21"/>
          <w:highlight w:val="none"/>
        </w:rPr>
        <w:t xml:space="preserve">说明：</w:t>
      </w:r>
      <w:r/>
    </w:p>
    <w:p>
      <w:pPr>
        <w:numPr>
          <w:ilvl w:val="0"/>
          <w:numId w:val="21"/>
        </w:numPr>
        <w:contextualSpacing/>
        <w:spacing w:line="400" w:lineRule="exact"/>
        <w:tabs>
          <w:tab w:val="left" w:pos="0" w:leader="none"/>
        </w:tabs>
        <w:rPr>
          <w:rFonts w:ascii="宋体" w:hAnsi="宋体"/>
          <w:color w:val="auto"/>
          <w:highlight w:val="none"/>
        </w:rPr>
      </w:pPr>
      <w:r>
        <w:rPr>
          <w:rFonts w:ascii="宋体" w:hAnsi="宋体"/>
          <w:color w:val="auto"/>
          <w:highlight w:val="none"/>
        </w:rPr>
        <w:t xml:space="preserve">本次</w:t>
      </w:r>
      <w:r>
        <w:rPr>
          <w:rFonts w:hint="eastAsia" w:ascii="宋体" w:hAnsi="宋体"/>
          <w:color w:val="auto"/>
          <w:highlight w:val="none"/>
        </w:rPr>
        <w:t xml:space="preserve">竞争性谈判</w:t>
      </w:r>
      <w:r>
        <w:rPr>
          <w:rFonts w:hint="eastAsia" w:ascii="宋体" w:hAnsi="宋体"/>
          <w:color w:val="auto"/>
          <w:highlight w:val="none"/>
          <w:lang w:val="en-US" w:eastAsia="zh-CN"/>
        </w:rPr>
        <w:t xml:space="preserve">不分</w:t>
      </w:r>
      <w:r>
        <w:rPr>
          <w:rFonts w:hint="eastAsia" w:ascii="宋体" w:hAnsi="宋体"/>
          <w:color w:val="auto"/>
          <w:highlight w:val="none"/>
        </w:rPr>
        <w:t xml:space="preserve">标段</w:t>
      </w:r>
      <w:r>
        <w:rPr>
          <w:rFonts w:ascii="宋体" w:hAnsi="宋体"/>
          <w:color w:val="auto"/>
          <w:highlight w:val="none"/>
        </w:rPr>
        <w:t xml:space="preserve">，各供应商须对全部内容进行响应，只报</w:t>
      </w:r>
      <w:bookmarkStart w:id="8" w:name="_GoBack"/>
      <w:r/>
      <w:bookmarkEnd w:id="8"/>
      <w:r>
        <w:rPr>
          <w:rFonts w:ascii="宋体" w:hAnsi="宋体"/>
          <w:color w:val="auto"/>
          <w:highlight w:val="none"/>
        </w:rPr>
        <w:t xml:space="preserve">其中部分内容的，为无效报价，并不得出现选择性报价。</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highlight w:val="none"/>
        </w:rPr>
        <w:t xml:space="preserve">供应商必须承诺谈判采购文件提出的全部要求，如果其中某些条款不响应时，必须在文件中列出。</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color w:val="auto"/>
          <w:highlight w:val="none"/>
        </w:rPr>
        <w:t xml:space="preserve">谈判</w:t>
      </w:r>
      <w:r>
        <w:rPr>
          <w:rFonts w:hint="eastAsia"/>
          <w:color w:val="auto"/>
          <w:szCs w:val="21"/>
          <w:highlight w:val="none"/>
        </w:rPr>
        <w:t xml:space="preserve">保证金：本项目不收取谈判保证金。</w:t>
      </w:r>
      <w:r/>
    </w:p>
    <w:p>
      <w:pPr>
        <w:numPr>
          <w:ilvl w:val="0"/>
          <w:numId w:val="21"/>
        </w:numPr>
        <w:contextualSpacing/>
        <w:spacing w:line="400" w:lineRule="exact"/>
        <w:tabs>
          <w:tab w:val="left" w:pos="0" w:leader="none"/>
        </w:tabs>
        <w:rPr>
          <w:rFonts w:hint="eastAsia" w:ascii="宋体" w:hAnsi="宋体" w:eastAsia="宋体" w:cs="宋体"/>
          <w:color w:val="auto"/>
          <w:highlight w:val="none"/>
        </w:rPr>
      </w:pPr>
      <w:r>
        <w:rPr>
          <w:rFonts w:hint="eastAsia" w:ascii="宋体" w:hAnsi="宋体"/>
          <w:color w:val="auto"/>
          <w:highlight w:val="none"/>
          <w:lang w:val="en-US" w:eastAsia="zh-CN"/>
        </w:rPr>
        <w:t xml:space="preserve">代</w:t>
      </w:r>
      <w:r>
        <w:rPr>
          <w:rFonts w:hint="eastAsia" w:ascii="宋体" w:hAnsi="宋体" w:eastAsia="宋体" w:cs="宋体"/>
          <w:color w:val="auto"/>
          <w:highlight w:val="none"/>
          <w:lang w:val="en-US" w:eastAsia="zh-CN"/>
        </w:rPr>
        <w:t xml:space="preserve">理</w:t>
      </w:r>
      <w:r>
        <w:rPr>
          <w:rFonts w:hint="eastAsia" w:ascii="宋体" w:hAnsi="宋体" w:eastAsia="宋体" w:cs="宋体"/>
          <w:color w:val="auto"/>
          <w:highlight w:val="none"/>
        </w:rPr>
        <w:t xml:space="preserve">服务费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按苏财购告【2016】31号规定的收费标准，领取成交通知书时成交人向采购代理机构一次性付清。预算金额100万以下费率为预算金额的1.5%，预算金额100-500万部分费率为预算金额的1.1%。</w:t>
      </w:r>
      <w:r/>
    </w:p>
    <w:p>
      <w:pPr>
        <w:contextualSpacing/>
        <w:ind w:left="567"/>
        <w:spacing w:line="40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服务费交纳账户：苏州市原鑫招投标咨询服务有限公司</w:t>
      </w:r>
      <w:r/>
    </w:p>
    <w:p>
      <w:pPr>
        <w:contextualSpacing/>
        <w:ind w:left="567"/>
        <w:spacing w:line="40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账号：543058193738</w:t>
      </w:r>
      <w:r/>
    </w:p>
    <w:p>
      <w:pPr>
        <w:pStyle w:val="960"/>
        <w:contextualSpacing/>
        <w:ind w:left="567"/>
        <w:spacing w:line="400" w:lineRule="exact"/>
        <w:tabs>
          <w:tab w:val="left" w:pos="0" w:leader="none"/>
          <w:tab w:val="clear"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开户银行：中行南园支行</w:t>
      </w:r>
      <w:r/>
    </w:p>
    <w:p>
      <w:pPr>
        <w:numPr>
          <w:ilvl w:val="0"/>
          <w:numId w:val="21"/>
        </w:numPr>
        <w:contextualSpacing/>
        <w:spacing w:line="400" w:lineRule="exact"/>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专家评审费：本项目专家评审费由采购人根据苏州市专家评审费标准的通知支付，金额为500元/人。</w:t>
      </w:r>
      <w:r/>
    </w:p>
    <w:p>
      <w:pPr>
        <w:numPr>
          <w:ilvl w:val="0"/>
          <w:numId w:val="21"/>
        </w:numPr>
        <w:contextualSpacing/>
        <w:spacing w:line="40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履约保证金：</w:t>
      </w:r>
      <w:r>
        <w:rPr>
          <w:rFonts w:hint="eastAsia" w:ascii="宋体" w:hAnsi="宋体" w:eastAsia="宋体" w:cs="宋体"/>
          <w:color w:val="auto"/>
          <w:highlight w:val="none"/>
        </w:rPr>
        <w:t xml:space="preserve">本项目不</w:t>
      </w:r>
      <w:r>
        <w:rPr>
          <w:rFonts w:hint="eastAsia" w:ascii="宋体" w:hAnsi="宋体" w:eastAsia="宋体" w:cs="宋体"/>
          <w:color w:val="auto"/>
          <w:szCs w:val="21"/>
          <w:highlight w:val="none"/>
        </w:rPr>
        <w:t xml:space="preserve">收取</w:t>
      </w:r>
      <w:r>
        <w:rPr>
          <w:rFonts w:hint="eastAsia" w:ascii="宋体" w:hAnsi="宋体" w:eastAsia="宋体" w:cs="宋体"/>
          <w:color w:val="auto"/>
          <w:highlight w:val="none"/>
        </w:rPr>
        <w:t xml:space="preserve">履约保证金。</w:t>
      </w:r>
      <w:r/>
    </w:p>
    <w:p>
      <w:pPr>
        <w:numPr>
          <w:ilvl w:val="0"/>
          <w:numId w:val="22"/>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潜在响应单位如另有需要的，可参考下述相关政策内容：</w:t>
      </w:r>
      <w:r/>
    </w:p>
    <w:p>
      <w:pPr>
        <w:pStyle w:val="960"/>
        <w:contextualSpacing/>
        <w:ind w:left="567"/>
        <w:spacing w:line="400" w:lineRule="exact"/>
        <w:tabs>
          <w:tab w:val="left" w:pos="0" w:leader="none"/>
          <w:tab w:val="clear" w:pos="630" w:leader="none"/>
        </w:tabs>
        <w:rPr>
          <w:color w:val="auto"/>
          <w:highlight w:val="none"/>
        </w:rPr>
      </w:pPr>
      <w:r>
        <w:rPr>
          <w:rFonts w:hint="eastAsia"/>
          <w:color w:val="auto"/>
          <w:highlight w:val="none"/>
        </w:rPr>
        <w:t xml:space="preserve">根据江苏省财政厅、国家金融监督管理总局江苏监管局、江苏省地方金融监督管理局《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w:t>
      </w:r>
      <w:r/>
    </w:p>
    <w:p>
      <w:pPr>
        <w:numPr>
          <w:ilvl w:val="0"/>
          <w:numId w:val="22"/>
        </w:numPr>
        <w:contextualSpacing/>
        <w:spacing w:line="400" w:lineRule="exact"/>
        <w:tabs>
          <w:tab w:val="left" w:pos="0" w:leader="none"/>
          <w:tab w:val="left" w:pos="1080" w:leader="none"/>
        </w:tabs>
        <w:rPr>
          <w:rFonts w:ascii="宋体" w:hAnsi="宋体"/>
          <w:color w:val="auto"/>
          <w:szCs w:val="21"/>
          <w:highlight w:val="none"/>
        </w:rPr>
      </w:pPr>
      <w:r>
        <w:rPr>
          <w:rFonts w:hint="eastAsia" w:ascii="宋体" w:hAnsi="宋体"/>
          <w:color w:val="auto"/>
          <w:highlight w:val="none"/>
        </w:rPr>
        <w:t xml:space="preserve">具体操作方式详见：江苏政府采购网“资料下载”栏目（网址：www.ccgp-jiangsu.gov.cn/jiangsu/zlxz）下载“政府采购电子履约保函（保险）操作手册”。</w:t>
      </w:r>
      <w:r/>
    </w:p>
    <w:p>
      <w:pPr>
        <w:numPr>
          <w:ilvl w:val="0"/>
          <w:numId w:val="21"/>
        </w:numPr>
        <w:contextualSpacing/>
        <w:spacing w:line="400" w:lineRule="exact"/>
        <w:tabs>
          <w:tab w:val="left" w:pos="0" w:leader="none"/>
        </w:tabs>
        <w:rPr>
          <w:rFonts w:ascii="宋体" w:hAnsi="宋体"/>
          <w:color w:val="auto"/>
          <w:szCs w:val="21"/>
          <w:highlight w:val="none"/>
        </w:rPr>
      </w:pPr>
      <w:r>
        <w:rPr>
          <w:rFonts w:ascii="宋体" w:hAnsi="宋体"/>
          <w:color w:val="auto"/>
          <w:highlight w:val="none"/>
        </w:rPr>
        <w:t xml:space="preserve">知识产权</w:t>
      </w:r>
      <w:r>
        <w:rPr>
          <w:rFonts w:ascii="宋体" w:hAnsi="宋体"/>
          <w:color w:val="auto"/>
          <w:szCs w:val="21"/>
          <w:highlight w:val="none"/>
        </w:rPr>
        <w:t xml:space="preserve">：</w:t>
      </w:r>
      <w:r/>
    </w:p>
    <w:p>
      <w:pPr>
        <w:contextualSpacing/>
        <w:ind w:left="567"/>
        <w:spacing w:line="400" w:lineRule="exact"/>
        <w:tabs>
          <w:tab w:val="left" w:pos="0" w:leader="none"/>
        </w:tabs>
        <w:rPr>
          <w:color w:val="auto"/>
          <w:szCs w:val="21"/>
          <w:highlight w:val="none"/>
        </w:rPr>
      </w:pPr>
      <w:r>
        <w:rPr>
          <w:color w:val="auto"/>
          <w:highlight w:val="none"/>
        </w:rPr>
        <w:t xml:space="preserve">响应单位应保证采购单位免除且响应单位承担由于采购单位在其本国使用该</w:t>
      </w:r>
      <w:r>
        <w:rPr>
          <w:rFonts w:hint="eastAsia"/>
          <w:color w:val="auto"/>
          <w:highlight w:val="none"/>
        </w:rPr>
        <w:t xml:space="preserve">设备所需的设备和设计</w:t>
      </w:r>
      <w:r>
        <w:rPr>
          <w:color w:val="auto"/>
          <w:highlight w:val="none"/>
        </w:rPr>
        <w:t xml:space="preserve">或</w:t>
      </w:r>
      <w:r>
        <w:rPr>
          <w:rFonts w:hint="eastAsia"/>
          <w:color w:val="auto"/>
          <w:highlight w:val="none"/>
        </w:rPr>
        <w:t xml:space="preserve">其</w:t>
      </w:r>
      <w:r>
        <w:rPr>
          <w:color w:val="auto"/>
          <w:highlight w:val="none"/>
        </w:rPr>
        <w:t xml:space="preserve">任何一部分时而引起第三方提出的侵犯专利权、商标权或工业设计权的起诉、行动、行政程序索赔、请求等以及采购单位为此而产生的损失和损害、费用和支出（包括律师费）。</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highlight w:val="none"/>
        </w:rPr>
        <w:t xml:space="preserve">谈判</w:t>
      </w:r>
      <w:r>
        <w:rPr>
          <w:rFonts w:hint="eastAsia" w:ascii="宋体" w:hAnsi="宋体"/>
          <w:color w:val="auto"/>
          <w:szCs w:val="21"/>
          <w:highlight w:val="none"/>
        </w:rPr>
        <w:t xml:space="preserve">说明：</w:t>
      </w:r>
      <w:r/>
    </w:p>
    <w:p>
      <w:pPr>
        <w:numPr>
          <w:ilvl w:val="0"/>
          <w:numId w:val="23"/>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不符合供应商资格要求的谈判响应文件将被拒绝；</w:t>
      </w:r>
      <w:r/>
    </w:p>
    <w:p>
      <w:pPr>
        <w:numPr>
          <w:ilvl w:val="0"/>
          <w:numId w:val="23"/>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参加谈判的供应商必须提供供应商代表的身份证明和法定代表人授权委托书（法定代表人为谈判代表的可不提供）；</w:t>
      </w:r>
      <w:r/>
    </w:p>
    <w:p>
      <w:pPr>
        <w:numPr>
          <w:ilvl w:val="0"/>
          <w:numId w:val="23"/>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谈判响应文件密封和签署不符合要求的，谈判响应文件将被拒绝；</w:t>
      </w:r>
      <w:r/>
    </w:p>
    <w:p>
      <w:pPr>
        <w:numPr>
          <w:ilvl w:val="0"/>
          <w:numId w:val="23"/>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不同投标（响应）人存在投标(响应)文件制作机器码一致的，视为无效响应； </w:t>
      </w:r>
      <w:r/>
    </w:p>
    <w:p>
      <w:pPr>
        <w:numPr>
          <w:ilvl w:val="0"/>
          <w:numId w:val="23"/>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实质性响应谈判文件不满三家、或进入二次报价的不满三家、或二次报价在采购预算内不满三家的，谈判采购失败。</w:t>
      </w:r>
      <w:r/>
    </w:p>
    <w:p>
      <w:pPr>
        <w:numPr>
          <w:ilvl w:val="0"/>
          <w:numId w:val="23"/>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最终合同单价按最终总报价同比例下（上）浮。</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项目的终止</w:t>
      </w:r>
      <w:r/>
    </w:p>
    <w:p>
      <w:pPr>
        <w:contextualSpacing/>
        <w:ind w:left="567"/>
        <w:spacing w:line="400" w:lineRule="exact"/>
        <w:tabs>
          <w:tab w:val="left" w:pos="0" w:leader="none"/>
        </w:tabs>
        <w:rPr>
          <w:rFonts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24"/>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因情况变化，不再符合规定的竞争性谈判采购方式适用情形的；</w:t>
      </w:r>
      <w:r/>
    </w:p>
    <w:p>
      <w:pPr>
        <w:numPr>
          <w:ilvl w:val="0"/>
          <w:numId w:val="24"/>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出现影响采购公正的违法、违规行为的；</w:t>
      </w:r>
      <w:r/>
    </w:p>
    <w:p>
      <w:pPr>
        <w:numPr>
          <w:ilvl w:val="0"/>
          <w:numId w:val="24"/>
        </w:numPr>
        <w:contextualSpacing/>
        <w:spacing w:line="400" w:lineRule="exact"/>
        <w:tabs>
          <w:tab w:val="left" w:pos="0" w:leader="none"/>
          <w:tab w:val="left" w:pos="1080" w:leader="none"/>
        </w:tabs>
        <w:rPr>
          <w:rFonts w:ascii="宋体" w:hAnsi="宋体"/>
          <w:color w:val="auto"/>
          <w:szCs w:val="21"/>
          <w:highlight w:val="none"/>
        </w:rPr>
      </w:pPr>
      <w:r>
        <w:rPr>
          <w:rFonts w:hint="eastAsia" w:ascii="宋体" w:hAnsi="宋体"/>
          <w:color w:val="auto"/>
          <w:highlight w:val="none"/>
        </w:rPr>
        <w:t xml:space="preserve">在采购过</w:t>
      </w:r>
      <w:r>
        <w:rPr>
          <w:rFonts w:ascii="宋体" w:hAnsi="宋体"/>
          <w:color w:val="auto"/>
          <w:szCs w:val="21"/>
          <w:highlight w:val="none"/>
        </w:rPr>
        <w:t xml:space="preserve">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成交（未成交）通知书：</w:t>
      </w:r>
      <w:r/>
    </w:p>
    <w:p>
      <w:pPr>
        <w:numPr>
          <w:ilvl w:val="0"/>
          <w:numId w:val="25"/>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确定成交单位后在投标有效期截止前，采购代理机构将以书面形式通知成交的响应单位。</w:t>
      </w:r>
      <w:r/>
    </w:p>
    <w:p>
      <w:pPr>
        <w:numPr>
          <w:ilvl w:val="0"/>
          <w:numId w:val="25"/>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成交通知书将成为合同的组成部分。</w:t>
      </w:r>
      <w:r/>
    </w:p>
    <w:p>
      <w:pPr>
        <w:numPr>
          <w:ilvl w:val="0"/>
          <w:numId w:val="25"/>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采购人或采购代理机构对未成交单位不承担解释未成交原因的义务。</w:t>
      </w:r>
      <w:r/>
    </w:p>
    <w:p>
      <w:pPr>
        <w:numPr>
          <w:ilvl w:val="0"/>
          <w:numId w:val="25"/>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numPr>
          <w:ilvl w:val="0"/>
          <w:numId w:val="25"/>
        </w:numPr>
        <w:contextualSpacing/>
        <w:spacing w:line="400" w:lineRule="exact"/>
        <w:tabs>
          <w:tab w:val="left" w:pos="0" w:leader="none"/>
          <w:tab w:val="left" w:pos="1080" w:leader="none"/>
        </w:tabs>
        <w:rPr>
          <w:rFonts w:ascii="宋体" w:hAnsi="宋体" w:cs="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w:t>
      </w:r>
      <w:r>
        <w:rPr>
          <w:rFonts w:hint="eastAsia"/>
          <w:color w:val="auto"/>
          <w:highlight w:val="none"/>
        </w:rPr>
        <w:t xml:space="preserve">将</w:t>
      </w:r>
      <w:r>
        <w:rPr>
          <w:color w:val="auto"/>
          <w:highlight w:val="none"/>
        </w:rPr>
        <w:t xml:space="preserve">以电子邮件形式告知。未成交供应商未按约定的时间和方式获取告知信息的，视为</w:t>
      </w:r>
      <w:r>
        <w:rPr>
          <w:rFonts w:hint="eastAsia" w:ascii="宋体" w:hAnsi="宋体" w:cs="宋体"/>
          <w:color w:val="auto"/>
          <w:highlight w:val="none"/>
        </w:rPr>
        <w:t xml:space="preserve">自动放弃。</w:t>
      </w:r>
      <w:r/>
    </w:p>
    <w:p>
      <w:pPr>
        <w:numPr>
          <w:ilvl w:val="0"/>
          <w:numId w:val="21"/>
        </w:numPr>
        <w:contextualSpacing/>
        <w:spacing w:line="400" w:lineRule="exact"/>
        <w:tabs>
          <w:tab w:val="left" w:pos="0" w:leader="none"/>
        </w:tabs>
        <w:rPr>
          <w:rFonts w:ascii="宋体" w:hAnsi="宋体" w:cs="宋体"/>
          <w:b/>
          <w:bCs/>
          <w:color w:val="auto"/>
          <w:szCs w:val="21"/>
          <w:highlight w:val="none"/>
        </w:rPr>
      </w:pPr>
      <w:r>
        <w:rPr>
          <w:rFonts w:hint="eastAsia" w:ascii="宋体" w:hAnsi="宋体" w:cs="宋体"/>
          <w:color w:val="auto"/>
          <w:szCs w:val="21"/>
          <w:highlight w:val="none"/>
        </w:rPr>
        <w:t xml:space="preserve">凡</w:t>
      </w:r>
      <w:r>
        <w:rPr>
          <w:rFonts w:hint="eastAsia" w:ascii="宋体" w:hAnsi="宋体" w:cs="宋体"/>
          <w:color w:val="auto"/>
          <w:highlight w:val="none"/>
        </w:rPr>
        <w:t xml:space="preserve">涉及</w:t>
      </w:r>
      <w:r>
        <w:rPr>
          <w:rFonts w:hint="eastAsia" w:ascii="宋体" w:hAnsi="宋体" w:cs="宋体"/>
          <w:color w:val="auto"/>
          <w:szCs w:val="21"/>
          <w:highlight w:val="none"/>
        </w:rPr>
        <w:t xml:space="preserve">谈判采购文件的补充说明和修改</w:t>
      </w:r>
      <w:r>
        <w:rPr>
          <w:rFonts w:hint="eastAsia" w:ascii="宋体" w:hAnsi="宋体" w:cs="宋体"/>
          <w:color w:val="auto"/>
          <w:highlight w:val="none"/>
        </w:rPr>
        <w:t xml:space="preserve">，均以发布媒体上公示的通知为准。</w:t>
      </w:r>
      <w:r/>
    </w:p>
    <w:p>
      <w:pPr>
        <w:numPr>
          <w:ilvl w:val="0"/>
          <w:numId w:val="21"/>
        </w:numPr>
        <w:contextualSpacing/>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质疑事项</w:t>
      </w:r>
      <w:r/>
    </w:p>
    <w:p>
      <w:pPr>
        <w:numPr>
          <w:ilvl w:val="0"/>
          <w:numId w:val="26"/>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cs="宋体"/>
          <w:color w:val="auto"/>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凡是对采购文件提出质疑的供应商，请将本项目政府采购网上报名确认单与质疑函一同递交。</w:t>
      </w:r>
      <w:r/>
    </w:p>
    <w:p>
      <w:pPr>
        <w:numPr>
          <w:ilvl w:val="0"/>
          <w:numId w:val="26"/>
        </w:numPr>
        <w:contextualSpacing/>
        <w:spacing w:line="400" w:lineRule="exact"/>
        <w:tabs>
          <w:tab w:val="left" w:pos="0" w:leader="none"/>
          <w:tab w:val="left" w:pos="1080" w:leader="none"/>
        </w:tabs>
        <w:rPr>
          <w:rFonts w:ascii="宋体" w:hAnsi="宋体" w:cs="宋体"/>
          <w:bCs/>
          <w:color w:val="auto"/>
          <w:szCs w:val="21"/>
          <w:highlight w:val="none"/>
        </w:rPr>
      </w:pPr>
      <w:r>
        <w:rPr>
          <w:rFonts w:hint="eastAsia" w:ascii="宋体" w:hAnsi="宋体" w:cs="宋体"/>
          <w:color w:val="auto"/>
          <w:highlight w:val="none"/>
        </w:rPr>
        <w:t xml:space="preserve">提出质疑的供应商应当是参与所质疑项目采购活动的供应商。供应商应当在法定质疑期内一次性提出针对同一采购程序</w:t>
      </w:r>
      <w:r>
        <w:rPr>
          <w:rFonts w:hint="eastAsia" w:ascii="宋体" w:hAnsi="宋体" w:cs="宋体"/>
          <w:bCs/>
          <w:color w:val="auto"/>
          <w:szCs w:val="21"/>
          <w:highlight w:val="none"/>
        </w:rPr>
        <w:t xml:space="preserve">环节的质疑。</w:t>
      </w:r>
      <w:r/>
    </w:p>
    <w:p>
      <w:pPr>
        <w:contextualSpacing/>
        <w:ind w:left="567"/>
        <w:spacing w:line="400" w:lineRule="exact"/>
        <w:tabs>
          <w:tab w:val="left" w:pos="0" w:leader="none"/>
        </w:tabs>
        <w:rPr>
          <w:rFonts w:ascii="宋体" w:hAnsi="宋体" w:cs="宋体"/>
          <w:color w:val="auto"/>
          <w:szCs w:val="21"/>
          <w:highlight w:val="none"/>
        </w:rPr>
      </w:pPr>
      <w:r>
        <w:rPr>
          <w:rFonts w:hint="eastAsia" w:ascii="宋体" w:hAnsi="宋体" w:cs="宋体"/>
          <w:bCs/>
          <w:color w:val="auto"/>
          <w:szCs w:val="21"/>
          <w:highlight w:val="none"/>
        </w:rPr>
        <w:t xml:space="preserve">接收</w:t>
      </w:r>
      <w:r>
        <w:rPr>
          <w:rFonts w:hint="eastAsia" w:ascii="宋体" w:hAnsi="宋体" w:cs="宋体"/>
          <w:color w:val="auto"/>
          <w:szCs w:val="21"/>
          <w:highlight w:val="none"/>
        </w:rPr>
        <w:t xml:space="preserve">质疑函的方式为书面形式（当场送达或邮寄方式）。</w:t>
      </w:r>
      <w:r/>
    </w:p>
    <w:p>
      <w:pPr>
        <w:contextualSpacing/>
        <w:ind w:left="567"/>
        <w:spacing w:line="400" w:lineRule="exact"/>
        <w:tabs>
          <w:tab w:val="left" w:pos="0" w:leader="none"/>
        </w:tabs>
        <w:rPr>
          <w:rFonts w:ascii="宋体" w:hAnsi="宋体"/>
          <w:color w:val="auto"/>
          <w:szCs w:val="21"/>
          <w:highlight w:val="none"/>
        </w:rPr>
      </w:pPr>
      <w:r>
        <w:rPr>
          <w:rFonts w:hint="eastAsia" w:ascii="宋体" w:hAnsi="宋体" w:cs="宋体"/>
          <w:color w:val="auto"/>
          <w:szCs w:val="21"/>
          <w:highlight w:val="none"/>
        </w:rPr>
        <w:t xml:space="preserve">质疑联系部门：业</w:t>
      </w:r>
      <w:r>
        <w:rPr>
          <w:rFonts w:hint="eastAsia" w:ascii="宋体" w:hAnsi="宋体"/>
          <w:color w:val="auto"/>
          <w:szCs w:val="21"/>
          <w:highlight w:val="none"/>
        </w:rPr>
        <w:t xml:space="preserve">务部-金健</w:t>
      </w:r>
      <w:r/>
    </w:p>
    <w:p>
      <w:pPr>
        <w:contextualSpacing/>
        <w:ind w:left="567"/>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联系电话：0512-68364647/68361806转8002</w:t>
      </w:r>
      <w:r/>
    </w:p>
    <w:p>
      <w:pPr>
        <w:contextualSpacing/>
        <w:ind w:left="567"/>
        <w:spacing w:line="400" w:lineRule="exact"/>
        <w:tabs>
          <w:tab w:val="left" w:pos="0" w:leader="none"/>
        </w:tabs>
        <w:rPr>
          <w:rFonts w:ascii="宋体" w:hAnsi="宋体"/>
          <w:bCs/>
          <w:color w:val="auto"/>
          <w:szCs w:val="21"/>
          <w:highlight w:val="none"/>
        </w:rPr>
      </w:pPr>
      <w:r>
        <w:rPr>
          <w:rFonts w:hint="eastAsia" w:ascii="宋体" w:hAnsi="宋体"/>
          <w:color w:val="auto"/>
          <w:szCs w:val="21"/>
          <w:highlight w:val="none"/>
        </w:rPr>
        <w:t xml:space="preserve">通讯地址：</w:t>
      </w:r>
      <w:r>
        <w:rPr>
          <w:rFonts w:hint="eastAsia" w:ascii="宋体" w:hAnsi="宋体" w:cs="宋体"/>
          <w:color w:val="auto"/>
          <w:szCs w:val="21"/>
          <w:highlight w:val="none"/>
          <w:lang w:eastAsia="zh-CN"/>
        </w:rPr>
        <w:t xml:space="preserve">苏州工业园区苏州大道西313号嘉实大厦东楼5楼</w:t>
      </w:r>
      <w:r/>
    </w:p>
    <w:p>
      <w:pPr>
        <w:numPr>
          <w:ilvl w:val="0"/>
          <w:numId w:val="26"/>
        </w:numPr>
        <w:contextualSpacing/>
        <w:spacing w:line="400" w:lineRule="exact"/>
        <w:tabs>
          <w:tab w:val="left" w:pos="0" w:leader="none"/>
          <w:tab w:val="left" w:pos="1080" w:leader="none"/>
        </w:tabs>
        <w:rPr>
          <w:rFonts w:ascii="宋体" w:hAnsi="宋体"/>
          <w:color w:val="auto"/>
          <w:szCs w:val="21"/>
          <w:highlight w:val="none"/>
        </w:rPr>
      </w:pPr>
      <w:r>
        <w:rPr>
          <w:rFonts w:hint="eastAsia" w:ascii="宋体" w:hAnsi="宋体"/>
          <w:bCs/>
          <w:color w:val="auto"/>
          <w:szCs w:val="21"/>
          <w:highlight w:val="none"/>
        </w:rPr>
        <w:t xml:space="preserve">供应商可以委托代理人进行质疑。其授权委托书应当载明代理人的姓名或者名称、代理事项、具体权限、期限和</w:t>
      </w:r>
      <w:r>
        <w:rPr>
          <w:rFonts w:hint="eastAsia"/>
          <w:color w:val="auto"/>
          <w:highlight w:val="none"/>
        </w:rPr>
        <w:t xml:space="preserve">相关</w:t>
      </w:r>
      <w:r>
        <w:rPr>
          <w:rFonts w:hint="eastAsia" w:ascii="宋体" w:hAnsi="宋体"/>
          <w:bCs/>
          <w:color w:val="auto"/>
          <w:szCs w:val="21"/>
          <w:highlight w:val="none"/>
        </w:rPr>
        <w:t xml:space="preserve">事项。供应商为自然人的，应当由本人签字；供应商为法人或者其他组织的，应当由法定代表人、主要负责人签字或者盖章，并加盖公章。代理人提出质疑，应当提交供应商签署的授权委托书</w:t>
      </w:r>
      <w:r>
        <w:rPr>
          <w:rFonts w:hint="eastAsia" w:ascii="宋体" w:hAnsi="宋体"/>
          <w:color w:val="auto"/>
          <w:szCs w:val="21"/>
          <w:highlight w:val="none"/>
        </w:rPr>
        <w:t xml:space="preserve">。</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谈判程序：</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采购代理机构按规定的时间、地点主持谈判采购活动。</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开标</w:t>
      </w:r>
      <w:r/>
    </w:p>
    <w:p>
      <w:pPr>
        <w:contextualSpacing/>
        <w:ind w:left="567"/>
        <w:spacing w:line="400" w:lineRule="exact"/>
        <w:tabs>
          <w:tab w:val="left" w:pos="0" w:leader="none"/>
        </w:tabs>
        <w:rPr>
          <w:rFonts w:ascii="宋体" w:hAnsi="宋体" w:cs="宋体"/>
          <w:color w:val="auto"/>
          <w:highlight w:val="none"/>
        </w:rPr>
      </w:pPr>
      <w:r>
        <w:rPr>
          <w:rFonts w:hint="eastAsia" w:ascii="宋体" w:hAnsi="宋体" w:cs="宋体"/>
          <w:color w:val="auto"/>
          <w:highlight w:val="none"/>
        </w:rPr>
        <w:t xml:space="preserve">供应商通过“苏采云”系统在线参与谈判采购活动。供应商应当按照《苏采云系统供应商操作手册》规定在“苏采云”系统规定的时间内对响应文件进行解密，并按要求在规定时间内进行其他响应操作。</w:t>
      </w:r>
      <w:r/>
    </w:p>
    <w:p>
      <w:pPr>
        <w:numPr>
          <w:ilvl w:val="0"/>
          <w:numId w:val="28"/>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numPr>
          <w:ilvl w:val="0"/>
          <w:numId w:val="28"/>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线上参加（观看）开标（开启）会方式：登录“苏采云”系统，点击“开标大厅”，选择对应项目，点击进入不见面开标系统。</w:t>
      </w:r>
      <w:r/>
    </w:p>
    <w:p>
      <w:pPr>
        <w:numPr>
          <w:ilvl w:val="0"/>
          <w:numId w:val="28"/>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numPr>
          <w:ilvl w:val="0"/>
          <w:numId w:val="28"/>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numPr>
          <w:ilvl w:val="0"/>
          <w:numId w:val="28"/>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投标人在“苏采云”系统规定的时间</w:t>
      </w:r>
      <w:r>
        <w:rPr>
          <w:rFonts w:hint="eastAsia" w:ascii="宋体" w:hAnsi="宋体" w:cs="宋体"/>
          <w:color w:val="auto"/>
          <w:highlight w:val="none"/>
        </w:rPr>
        <w:t xml:space="preserve">内未成功解密电子投标文件的，投标无效。</w:t>
      </w:r>
      <w:r/>
    </w:p>
    <w:p>
      <w:pPr>
        <w:numPr>
          <w:ilvl w:val="0"/>
          <w:numId w:val="28"/>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w:t>
      </w:r>
      <w:r>
        <w:rPr>
          <w:rFonts w:hint="eastAsia" w:ascii="宋体" w:hAnsi="宋体" w:cs="宋体"/>
          <w:color w:val="auto"/>
          <w:highlight w:val="none"/>
        </w:rPr>
        <w:t xml:space="preserve">人电脑环境最低要求：谷歌浏览器，版本可直接网上下载最新版本即可。如需收听现场语音需配置放音设备，如视频直播、互动交流使用异常，请刷新网页，如仍无法解决，请联系技术支持。</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由谈判小组审查供应商提交的响应文件。</w:t>
      </w:r>
      <w:r/>
    </w:p>
    <w:p>
      <w:pPr>
        <w:numPr>
          <w:ilvl w:val="0"/>
          <w:numId w:val="27"/>
        </w:numPr>
        <w:contextualSpacing/>
        <w:spacing w:line="400" w:lineRule="exact"/>
        <w:tabs>
          <w:tab w:val="left" w:pos="0" w:leader="none"/>
        </w:tabs>
        <w:rPr>
          <w:rFonts w:ascii="宋体" w:hAnsi="宋体" w:cs="宋体"/>
          <w:color w:val="auto"/>
          <w:highlight w:val="none"/>
        </w:rPr>
      </w:pPr>
      <w:r>
        <w:rPr>
          <w:rFonts w:hint="eastAsia" w:ascii="宋体" w:hAnsi="宋体" w:cs="宋体"/>
          <w:color w:val="auto"/>
          <w:highlight w:val="none"/>
        </w:rPr>
        <w:t xml:space="preserve">采购人在对响应文件的资格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关于多家供应商提供同品牌同型号产品情形的评审按苏财购告【2018】10号执行。</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谈判小组所有成员集中与单一供应商分别进行谈判，并给予所有参加谈判的供应商平等的谈判机会。</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在谈判过程中，谈判小组可以根据谈判文件和谈判情况实质性变动采购需求中的技术、服务要求以及合同草案条款。对谈判文件作出的实质性变动是谈判文件的有效组成部分，谈判小组将及时以书面形式同时通知所有参加谈判的供应商。</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供应商应当按照谈判文件的变动情况和谈判小组的要求重新提交响应文件，并由其法定代表人或授权代表签字或者加盖公章。</w:t>
      </w:r>
      <w:r/>
    </w:p>
    <w:p>
      <w:pPr>
        <w:numPr>
          <w:ilvl w:val="0"/>
          <w:numId w:val="27"/>
        </w:numPr>
        <w:contextualSpacing/>
        <w:spacing w:line="400" w:lineRule="exact"/>
        <w:tabs>
          <w:tab w:val="left" w:pos="0" w:leader="none"/>
        </w:tabs>
        <w:rPr>
          <w:rFonts w:ascii="宋体" w:hAnsi="宋体" w:cs="宋体"/>
          <w:color w:val="auto"/>
          <w:highlight w:val="none"/>
        </w:rPr>
      </w:pPr>
      <w:r>
        <w:rPr>
          <w:rFonts w:hint="eastAsia" w:ascii="宋体" w:hAnsi="宋体"/>
          <w:color w:val="auto"/>
          <w:szCs w:val="21"/>
          <w:highlight w:val="none"/>
        </w:rPr>
        <w:t xml:space="preserve">澄清、二</w:t>
      </w:r>
      <w:r>
        <w:rPr>
          <w:rFonts w:hint="eastAsia" w:ascii="宋体" w:hAnsi="宋体" w:cs="宋体"/>
          <w:color w:val="auto"/>
          <w:highlight w:val="none"/>
        </w:rPr>
        <w:t xml:space="preserve">次报价</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（1）本项目采用线上澄清</w:t>
      </w:r>
      <w:r/>
    </w:p>
    <w:p>
      <w:pPr>
        <w:ind w:right="-153" w:firstLine="420"/>
        <w:spacing w:line="440" w:lineRule="exact"/>
        <w:rPr>
          <w:rFonts w:ascii="宋体" w:hAnsi="宋体" w:cs="宋体"/>
          <w:bCs/>
          <w:color w:val="auto"/>
          <w:highlight w:val="none"/>
          <w:lang w:val="zh-CN"/>
        </w:rPr>
        <w:outlineLvl w:val="0"/>
      </w:pPr>
      <w:r>
        <w:rPr>
          <w:rFonts w:hint="eastAsia" w:ascii="宋体" w:hAnsi="宋体" w:cs="宋体"/>
          <w:bCs/>
          <w:color w:val="auto"/>
          <w:highlight w:val="none"/>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（2）本项目采用线上谈判</w:t>
      </w:r>
      <w:r/>
    </w:p>
    <w:p>
      <w:pPr>
        <w:ind w:right="-153" w:firstLine="420"/>
        <w:spacing w:line="440" w:lineRule="exact"/>
        <w:rPr>
          <w:rFonts w:ascii="宋体" w:hAnsi="宋体" w:cs="宋体"/>
          <w:bCs/>
          <w:color w:val="auto"/>
          <w:highlight w:val="none"/>
        </w:rPr>
        <w:outlineLvl w:val="0"/>
      </w:pPr>
      <w:r>
        <w:rPr>
          <w:rFonts w:hint="eastAsia" w:ascii="宋体" w:hAnsi="宋体" w:cs="宋体"/>
          <w:bCs/>
          <w:color w:val="auto"/>
          <w:highlight w:val="none"/>
        </w:rPr>
        <w:t xml:space="preserve">对于通过资格审查和符合性审查的供应商，谈判小组所有成员集中与单一供应商分别进行谈判，并给予所有参加谈判的供应商平等的谈判机会。谈判小组通过“苏采云”系统向供应商发布“谈判函”</w:t>
      </w:r>
      <w:r>
        <w:rPr>
          <w:rFonts w:hint="eastAsia" w:ascii="宋体" w:hAnsi="宋体"/>
          <w:color w:val="auto"/>
          <w:szCs w:val="21"/>
          <w:highlight w:val="none"/>
        </w:rPr>
        <w:t xml:space="preserve">（如需）</w:t>
      </w:r>
      <w:r>
        <w:rPr>
          <w:rFonts w:hint="eastAsia" w:ascii="宋体" w:hAnsi="宋体" w:cs="宋体"/>
          <w:bCs/>
          <w:color w:val="auto"/>
          <w:highlight w:val="none"/>
        </w:rPr>
        <w:t xml:space="preserve">，供应商应当按照要求在“苏采云”系统提交“谈判响应函”并加盖CA电子公章。</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（3）本项目采用线上二次报价</w:t>
      </w:r>
      <w:r/>
    </w:p>
    <w:p>
      <w:pPr>
        <w:ind w:right="-153" w:firstLine="420"/>
        <w:spacing w:line="440" w:lineRule="exact"/>
        <w:rPr>
          <w:rFonts w:ascii="宋体" w:hAnsi="宋体" w:cs="宋体"/>
          <w:bCs/>
          <w:color w:val="auto"/>
          <w:highlight w:val="none"/>
        </w:rPr>
        <w:outlineLvl w:val="0"/>
      </w:pPr>
      <w:r>
        <w:rPr>
          <w:rFonts w:hint="eastAsia" w:ascii="宋体" w:hAnsi="宋体" w:cs="宋体"/>
          <w:bCs/>
          <w:color w:val="auto"/>
          <w:highlight w:val="none"/>
        </w:rPr>
        <w:t xml:space="preserve">谈判</w:t>
      </w:r>
      <w:r>
        <w:rPr>
          <w:rFonts w:hint="eastAsia" w:ascii="宋体" w:hAnsi="宋体" w:cs="宋体"/>
          <w:bCs/>
          <w:color w:val="auto"/>
          <w:highlight w:val="none"/>
          <w:lang w:val="zh-CN"/>
        </w:rPr>
        <w:t xml:space="preserve">结束后，谈判小组将在“苏采云”系统向所有实质性响应的供应商发布“最后报价要求函”及最后报价格式表</w:t>
      </w:r>
      <w:r>
        <w:rPr>
          <w:rFonts w:hint="eastAsia" w:ascii="宋体" w:hAnsi="宋体"/>
          <w:color w:val="auto"/>
          <w:szCs w:val="21"/>
          <w:highlight w:val="none"/>
        </w:rPr>
        <w:t xml:space="preserve">（如需）</w:t>
      </w:r>
      <w:r>
        <w:rPr>
          <w:rFonts w:hint="eastAsia" w:ascii="宋体" w:hAnsi="宋体" w:cs="宋体"/>
          <w:bCs/>
          <w:color w:val="auto"/>
          <w:highlight w:val="none"/>
          <w:lang w:val="zh-CN"/>
        </w:rPr>
        <w:t xml:space="preserve">，要求所有实质性响应的供应商在规定时间内提交最后报价。</w:t>
      </w:r>
      <w:r/>
    </w:p>
    <w:p>
      <w:pPr>
        <w:ind w:firstLine="420"/>
        <w:spacing w:line="440" w:lineRule="exact"/>
        <w:rPr>
          <w:rFonts w:ascii="宋体" w:hAnsi="宋体" w:cs="宋体"/>
          <w:bCs/>
          <w:color w:val="auto"/>
          <w:highlight w:val="none"/>
          <w:lang w:val="zh-CN"/>
        </w:rPr>
      </w:pPr>
      <w:r>
        <w:rPr>
          <w:rFonts w:hint="eastAsia" w:ascii="宋体" w:hAnsi="宋体" w:cs="宋体"/>
          <w:bCs/>
          <w:color w:val="auto"/>
          <w:highlight w:val="none"/>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color w:val="auto"/>
          <w:highlight w:val="none"/>
          <w:lang w:val="zh-CN"/>
        </w:rPr>
        <w:t xml:space="preserve">（此处规定时间的计算以系统中的倒计时间为准，系统中的线上最后报价只有一次机会，提交后无法撤回，请供应商慎重提交）。</w:t>
      </w:r>
      <w:r>
        <w:rPr>
          <w:b/>
          <w:bCs/>
          <w:color w:val="auto"/>
          <w:szCs w:val="21"/>
          <w:highlight w:val="none"/>
          <w:lang w:val="zh-CN"/>
        </w:rPr>
        <w:t xml:space="preserve">（除因谈判文件修改导致成本增加</w:t>
      </w:r>
      <w:r>
        <w:rPr>
          <w:rFonts w:hint="eastAsia"/>
          <w:b/>
          <w:bCs/>
          <w:color w:val="auto"/>
          <w:szCs w:val="21"/>
          <w:highlight w:val="none"/>
          <w:lang w:val="zh-CN"/>
        </w:rPr>
        <w:t xml:space="preserve">外</w:t>
      </w:r>
      <w:r>
        <w:rPr>
          <w:b/>
          <w:bCs/>
          <w:color w:val="auto"/>
          <w:szCs w:val="21"/>
          <w:highlight w:val="none"/>
          <w:lang w:val="zh-CN"/>
        </w:rPr>
        <w:t xml:space="preserve">，二次报价不得超过第一次报价，否则为无效响应报价）</w:t>
      </w:r>
      <w:r/>
    </w:p>
    <w:p>
      <w:pPr>
        <w:ind w:firstLine="420"/>
        <w:spacing w:line="440" w:lineRule="exact"/>
        <w:rPr>
          <w:rFonts w:ascii="宋体" w:hAnsi="宋体" w:cs="宋体"/>
          <w:bCs/>
          <w:color w:val="auto"/>
          <w:highlight w:val="none"/>
          <w:lang w:val="zh-CN"/>
        </w:rPr>
      </w:pPr>
      <w:r>
        <w:rPr>
          <w:rFonts w:hint="eastAsia" w:ascii="宋体" w:hAnsi="宋体" w:cs="宋体"/>
          <w:bCs/>
          <w:color w:val="auto"/>
          <w:highlight w:val="none"/>
          <w:lang w:val="zh-CN"/>
        </w:rPr>
        <w:t xml:space="preserve">已提交响应文件的供应商，在提交最后报价之前，可以根据谈判情况退出谈判。</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lang w:val="zh-CN"/>
        </w:rPr>
        <w:t xml:space="preserve">进入项目评审流程后，建议各供应商法定代表人或授权委托人始终保持通讯顺畅，及时登录苏采云系统查阅、答复相关信息。</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谈判结束后，谈判小组将要求所有实质性响应的供应商在规定时间内提交最后报价，提交最后报价且符合得标条件的供应商不足3家的，谈判采购失败。</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谈判小组根据谈判成交原则确定成交供应商，并将结果通知所有参加谈判的供应商。</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如谈判过程中出现本采购文件未尽事宜，由谈判小组根据有关规定讨论决定。</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谈判成交原则及评审内容：</w:t>
      </w:r>
      <w:r/>
    </w:p>
    <w:p>
      <w:pPr>
        <w:contextualSpacing/>
        <w:ind w:firstLine="420"/>
        <w:spacing w:line="400" w:lineRule="exact"/>
        <w:tabs>
          <w:tab w:val="left" w:pos="0" w:leader="none"/>
          <w:tab w:val="left" w:pos="2870" w:leader="none"/>
        </w:tabs>
        <w:rPr>
          <w:rFonts w:ascii="宋体" w:hAnsi="宋体"/>
          <w:bCs/>
          <w:color w:val="auto"/>
          <w:szCs w:val="21"/>
          <w:highlight w:val="none"/>
        </w:rPr>
      </w:pPr>
      <w:r>
        <w:rPr>
          <w:rFonts w:ascii="宋体" w:hAnsi="宋体"/>
          <w:bCs/>
          <w:color w:val="auto"/>
          <w:szCs w:val="21"/>
          <w:highlight w:val="none"/>
        </w:rPr>
        <w:t xml:space="preserve">（一）谈判成交原则：</w:t>
      </w:r>
      <w:r/>
    </w:p>
    <w:p>
      <w:pPr>
        <w:numPr>
          <w:ilvl w:val="0"/>
          <w:numId w:val="29"/>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本项目采用最低评标价法，即根据质量和服务均能满足采购文件实质性响应要求且最后报价最低的原则确定成交供应商</w:t>
      </w:r>
      <w:r>
        <w:rPr>
          <w:rFonts w:hint="eastAsia"/>
          <w:color w:val="auto"/>
          <w:szCs w:val="21"/>
          <w:highlight w:val="none"/>
        </w:rPr>
        <w:t xml:space="preserve">。</w:t>
      </w:r>
      <w:r>
        <w:rPr>
          <w:rFonts w:hint="eastAsia" w:ascii="宋体" w:hAnsi="宋体"/>
          <w:color w:val="auto"/>
          <w:szCs w:val="21"/>
          <w:highlight w:val="none"/>
        </w:rPr>
        <w:t xml:space="preserve">如出现最后报价最低的谈判供应商有两个或两个以上的，则由采购人以抽签方式确定成交供应商。</w:t>
      </w:r>
      <w:r/>
    </w:p>
    <w:p>
      <w:pPr>
        <w:numPr>
          <w:ilvl w:val="0"/>
          <w:numId w:val="29"/>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各成员独立对谈判供应商的谈判响应文件按照谈判文件的规定和要求进行资格性和符合性评审，如评审内容条款均满足谈判文件要求的，则认为该供应商响应文件评审合格。如某一条款内容评审不合格，评委须注明评审不合格原因。</w:t>
      </w:r>
      <w:r/>
    </w:p>
    <w:p>
      <w:pPr>
        <w:numPr>
          <w:ilvl w:val="0"/>
          <w:numId w:val="29"/>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谈判小组为3人及以上单数。如某一评审条款出现评委意见不一致时，则按少数服从多数的原则，确定该项条款是否合格。</w:t>
      </w:r>
      <w:r/>
    </w:p>
    <w:p>
      <w:pPr>
        <w:numPr>
          <w:ilvl w:val="0"/>
          <w:numId w:val="29"/>
        </w:numPr>
        <w:contextualSpacing/>
        <w:spacing w:line="400" w:lineRule="exact"/>
        <w:tabs>
          <w:tab w:val="left" w:pos="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30"/>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30"/>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30"/>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30"/>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29"/>
        </w:numPr>
        <w:contextualSpacing/>
        <w:spacing w:line="400" w:lineRule="exact"/>
        <w:tabs>
          <w:tab w:val="left" w:pos="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评审委员会启动异常低价投标(响应)审查后，属于前述第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项至第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项情形，供应商已随投标(响应)文件一并提交相关书面说明及必要的证明材料的，在评审现场可不再重复提交。</w:t>
      </w:r>
      <w:r/>
    </w:p>
    <w:p>
      <w:pPr>
        <w:numPr>
          <w:ilvl w:val="0"/>
          <w:numId w:val="29"/>
        </w:numPr>
        <w:contextualSpacing/>
        <w:spacing w:line="400" w:lineRule="exact"/>
        <w:tabs>
          <w:tab w:val="left" w:pos="0" w:leader="none"/>
        </w:tabs>
        <w:rPr>
          <w:rFonts w:ascii="宋体" w:hAnsi="宋体"/>
          <w:color w:val="auto"/>
          <w:highlight w:val="none"/>
        </w:rPr>
      </w:pPr>
      <w:r>
        <w:rPr>
          <w:rFonts w:hint="eastAsia" w:ascii="宋体" w:hAnsi="宋体" w:eastAsia="宋体" w:cs="Times New Roman"/>
          <w:color w:val="auto"/>
          <w:szCs w:val="21"/>
          <w:highlight w:val="none"/>
        </w:rPr>
        <w:t xml:space="preserve">评审委员</w:t>
      </w:r>
      <w:r>
        <w:rPr>
          <w:rFonts w:hint="eastAsia" w:ascii="宋体" w:hAnsi="宋体" w:cs="宋体"/>
          <w:color w:val="auto"/>
          <w:szCs w:val="21"/>
          <w:highlight w:val="none"/>
          <w:shd w:val="clear" w:color="auto" w:fill="auto"/>
        </w:rPr>
        <w:t xml:space="preserve">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20"/>
        <w:spacing w:line="400" w:lineRule="exact"/>
        <w:tabs>
          <w:tab w:val="left" w:pos="0" w:leader="none"/>
          <w:tab w:val="left" w:pos="2870" w:leader="none"/>
        </w:tabs>
        <w:rPr>
          <w:rFonts w:ascii="宋体" w:hAnsi="宋体"/>
          <w:bCs/>
          <w:color w:val="auto"/>
          <w:highlight w:val="none"/>
        </w:rPr>
      </w:pPr>
      <w:r>
        <w:rPr>
          <w:rFonts w:hint="eastAsia" w:ascii="宋体" w:hAnsi="宋体"/>
          <w:bCs/>
          <w:color w:val="auto"/>
          <w:highlight w:val="none"/>
        </w:rPr>
        <w:t xml:space="preserve">（二）评审内容：</w:t>
      </w:r>
      <w:r/>
    </w:p>
    <w:tbl>
      <w:tblPr>
        <w:tblStyle w:val="944"/>
        <w:tblW w:w="96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6065"/>
        <w:gridCol w:w="1984"/>
        <w:gridCol w:w="872"/>
      </w:tblGrid>
      <w:tr>
        <w:trPr>
          <w:jc w:val="center"/>
          <w:trHeight w:val="567"/>
        </w:trPr>
        <w:tc>
          <w:tcPr>
            <w:tcW w:w="74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606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评审内容</w:t>
            </w:r>
            <w:r/>
          </w:p>
        </w:tc>
        <w:tc>
          <w:tcPr>
            <w:tcW w:w="1984"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评审是否合格（填“是”或“否”）</w:t>
            </w:r>
            <w:r/>
          </w:p>
        </w:tc>
        <w:tc>
          <w:tcPr>
            <w:tcW w:w="87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不合格原因</w:t>
            </w:r>
            <w:r/>
          </w:p>
        </w:tc>
      </w:tr>
      <w:tr>
        <w:trPr>
          <w:jc w:val="center"/>
          <w:trHeight w:val="567"/>
        </w:trPr>
        <w:tc>
          <w:tcPr>
            <w:tcW w:w="7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606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highlight w:val="none"/>
              </w:rPr>
              <w:t xml:space="preserve">资格审查响应文件</w:t>
            </w:r>
            <w:r>
              <w:rPr>
                <w:rFonts w:hint="eastAsia" w:ascii="宋体" w:hAnsi="宋体"/>
                <w:color w:val="auto"/>
                <w:szCs w:val="21"/>
                <w:highlight w:val="none"/>
              </w:rPr>
              <w:t xml:space="preserve">是否符合要求</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2</w:t>
            </w:r>
            <w:r/>
          </w:p>
        </w:tc>
        <w:tc>
          <w:tcPr>
            <w:tcW w:w="6065" w:type="dxa"/>
            <w:vAlign w:val="center"/>
            <w:textDirection w:val="lrTb"/>
            <w:noWrap w:val="false"/>
          </w:tcPr>
          <w:p>
            <w:pPr>
              <w:spacing w:line="400" w:lineRule="exact"/>
              <w:rPr>
                <w:rFonts w:ascii="宋体" w:hAnsi="宋体"/>
                <w:color w:val="auto"/>
                <w:highlight w:val="none"/>
              </w:rPr>
            </w:pPr>
            <w:r>
              <w:rPr>
                <w:rFonts w:hint="eastAsia" w:ascii="宋体" w:hAnsi="宋体"/>
                <w:color w:val="auto"/>
                <w:highlight w:val="none"/>
              </w:rPr>
              <w:t xml:space="preserve">响应货物的数量、品牌、规格、技术参数、指标说明、质量要求、偏离说明等</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6065" w:type="dxa"/>
            <w:vAlign w:val="center"/>
            <w:textDirection w:val="lrTb"/>
            <w:noWrap w:val="false"/>
          </w:tcPr>
          <w:p>
            <w:pPr>
              <w:spacing w:line="400" w:lineRule="exact"/>
              <w:tabs>
                <w:tab w:val="left" w:pos="567" w:leader="none"/>
                <w:tab w:val="left" w:pos="851" w:leader="none"/>
              </w:tabs>
              <w:rPr>
                <w:rFonts w:ascii="宋体" w:hAnsi="宋体"/>
                <w:color w:val="auto"/>
                <w:highlight w:val="none"/>
              </w:rPr>
            </w:pPr>
            <w:r>
              <w:rPr>
                <w:rFonts w:hint="eastAsia" w:ascii="宋体" w:hAnsi="宋体"/>
                <w:color w:val="auto"/>
                <w:highlight w:val="none"/>
              </w:rPr>
              <w:t xml:space="preserve">响应单位须按采购需求“详细技术参数、指标要求”中打“</w:t>
            </w:r>
            <w:r>
              <w:rPr>
                <w:rFonts w:hint="eastAsia" w:ascii="宋体" w:hAnsi="宋体" w:cs="宋体"/>
                <w:color w:val="auto"/>
                <w:highlight w:val="none"/>
              </w:rPr>
              <w:t xml:space="preserve">★</w:t>
            </w:r>
            <w:r>
              <w:rPr>
                <w:rFonts w:hint="eastAsia" w:ascii="宋体" w:hAnsi="宋体"/>
                <w:color w:val="auto"/>
                <w:highlight w:val="none"/>
              </w:rPr>
              <w:t xml:space="preserve">”项要求提供符合要求的相应证明材料，否则视为非实质性响应</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6065" w:type="dxa"/>
            <w:vAlign w:val="center"/>
            <w:textDirection w:val="lrTb"/>
            <w:noWrap w:val="false"/>
          </w:tcPr>
          <w:p>
            <w:pPr>
              <w:spacing w:line="400" w:lineRule="exact"/>
              <w:tabs>
                <w:tab w:val="left" w:pos="567" w:leader="none"/>
              </w:tabs>
              <w:rPr>
                <w:rFonts w:ascii="宋体" w:hAnsi="宋体"/>
                <w:color w:val="auto"/>
                <w:highlight w:val="none"/>
              </w:rPr>
            </w:pPr>
            <w:r>
              <w:rPr>
                <w:rFonts w:hint="eastAsia" w:ascii="宋体" w:hAnsi="宋体"/>
                <w:color w:val="auto"/>
                <w:highlight w:val="none"/>
              </w:rPr>
              <w:t xml:space="preserve">履约交付、质保、售后、服务响应等的书面服务承诺</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5</w:t>
            </w:r>
            <w:r/>
          </w:p>
        </w:tc>
        <w:tc>
          <w:tcPr>
            <w:tcW w:w="6065" w:type="dxa"/>
            <w:vAlign w:val="center"/>
            <w:textDirection w:val="lrTb"/>
            <w:noWrap w:val="false"/>
          </w:tcPr>
          <w:p>
            <w:pPr>
              <w:spacing w:line="400" w:lineRule="exact"/>
              <w:tabs>
                <w:tab w:val="left" w:pos="567" w:leader="none"/>
              </w:tabs>
              <w:rPr>
                <w:rFonts w:ascii="宋体" w:hAnsi="宋体"/>
                <w:color w:val="auto"/>
                <w:highlight w:val="none"/>
              </w:rPr>
            </w:pPr>
            <w:r>
              <w:rPr>
                <w:rFonts w:hint="eastAsia" w:ascii="宋体" w:hAnsi="宋体"/>
                <w:color w:val="auto"/>
                <w:szCs w:val="21"/>
                <w:highlight w:val="none"/>
              </w:rPr>
              <w:t xml:space="preserve">其他材料（除供应商资格条件及采购技术内容以外的其他涉及实质性响应谈判文件的条款内容）</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pStyle w:val="953"/>
        <w:jc w:val="center"/>
        <w:spacing w:line="360" w:lineRule="auto"/>
        <w:rPr>
          <w:rFonts w:ascii="宋体" w:hAnsi="宋体"/>
          <w:b/>
          <w:bCs/>
          <w:color w:val="auto"/>
          <w:sz w:val="32"/>
          <w:highlight w:val="none"/>
        </w:rPr>
        <w:outlineLvl w:val="0"/>
      </w:pPr>
      <w:r>
        <w:rPr>
          <w:rFonts w:ascii="宋体" w:hAnsi="宋体"/>
          <w:b/>
          <w:bCs/>
          <w:color w:val="auto"/>
          <w:sz w:val="21"/>
          <w:szCs w:val="21"/>
          <w:highlight w:val="none"/>
        </w:rPr>
        <w:br w:type="page" w:clear="all"/>
      </w:r>
      <w:r>
        <w:rPr>
          <w:rFonts w:hint="eastAsia" w:ascii="宋体" w:hAnsi="宋体"/>
          <w:b/>
          <w:bCs/>
          <w:color w:val="auto"/>
          <w:sz w:val="32"/>
          <w:highlight w:val="none"/>
        </w:rPr>
        <w:t xml:space="preserve">三、合同主要条款</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甲方： </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地址：</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联系人：</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联系电话：</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乙方：</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地址：</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联系人：</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联系电话：</w:t>
      </w:r>
      <w:r/>
    </w:p>
    <w:p>
      <w:pPr>
        <w:ind w:firstLine="420"/>
        <w:spacing w:line="400" w:lineRule="exact"/>
        <w:rPr>
          <w:rFonts w:ascii="宋体" w:hAnsi="宋体" w:cs="宋体"/>
          <w:color w:val="auto"/>
          <w:highlight w:val="none"/>
        </w:rPr>
      </w:pPr>
      <w:r>
        <w:rPr>
          <w:rFonts w:ascii="宋体" w:hAnsi="宋体" w:cs="宋体"/>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highlight w:val="none"/>
          <w:u w:val="single"/>
          <w:lang w:eastAsia="zh-CN"/>
        </w:rPr>
        <w:t xml:space="preserve">外包学院2026年度教学实训设备（四标段）</w:t>
      </w:r>
      <w:r>
        <w:rPr>
          <w:rFonts w:hint="eastAsia" w:ascii="宋体" w:hAnsi="宋体" w:cs="宋体"/>
          <w:color w:val="auto"/>
          <w:highlight w:val="none"/>
        </w:rPr>
        <w:t xml:space="preserve">政府采购（项目编号： </w:t>
      </w:r>
      <w:r>
        <w:rPr>
          <w:rFonts w:hint="eastAsia" w:ascii="宋体" w:hAnsi="宋体" w:cs="宋体"/>
          <w:color w:val="auto"/>
          <w:highlight w:val="none"/>
          <w:u w:val="single"/>
          <w:lang w:eastAsia="zh-CN"/>
        </w:rPr>
        <w:t xml:space="preserve">JSZC-320591-SZYX-T2026-0023</w:t>
      </w:r>
      <w:r>
        <w:rPr>
          <w:rFonts w:hint="eastAsia" w:ascii="宋体" w:hAnsi="宋体" w:cs="宋体"/>
          <w:color w:val="auto"/>
          <w:highlight w:val="none"/>
        </w:rPr>
        <w:t xml:space="preserve">）的采购结果，确定乙方为本次成交供应商，现依照谈判文件、乙方的响应文件及相关文件的内容，签订本合同书。</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合同标的物和合同价格</w:t>
      </w:r>
      <w:r/>
    </w:p>
    <w:tbl>
      <w:tblPr>
        <w:tblStyle w:val="944"/>
        <w:tblW w:w="96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1071"/>
        <w:gridCol w:w="2160"/>
        <w:gridCol w:w="1020"/>
        <w:gridCol w:w="974"/>
        <w:gridCol w:w="1134"/>
        <w:gridCol w:w="1134"/>
        <w:gridCol w:w="1134"/>
      </w:tblGrid>
      <w:tr>
        <w:trPr>
          <w:jc w:val="center"/>
          <w:trHeight w:val="652"/>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序号</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名称</w:t>
            </w:r>
            <w:r/>
          </w:p>
        </w:tc>
        <w:tc>
          <w:tcPr>
            <w:tcW w:w="216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品牌、型号、规格</w:t>
            </w:r>
            <w:r/>
          </w:p>
        </w:tc>
        <w:tc>
          <w:tcPr>
            <w:tcW w:w="10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数量</w:t>
            </w:r>
            <w:r/>
          </w:p>
        </w:tc>
        <w:tc>
          <w:tcPr>
            <w:tcW w:w="97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单位</w:t>
            </w:r>
            <w:r/>
          </w:p>
        </w:tc>
        <w:tc>
          <w:tcPr>
            <w:tcW w:w="113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单价(元)</w:t>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hint="eastAsia" w:ascii="宋体" w:hAnsi="宋体" w:cs="宋体"/>
                <w:color w:val="auto"/>
                <w:highlight w:val="none"/>
              </w:rPr>
              <w:t xml:space="preserve">总价(元)</w:t>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hint="eastAsia" w:ascii="宋体" w:hAnsi="宋体" w:cs="宋体"/>
                <w:color w:val="auto"/>
                <w:highlight w:val="none"/>
              </w:rPr>
              <w:t xml:space="preserve">备注</w:t>
            </w:r>
            <w:r/>
          </w:p>
        </w:tc>
      </w:tr>
      <w:tr>
        <w:trPr>
          <w:jc w:val="center"/>
          <w:trHeight w:val="494"/>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216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7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494"/>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216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7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494"/>
        </w:trPr>
        <w:tc>
          <w:tcPr>
            <w:gridSpan w:val="8"/>
            <w:tcW w:w="9674" w:type="dxa"/>
            <w:vAlign w:val="center"/>
            <w:textDirection w:val="lrTb"/>
            <w:noWrap w:val="false"/>
          </w:tcPr>
          <w:p>
            <w:pPr>
              <w:spacing w:line="360" w:lineRule="auto"/>
              <w:widowControl/>
              <w:rPr>
                <w:rFonts w:ascii="宋体" w:hAnsi="宋体" w:cs="宋体"/>
                <w:color w:val="auto"/>
                <w:highlight w:val="none"/>
              </w:rPr>
            </w:pPr>
            <w:r>
              <w:rPr>
                <w:rFonts w:hint="eastAsia" w:ascii="宋体" w:hAnsi="宋体" w:cs="宋体"/>
                <w:color w:val="auto"/>
                <w:highlight w:val="none"/>
              </w:rPr>
              <w:t xml:space="preserve">合同价格（大写）人民币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圆整；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.00）</w:t>
            </w:r>
            <w:r/>
          </w:p>
        </w:tc>
      </w:tr>
    </w:tbl>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本合同价格包括所有货物及备品、备件、辅配件和专用工具费用、安装、调试、技术支持与培训、检测验收、配套服务、包装、运输、售后与维保、保险及相关劳务支出等工作所发生的全部费用以及乙方企业利润、税金和政策性文件规定及合同包含的所有风险、责任等各项应有费用。乙方应保证如项目实施过程中有辅助材料缺漏，负责无条件补齐，费用包含在本次合同价格中，甲方不再另行支付。</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根据现行税法对甲方征收的与本合同有关的一切税费均由甲方承担；根据现行税法对乙方征收的与本合同有关的一切税费均由乙方承担。</w:t>
      </w:r>
      <w:r/>
    </w:p>
    <w:p>
      <w:pPr>
        <w:numPr>
          <w:ilvl w:val="0"/>
          <w:numId w:val="31"/>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标的物交付</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履约交付期限：详见招标文件。</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交付地点：甲方指定地点。</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标的物的所有权自标的物交付时转移。</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0"/>
          <w:numId w:val="31"/>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技术规范</w:t>
      </w:r>
      <w:r/>
    </w:p>
    <w:p>
      <w:pPr>
        <w:numPr>
          <w:ilvl w:val="1"/>
          <w:numId w:val="31"/>
        </w:numPr>
        <w:ind w:left="540" w:hanging="540"/>
        <w:spacing w:line="400" w:lineRule="atLeast"/>
        <w:tabs>
          <w:tab w:val="left" w:pos="540" w:leader="none"/>
          <w:tab w:val="clear" w:pos="567" w:leader="none"/>
        </w:tabs>
        <w:rPr>
          <w:rFonts w:ascii="宋体" w:hAnsi="宋体" w:cs="宋体"/>
          <w:iCs/>
          <w:color w:val="auto"/>
          <w:highlight w:val="none"/>
          <w:u w:val="single"/>
        </w:rPr>
      </w:pPr>
      <w:r>
        <w:rPr>
          <w:rFonts w:hint="eastAsia" w:ascii="宋体" w:hAnsi="宋体" w:cs="宋体"/>
          <w:color w:val="auto"/>
          <w:highlight w:val="none"/>
        </w:rPr>
        <w:t xml:space="preserve">所提供货物的生产、制造等各项技术标准，应当符合国家（强制性）标准、各项规范要求；国家没有相应标准、规范的，可使用行业标准、规定；非标产品按招标约定的技术要求和规范。</w:t>
      </w:r>
      <w:r/>
    </w:p>
    <w:p>
      <w:pPr>
        <w:numPr>
          <w:ilvl w:val="0"/>
          <w:numId w:val="31"/>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质量要求</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所提供货物是全新的、未使用过的、原包装未拆封的商品，完全符合采购产品规定的质量、规格和性能的要求，除有特殊要求外，其余均为标准配置要求，否则甲方有权拒绝验收。</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乙方保证所提供货物涉及到的知识产权是合法取得，并享有完整的知识产权，不会因为甲方的使用而被责令停止使用、追偿或要求赔偿损失，如出现此情况，一切经济和法律责任均由乙方承担。</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验收</w:t>
      </w:r>
      <w:r>
        <w:rPr>
          <w:rFonts w:hint="eastAsia" w:cs="宋体"/>
          <w:b/>
          <w:color w:val="auto"/>
          <w:highlight w:val="none"/>
        </w:rPr>
        <w:t xml:space="preserve">要求</w:t>
      </w:r>
      <w:r/>
    </w:p>
    <w:p>
      <w:pPr>
        <w:numPr>
          <w:ilvl w:val="1"/>
          <w:numId w:val="31"/>
        </w:numPr>
        <w:ind w:left="540" w:hanging="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本项目将根据政府采购法及相关法规，《江苏省政府采购履约验收管理办法》以及《苏州工业园区政府采购履约验收管理暂行办法》文件的规定，对供应商进行履约验收， 确认验收合格的，将出具《政府采购履约验收书》。《政府采购履约验收书》、合同是申请支付政府采购合同价款的必备资料。</w:t>
      </w:r>
      <w:r/>
    </w:p>
    <w:p>
      <w:pPr>
        <w:numPr>
          <w:ilvl w:val="1"/>
          <w:numId w:val="31"/>
        </w:numPr>
        <w:ind w:left="540" w:hanging="540"/>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履约</w:t>
      </w:r>
      <w:r>
        <w:rPr>
          <w:rFonts w:hint="eastAsia" w:ascii="宋体" w:hAnsi="宋体" w:cs="宋体"/>
          <w:color w:val="auto"/>
          <w:highlight w:val="none"/>
        </w:rPr>
        <w:t xml:space="preserve">验收标准：乙方提供的货物必须符合我国最新颁布的与之相关的技术规范与标准，同时必须满足采购文件中所列技术参数、指标要求和乙方承诺的其它内容。</w:t>
      </w:r>
      <w:r>
        <w:rPr>
          <w:rFonts w:hint="eastAsia" w:cs="宋体"/>
          <w:color w:val="auto"/>
          <w:highlight w:val="none"/>
        </w:rPr>
        <w:t xml:space="preserve">在验收过程中甲方如发现提供的产品存在质量问题，则乙方必须重新提交直至验收合格，对甲方造成的一切损失由乙方承担。</w:t>
      </w:r>
      <w:r/>
    </w:p>
    <w:p>
      <w:pPr>
        <w:numPr>
          <w:ilvl w:val="1"/>
          <w:numId w:val="31"/>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履约验收主体：由甲方进行验收。</w:t>
      </w:r>
      <w:r/>
    </w:p>
    <w:p>
      <w:pPr>
        <w:numPr>
          <w:ilvl w:val="1"/>
          <w:numId w:val="31"/>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numPr>
          <w:ilvl w:val="1"/>
          <w:numId w:val="31"/>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履约验收程序：</w:t>
      </w:r>
      <w:r/>
    </w:p>
    <w:p>
      <w:pPr>
        <w:numPr>
          <w:ilvl w:val="0"/>
          <w:numId w:val="32"/>
        </w:numPr>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履约验收时间：本项目在所采购货物全部交付并安装调试完毕后进行验收。甲方对乙方提供的所有产品进行验收。</w:t>
      </w:r>
      <w:r/>
    </w:p>
    <w:p>
      <w:pPr>
        <w:numPr>
          <w:ilvl w:val="0"/>
          <w:numId w:val="32"/>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numPr>
          <w:ilvl w:val="0"/>
          <w:numId w:val="32"/>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甲方成立验收小组，负责采购项目履约验收具体工作。</w:t>
      </w:r>
      <w:r/>
    </w:p>
    <w:p>
      <w:pPr>
        <w:numPr>
          <w:ilvl w:val="0"/>
          <w:numId w:val="32"/>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验收小组应当按照验收工作实施方案开展验收，对乙方提供的货物、服务按照采购文件、响应文件、政府采购合同等进行逐一核对、验收，并做好验收记录。 </w:t>
      </w:r>
      <w:r/>
    </w:p>
    <w:p>
      <w:pPr>
        <w:numPr>
          <w:ilvl w:val="0"/>
          <w:numId w:val="32"/>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numPr>
          <w:ilvl w:val="0"/>
          <w:numId w:val="32"/>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pStyle w:val="953"/>
        <w:numPr>
          <w:ilvl w:val="0"/>
          <w:numId w:val="32"/>
        </w:numPr>
        <w:spacing w:line="400" w:lineRule="exact"/>
        <w:tabs>
          <w:tab w:val="clear" w:pos="525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履约验收过程中的政府采购合同履行、违约责任和争议解决等事项，按照《中华人民共和国民法典》等法律法规和政府采购合同约定执行。</w:t>
      </w:r>
      <w:r/>
    </w:p>
    <w:p>
      <w:pPr>
        <w:numPr>
          <w:ilvl w:val="1"/>
          <w:numId w:val="31"/>
        </w:numPr>
        <w:ind w:left="539"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其他验收要求按照《江苏省政府采购履约验收管理办法》</w:t>
      </w:r>
      <w:r>
        <w:rPr>
          <w:rFonts w:hint="eastAsia" w:ascii="宋体" w:hAnsi="宋体" w:cs="宋体"/>
          <w:color w:val="auto"/>
          <w:highlight w:val="none"/>
        </w:rPr>
        <w:t xml:space="preserve">以及《苏州工业园区政府采购履约验收管理暂行办法》文件的规定</w:t>
      </w:r>
      <w:r>
        <w:rPr>
          <w:rFonts w:hint="eastAsia" w:ascii="宋体" w:hAnsi="宋体" w:cs="宋体"/>
          <w:color w:val="auto"/>
          <w:szCs w:val="21"/>
          <w:highlight w:val="none"/>
        </w:rPr>
        <w:t xml:space="preserve">执行。</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合同价格支付</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支付步骤：合同签订后，全部货物到场，安装调试完毕，验收合格后甲方支付合同金额的95%，余款于验收通过后一年内无重大质量问题一次性付清。</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支付方式：</w:t>
      </w:r>
      <w:r>
        <w:rPr>
          <w:rFonts w:hint="eastAsia" w:cs="宋体"/>
          <w:color w:val="auto"/>
          <w:highlight w:val="none"/>
        </w:rPr>
        <w:t xml:space="preserve">银行</w:t>
      </w:r>
      <w:r>
        <w:rPr>
          <w:rFonts w:hint="eastAsia" w:ascii="宋体" w:hAnsi="宋体" w:cs="宋体"/>
          <w:color w:val="auto"/>
          <w:highlight w:val="none"/>
        </w:rPr>
        <w:t xml:space="preserve">转账</w:t>
      </w:r>
      <w:r>
        <w:rPr>
          <w:rFonts w:hint="eastAsia" w:cs="宋体"/>
          <w:color w:val="auto"/>
          <w:highlight w:val="none"/>
        </w:rPr>
        <w:t xml:space="preserve">或数字人民币支付</w:t>
      </w:r>
      <w:r>
        <w:rPr>
          <w:rFonts w:hint="eastAsia" w:ascii="宋体" w:hAnsi="宋体" w:cs="宋体"/>
          <w:color w:val="auto"/>
          <w:highlight w:val="none"/>
        </w:rPr>
        <w:t xml:space="preserve">。</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乙方需提供的单据：</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A、合格的发票；</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B、</w:t>
      </w:r>
      <w:r>
        <w:rPr>
          <w:rFonts w:hint="eastAsia" w:ascii="宋体" w:hAnsi="宋体" w:cs="宋体"/>
          <w:color w:val="auto"/>
          <w:szCs w:val="21"/>
          <w:highlight w:val="none"/>
          <w:lang w:val="zh-CN"/>
        </w:rPr>
        <w:t xml:space="preserve">《政府采购履约验收书》</w:t>
      </w:r>
      <w:r>
        <w:rPr>
          <w:rFonts w:hint="eastAsia" w:ascii="宋体" w:hAnsi="宋体" w:cs="宋体"/>
          <w:color w:val="auto"/>
          <w:highlight w:val="none"/>
        </w:rPr>
        <w:t xml:space="preserve">；</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C、其他（若有）。</w:t>
      </w:r>
      <w:r/>
    </w:p>
    <w:p>
      <w:pPr>
        <w:numPr>
          <w:ilvl w:val="1"/>
          <w:numId w:val="31"/>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乙方账户信息：</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户名：</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开户行：</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账号：</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对标的物货物提出异议的时间和办法</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甲方在验收过程中，应当于双方约定的检验期间内将标的物的数量或质量不符合约定的情况及处理方式以书面方式通知乙方。</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如果甲方在验收期满后既没有出具验收合格证明又未提出书面异议的视为乙方所交标的物符合合同规定。</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乙方应在收到甲方书面异议后七天内负责解决问题，否则将视为默认甲方提出的异议和处理意见。</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售后服务</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除</w:t>
      </w:r>
      <w:r>
        <w:rPr>
          <w:rFonts w:hint="eastAsia" w:ascii="宋体" w:hAnsi="宋体" w:cs="宋体"/>
          <w:color w:val="auto"/>
          <w:highlight w:val="none"/>
        </w:rPr>
        <w:t xml:space="preserve">特别约定外，合同条款中标的物的质量保证期均自标的物通过最终验收之日起计算，且质量保证期为乙方承诺期限。</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乙方应以优良的服务态度，提供优质的售后服务。</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其它按乙方</w:t>
      </w:r>
      <w:r>
        <w:rPr>
          <w:rFonts w:hint="eastAsia" w:ascii="宋体" w:hAnsi="宋体" w:cs="宋体"/>
          <w:color w:val="auto"/>
          <w:highlight w:val="none"/>
        </w:rPr>
        <w:t xml:space="preserve">投标文件及相关承诺中等同或优于招标文件的要求执行。</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乙方不履行或拖延履行质保义务、售后服务义务的，甲方有权直接聘请第三方提供，因此而造成的费用、损失风险由乙方承担，甲方可在合同应付款中直接予以扣除。</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违约责任</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甲方违约责任及违约金支付：</w:t>
      </w:r>
      <w:r/>
    </w:p>
    <w:p>
      <w:pPr>
        <w:numPr>
          <w:ilvl w:val="0"/>
          <w:numId w:val="33"/>
        </w:numPr>
        <w:ind w:left="1080" w:right="-153" w:hanging="540"/>
        <w:spacing w:line="400" w:lineRule="exact"/>
        <w:tabs>
          <w:tab w:val="left" w:pos="1080" w:leader="none"/>
        </w:tabs>
        <w:rPr>
          <w:rFonts w:ascii="宋体" w:hAnsi="宋体" w:cs="宋体"/>
          <w:color w:val="auto"/>
          <w:highlight w:val="none"/>
        </w:rPr>
      </w:pPr>
      <w:r>
        <w:rPr>
          <w:rFonts w:hint="eastAsia" w:ascii="宋体" w:hAnsi="宋体" w:cs="宋体"/>
          <w:color w:val="auto"/>
          <w:highlight w:val="none"/>
        </w:rPr>
        <w:t xml:space="preserve">在合同生效后，甲方无理由要求退货的，应向乙方偿付合同总价款的5%，作为违约金，违约金不足以补偿损失的，乙方有权要求甲方补足。</w:t>
      </w:r>
      <w:r/>
    </w:p>
    <w:p>
      <w:pPr>
        <w:numPr>
          <w:ilvl w:val="0"/>
          <w:numId w:val="33"/>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甲方违反合同规定，拒绝接受乙方交付的合格标的物，应当承担乙方由此造成的损失。       </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乙方违约责任及违约金支付：</w:t>
      </w:r>
      <w:r/>
    </w:p>
    <w:p>
      <w:pPr>
        <w:numPr>
          <w:ilvl w:val="0"/>
          <w:numId w:val="34"/>
        </w:numPr>
        <w:ind w:left="1080" w:right="-153" w:hanging="540"/>
        <w:spacing w:line="400" w:lineRule="exact"/>
        <w:tabs>
          <w:tab w:val="left" w:pos="1080" w:leader="none"/>
        </w:tabs>
        <w:rPr>
          <w:rFonts w:ascii="宋体" w:hAnsi="宋体" w:cs="宋体"/>
          <w:color w:val="auto"/>
          <w:highlight w:val="none"/>
        </w:rPr>
      </w:pPr>
      <w:r>
        <w:rPr>
          <w:rFonts w:hint="eastAsia" w:ascii="宋体" w:hAnsi="宋体" w:cs="宋体"/>
          <w:color w:val="auto"/>
          <w:highlight w:val="none"/>
        </w:rPr>
        <w:t xml:space="preserve">乙方不能交货（逾期超过</w:t>
      </w:r>
      <w:r>
        <w:rPr>
          <w:rFonts w:hint="eastAsia" w:cs="宋体"/>
          <w:color w:val="auto"/>
          <w:highlight w:val="none"/>
        </w:rPr>
        <w:t xml:space="preserve">七</w:t>
      </w:r>
      <w:r>
        <w:rPr>
          <w:rFonts w:hint="eastAsia" w:ascii="宋体" w:hAnsi="宋体" w:cs="宋体"/>
          <w:color w:val="auto"/>
          <w:highlight w:val="none"/>
        </w:rPr>
        <w:t xml:space="preserve">天视为不能交货），或交货不合格的，应向甲方偿付合同总价款5%的违约金，金额不足以补偿损失的甲方有权要求乙方补足。</w:t>
      </w:r>
      <w:r/>
    </w:p>
    <w:p>
      <w:pPr>
        <w:numPr>
          <w:ilvl w:val="0"/>
          <w:numId w:val="34"/>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乙方逾期交货的，应在发货前与甲方和管理部门协商，甲方仍需求的，乙方应立即发货并应按照逾期交货部分货款的每天万分之四支付逾期交货违约金，同时承担甲方因此遭致的损失费用。</w:t>
      </w:r>
      <w:r/>
    </w:p>
    <w:p>
      <w:pPr>
        <w:numPr>
          <w:ilvl w:val="0"/>
          <w:numId w:val="34"/>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采购文件规定的其他违约情形及责任。</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不可抗力</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因不可抗力不能履行合同的，根据不可抗力的影响，部分或者全部免除责任。但合同一方延迟履行后发生不可抗力的，不能免除责任。</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索赔</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甲方有权根据当地产品质量检验机构或其他有权部门出具的检验证书向乙方提出索赔。</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在本合同规定的检验期限和质量保证期内，如果乙方对甲方提出的索赔或差异有责任，则乙方应按甲方同意的下列一种或多种方式解决索赔事宜：</w:t>
      </w:r>
      <w:r/>
    </w:p>
    <w:p>
      <w:pPr>
        <w:numPr>
          <w:ilvl w:val="0"/>
          <w:numId w:val="35"/>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numPr>
          <w:ilvl w:val="0"/>
          <w:numId w:val="35"/>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根据标的物的低劣程度、损坏程度以及甲方遭受损失的数额，经双方协商确定标的物的价格。</w:t>
      </w:r>
      <w:r/>
    </w:p>
    <w:p>
      <w:pPr>
        <w:numPr>
          <w:ilvl w:val="0"/>
          <w:numId w:val="35"/>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合同修改</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甲方和乙方都不得擅自变更本合同，但合同继续履行将损害国家和社会公共利益的除外。在合同履行中，甲方可以增加原中标货物的数量，但增加的总金额不得超过中标货物金额的10%。</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转让及分包</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政府采购合同的部分和全部都不得转让、分包。</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合同的解除</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有下列情形之一，合同一方可以解除合同：</w:t>
      </w:r>
      <w:r/>
    </w:p>
    <w:p>
      <w:pPr>
        <w:numPr>
          <w:ilvl w:val="0"/>
          <w:numId w:val="36"/>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因不可抗力致使不能实现合同目的，未受不可抗力影响的一方有权解除合同；</w:t>
      </w:r>
      <w:r/>
    </w:p>
    <w:p>
      <w:pPr>
        <w:numPr>
          <w:ilvl w:val="0"/>
          <w:numId w:val="36"/>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因合同一方违约导致合同不能履行，另一方有权解除合同。</w:t>
      </w:r>
      <w:r/>
    </w:p>
    <w:p>
      <w:pPr>
        <w:numPr>
          <w:ilvl w:val="0"/>
          <w:numId w:val="36"/>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招标文件规定的其他可以解除合同的情形。</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有权解除合同的一方，应当在违约事实或不可抗力发生之后三十天内书面通知对方以主张解除合同，合同在书面通知到达对方时解除。</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争议解决办法</w:t>
      </w:r>
      <w:r/>
    </w:p>
    <w:p>
      <w:pPr>
        <w:ind w:firstLine="539"/>
        <w:spacing w:line="400" w:lineRule="exact"/>
        <w:rPr>
          <w:rFonts w:ascii="宋体" w:hAnsi="宋体" w:cs="宋体"/>
          <w:color w:val="auto"/>
          <w:highlight w:val="none"/>
        </w:rPr>
      </w:pPr>
      <w:r>
        <w:rPr>
          <w:rFonts w:hint="eastAsia" w:ascii="宋体" w:hAnsi="宋体" w:cs="宋体"/>
          <w:color w:val="auto"/>
          <w:highlight w:val="none"/>
        </w:rPr>
        <w:t xml:space="preserve">因本合同或与本合同有关的一切事项发生争议，由双方友好协商解决。协商不成的，任何一方均可选择以下方式解决：</w:t>
      </w:r>
      <w:r/>
    </w:p>
    <w:p>
      <w:pPr>
        <w:ind w:firstLine="539"/>
        <w:spacing w:line="400" w:lineRule="exact"/>
        <w:rPr>
          <w:rFonts w:ascii="宋体" w:hAnsi="宋体" w:cs="宋体"/>
          <w:color w:val="auto"/>
          <w:highlight w:val="none"/>
        </w:rPr>
      </w:pPr>
      <w:r>
        <w:rPr>
          <w:rFonts w:hint="eastAsia" w:ascii="宋体" w:hAnsi="宋体" w:cs="宋体"/>
          <w:color w:val="auto"/>
          <w:highlight w:val="none"/>
        </w:rPr>
        <w:t xml:space="preserve">向甲方所在地的人民法院起诉。</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合同生效及其他</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lang w:val="zh-CN"/>
        </w:rPr>
      </w:pPr>
      <w:r/>
      <w:bookmarkStart w:id="4" w:name="_Hlk160809803"/>
      <w:r>
        <w:rPr>
          <w:rFonts w:hint="eastAsia" w:ascii="宋体" w:hAnsi="宋体" w:cs="宋体"/>
          <w:color w:val="auto"/>
          <w:highlight w:val="none"/>
        </w:rPr>
        <w:t xml:space="preserve">如甲乙双方通过“苏采云”系统线上签订电子合同的，则本合同自双方在“苏采云”系统中加盖电子印章之日起生效。如甲乙双方签订纸质合同的，则本合同自甲乙双方签章之日起生效。</w:t>
      </w:r>
      <w:bookmarkEnd w:id="4"/>
      <w:r>
        <w:rPr>
          <w:rFonts w:hint="eastAsia" w:ascii="宋体" w:hAnsi="宋体" w:cs="宋体"/>
          <w:color w:val="auto"/>
          <w:highlight w:val="none"/>
        </w:rPr>
        <w:t xml:space="preserve">合同签订后将进行公示。</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下列文件为本合同不可分割部分：</w:t>
      </w:r>
      <w:r/>
    </w:p>
    <w:p>
      <w:pPr>
        <w:numPr>
          <w:ilvl w:val="0"/>
          <w:numId w:val="37"/>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成交通知书；</w:t>
      </w:r>
      <w:r/>
    </w:p>
    <w:p>
      <w:pPr>
        <w:numPr>
          <w:ilvl w:val="0"/>
          <w:numId w:val="37"/>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乙方的响应文件；</w:t>
      </w:r>
      <w:r/>
    </w:p>
    <w:p>
      <w:pPr>
        <w:numPr>
          <w:ilvl w:val="0"/>
          <w:numId w:val="37"/>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谈判文件；</w:t>
      </w:r>
      <w:r/>
    </w:p>
    <w:p>
      <w:pPr>
        <w:numPr>
          <w:ilvl w:val="0"/>
          <w:numId w:val="37"/>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乙方在谈判过程中所作的其他承诺、声明、书面澄清等。</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合同在执行过程中出现的未尽事宜，双方在不违背本合同和采购文件的原则下协商解决，协商结果以书面形式盖章记录在案，作为本合同的附件，与本合同具有同等效力，并提交监督管理部门和苏州市原鑫招投标咨询服务有限公司备存。</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numPr>
          <w:ilvl w:val="0"/>
          <w:numId w:val="31"/>
        </w:numPr>
        <w:ind w:left="540" w:hanging="540"/>
        <w:spacing w:line="400" w:lineRule="exact"/>
        <w:tabs>
          <w:tab w:val="left" w:pos="-180" w:leader="none"/>
          <w:tab w:val="clear" w:pos="425" w:leader="none"/>
        </w:tabs>
        <w:rPr>
          <w:rFonts w:ascii="宋体" w:hAnsi="宋体" w:cs="宋体"/>
          <w:b/>
          <w:color w:val="auto"/>
          <w:highlight w:val="none"/>
        </w:rPr>
      </w:pPr>
      <w:r>
        <w:rPr>
          <w:rFonts w:hint="eastAsia" w:ascii="宋体" w:hAnsi="宋体" w:cs="宋体"/>
          <w:b/>
          <w:color w:val="auto"/>
          <w:highlight w:val="none"/>
        </w:rPr>
        <w:t xml:space="preserve">未尽事宜</w:t>
      </w:r>
      <w:r/>
    </w:p>
    <w:p>
      <w:pPr>
        <w:numPr>
          <w:ilvl w:val="1"/>
          <w:numId w:val="31"/>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未尽事宜按照《中华人民共和国民法典》、《中华人民共和国政府采购法》等相关法律法规之规定解释。</w:t>
      </w:r>
      <w:r/>
    </w:p>
    <w:p>
      <w:pPr>
        <w:numPr>
          <w:ilvl w:val="0"/>
          <w:numId w:val="31"/>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附则</w:t>
      </w:r>
      <w:r/>
    </w:p>
    <w:p>
      <w:pPr>
        <w:numPr>
          <w:ilvl w:val="1"/>
          <w:numId w:val="31"/>
        </w:numPr>
        <w:ind w:left="540" w:hanging="540"/>
        <w:spacing w:line="400" w:lineRule="exact"/>
        <w:tabs>
          <w:tab w:val="left" w:pos="540" w:leader="none"/>
          <w:tab w:val="clear" w:pos="567" w:leader="none"/>
        </w:tabs>
        <w:rPr>
          <w:rFonts w:ascii="宋体" w:hAnsi="宋体" w:cs="宋体"/>
          <w:bCs/>
          <w:color w:val="auto"/>
          <w:highlight w:val="none"/>
        </w:rPr>
      </w:pPr>
      <w:r>
        <w:rPr>
          <w:rFonts w:hint="eastAsia" w:ascii="宋体" w:hAnsi="宋体" w:cs="宋体"/>
          <w:bCs/>
          <w:color w:val="auto"/>
          <w:highlight w:val="none"/>
        </w:rPr>
        <w:t xml:space="preserve">本合同一式</w:t>
      </w:r>
      <w:r>
        <w:rPr>
          <w:rFonts w:hint="eastAsia" w:ascii="宋体" w:hAnsi="宋体" w:cs="宋体"/>
          <w:bCs/>
          <w:color w:val="auto"/>
          <w:highlight w:val="none"/>
          <w:u w:val="single"/>
        </w:rPr>
        <w:t xml:space="preserve"> 五 </w:t>
      </w:r>
      <w:r>
        <w:rPr>
          <w:rFonts w:hint="eastAsia" w:ascii="宋体" w:hAnsi="宋体" w:cs="宋体"/>
          <w:bCs/>
          <w:color w:val="auto"/>
          <w:highlight w:val="none"/>
        </w:rPr>
        <w:t xml:space="preserve">份，甲方执</w:t>
      </w:r>
      <w:r>
        <w:rPr>
          <w:rFonts w:hint="eastAsia" w:ascii="宋体" w:hAnsi="宋体" w:cs="宋体"/>
          <w:bCs/>
          <w:color w:val="auto"/>
          <w:highlight w:val="none"/>
          <w:u w:val="single"/>
        </w:rPr>
        <w:t xml:space="preserve"> 二 </w:t>
      </w:r>
      <w:r>
        <w:rPr>
          <w:rFonts w:hint="eastAsia" w:ascii="宋体" w:hAnsi="宋体" w:cs="宋体"/>
          <w:bCs/>
          <w:color w:val="auto"/>
          <w:highlight w:val="none"/>
        </w:rPr>
        <w:t xml:space="preserve">份，乙方执</w:t>
      </w:r>
      <w:r>
        <w:rPr>
          <w:rFonts w:hint="eastAsia" w:ascii="宋体" w:hAnsi="宋体" w:cs="宋体"/>
          <w:bCs/>
          <w:color w:val="auto"/>
          <w:highlight w:val="none"/>
          <w:u w:val="single"/>
        </w:rPr>
        <w:t xml:space="preserve"> 二 </w:t>
      </w:r>
      <w:r>
        <w:rPr>
          <w:rFonts w:hint="eastAsia" w:ascii="宋体" w:hAnsi="宋体" w:cs="宋体"/>
          <w:bCs/>
          <w:color w:val="auto"/>
          <w:highlight w:val="none"/>
        </w:rPr>
        <w:t xml:space="preserve">份，采购代理机构一份。</w:t>
      </w:r>
      <w:r/>
    </w:p>
    <w:p>
      <w:pPr>
        <w:numPr>
          <w:ilvl w:val="0"/>
          <w:numId w:val="31"/>
        </w:numPr>
        <w:ind w:left="540" w:hanging="540"/>
        <w:spacing w:line="400" w:lineRule="exact"/>
        <w:tabs>
          <w:tab w:val="clear" w:pos="425" w:leader="none"/>
          <w:tab w:val="left" w:pos="540" w:leader="none"/>
        </w:tabs>
        <w:rPr>
          <w:rFonts w:ascii="宋体" w:hAnsi="宋体" w:cs="宋体"/>
          <w:b/>
          <w:bCs/>
          <w:color w:val="auto"/>
          <w:highlight w:val="none"/>
        </w:rPr>
      </w:pPr>
      <w:r>
        <w:rPr>
          <w:rFonts w:hint="eastAsia" w:cs="宋体"/>
          <w:b/>
          <w:bCs/>
          <w:color w:val="auto"/>
          <w:highlight w:val="none"/>
        </w:rPr>
        <w:t xml:space="preserve">附件</w:t>
      </w:r>
      <w:r/>
    </w:p>
    <w:p>
      <w:pPr>
        <w:ind w:firstLine="539"/>
        <w:spacing w:line="400" w:lineRule="exact"/>
        <w:rPr>
          <w:rFonts w:ascii="宋体" w:hAnsi="宋体" w:cs="宋体"/>
          <w:color w:val="auto"/>
          <w:highlight w:val="none"/>
        </w:rPr>
      </w:pPr>
      <w:r>
        <w:rPr>
          <w:rFonts w:hint="eastAsia" w:ascii="宋体" w:hAnsi="宋体" w:cs="宋体"/>
          <w:color w:val="auto"/>
          <w:highlight w:val="none"/>
        </w:rPr>
        <w:t xml:space="preserve">合同附件1：政府采购履约验收通知单</w:t>
      </w:r>
      <w:r/>
    </w:p>
    <w:p>
      <w:pPr>
        <w:ind w:firstLine="539"/>
        <w:spacing w:line="400" w:lineRule="exact"/>
        <w:rPr>
          <w:rFonts w:cs="宋体"/>
          <w:color w:val="auto"/>
          <w:highlight w:val="none"/>
        </w:rPr>
      </w:pPr>
      <w:r>
        <w:rPr>
          <w:rFonts w:hint="eastAsia" w:ascii="宋体" w:hAnsi="宋体" w:cs="宋体"/>
          <w:color w:val="auto"/>
          <w:highlight w:val="none"/>
        </w:rPr>
        <w:t xml:space="preserve">合同附</w:t>
      </w:r>
      <w:r>
        <w:rPr>
          <w:rFonts w:hint="eastAsia" w:cs="宋体"/>
          <w:color w:val="auto"/>
          <w:highlight w:val="none"/>
        </w:rPr>
        <w:t xml:space="preserve">件2：政府采购履约验收书</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甲方（盖章）：                                 乙方（盖章）：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法定（授权）代表人（签字）：                   法定（授权）代表人（签字）：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签订日期：  </w:t>
      </w:r>
      <w:r/>
    </w:p>
    <w:p>
      <w:pPr>
        <w:rPr>
          <w:rFonts w:cs="宋体"/>
          <w:color w:val="auto"/>
          <w:highlight w:val="none"/>
        </w:rPr>
      </w:pPr>
      <w:r>
        <w:rPr>
          <w:rFonts w:cs="宋体"/>
          <w:color w:val="auto"/>
          <w:highlight w:val="none"/>
        </w:rPr>
      </w:r>
      <w:r/>
    </w:p>
    <w:p>
      <w:pPr>
        <w:pStyle w:val="953"/>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jc w:val="left"/>
        <w:rPr>
          <w:color w:val="auto"/>
          <w:highlight w:val="none"/>
        </w:rPr>
      </w:pPr>
      <w:r>
        <w:rPr>
          <w:rFonts w:hint="eastAsia" w:ascii="宋体" w:hAnsi="宋体" w:cs="宋体"/>
          <w:color w:val="auto"/>
          <w:highlight w:val="none"/>
        </w:rPr>
        <w:t xml:space="preserve">附件1：政府采购履约验收通知单</w:t>
      </w:r>
      <w:r>
        <w:rPr>
          <w:color w:val="auto"/>
          <w:highlight w:val="none"/>
        </w:rPr>
        <mc:AlternateContent>
          <mc:Choice Requires="wpg">
            <w:drawing>
              <wp:inline xmlns:wp="http://schemas.openxmlformats.org/drawingml/2006/wordprocessingDrawing" distT="0" distB="0" distL="0" distR="0">
                <wp:extent cx="7926070" cy="5953760"/>
                <wp:effectExtent l="0" t="0" r="889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rot="5400000">
                          <a:off x="0" y="0"/>
                          <a:ext cx="7926070" cy="5953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24.1pt;height:468.8pt;mso-wrap-distance-left:0.0pt;mso-wrap-distance-top:0.0pt;mso-wrap-distance-right:0.0pt;mso-wrap-distance-bottom:0.0pt;rotation:90;" stroked="f">
                <v:path textboxrect="0,0,0,0"/>
                <v:imagedata r:id="rId16" o:title=""/>
              </v:shape>
            </w:pict>
          </mc:Fallback>
        </mc:AlternateContent>
      </w:r>
      <w:r/>
    </w:p>
    <w:p>
      <w:pPr>
        <w:rPr>
          <w:rFonts w:ascii="宋体" w:hAnsi="宋体" w:cs="宋体"/>
          <w:color w:val="auto"/>
          <w:highlight w:val="none"/>
        </w:rPr>
      </w:pPr>
      <w:r>
        <w:rPr>
          <w:rFonts w:hint="eastAsia" w:ascii="宋体" w:hAnsi="宋体" w:cs="宋体"/>
          <w:color w:val="auto"/>
          <w:highlight w:val="none"/>
        </w:rPr>
        <w:br w:type="page" w:clear="all"/>
      </w:r>
      <w:r/>
    </w:p>
    <w:p>
      <w:pPr>
        <w:ind w:firstLine="420"/>
        <w:spacing w:line="360" w:lineRule="auto"/>
        <w:tabs>
          <w:tab w:val="left" w:pos="555" w:leader="none"/>
        </w:tabs>
        <w:rPr>
          <w:color w:val="auto"/>
          <w:highlight w:val="none"/>
        </w:rPr>
        <w:outlineLvl w:val="0"/>
      </w:pPr>
      <w:r>
        <w:rPr>
          <w:rFonts w:hint="eastAsia" w:ascii="宋体" w:hAnsi="宋体" w:cs="宋体"/>
          <w:color w:val="auto"/>
          <w:highlight w:val="none"/>
        </w:rPr>
        <w:t xml:space="preserve">附</w:t>
      </w:r>
      <w:r>
        <w:rPr>
          <w:rFonts w:hint="eastAsia" w:cs="宋体"/>
          <w:color w:val="auto"/>
          <w:highlight w:val="none"/>
        </w:rPr>
        <w:t xml:space="preserve">件2：政府采购履约验收书</w:t>
      </w:r>
      <w:r/>
    </w:p>
    <w:p>
      <w:pPr>
        <w:spacing w:line="360" w:lineRule="auto"/>
        <w:tabs>
          <w:tab w:val="left" w:pos="555" w:leader="none"/>
        </w:tabs>
        <w:rPr>
          <w:color w:val="auto"/>
          <w:highlight w:val="none"/>
        </w:rPr>
        <w:outlineLvl w:val="0"/>
      </w:pPr>
      <w:r>
        <w:rPr>
          <w:color w:val="auto"/>
          <w:highlight w:val="none"/>
        </w:rPr>
        <mc:AlternateContent>
          <mc:Choice Requires="wpg">
            <w:drawing>
              <wp:inline xmlns:wp="http://schemas.openxmlformats.org/drawingml/2006/wordprocessingDrawing" distT="0" distB="0" distL="0" distR="0">
                <wp:extent cx="6398895" cy="4039870"/>
                <wp:effectExtent l="0" t="0" r="1905" b="177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6398895" cy="403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03.8pt;height:318.1pt;mso-wrap-distance-left:0.0pt;mso-wrap-distance-top:0.0pt;mso-wrap-distance-right:0.0pt;mso-wrap-distance-bottom:0.0pt;" stroked="f">
                <v:path textboxrect="0,0,0,0"/>
                <v:imagedata r:id="rId17" o:title=""/>
              </v:shape>
            </w:pict>
          </mc:Fallback>
        </mc:AlternateContent>
      </w:r>
      <w:r>
        <w:rPr>
          <w:color w:val="auto"/>
          <w:highlight w:val="none"/>
        </w:rPr>
        <mc:AlternateContent>
          <mc:Choice Requires="wpg">
            <w:drawing>
              <wp:inline xmlns:wp="http://schemas.openxmlformats.org/drawingml/2006/wordprocessingDrawing" distT="0" distB="0" distL="0" distR="0">
                <wp:extent cx="6400165" cy="2326640"/>
                <wp:effectExtent l="0" t="0" r="635" b="165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8"/>
                        <a:stretch/>
                      </pic:blipFill>
                      <pic:spPr bwMode="auto">
                        <a:xfrm>
                          <a:off x="0" y="0"/>
                          <a:ext cx="6400165" cy="2326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3.9pt;height:183.2pt;mso-wrap-distance-left:0.0pt;mso-wrap-distance-top:0.0pt;mso-wrap-distance-right:0.0pt;mso-wrap-distance-bottom:0.0pt;" stroked="f">
                <v:path textboxrect="0,0,0,0"/>
                <v:imagedata r:id="rId18" o:title=""/>
              </v:shape>
            </w:pict>
          </mc:Fallback>
        </mc:AlternateContent>
      </w:r>
      <w:r/>
    </w:p>
    <w:p>
      <w:pPr>
        <w:spacing w:line="360" w:lineRule="auto"/>
        <w:tabs>
          <w:tab w:val="left" w:pos="555" w:leader="none"/>
        </w:tabs>
        <w:rPr>
          <w:color w:val="auto"/>
          <w:highlight w:val="none"/>
        </w:rPr>
        <w:outlineLvl w:val="0"/>
      </w:pPr>
      <w:r>
        <w:rPr>
          <w:color w:val="auto"/>
          <w:highlight w:val="none"/>
        </w:rPr>
      </w:r>
      <w:r/>
    </w:p>
    <w:p>
      <w:pPr>
        <w:jc w:val="center"/>
        <w:spacing w:line="360" w:lineRule="auto"/>
        <w:tabs>
          <w:tab w:val="left" w:pos="555" w:leader="none"/>
        </w:tabs>
        <w:rPr>
          <w:rFonts w:ascii="宋体" w:hAnsi="宋体"/>
          <w:b/>
          <w:color w:val="auto"/>
          <w:highlight w:val="none"/>
        </w:rPr>
        <w:outlineLvl w:val="0"/>
      </w:pPr>
      <w:r>
        <w:rPr>
          <w:rFonts w:ascii="宋体" w:hAnsi="宋体"/>
          <w:b/>
          <w:color w:val="auto"/>
          <w:highlight w:val="none"/>
        </w:rPr>
        <w:br w:type="page" w:clear="all"/>
      </w:r>
      <w:r>
        <w:rPr>
          <w:rFonts w:hint="eastAsia" w:ascii="宋体" w:hAnsi="宋体"/>
          <w:b/>
          <w:color w:val="auto"/>
          <w:sz w:val="32"/>
          <w:szCs w:val="32"/>
          <w:highlight w:val="none"/>
        </w:rPr>
        <w:t xml:space="preserve">四、附件、格式</w:t>
      </w:r>
      <w:r/>
    </w:p>
    <w:p>
      <w:pPr>
        <w:pStyle w:val="953"/>
        <w:spacing w:line="360" w:lineRule="auto"/>
        <w:rPr>
          <w:rFonts w:ascii="宋体" w:hAnsi="宋体"/>
          <w:b/>
          <w:color w:val="auto"/>
          <w:sz w:val="21"/>
          <w:szCs w:val="21"/>
          <w:highlight w:val="none"/>
        </w:rPr>
        <w:outlineLvl w:val="0"/>
      </w:pPr>
      <w:r>
        <w:rPr>
          <w:rFonts w:hint="eastAsia" w:ascii="宋体" w:hAnsi="宋体"/>
          <w:b/>
          <w:color w:val="auto"/>
          <w:sz w:val="21"/>
          <w:szCs w:val="21"/>
          <w:highlight w:val="none"/>
        </w:rPr>
        <w:t xml:space="preserve">附件1</w:t>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谈判报价表</w:t>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（按投标系统统一格式填写，填报总价）</w:t>
      </w:r>
      <w:r/>
    </w:p>
    <w:p>
      <w:pPr>
        <w:jc w:val="cente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谈判报价分项明细表</w:t>
      </w:r>
      <w:r/>
    </w:p>
    <w:tbl>
      <w:tblPr>
        <w:tblStyle w:val="944"/>
        <w:tblW w:w="106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59"/>
        <w:gridCol w:w="2335"/>
        <w:gridCol w:w="1307"/>
        <w:gridCol w:w="1134"/>
        <w:gridCol w:w="1012"/>
        <w:gridCol w:w="995"/>
        <w:gridCol w:w="1613"/>
      </w:tblGrid>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W w:w="1359"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tcW w:w="2335"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品牌、型号、规格</w:t>
            </w:r>
            <w:r/>
          </w:p>
        </w:tc>
        <w:tc>
          <w:tcPr>
            <w:tcW w:w="1307"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制造商</w:t>
            </w:r>
            <w:r/>
          </w:p>
        </w:tc>
        <w:tc>
          <w:tcPr>
            <w:tcW w:w="1134"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W w:w="1012"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单价（元）</w:t>
            </w:r>
            <w:r/>
          </w:p>
        </w:tc>
        <w:tc>
          <w:tcPr>
            <w:tcW w:w="995"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总价（元）</w:t>
            </w:r>
            <w:r/>
          </w:p>
        </w:tc>
        <w:tc>
          <w:tcPr>
            <w:tcW w:w="1613"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是否小微、监狱、残疾人企业制造</w:t>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1</w:t>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2</w:t>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3</w:t>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w:t>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gridSpan w:val="8"/>
            <w:tcW w:w="10606"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谈判总报价（人民币大写）：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jc w:val="center"/>
          <w:trHeight w:val="657"/>
        </w:trPr>
        <w:tc>
          <w:tcPr>
            <w:gridSpan w:val="8"/>
            <w:tcW w:w="10606" w:type="dxa"/>
            <w:vAlign w:val="center"/>
            <w:textDirection w:val="lrTb"/>
            <w:noWrap w:val="false"/>
          </w:tcPr>
          <w:p>
            <w:pPr>
              <w:rPr>
                <w:rFonts w:hint="eastAsia" w:ascii="宋体" w:hAnsi="宋体"/>
                <w:color w:val="auto"/>
                <w:spacing w:val="20"/>
                <w:szCs w:val="21"/>
                <w:highlight w:val="none"/>
              </w:rPr>
            </w:pPr>
            <w:r>
              <w:rPr>
                <w:rFonts w:hint="eastAsia" w:ascii="宋体" w:hAnsi="宋体" w:eastAsia="宋体" w:cs="宋体"/>
                <w:b/>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供应商：（公章）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上述报价包含一切由供方承担的费用，各响应单位可参照上述格式自制《谈判响应报价表》参加谈判。</w:t>
      </w:r>
      <w:r/>
    </w:p>
    <w:p>
      <w:pPr>
        <w:ind w:left="0" w:firstLine="422"/>
        <w:spacing w:line="440" w:lineRule="exact"/>
        <w:tabs>
          <w:tab w:val="left" w:pos="1320" w:leader="none"/>
        </w:tabs>
        <w:rPr>
          <w:rFonts w:ascii="宋体" w:hAnsi="宋体"/>
          <w:color w:val="auto"/>
          <w:sz w:val="24"/>
          <w:szCs w:val="24"/>
          <w:highlight w:val="none"/>
        </w:rPr>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45"/>
        <w:rPr>
          <w:color w:val="auto"/>
          <w:highlight w:val="none"/>
        </w:rPr>
      </w:pPr>
      <w:r>
        <w:rPr>
          <w:color w:val="auto"/>
          <w:highlight w:val="none"/>
        </w:rPr>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ascii="宋体" w:hAnsi="宋体"/>
          <w:color w:val="auto"/>
          <w:szCs w:val="21"/>
          <w:highlight w:val="none"/>
        </w:rPr>
      </w:r>
      <w:r/>
    </w:p>
    <w:p>
      <w:pPr>
        <w:pStyle w:val="953"/>
        <w:spacing w:line="360" w:lineRule="auto"/>
        <w:rPr>
          <w:rFonts w:ascii="宋体" w:hAnsi="宋体"/>
          <w:b/>
          <w:color w:val="auto"/>
          <w:sz w:val="21"/>
          <w:szCs w:val="21"/>
          <w:highlight w:val="none"/>
        </w:rPr>
        <w:outlineLvl w:val="0"/>
      </w:pPr>
      <w:r>
        <w:rPr>
          <w:rFonts w:ascii="宋体" w:hAnsi="宋体"/>
          <w:b/>
          <w:color w:val="auto"/>
          <w:szCs w:val="28"/>
          <w:highlight w:val="none"/>
        </w:rPr>
        <w:br w:type="page" w:clear="all"/>
      </w:r>
      <w:r>
        <w:rPr>
          <w:rFonts w:hint="eastAsia" w:ascii="宋体" w:hAnsi="宋体"/>
          <w:b/>
          <w:color w:val="auto"/>
          <w:sz w:val="21"/>
          <w:szCs w:val="21"/>
          <w:highlight w:val="none"/>
        </w:rPr>
        <w:t xml:space="preserve">附件2</w:t>
      </w:r>
      <w:r/>
    </w:p>
    <w:p>
      <w:pPr>
        <w:pStyle w:val="953"/>
        <w:jc w:val="center"/>
        <w:spacing w:line="360" w:lineRule="auto"/>
        <w:rPr>
          <w:rFonts w:ascii="宋体" w:hAnsi="宋体"/>
          <w:b/>
          <w:color w:val="auto"/>
          <w:szCs w:val="28"/>
          <w:highlight w:val="none"/>
        </w:rPr>
        <w:outlineLvl w:val="0"/>
      </w:pPr>
      <w:r>
        <w:rPr>
          <w:rFonts w:hint="eastAsia" w:ascii="宋体" w:hAnsi="宋体"/>
          <w:b/>
          <w:color w:val="auto"/>
          <w:szCs w:val="28"/>
          <w:highlight w:val="none"/>
        </w:rPr>
        <w:t xml:space="preserve">谈判响应承诺书</w:t>
      </w:r>
      <w:r/>
    </w:p>
    <w:p>
      <w:pPr>
        <w:jc w:val="center"/>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pStyle w:val="958"/>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苏州市原鑫招投标咨询服务有限公司</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958"/>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64"/>
        <w:contextualSpacing/>
        <w:ind w:firstLine="420"/>
        <w:spacing w:line="360" w:lineRule="auto"/>
        <w:tabs>
          <w:tab w:val="left" w:pos="3780" w:leader="none"/>
        </w:tabs>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JSZC-320591-SZYX-T2026-0023</w:t>
      </w:r>
      <w:r>
        <w:rPr>
          <w:rFonts w:hint="eastAsia" w:hAnsi="宋体" w:eastAsia="宋体"/>
          <w:color w:val="auto"/>
          <w:sz w:val="21"/>
          <w:szCs w:val="21"/>
          <w:highlight w:val="none"/>
        </w:rPr>
        <w:t xml:space="preserve">号谈判文件，经仔细阅读和研究，我们决定参加谈判活动。</w:t>
      </w:r>
      <w:r/>
    </w:p>
    <w:p>
      <w:pPr>
        <w:pStyle w:val="1064"/>
        <w:contextualSpacing/>
        <w:ind w:firstLine="420"/>
        <w:spacing w:line="360" w:lineRule="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方愿意按照采购文件的一切要求，提供完成该项目的全部内容，我方的投标报价包括提供提供该项目全部内容。价格及明细见报价表，包含所发生的全部费用以及企业利润、税金和政策性文件规定及合同包含的所有风险、责任等各项应有费用。</w:t>
      </w:r>
      <w:r/>
    </w:p>
    <w:p>
      <w:pPr>
        <w:pStyle w:val="1064"/>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、如果我们的谈判响应文件被接受，我们将严格履行谈判文件中规定的每一项要求，按期、按质、按量履行合同的义务。</w:t>
      </w:r>
      <w:r/>
    </w:p>
    <w:p>
      <w:pPr>
        <w:pStyle w:val="1064"/>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谈判文件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，对谈判文件及更正公告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4、我们同意按谈判文件中的规定，本响应文件的有效期限自提交响应文件截止时间之日起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5、我们愿意提供谈判采购单位在谈判文件中要求的相关资料。</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6、我们愿意遵守谈判文件中所列的收费标准。</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7、我们承诺该响应文件在谈判开始后的全过程中保持有效，不作任何更改和变动。</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8、我们承诺我公司符合谈判文件中“合格供应商的基本、特定条件”的要求，若与真实情况不符，本公司愿意承担由此而产生的一切后果。</w:t>
      </w:r>
      <w:r/>
    </w:p>
    <w:p>
      <w:pPr>
        <w:pStyle w:val="1064"/>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所有有关谈判文件的函电，请按下列地址联系：</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064"/>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064"/>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53"/>
        <w:spacing w:line="360" w:lineRule="auto"/>
        <w:rPr>
          <w:rFonts w:ascii="宋体" w:hAnsi="宋体"/>
          <w:b/>
          <w:color w:val="auto"/>
          <w:sz w:val="21"/>
          <w:szCs w:val="21"/>
          <w:highlight w:val="none"/>
        </w:rPr>
        <w:outlineLvl w:val="0"/>
      </w:pPr>
      <w:r>
        <w:rPr>
          <w:rFonts w:ascii="宋体" w:hAnsi="宋体"/>
          <w:b/>
          <w:color w:val="auto"/>
          <w:szCs w:val="21"/>
          <w:highlight w:val="none"/>
        </w:rPr>
        <w:br w:type="page" w:clear="all"/>
      </w:r>
      <w:r>
        <w:rPr>
          <w:rFonts w:hint="eastAsia" w:ascii="宋体" w:hAnsi="宋体"/>
          <w:b/>
          <w:color w:val="auto"/>
          <w:sz w:val="21"/>
          <w:szCs w:val="21"/>
          <w:highlight w:val="none"/>
        </w:rPr>
        <w:t xml:space="preserve">附件3</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授权委托书</w:t>
      </w:r>
      <w:r/>
    </w:p>
    <w:p>
      <w:pPr>
        <w:rPr>
          <w:rFonts w:ascii="宋体" w:hAnsi="宋体"/>
          <w:b/>
          <w:bCs/>
          <w:color w:val="auto"/>
          <w:szCs w:val="21"/>
          <w:highlight w:val="none"/>
        </w:rPr>
      </w:pPr>
      <w:r>
        <w:rPr>
          <w:rFonts w:ascii="宋体" w:hAnsi="宋体"/>
          <w:b/>
          <w:bCs/>
          <w:color w:val="auto"/>
          <w:szCs w:val="21"/>
          <w:highlight w:val="none"/>
        </w:rPr>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  </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为我公司授权代表（即代理人），以本公司的名义参加</w:t>
      </w:r>
      <w:r>
        <w:rPr>
          <w:rFonts w:hint="eastAsia" w:ascii="宋体" w:hAnsi="宋体"/>
          <w:color w:val="auto"/>
          <w:szCs w:val="21"/>
          <w:highlight w:val="none"/>
          <w:u w:val="single"/>
        </w:rPr>
        <w:t xml:space="preserve">苏州市原鑫招投标咨询服务有限公司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lang w:eastAsia="zh-CN"/>
        </w:rPr>
        <w:t xml:space="preserve">JSZC-320591-SZYX-T2026-0023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号的谈判活动。授权代表在谈判活动过程中所签署的一切文件和处理与这有关的一切事务，我均予以承认。</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授权代表在授权委托书有效期内签署的所有文件不因授权委托的撤销而失效，除非有撤销授权委托的书面通知，本授权委托书自谈判活动开始至合同履行完毕止。</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授权代表无转委托权。</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后附法定代表人及授权代表身份证复印件。</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特此委托。</w:t>
      </w:r>
      <w:r/>
    </w:p>
    <w:p>
      <w:pPr>
        <w:ind w:firstLine="840"/>
        <w:spacing w:line="520" w:lineRule="exact"/>
        <w:rPr>
          <w:rFonts w:ascii="宋体" w:hAnsi="宋体"/>
          <w:color w:val="auto"/>
          <w:szCs w:val="21"/>
          <w:highlight w:val="none"/>
        </w:rPr>
      </w:pPr>
      <w:r>
        <w:rPr>
          <w:rFonts w:ascii="宋体" w:hAnsi="宋体"/>
          <w:color w:val="auto"/>
          <w:szCs w:val="21"/>
          <w:highlight w:val="none"/>
        </w:rPr>
        <w:t xml:space="preserve">    </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供应商：（公章）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日期：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53"/>
        <w:spacing w:line="360" w:lineRule="auto"/>
        <w:rPr>
          <w:rFonts w:ascii="宋体" w:hAnsi="宋体"/>
          <w:b/>
          <w:color w:val="auto"/>
          <w:sz w:val="21"/>
          <w:szCs w:val="21"/>
          <w:highlight w:val="none"/>
        </w:rPr>
        <w:outlineLvl w:val="0"/>
      </w:pPr>
      <w:r>
        <w:rPr>
          <w:rFonts w:ascii="宋体" w:hAnsi="宋体"/>
          <w:color w:val="auto"/>
          <w:szCs w:val="21"/>
          <w:highlight w:val="none"/>
        </w:rPr>
        <w:br w:type="page" w:clear="all"/>
      </w:r>
      <w:r>
        <w:rPr>
          <w:rFonts w:hint="eastAsia" w:ascii="宋体" w:hAnsi="宋体"/>
          <w:b/>
          <w:color w:val="auto"/>
          <w:sz w:val="21"/>
          <w:szCs w:val="21"/>
          <w:highlight w:val="none"/>
        </w:rPr>
        <w:t xml:space="preserve">附件4</w:t>
      </w:r>
      <w:r/>
    </w:p>
    <w:p>
      <w:pPr>
        <w:jc w:val="center"/>
        <w:rPr>
          <w:rFonts w:ascii="宋体" w:hAnsi="宋体"/>
          <w:b/>
          <w:color w:val="auto"/>
          <w:szCs w:val="21"/>
          <w:highlight w:val="none"/>
        </w:rPr>
      </w:pPr>
      <w:r>
        <w:rPr>
          <w:rFonts w:hint="eastAsia" w:ascii="宋体" w:hAnsi="宋体"/>
          <w:b/>
          <w:color w:val="auto"/>
          <w:szCs w:val="21"/>
          <w:highlight w:val="none"/>
        </w:rPr>
        <w:t xml:space="preserve">技术参数、指标对照表</w:t>
      </w:r>
      <w:r/>
    </w:p>
    <w:p>
      <w:pPr>
        <w:ind w:firstLine="630"/>
        <w:spacing w:line="400" w:lineRule="exact"/>
        <w:rPr>
          <w:rFonts w:ascii="宋体" w:hAnsi="宋体"/>
          <w:b/>
          <w:color w:val="auto"/>
          <w:spacing w:val="20"/>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：JSZC-320591-SZYX-T2026-0023</w:t>
      </w:r>
      <w:r/>
    </w:p>
    <w:tbl>
      <w:tblPr>
        <w:tblStyle w:val="944"/>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ind w:left="54"/>
              <w:jc w:val="center"/>
              <w:spacing w:line="400" w:lineRule="exact"/>
              <w:rPr>
                <w:rFonts w:ascii="宋体" w:hAnsi="宋体"/>
                <w:color w:val="auto"/>
                <w:szCs w:val="21"/>
                <w:highlight w:val="none"/>
              </w:rPr>
            </w:pPr>
            <w:r>
              <w:rPr>
                <w:rFonts w:hint="eastAsia" w:ascii="宋体" w:hAnsi="宋体"/>
                <w:color w:val="auto"/>
                <w:szCs w:val="21"/>
                <w:highlight w:val="none"/>
              </w:rPr>
              <w:t xml:space="preserve">产品名称</w:t>
            </w:r>
            <w:r/>
          </w:p>
        </w:tc>
        <w:tc>
          <w:tcPr>
            <w:tcW w:w="205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响应情况</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偏离说明</w:t>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供应商：（单位盖章）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rPr>
          <w:rFonts w:ascii="宋体" w:hAnsi="宋体"/>
          <w:b/>
          <w:color w:val="auto"/>
          <w:szCs w:val="21"/>
          <w:highlight w:val="none"/>
        </w:rPr>
      </w:pPr>
      <w:r>
        <w:rPr>
          <w:rFonts w:ascii="宋体" w:hAnsi="宋体"/>
          <w:b/>
          <w:color w:val="auto"/>
          <w:szCs w:val="21"/>
          <w:highlight w:val="none"/>
        </w:rPr>
      </w:r>
      <w:r/>
    </w:p>
    <w:p>
      <w:pPr>
        <w:pStyle w:val="953"/>
        <w:spacing w:line="360" w:lineRule="auto"/>
        <w:rPr>
          <w:rFonts w:ascii="宋体" w:hAnsi="宋体"/>
          <w:b/>
          <w:color w:val="auto"/>
          <w:sz w:val="21"/>
          <w:szCs w:val="21"/>
          <w:highlight w:val="none"/>
        </w:rPr>
        <w:outlineLvl w:val="0"/>
      </w:pPr>
      <w:r>
        <w:rPr>
          <w:rFonts w:hint="eastAsia" w:ascii="宋体" w:hAnsi="宋体"/>
          <w:b/>
          <w:color w:val="auto"/>
          <w:sz w:val="21"/>
          <w:szCs w:val="21"/>
          <w:highlight w:val="none"/>
        </w:rPr>
        <w:t xml:space="preserve">附件5</w:t>
      </w:r>
      <w:r/>
    </w:p>
    <w:p>
      <w:pPr>
        <w:jc w:val="center"/>
        <w:rPr>
          <w:rFonts w:ascii="宋体" w:hAnsi="宋体"/>
          <w:b/>
          <w:color w:val="auto"/>
          <w:szCs w:val="21"/>
          <w:highlight w:val="none"/>
        </w:rPr>
      </w:pPr>
      <w:r>
        <w:rPr>
          <w:rFonts w:hint="eastAsia" w:ascii="宋体" w:hAnsi="宋体"/>
          <w:b/>
          <w:color w:val="auto"/>
          <w:szCs w:val="21"/>
          <w:highlight w:val="none"/>
        </w:rPr>
        <w:t xml:space="preserve">售后服务承诺书</w:t>
      </w:r>
      <w:r/>
    </w:p>
    <w:p>
      <w:pPr>
        <w:ind w:firstLine="210"/>
        <w:rPr>
          <w:rFonts w:ascii="宋体" w:hAnsi="宋体"/>
          <w:b/>
          <w:color w:val="auto"/>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：JSZC-320591-SZYX-T2026-0023</w:t>
      </w:r>
      <w:r/>
    </w:p>
    <w:tbl>
      <w:tblPr>
        <w:tblStyle w:val="944"/>
        <w:tblW w:w="890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060"/>
        <w:gridCol w:w="1800"/>
        <w:gridCol w:w="2895"/>
      </w:tblGrid>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售后服务内容</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期限（时间）</w:t>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免费质保期</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服务响应</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到达现场</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解决问题</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1、针对服务内容有必须说明的事项，请在“备注”栏目内注明；</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2、如有其它售后服务内容，可自行参照填写。</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供应商：（单位盖章）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spacing w:line="360" w:lineRule="auto"/>
        <w:rPr>
          <w:rFonts w:ascii="宋体" w:hAnsi="宋体"/>
          <w:b/>
          <w:color w:val="auto"/>
          <w:szCs w:val="28"/>
          <w:highlight w:val="none"/>
        </w:rPr>
      </w:pPr>
      <w:r>
        <w:rPr>
          <w:rFonts w:hint="eastAsia" w:ascii="宋体" w:hAnsi="宋体"/>
          <w:color w:val="auto"/>
          <w:szCs w:val="21"/>
          <w:highlight w:val="none"/>
        </w:rPr>
        <w:t xml:space="preserve">日期：</w:t>
      </w:r>
      <w:r/>
    </w:p>
    <w:p>
      <w:pPr>
        <w:pStyle w:val="953"/>
        <w:spacing w:line="360" w:lineRule="auto"/>
        <w:rPr>
          <w:rFonts w:ascii="宋体" w:hAnsi="宋体"/>
          <w:b/>
          <w:color w:val="auto"/>
          <w:sz w:val="21"/>
          <w:szCs w:val="21"/>
          <w:highlight w:val="none"/>
        </w:rPr>
        <w:outlineLvl w:val="0"/>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附件6</w:t>
      </w:r>
      <w:r/>
    </w:p>
    <w:p>
      <w:pPr>
        <w:rPr>
          <w:rFonts w:ascii="宋体" w:hAnsi="宋体"/>
          <w:b/>
          <w:bCs/>
          <w:color w:val="auto"/>
          <w:szCs w:val="21"/>
          <w:highlight w:val="none"/>
        </w:rPr>
      </w:pPr>
      <w:r>
        <w:rPr>
          <w:rFonts w:hint="eastAsia" w:ascii="宋体" w:hAnsi="宋体"/>
          <w:b/>
          <w:color w:val="auto"/>
          <w:szCs w:val="21"/>
          <w:highlight w:val="none"/>
        </w:rPr>
        <w:t xml:space="preserve">(1)</w:t>
      </w:r>
      <w:r>
        <w:rPr>
          <w:rFonts w:hint="eastAsia" w:ascii="宋体" w:hAnsi="宋体"/>
          <w:b/>
          <w:bCs/>
          <w:color w:val="auto"/>
          <w:szCs w:val="21"/>
          <w:highlight w:val="none"/>
        </w:rPr>
        <w:t xml:space="preserve">关于资格文件的声明函</w:t>
      </w:r>
      <w:r/>
    </w:p>
    <w:p>
      <w:pPr>
        <w:jc w:val="center"/>
        <w:rPr>
          <w:rFonts w:ascii="宋体" w:hAnsi="宋体"/>
          <w:b/>
          <w:bCs/>
          <w:color w:val="auto"/>
          <w:szCs w:val="21"/>
          <w:highlight w:val="none"/>
        </w:rPr>
      </w:pPr>
      <w:r>
        <w:rPr>
          <w:rFonts w:ascii="宋体" w:hAnsi="宋体"/>
          <w:b/>
          <w:bCs/>
          <w:color w:val="auto"/>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关于资格文件的声明函</w:t>
      </w:r>
      <w:r/>
    </w:p>
    <w:p>
      <w:pPr>
        <w:pStyle w:val="94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苏州市原鑫招投标咨询服务有限公司</w:t>
      </w:r>
      <w:r>
        <w:rPr>
          <w:rFonts w:hint="eastAsia" w:ascii="宋体" w:hAnsi="宋体" w:eastAsia="宋体"/>
          <w:color w:val="auto"/>
          <w:sz w:val="21"/>
          <w:szCs w:val="21"/>
          <w:highlight w:val="none"/>
        </w:rPr>
        <w:t xml:space="preserve">：</w:t>
      </w:r>
      <w:r/>
    </w:p>
    <w:p>
      <w:pPr>
        <w:pStyle w:val="947"/>
        <w:ind w:firstLine="658"/>
        <w:spacing w:line="5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本公司愿意就由贵公司组织实施的编号为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号的谈判采购活动进行响应。本公司所提交的响应文件中所有关于响应文件、证明和陈述均是真实的、准确的、有效的。若与真实情况不符，本公司愿意承担由此而产生的一切后果。</w:t>
      </w:r>
      <w:r/>
    </w:p>
    <w:p>
      <w:pPr>
        <w:pStyle w:val="947"/>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7"/>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7"/>
        <w:ind w:firstLine="378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供应商：（单位盖章）</w:t>
      </w:r>
      <w:r/>
    </w:p>
    <w:p>
      <w:pPr>
        <w:pStyle w:val="9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法定代表人或代理人（签字或盖章）：</w:t>
      </w:r>
      <w:r/>
    </w:p>
    <w:p>
      <w:pPr>
        <w:pStyle w:val="947"/>
        <w:ind w:left="3507" w:firstLine="27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47"/>
        <w:ind w:firstLine="0"/>
        <w:rPr>
          <w:rFonts w:ascii="宋体" w:hAnsi="宋体" w:eastAsia="宋体"/>
          <w:b/>
          <w:color w:val="auto"/>
          <w:sz w:val="21"/>
          <w:szCs w:val="21"/>
          <w:highlight w:val="none"/>
        </w:rPr>
      </w:pPr>
      <w:r>
        <w:rPr>
          <w:rFonts w:ascii="宋体" w:hAnsi="宋体" w:eastAsia="宋体"/>
          <w:color w:val="auto"/>
          <w:sz w:val="21"/>
          <w:szCs w:val="21"/>
          <w:highlight w:val="none"/>
        </w:rPr>
        <w:br w:type="page" w:clear="all"/>
      </w:r>
      <w:r>
        <w:rPr>
          <w:rFonts w:hint="eastAsia" w:ascii="宋体" w:hAnsi="宋体" w:eastAsia="宋体"/>
          <w:b/>
          <w:color w:val="auto"/>
          <w:sz w:val="21"/>
          <w:szCs w:val="21"/>
          <w:highlight w:val="none"/>
        </w:rPr>
        <w:t xml:space="preserve">(2)谈判供应商情况表</w:t>
      </w:r>
      <w:r/>
    </w:p>
    <w:p>
      <w:pPr>
        <w:pStyle w:val="947"/>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谈判供应商情况表</w:t>
      </w:r>
      <w:r/>
    </w:p>
    <w:p>
      <w:pPr>
        <w:pStyle w:val="947"/>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7"/>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谈判单位名称（盖章）</w:t>
      </w:r>
      <w:r/>
    </w:p>
    <w:tbl>
      <w:tblPr>
        <w:tblStyle w:val="944"/>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vAlign w:val="center"/>
            <w:textDirection w:val="lrTb"/>
            <w:noWrap w:val="false"/>
          </w:tcPr>
          <w:p>
            <w:pPr>
              <w:pStyle w:val="947"/>
              <w:ind w:firstLine="216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万</w:t>
            </w:r>
            <w:r>
              <w:rPr>
                <w:rFonts w:hint="eastAsia" w:ascii="宋体" w:hAnsi="宋体" w:eastAsia="宋体"/>
                <w:color w:val="auto"/>
                <w:sz w:val="21"/>
                <w:szCs w:val="21"/>
                <w:highlight w:val="none"/>
              </w:rPr>
              <w:t xml:space="preserve">元</w:t>
            </w:r>
            <w:r/>
          </w:p>
        </w:tc>
        <w:tc>
          <w:tcPr>
            <w:tcW w:w="1559"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w:t>
            </w:r>
            <w:r/>
          </w:p>
        </w:tc>
        <w:tc>
          <w:tcPr>
            <w:tcW w:w="2694"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平方米</w:t>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w:t>
            </w:r>
            <w:r/>
          </w:p>
          <w:p>
            <w:pPr>
              <w:pStyle w:val="9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vAlign w:val="center"/>
            <w:textDirection w:val="lrTb"/>
            <w:noWrap w:val="false"/>
          </w:tcPr>
          <w:p>
            <w:pPr>
              <w:pStyle w:val="94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ascii="宋体" w:hAnsi="宋体"/>
          <w:color w:val="auto"/>
          <w:highlight w:val="none"/>
        </w:rPr>
      </w:pPr>
      <w:r>
        <w:rPr>
          <w:rFonts w:ascii="宋体" w:hAnsi="宋体"/>
          <w:color w:val="auto"/>
          <w:highlight w:val="none"/>
        </w:rPr>
      </w:r>
      <w:r/>
    </w:p>
    <w:p>
      <w:pPr>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（3）中小企业声明函</w:t>
      </w:r>
      <w:r/>
    </w:p>
    <w:p>
      <w:pPr>
        <w:jc w:val="center"/>
        <w:spacing w:line="360" w:lineRule="auto"/>
        <w:rPr>
          <w:rFonts w:cs="宋体"/>
          <w:b/>
          <w:bCs/>
          <w:color w:val="auto"/>
          <w:szCs w:val="21"/>
          <w:highlight w:val="none"/>
        </w:rPr>
      </w:pPr>
      <w:r>
        <w:rPr>
          <w:rFonts w:cs="宋体"/>
          <w:b/>
          <w:bCs/>
          <w:color w:val="auto"/>
          <w:szCs w:val="21"/>
          <w:highlight w:val="none"/>
        </w:rPr>
      </w:r>
      <w:r/>
    </w:p>
    <w:p>
      <w:pPr>
        <w:jc w:val="center"/>
        <w:spacing w:line="360" w:lineRule="auto"/>
        <w:rPr>
          <w:rFonts w:cs="宋体"/>
          <w:b/>
          <w:bCs/>
          <w:color w:val="auto"/>
          <w:szCs w:val="21"/>
          <w:highlight w:val="none"/>
        </w:rPr>
      </w:pPr>
      <w:r>
        <w:rPr>
          <w:rFonts w:hint="eastAsia" w:cs="宋体"/>
          <w:b/>
          <w:bCs/>
          <w:color w:val="auto"/>
          <w:szCs w:val="21"/>
          <w:highlight w:val="none"/>
        </w:rPr>
        <w:t xml:space="preserve">中小企业声明函（货物）</w:t>
      </w:r>
      <w:r/>
    </w:p>
    <w:p>
      <w:pPr>
        <w:jc w:val="center"/>
        <w:spacing w:line="360" w:lineRule="auto"/>
        <w:rPr>
          <w:rFonts w:cs="宋体"/>
          <w:b/>
          <w:bCs/>
          <w:color w:val="auto"/>
          <w:szCs w:val="21"/>
          <w:highlight w:val="none"/>
        </w:rPr>
      </w:pPr>
      <w:r>
        <w:rPr>
          <w:rFonts w:cs="宋体"/>
          <w:b/>
          <w:bCs/>
          <w:color w:val="auto"/>
          <w:szCs w:val="21"/>
          <w:highlight w:val="none"/>
        </w:rPr>
      </w:r>
      <w:r/>
    </w:p>
    <w:p>
      <w:pPr>
        <w:contextualSpacing/>
        <w:ind w:firstLine="420"/>
        <w:spacing w:line="360" w:lineRule="auto"/>
        <w:rPr>
          <w:rFonts w:cs="宋体"/>
          <w:color w:val="auto"/>
          <w:szCs w:val="21"/>
          <w:highlight w:val="none"/>
        </w:rPr>
      </w:pPr>
      <w:r>
        <w:rPr>
          <w:rFonts w:hint="eastAsia" w:cs="宋体"/>
          <w:color w:val="auto"/>
          <w:szCs w:val="21"/>
          <w:highlight w:val="none"/>
        </w:rPr>
        <w:t xml:space="preserve">本公司郑重声明，根据《政府采购促进中小企业发展管理办法》（财库﹝2020﹞46 号）的规定，本公司参加</w:t>
      </w:r>
      <w:r>
        <w:rPr>
          <w:rFonts w:hint="eastAsia" w:cs="宋体"/>
          <w:color w:val="auto"/>
          <w:szCs w:val="21"/>
          <w:highlight w:val="none"/>
          <w:u w:val="single"/>
        </w:rPr>
        <w:t xml:space="preserve">（单位名称）</w:t>
      </w:r>
      <w:r>
        <w:rPr>
          <w:rFonts w:hint="eastAsia" w:cs="宋体"/>
          <w:color w:val="auto"/>
          <w:szCs w:val="21"/>
          <w:highlight w:val="none"/>
        </w:rPr>
        <w:t xml:space="preserve">的</w:t>
      </w:r>
      <w:r>
        <w:rPr>
          <w:rFonts w:hint="eastAsia" w:cs="宋体"/>
          <w:color w:val="auto"/>
          <w:szCs w:val="21"/>
          <w:highlight w:val="none"/>
          <w:u w:val="single"/>
        </w:rPr>
        <w:t xml:space="preserve">（项目名称）</w:t>
      </w:r>
      <w:r>
        <w:rPr>
          <w:rFonts w:hint="eastAsia" w:cs="宋体"/>
          <w:color w:val="auto"/>
          <w:szCs w:val="21"/>
          <w:highlight w:val="none"/>
        </w:rPr>
        <w:t xml:space="preserve">采购活动，</w:t>
      </w:r>
      <w:bookmarkStart w:id="5" w:name="OLE_LINK1"/>
      <w:r>
        <w:rPr>
          <w:rFonts w:hint="eastAsia" w:cs="宋体"/>
          <w:color w:val="auto"/>
          <w:szCs w:val="21"/>
          <w:highlight w:val="none"/>
        </w:rPr>
        <w:t xml:space="preserve">提供的货物全部由符合政策要求的中小企业制造</w:t>
      </w:r>
      <w:bookmarkEnd w:id="5"/>
      <w:r>
        <w:rPr>
          <w:rFonts w:hint="eastAsia" w:cs="宋体"/>
          <w:color w:val="auto"/>
          <w:szCs w:val="21"/>
          <w:highlight w:val="none"/>
        </w:rPr>
        <w:t xml:space="preserve">。相关企业的具体情况如下： </w:t>
      </w:r>
      <w:r/>
    </w:p>
    <w:p>
      <w:pPr>
        <w:numPr>
          <w:ilvl w:val="0"/>
          <w:numId w:val="38"/>
        </w:numPr>
        <w:contextualSpacing/>
        <w:ind w:firstLine="420"/>
        <w:spacing w:line="360" w:lineRule="auto"/>
        <w:rPr>
          <w:rFonts w:cs="宋体"/>
          <w:color w:val="auto"/>
          <w:szCs w:val="21"/>
          <w:highlight w:val="none"/>
        </w:rPr>
      </w:pPr>
      <w:r>
        <w:rPr>
          <w:rFonts w:hint="eastAsia" w:cs="宋体"/>
          <w:color w:val="auto"/>
          <w:szCs w:val="21"/>
          <w:highlight w:val="none"/>
          <w:u w:val="single"/>
        </w:rPr>
        <w:t xml:space="preserve">（标的名称）</w:t>
      </w:r>
      <w:r>
        <w:rPr>
          <w:rFonts w:hint="eastAsia" w:cs="宋体"/>
          <w:color w:val="auto"/>
          <w:szCs w:val="21"/>
          <w:highlight w:val="none"/>
        </w:rPr>
        <w:t xml:space="preserve">，属于</w:t>
      </w:r>
      <w:r>
        <w:rPr>
          <w:rFonts w:hint="eastAsia" w:cs="宋体"/>
          <w:color w:val="auto"/>
          <w:szCs w:val="21"/>
          <w:highlight w:val="none"/>
          <w:u w:val="single"/>
        </w:rPr>
        <w:t xml:space="preserve"> 工业 </w:t>
      </w:r>
      <w:r>
        <w:rPr>
          <w:rFonts w:hint="eastAsia" w:cs="宋体"/>
          <w:color w:val="auto"/>
          <w:szCs w:val="21"/>
          <w:highlight w:val="none"/>
        </w:rPr>
        <w:t xml:space="preserve">；制造商为</w:t>
      </w:r>
      <w:r>
        <w:rPr>
          <w:rFonts w:hint="eastAsia" w:cs="宋体"/>
          <w:color w:val="auto"/>
          <w:szCs w:val="21"/>
          <w:highlight w:val="none"/>
          <w:u w:val="single"/>
        </w:rPr>
        <w:t xml:space="preserve">（企业名称）</w:t>
      </w:r>
      <w:r>
        <w:rPr>
          <w:rFonts w:hint="eastAsia" w:cs="宋体"/>
          <w:color w:val="auto"/>
          <w:szCs w:val="21"/>
          <w:highlight w:val="none"/>
        </w:rPr>
        <w:t xml:space="preserve">，从业人员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（中型企业、小型企业、微型企业）【选择一类填写】</w:t>
      </w:r>
      <w:r>
        <w:rPr>
          <w:rFonts w:hint="eastAsia" w:cs="宋体"/>
          <w:color w:val="auto"/>
          <w:szCs w:val="21"/>
          <w:highlight w:val="none"/>
        </w:rPr>
        <w:t xml:space="preserve">； </w:t>
      </w:r>
      <w:r/>
    </w:p>
    <w:p>
      <w:pPr>
        <w:numPr>
          <w:ilvl w:val="0"/>
          <w:numId w:val="38"/>
        </w:numPr>
        <w:contextualSpacing/>
        <w:ind w:firstLine="420"/>
        <w:spacing w:line="360" w:lineRule="auto"/>
        <w:rPr>
          <w:rFonts w:cs="宋体"/>
          <w:color w:val="auto"/>
          <w:szCs w:val="21"/>
          <w:highlight w:val="none"/>
        </w:rPr>
      </w:pPr>
      <w:r>
        <w:rPr>
          <w:rFonts w:hint="eastAsia" w:cs="宋体"/>
          <w:color w:val="auto"/>
          <w:szCs w:val="21"/>
          <w:highlight w:val="none"/>
          <w:u w:val="single"/>
        </w:rPr>
        <w:t xml:space="preserve">（标的名称）</w:t>
      </w:r>
      <w:r>
        <w:rPr>
          <w:rFonts w:hint="eastAsia" w:cs="宋体"/>
          <w:color w:val="auto"/>
          <w:szCs w:val="21"/>
          <w:highlight w:val="none"/>
        </w:rPr>
        <w:t xml:space="preserve">，属于</w:t>
      </w:r>
      <w:r>
        <w:rPr>
          <w:rFonts w:hint="eastAsia" w:cs="宋体"/>
          <w:color w:val="auto"/>
          <w:szCs w:val="21"/>
          <w:highlight w:val="none"/>
          <w:u w:val="single"/>
        </w:rPr>
        <w:t xml:space="preserve"> 工业 </w:t>
      </w:r>
      <w:r>
        <w:rPr>
          <w:rFonts w:hint="eastAsia" w:cs="宋体"/>
          <w:color w:val="auto"/>
          <w:szCs w:val="21"/>
          <w:highlight w:val="none"/>
        </w:rPr>
        <w:t xml:space="preserve">；制造商为</w:t>
      </w:r>
      <w:r>
        <w:rPr>
          <w:rFonts w:hint="eastAsia" w:cs="宋体"/>
          <w:color w:val="auto"/>
          <w:szCs w:val="21"/>
          <w:highlight w:val="none"/>
          <w:u w:val="single"/>
        </w:rPr>
        <w:t xml:space="preserve">（企业名称）</w:t>
      </w:r>
      <w:r>
        <w:rPr>
          <w:rFonts w:hint="eastAsia" w:cs="宋体"/>
          <w:color w:val="auto"/>
          <w:szCs w:val="21"/>
          <w:highlight w:val="none"/>
        </w:rPr>
        <w:t xml:space="preserve">，从业人员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（中型企业、小型企业、微型企业）【选择一类填写】</w:t>
      </w:r>
      <w:r>
        <w:rPr>
          <w:rFonts w:hint="eastAsia" w:cs="宋体"/>
          <w:color w:val="auto"/>
          <w:szCs w:val="21"/>
          <w:highlight w:val="none"/>
        </w:rPr>
        <w:t xml:space="preserve">； </w:t>
      </w:r>
      <w:r/>
    </w:p>
    <w:p>
      <w:pPr>
        <w:numPr>
          <w:ilvl w:val="0"/>
          <w:numId w:val="38"/>
        </w:numPr>
        <w:contextualSpacing/>
        <w:ind w:firstLine="420"/>
        <w:spacing w:line="360" w:lineRule="auto"/>
        <w:rPr>
          <w:rFonts w:cs="宋体"/>
          <w:color w:val="auto"/>
          <w:szCs w:val="21"/>
          <w:highlight w:val="none"/>
        </w:rPr>
      </w:pPr>
      <w:r>
        <w:rPr>
          <w:rFonts w:hint="eastAsia" w:cs="宋体"/>
          <w:color w:val="auto"/>
          <w:szCs w:val="21"/>
          <w:highlight w:val="none"/>
        </w:rPr>
        <w:t xml:space="preserve">……</w:t>
      </w:r>
      <w:r/>
    </w:p>
    <w:p>
      <w:pPr>
        <w:contextualSpacing/>
        <w:ind w:firstLine="420"/>
        <w:spacing w:line="360" w:lineRule="auto"/>
        <w:rPr>
          <w:rFonts w:cs="宋体"/>
          <w:color w:val="auto"/>
          <w:szCs w:val="21"/>
          <w:highlight w:val="none"/>
        </w:rPr>
      </w:pPr>
      <w:r>
        <w:rPr>
          <w:rFonts w:hint="eastAsia" w:cs="宋体"/>
          <w:color w:val="auto"/>
          <w:szCs w:val="21"/>
          <w:highlight w:val="none"/>
        </w:rPr>
        <w:t xml:space="preserve"> 以上企业，不属于大企业的分支机构，不存在控股股东为大企业的情形，也不存在与大企业的负责人为同一人的情形。 本企业对上述声明内容的真实性负责。如有虚假，将依法承担相应责任。 </w:t>
      </w:r>
      <w:r/>
    </w:p>
    <w:p>
      <w:pPr>
        <w:contextualSpacing/>
        <w:ind w:firstLine="5880"/>
        <w:spacing w:line="360" w:lineRule="auto"/>
        <w:rPr>
          <w:rFonts w:cs="宋体"/>
          <w:color w:val="auto"/>
          <w:szCs w:val="21"/>
          <w:highlight w:val="none"/>
        </w:rPr>
      </w:pPr>
      <w:r>
        <w:rPr>
          <w:rFonts w:hint="eastAsia" w:cs="宋体"/>
          <w:color w:val="auto"/>
          <w:szCs w:val="21"/>
          <w:highlight w:val="none"/>
        </w:rPr>
        <w:t xml:space="preserve">企业名称（盖章）： </w:t>
      </w:r>
      <w:r/>
    </w:p>
    <w:p>
      <w:pPr>
        <w:contextualSpacing/>
        <w:ind w:firstLine="6930"/>
        <w:spacing w:line="360" w:lineRule="auto"/>
        <w:rPr>
          <w:color w:val="auto"/>
          <w:szCs w:val="21"/>
          <w:highlight w:val="none"/>
        </w:rPr>
      </w:pPr>
      <w:r>
        <w:rPr>
          <w:rFonts w:hint="eastAsia" w:cs="宋体"/>
          <w:color w:val="auto"/>
          <w:szCs w:val="21"/>
          <w:highlight w:val="none"/>
        </w:rPr>
        <w:t xml:space="preserve">日 期：</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b/>
          <w:color w:val="auto"/>
          <w:highlight w:val="none"/>
        </w:rPr>
      </w:pPr>
      <w:r/>
      <w:bookmarkStart w:id="6" w:name="OLE_LINK13"/>
      <w:r/>
      <w:bookmarkStart w:id="7" w:name="OLE_LINK14"/>
      <w:r>
        <w:rPr>
          <w:rFonts w:hint="eastAsia" w:ascii="宋体" w:hAnsi="宋体"/>
          <w:b/>
          <w:color w:val="auto"/>
          <w:highlight w:val="none"/>
        </w:rPr>
        <w:br w:type="page" w:clear="all"/>
      </w:r>
      <w:r/>
    </w:p>
    <w:p>
      <w:pPr>
        <w:ind w:firstLine="211"/>
        <w:spacing w:before="156" w:line="240" w:lineRule="exact"/>
        <w:rPr>
          <w:rFonts w:ascii="宋体" w:hAnsi="宋体"/>
          <w:b/>
          <w:color w:val="auto"/>
          <w:highlight w:val="none"/>
        </w:rPr>
      </w:pPr>
      <w:r>
        <w:rPr>
          <w:rFonts w:hint="eastAsia" w:ascii="宋体" w:hAnsi="宋体"/>
          <w:b/>
          <w:color w:val="auto"/>
          <w:highlight w:val="none"/>
        </w:rPr>
        <w:t xml:space="preserve">附：中小企业划型标准规定（工信部联企业〔2011〕300号）</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firstLine="210"/>
        <w:spacing w:before="156" w:line="24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b/>
          <w:color w:val="auto"/>
          <w:szCs w:val="21"/>
          <w:highlight w:val="none"/>
        </w:rPr>
      </w:pPr>
      <w:r>
        <w:rPr>
          <w:rFonts w:ascii="宋体" w:hAnsi="宋体"/>
          <w:b/>
          <w:color w:val="auto"/>
          <w:szCs w:val="21"/>
          <w:highlight w:val="none"/>
        </w:rPr>
        <w:br w:type="page" w:clear="all"/>
      </w:r>
      <w:r>
        <w:rPr>
          <w:rFonts w:hint="eastAsia" w:ascii="宋体" w:hAnsi="宋体"/>
          <w:b/>
          <w:color w:val="auto"/>
          <w:szCs w:val="21"/>
          <w:highlight w:val="none"/>
        </w:rPr>
        <w:t xml:space="preserve">（4）残疾人福利性单位声明函</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残疾人福利性单位声明函</w:t>
      </w:r>
      <w:bookmarkEnd w:id="6"/>
      <w:r/>
      <w:bookmarkEnd w:id="7"/>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日  期：</w:t>
      </w:r>
      <w:r/>
    </w:p>
    <w:p>
      <w:pPr>
        <w:rPr>
          <w:rFonts w:ascii="宋体" w:hAnsi="宋体"/>
          <w:b/>
          <w:color w:val="auto"/>
          <w:highlight w:val="none"/>
        </w:rPr>
      </w:pPr>
      <w:r>
        <w:rPr>
          <w:rFonts w:ascii="宋体" w:hAnsi="宋体"/>
          <w:color w:val="auto"/>
          <w:spacing w:val="6"/>
          <w:szCs w:val="21"/>
          <w:highlight w:val="none"/>
        </w:rPr>
        <w:br w:type="page" w:clear="all"/>
      </w:r>
      <w:r>
        <w:rPr>
          <w:rFonts w:hint="eastAsia" w:ascii="宋体" w:hAnsi="宋体"/>
          <w:b/>
          <w:color w:val="auto"/>
          <w:highlight w:val="none"/>
        </w:rPr>
        <w:t xml:space="preserve">附件7、投标（响应）保证承诺书</w:t>
      </w:r>
      <w:r/>
    </w:p>
    <w:p>
      <w:pPr>
        <w:jc w:val="center"/>
        <w:spacing w:line="48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投标（响应）保证承诺书</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39"/>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40"/>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40"/>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40"/>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40"/>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39"/>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法定代表人或委托代理人(签字或签章)：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rPr>
          <w:rFonts w:ascii="宋体" w:hAnsi="宋体"/>
          <w:b/>
          <w:color w:val="auto"/>
          <w:highlight w:val="none"/>
        </w:rPr>
      </w:pPr>
      <w:r>
        <w:rPr>
          <w:rFonts w:ascii="宋体" w:hAnsi="宋体"/>
          <w:color w:val="auto"/>
          <w:highlight w:val="none"/>
        </w:rPr>
        <w:br w:type="page" w:clear="all"/>
      </w:r>
      <w:r>
        <w:rPr>
          <w:rFonts w:hint="eastAsia" w:ascii="宋体" w:hAnsi="宋体"/>
          <w:b/>
          <w:color w:val="auto"/>
          <w:highlight w:val="none"/>
        </w:rPr>
        <w:t xml:space="preserve">附件8、投标人与其他单位存在控股、管理关系情况表</w:t>
      </w:r>
      <w:r/>
    </w:p>
    <w:p>
      <w:pPr>
        <w:jc w:val="center"/>
        <w:spacing w:line="360" w:lineRule="auto"/>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p>
    <w:p>
      <w:pPr>
        <w:jc w:val="center"/>
        <w:spacing w:line="360" w:lineRule="auto"/>
        <w:widowControl/>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投标人与其他单位存在控股、管理关系情况表</w:t>
      </w:r>
      <w:r/>
    </w:p>
    <w:tbl>
      <w:tblPr>
        <w:tblStyle w:val="944"/>
        <w:tblW w:w="111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与投标人存在直接股权关系</w:t>
            </w:r>
            <w:r/>
          </w:p>
        </w:tc>
        <w:tc>
          <w:tcPr>
            <w:gridSpan w:val="3"/>
            <w:tcW w:w="4419"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与投标人存在直接管理关系</w:t>
            </w:r>
            <w:r/>
          </w:p>
        </w:tc>
      </w:tr>
      <w:tr>
        <w:trPr>
          <w:jc w:val="center"/>
          <w:trHeight w:val="768"/>
        </w:trPr>
        <w:tc>
          <w:tcPr>
            <w:tcW w:w="1977"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44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bl>
    <w:p>
      <w:pPr>
        <w:ind w:firstLine="566"/>
        <w:spacing w:line="360" w:lineRule="auto"/>
        <w:rPr>
          <w:rFonts w:ascii="宋体" w:hAnsi="宋体"/>
          <w:b/>
          <w:color w:val="auto"/>
          <w:szCs w:val="21"/>
          <w:highlight w:val="none"/>
        </w:rPr>
        <w:outlineLvl w:val="1"/>
      </w:pPr>
      <w:r>
        <w:rPr>
          <w:rFonts w:hint="eastAsia" w:ascii="宋体" w:hAnsi="宋体"/>
          <w:b/>
          <w:color w:val="auto"/>
          <w:szCs w:val="21"/>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ascii="宋体" w:hAnsi="宋体"/>
          <w:b/>
          <w:color w:val="auto"/>
          <w:szCs w:val="21"/>
          <w:highlight w:val="none"/>
        </w:rPr>
      </w:pPr>
      <w:r>
        <w:rPr>
          <w:rFonts w:hint="eastAsia" w:ascii="宋体" w:hAnsi="宋体"/>
          <w:b/>
          <w:color w:val="auto"/>
          <w:szCs w:val="21"/>
          <w:highlight w:val="none"/>
        </w:rPr>
        <w:t xml:space="preserve">2、其中“直接控股”是指投标人与大型企业之间存在直接投资并控股（非普通持股）的关系。</w:t>
      </w:r>
      <w:r/>
    </w:p>
    <w:p>
      <w:pPr>
        <w:ind w:firstLine="566"/>
        <w:spacing w:after="120"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投标人（盖章）： </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rPr>
          <w:color w:val="auto"/>
          <w:szCs w:val="21"/>
          <w:highlight w:val="none"/>
        </w:rPr>
      </w:pPr>
      <w:r>
        <w:rPr>
          <w:color w:val="auto"/>
          <w:szCs w:val="21"/>
          <w:highlight w:val="none"/>
        </w:rPr>
        <w:br w:type="page" w:clear="all"/>
      </w:r>
      <w:r/>
    </w:p>
    <w:p>
      <w:pPr>
        <w:pStyle w:val="946"/>
        <w:ind w:left="0" w:firstLine="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附件9</w:t>
      </w:r>
      <w:r/>
    </w:p>
    <w:p>
      <w:pPr>
        <w:ind w:left="0"/>
        <w:jc w:val="left"/>
        <w:rPr>
          <w:rFonts w:hint="eastAsia" w:ascii="宋体" w:hAnsi="宋体"/>
          <w:b/>
          <w:color w:val="auto"/>
          <w:sz w:val="21"/>
          <w:szCs w:val="21"/>
          <w:highlight w:val="none"/>
        </w:rPr>
        <w:outlineLvl w:val="0"/>
      </w:pPr>
      <w:r>
        <w:rPr>
          <w:rFonts w:hint="eastAsia" w:ascii="宋体" w:hAnsi="宋体"/>
          <w:b/>
          <w:color w:val="auto"/>
          <w:sz w:val="21"/>
          <w:szCs w:val="21"/>
          <w:highlight w:val="none"/>
        </w:rPr>
        <w:t xml:space="preserve">关于符合本国产品标准的声明函</w:t>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pStyle w:val="970"/>
        <w:ind w:firstLine="480"/>
        <w:spacing w:before="30" w:after="30"/>
        <w:shd w:val="clear" w:color="auto" w:fill="ffffff"/>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0"/>
        <w:ind w:firstLine="480"/>
        <w:spacing w:before="0" w:after="0"/>
        <w:shd w:val="clear" w:color="auto" w:fill="ffffff"/>
        <w:rPr>
          <w:color w:val="auto"/>
          <w:highlight w:val="none"/>
        </w:rPr>
      </w:pPr>
      <w:r>
        <w:rPr>
          <w:rFonts w:hint="eastAsia"/>
          <w:color w:val="auto"/>
          <w:highlight w:val="none"/>
        </w:rPr>
        <w:t xml:space="preserve">1.</w:t>
      </w:r>
      <w:r>
        <w:rPr>
          <w:rStyle w:val="975"/>
          <w:rFonts w:hint="eastAsia"/>
          <w:color w:val="auto"/>
          <w:highlight w:val="none"/>
          <w:u w:val="single"/>
        </w:rPr>
        <w:t xml:space="preserve">（产品名称1）</w:t>
      </w:r>
      <w:r>
        <w:rPr>
          <w:rStyle w:val="975"/>
          <w:rFonts w:hint="eastAsia"/>
          <w:color w:val="auto"/>
          <w:highlight w:val="none"/>
          <w:vertAlign w:val="superscript"/>
        </w:rPr>
        <w:t xml:space="preserve">1</w:t>
      </w:r>
      <w:r>
        <w:rPr>
          <w:rFonts w:hint="eastAsia"/>
          <w:color w:val="auto"/>
          <w:highlight w:val="none"/>
        </w:rPr>
        <w:t xml:space="preserve">，生产厂为</w:t>
      </w:r>
      <w:r>
        <w:rPr>
          <w:rStyle w:val="975"/>
          <w:rFonts w:hint="eastAsia"/>
          <w:color w:val="auto"/>
          <w:highlight w:val="none"/>
          <w:u w:val="single"/>
        </w:rPr>
        <w:t xml:space="preserve">（厂名）</w:t>
      </w:r>
      <w:r>
        <w:rPr>
          <w:rStyle w:val="975"/>
          <w:rFonts w:hint="eastAsia"/>
          <w:color w:val="auto"/>
          <w:highlight w:val="none"/>
          <w:vertAlign w:val="superscript"/>
        </w:rPr>
        <w:t xml:space="preserve">2</w:t>
      </w:r>
      <w:r>
        <w:rPr>
          <w:rFonts w:hint="eastAsia"/>
          <w:color w:val="auto"/>
          <w:highlight w:val="none"/>
        </w:rPr>
        <w:t xml:space="preserve">，厂址为</w:t>
      </w:r>
      <w:r>
        <w:rPr>
          <w:rStyle w:val="975"/>
          <w:rFonts w:hint="eastAsia"/>
          <w:color w:val="auto"/>
          <w:highlight w:val="none"/>
          <w:u w:val="single"/>
        </w:rPr>
        <w:t xml:space="preserve">（生产厂址）</w:t>
      </w:r>
      <w:r>
        <w:rPr>
          <w:rFonts w:hint="eastAsia"/>
          <w:color w:val="auto"/>
          <w:highlight w:val="none"/>
        </w:rPr>
        <w:t xml:space="preserve">。</w:t>
      </w:r>
      <w:r>
        <w:rPr>
          <w:rStyle w:val="975"/>
          <w:rFonts w:hint="eastAsia" w:eastAsia="Times New Roman" w:cs="Times New Roman"/>
          <w:strike/>
          <w:color w:val="auto"/>
          <w:sz w:val="21"/>
          <w:szCs w:val="22"/>
          <w:highlight w:val="none"/>
          <w:u w:val="single"/>
        </w:rPr>
        <w:t xml:space="preserve">（产品名称1）</w:t>
      </w:r>
      <w:r>
        <w:rPr>
          <w:rFonts w:hint="eastAsia"/>
          <w:color w:val="auto"/>
          <w:highlight w:val="none"/>
        </w:rPr>
        <w:t xml:space="preserve">的中国境内生产的组件成本占比≥</w:t>
      </w:r>
      <w:r>
        <w:rPr>
          <w:rStyle w:val="975"/>
          <w:rFonts w:hint="eastAsia" w:eastAsia="Times New Roman" w:cs="Times New Roman"/>
          <w:strike/>
          <w:color w:val="auto"/>
          <w:sz w:val="21"/>
          <w:szCs w:val="22"/>
          <w:highlight w:val="none"/>
          <w:u w:val="single"/>
        </w:rPr>
        <w:t xml:space="preserve">（规定比例）</w:t>
      </w:r>
      <w:r>
        <w:rPr>
          <w:rStyle w:val="975"/>
          <w:rFonts w:hint="eastAsia"/>
          <w:color w:val="auto"/>
          <w:highlight w:val="none"/>
          <w:vertAlign w:val="superscript"/>
        </w:rPr>
        <w:t xml:space="preserve">3</w:t>
      </w:r>
      <w:r>
        <w:rPr>
          <w:rFonts w:hint="eastAsia"/>
          <w:color w:val="auto"/>
          <w:highlight w:val="none"/>
        </w:rPr>
        <w:t xml:space="preserve">。</w:t>
      </w:r>
      <w:r>
        <w:rPr>
          <w:rStyle w:val="975"/>
          <w:rFonts w:hint="eastAsia" w:eastAsia="Times New Roman" w:cs="Times New Roman"/>
          <w:strike/>
          <w:color w:val="auto"/>
          <w:sz w:val="21"/>
          <w:szCs w:val="22"/>
          <w:highlight w:val="none"/>
          <w:u w:val="single"/>
        </w:rPr>
        <w:t xml:space="preserve">（产品名称1）</w:t>
      </w:r>
      <w:r>
        <w:rPr>
          <w:rFonts w:hint="eastAsia"/>
          <w:color w:val="auto"/>
          <w:highlight w:val="none"/>
        </w:rPr>
        <w:t xml:space="preserve">的</w:t>
      </w:r>
      <w:r>
        <w:rPr>
          <w:rStyle w:val="975"/>
          <w:rFonts w:hint="eastAsia" w:eastAsia="Times New Roman" w:cs="Times New Roman"/>
          <w:strike/>
          <w:color w:val="auto"/>
          <w:sz w:val="21"/>
          <w:szCs w:val="22"/>
          <w:highlight w:val="none"/>
          <w:u w:val="single"/>
        </w:rPr>
        <w:t xml:space="preserve">（关键组件）</w:t>
      </w:r>
      <w:r>
        <w:rPr>
          <w:rStyle w:val="975"/>
          <w:rFonts w:hint="eastAsia"/>
          <w:color w:val="auto"/>
          <w:highlight w:val="none"/>
          <w:vertAlign w:val="superscript"/>
        </w:rPr>
        <w:t xml:space="preserve">4</w:t>
      </w:r>
      <w:r>
        <w:rPr>
          <w:rFonts w:hint="eastAsia"/>
          <w:color w:val="auto"/>
          <w:highlight w:val="none"/>
        </w:rPr>
        <w:t xml:space="preserve">在中国境内生产。</w:t>
      </w:r>
      <w:r>
        <w:rPr>
          <w:rStyle w:val="975"/>
          <w:rFonts w:hint="eastAsia" w:eastAsia="Times New Roman" w:cs="Times New Roman"/>
          <w:strike/>
          <w:color w:val="auto"/>
          <w:sz w:val="21"/>
          <w:szCs w:val="22"/>
          <w:highlight w:val="none"/>
          <w:u w:val="single"/>
        </w:rPr>
        <w:t xml:space="preserve">（产品名称1）</w:t>
      </w:r>
      <w:r>
        <w:rPr>
          <w:rFonts w:hint="eastAsia"/>
          <w:color w:val="auto"/>
          <w:highlight w:val="none"/>
        </w:rPr>
        <w:t xml:space="preserve">的</w:t>
      </w:r>
      <w:r>
        <w:rPr>
          <w:rStyle w:val="975"/>
          <w:rFonts w:hint="eastAsia" w:eastAsia="Times New Roman" w:cs="Times New Roman"/>
          <w:strike/>
          <w:color w:val="auto"/>
          <w:sz w:val="21"/>
          <w:szCs w:val="22"/>
          <w:highlight w:val="none"/>
          <w:u w:val="single"/>
        </w:rPr>
        <w:t xml:space="preserve">（关键工序）</w:t>
      </w:r>
      <w:r>
        <w:rPr>
          <w:rStyle w:val="975"/>
          <w:rFonts w:hint="eastAsia"/>
          <w:color w:val="auto"/>
          <w:highlight w:val="none"/>
          <w:vertAlign w:val="superscript"/>
        </w:rPr>
        <w:t xml:space="preserve">5</w:t>
      </w:r>
      <w:r>
        <w:rPr>
          <w:rFonts w:hint="eastAsia"/>
          <w:color w:val="auto"/>
          <w:highlight w:val="none"/>
        </w:rPr>
        <w:t xml:space="preserve">在中国境内完成。</w:t>
      </w:r>
      <w:r/>
    </w:p>
    <w:p>
      <w:pPr>
        <w:pStyle w:val="970"/>
        <w:ind w:firstLine="480"/>
        <w:spacing w:before="0" w:after="0"/>
        <w:shd w:val="clear" w:color="auto" w:fill="ffffff"/>
        <w:rPr>
          <w:color w:val="auto"/>
          <w:highlight w:val="none"/>
        </w:rPr>
      </w:pPr>
      <w:r>
        <w:rPr>
          <w:rFonts w:hint="eastAsia"/>
          <w:color w:val="auto"/>
          <w:highlight w:val="none"/>
        </w:rPr>
        <w:t xml:space="preserve">2.</w:t>
      </w:r>
      <w:r>
        <w:rPr>
          <w:rStyle w:val="975"/>
          <w:rFonts w:hint="eastAsia"/>
          <w:color w:val="auto"/>
          <w:highlight w:val="none"/>
          <w:u w:val="single"/>
        </w:rPr>
        <w:t xml:space="preserve">（产品名称2）</w:t>
      </w:r>
      <w:r>
        <w:rPr>
          <w:rFonts w:hint="eastAsia"/>
          <w:color w:val="auto"/>
          <w:highlight w:val="none"/>
        </w:rPr>
        <w:t xml:space="preserve">，生产厂为</w:t>
      </w:r>
      <w:r>
        <w:rPr>
          <w:rStyle w:val="975"/>
          <w:rFonts w:hint="eastAsia"/>
          <w:color w:val="auto"/>
          <w:highlight w:val="none"/>
          <w:u w:val="single"/>
        </w:rPr>
        <w:t xml:space="preserve">（厂名）</w:t>
      </w:r>
      <w:r>
        <w:rPr>
          <w:rFonts w:hint="eastAsia"/>
          <w:color w:val="auto"/>
          <w:highlight w:val="none"/>
        </w:rPr>
        <w:t xml:space="preserve">，厂址为</w:t>
      </w:r>
      <w:r>
        <w:rPr>
          <w:rStyle w:val="975"/>
          <w:rFonts w:hint="eastAsia"/>
          <w:color w:val="auto"/>
          <w:highlight w:val="none"/>
          <w:u w:val="single"/>
        </w:rPr>
        <w:t xml:space="preserve">（生产厂址）</w:t>
      </w:r>
      <w:r>
        <w:rPr>
          <w:rFonts w:hint="eastAsia"/>
          <w:color w:val="auto"/>
          <w:highlight w:val="none"/>
        </w:rPr>
        <w:t xml:space="preserve">。</w:t>
      </w:r>
      <w:r>
        <w:rPr>
          <w:rStyle w:val="975"/>
          <w:rFonts w:hint="eastAsia" w:eastAsia="Times New Roman" w:cs="Times New Roman"/>
          <w:strike/>
          <w:color w:val="auto"/>
          <w:sz w:val="21"/>
          <w:szCs w:val="22"/>
          <w:highlight w:val="none"/>
          <w:u w:val="single"/>
        </w:rPr>
        <w:t xml:space="preserve">（产品名称2）</w:t>
      </w:r>
      <w:r>
        <w:rPr>
          <w:rFonts w:hint="eastAsia"/>
          <w:color w:val="auto"/>
          <w:highlight w:val="none"/>
        </w:rPr>
        <w:t xml:space="preserve">的中国境内生产的组件成本占比≥</w:t>
      </w:r>
      <w:r>
        <w:rPr>
          <w:rStyle w:val="975"/>
          <w:rFonts w:hint="eastAsia" w:eastAsia="Times New Roman" w:cs="Times New Roman"/>
          <w:strike/>
          <w:color w:val="auto"/>
          <w:sz w:val="21"/>
          <w:szCs w:val="22"/>
          <w:highlight w:val="none"/>
          <w:u w:val="single"/>
        </w:rPr>
        <w:t xml:space="preserve">（规定比例）</w:t>
      </w:r>
      <w:r>
        <w:rPr>
          <w:rFonts w:hint="eastAsia"/>
          <w:color w:val="auto"/>
          <w:highlight w:val="none"/>
        </w:rPr>
        <w:t xml:space="preserve">。</w:t>
      </w:r>
      <w:r>
        <w:rPr>
          <w:rStyle w:val="975"/>
          <w:rFonts w:hint="eastAsia" w:eastAsia="Times New Roman" w:cs="Times New Roman"/>
          <w:strike/>
          <w:color w:val="auto"/>
          <w:sz w:val="21"/>
          <w:szCs w:val="22"/>
          <w:highlight w:val="none"/>
          <w:u w:val="single"/>
        </w:rPr>
        <w:t xml:space="preserve">（产品名称2）</w:t>
      </w:r>
      <w:r>
        <w:rPr>
          <w:rFonts w:hint="eastAsia"/>
          <w:color w:val="auto"/>
          <w:highlight w:val="none"/>
        </w:rPr>
        <w:t xml:space="preserve">的</w:t>
      </w:r>
      <w:r>
        <w:rPr>
          <w:rStyle w:val="975"/>
          <w:rFonts w:hint="eastAsia" w:eastAsia="Times New Roman" w:cs="Times New Roman"/>
          <w:strike/>
          <w:color w:val="auto"/>
          <w:sz w:val="21"/>
          <w:szCs w:val="22"/>
          <w:highlight w:val="none"/>
          <w:u w:val="single"/>
        </w:rPr>
        <w:t xml:space="preserve">（关键组件）</w:t>
      </w:r>
      <w:r>
        <w:rPr>
          <w:rFonts w:hint="eastAsia"/>
          <w:color w:val="auto"/>
          <w:highlight w:val="none"/>
        </w:rPr>
        <w:t xml:space="preserve">在中国境内生产。</w:t>
      </w:r>
      <w:r>
        <w:rPr>
          <w:rStyle w:val="975"/>
          <w:rFonts w:hint="eastAsia" w:eastAsia="Times New Roman" w:cs="Times New Roman"/>
          <w:strike/>
          <w:color w:val="auto"/>
          <w:sz w:val="21"/>
          <w:szCs w:val="22"/>
          <w:highlight w:val="none"/>
          <w:u w:val="single"/>
        </w:rPr>
        <w:t xml:space="preserve">（产品名称2）</w:t>
      </w:r>
      <w:r>
        <w:rPr>
          <w:rFonts w:hint="eastAsia"/>
          <w:color w:val="auto"/>
          <w:highlight w:val="none"/>
        </w:rPr>
        <w:t xml:space="preserve">的</w:t>
      </w:r>
      <w:r>
        <w:rPr>
          <w:rStyle w:val="975"/>
          <w:rFonts w:hint="eastAsia" w:eastAsia="Times New Roman" w:cs="Times New Roman"/>
          <w:strike/>
          <w:color w:val="auto"/>
          <w:sz w:val="21"/>
          <w:szCs w:val="22"/>
          <w:highlight w:val="none"/>
          <w:u w:val="single"/>
        </w:rPr>
        <w:t xml:space="preserve">（关键工序）</w:t>
      </w:r>
      <w:r>
        <w:rPr>
          <w:rFonts w:hint="eastAsia"/>
          <w:color w:val="auto"/>
          <w:highlight w:val="none"/>
        </w:rPr>
        <w:t xml:space="preserve">在中国境内完成。</w:t>
      </w:r>
      <w:r/>
    </w:p>
    <w:p>
      <w:pPr>
        <w:pStyle w:val="970"/>
        <w:ind w:firstLine="480"/>
        <w:spacing w:before="30" w:after="30"/>
        <w:shd w:val="clear" w:color="auto" w:fill="ffffff"/>
        <w:rPr>
          <w:color w:val="auto"/>
          <w:highlight w:val="none"/>
        </w:rPr>
      </w:pPr>
      <w:r>
        <w:rPr>
          <w:rFonts w:hint="eastAsia"/>
          <w:color w:val="auto"/>
          <w:highlight w:val="none"/>
        </w:rPr>
        <w:t xml:space="preserve">……</w:t>
      </w:r>
      <w:r/>
    </w:p>
    <w:p>
      <w:pPr>
        <w:pStyle w:val="970"/>
        <w:ind w:firstLine="480"/>
        <w:spacing w:before="30" w:after="30"/>
        <w:shd w:val="clear" w:color="auto" w:fill="ffffff"/>
        <w:rPr>
          <w:color w:val="auto"/>
          <w:highlight w:val="none"/>
        </w:rPr>
      </w:pPr>
      <w:r>
        <w:rPr>
          <w:rFonts w:hint="eastAsia"/>
          <w:color w:val="auto"/>
          <w:highlight w:val="none"/>
        </w:rPr>
        <w:t xml:space="preserve">本公司（单位）对上述声明内容的真实性负责。如有虚假，愿承担相应法律责任。</w:t>
      </w:r>
      <w:r/>
    </w:p>
    <w:p>
      <w:pPr>
        <w:pStyle w:val="970"/>
        <w:ind w:right="815"/>
        <w:jc w:val="center"/>
        <w:spacing w:before="30" w:after="30"/>
        <w:shd w:val="clear" w:color="auto" w:fill="ffffff"/>
        <w:rPr>
          <w:color w:val="auto"/>
          <w:highlight w:val="none"/>
        </w:rPr>
      </w:pPr>
      <w:r>
        <w:rPr>
          <w:rFonts w:hint="eastAsia" w:eastAsia="宋体"/>
          <w:color w:val="auto"/>
          <w:highlight w:val="none"/>
          <w:lang w:val="en-US" w:eastAsia="zh-CN"/>
        </w:rPr>
        <w:t xml:space="preserve">             </w:t>
      </w:r>
      <w:r>
        <w:rPr>
          <w:rFonts w:hint="eastAsia"/>
          <w:color w:val="auto"/>
          <w:highlight w:val="none"/>
        </w:rPr>
        <w:t xml:space="preserve">公司（单位）名称（盖章）：</w:t>
      </w:r>
      <w:r/>
    </w:p>
    <w:p>
      <w:pPr>
        <w:pStyle w:val="970"/>
        <w:ind w:left="0" w:right="815" w:firstLine="5400"/>
        <w:spacing w:before="0" w:after="0"/>
        <w:shd w:val="clear" w:color="auto" w:fill="ffffff"/>
        <w:rPr>
          <w:color w:val="auto"/>
          <w:highlight w:val="none"/>
        </w:rPr>
      </w:pPr>
      <w:r>
        <w:rPr>
          <w:rFonts w:hint="eastAsia"/>
          <w:color w:val="auto"/>
          <w:highlight w:val="none"/>
        </w:rPr>
        <w:t xml:space="preserve">日期： </w:t>
      </w:r>
      <w:r>
        <w:rPr>
          <w:color w:val="auto"/>
          <w:highlight w:val="none"/>
        </w:rPr>
        <w:t xml:space="preserve">    </w:t>
      </w:r>
      <w:r>
        <w:rPr>
          <w:rFonts w:hint="eastAsia"/>
          <w:color w:val="auto"/>
          <w:highlight w:val="none"/>
        </w:rPr>
        <w:t xml:space="preserve">年 </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 xml:space="preserve">日</w:t>
      </w:r>
      <w:r/>
    </w:p>
    <w:p>
      <w:pPr>
        <w:pStyle w:val="970"/>
        <w:ind w:left="0" w:firstLine="0"/>
        <w:keepLines w:val="0"/>
        <w:keepNext w:val="0"/>
        <w:pageBreakBefore w:val="0"/>
        <w:spacing w:before="0" w:beforeAutospacing="0" w:after="0" w:afterAutospacing="0"/>
        <w:shd w:val="clear" w:color="auto" w:fill="ffffff"/>
        <w:widowControl/>
        <w:rPr>
          <w:color w:val="auto"/>
          <w:highlight w:val="none"/>
        </w:rPr>
        <w:outlineLvl w:val="9"/>
      </w:pPr>
      <w:r>
        <w:rPr>
          <w:rFonts w:hint="eastAsia"/>
          <w:color w:val="auto"/>
          <w:highlight w:val="none"/>
        </w:rPr>
        <w:t xml:space="preserve">__________________</w:t>
      </w:r>
      <w:r/>
    </w:p>
    <w:p>
      <w:pPr>
        <w:pStyle w:val="970"/>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1.产品如有型号，请在“产品名称”栏一并填写。</w:t>
      </w:r>
      <w:r/>
    </w:p>
    <w:p>
      <w:pPr>
        <w:pStyle w:val="970"/>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2.生产厂名与厂址应与生产厂营业执照载明的相关信息保持一致。</w:t>
      </w:r>
      <w:r/>
    </w:p>
    <w:p>
      <w:pPr>
        <w:pStyle w:val="970"/>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3.该产品的中国境内生产的组件成本占比相关要求实施前，“规定比例”栏可不填，下同。</w:t>
      </w:r>
      <w:r/>
    </w:p>
    <w:p>
      <w:pPr>
        <w:pStyle w:val="970"/>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4.该产品的关键组件要求实施前，“关键组件”栏可不填，下同。</w:t>
      </w:r>
      <w:r/>
    </w:p>
    <w:p>
      <w:pPr>
        <w:pStyle w:val="970"/>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5.该产品的关键工序要求实施前，“关键工序”栏可不填，下同。</w:t>
      </w:r>
      <w:r/>
    </w:p>
    <w:p>
      <w:pPr>
        <w:pStyle w:val="970"/>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6</w:t>
      </w:r>
      <w:r>
        <w:rPr>
          <w:color w:val="auto"/>
          <w:sz w:val="21"/>
          <w:szCs w:val="21"/>
          <w:highlight w:val="none"/>
        </w:rPr>
        <w:t xml:space="preserve">.</w:t>
      </w:r>
      <w:r>
        <w:rPr>
          <w:rFonts w:hint="eastAsia"/>
          <w:b/>
          <w:color w:val="auto"/>
          <w:sz w:val="21"/>
          <w:szCs w:val="21"/>
          <w:highlight w:val="none"/>
        </w:rPr>
        <w:t xml:space="preserve">用</w:t>
      </w:r>
      <w:r>
        <w:rPr>
          <w:rFonts w:hint="eastAsia" w:eastAsia="宋体"/>
          <w:b/>
          <w:color w:val="auto"/>
          <w:sz w:val="21"/>
          <w:szCs w:val="21"/>
          <w:highlight w:val="none"/>
          <w:lang w:val="en-US" w:eastAsia="zh-CN"/>
        </w:rPr>
        <w:t xml:space="preserve">横线</w:t>
      </w:r>
      <w:r>
        <w:rPr>
          <w:rFonts w:hint="eastAsia"/>
          <w:b/>
          <w:color w:val="auto"/>
          <w:sz w:val="21"/>
          <w:szCs w:val="21"/>
          <w:highlight w:val="none"/>
        </w:rPr>
        <w:t xml:space="preserve">划除的地方无需填写。</w:t>
      </w:r>
      <w:r/>
    </w:p>
    <w:p>
      <w:pPr>
        <w:rPr>
          <w:rFonts w:hint="eastAsia"/>
          <w:color w:val="auto"/>
          <w:highlight w:val="none"/>
          <w:lang w:val="en-US" w:eastAsia="zh-CN"/>
        </w:rPr>
      </w:pPr>
      <w:r>
        <w:rPr>
          <w:rFonts w:hint="eastAsia"/>
          <w:color w:val="auto"/>
          <w:highlight w:val="none"/>
          <w:lang w:val="en-US" w:eastAsia="zh-CN"/>
        </w:rPr>
      </w:r>
      <w:r/>
    </w:p>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spacing w:line="360" w:lineRule="auto"/>
        <w:rPr>
          <w:rFonts w:hint="eastAsia" w:ascii="宋体" w:hAnsi="宋体" w:eastAsia="宋体" w:cs="宋体"/>
          <w:b/>
          <w:color w:val="auto"/>
          <w:highlight w:val="none"/>
          <w:lang w:eastAsia="zh-CN"/>
        </w:rPr>
      </w:pPr>
      <w:r>
        <w:rPr>
          <w:rFonts w:hint="eastAsia" w:ascii="宋体" w:hAnsi="宋体" w:cs="宋体"/>
          <w:b/>
          <w:color w:val="auto"/>
          <w:highlight w:val="none"/>
        </w:rPr>
        <w:t xml:space="preserve">附件1</w:t>
      </w:r>
      <w:r>
        <w:rPr>
          <w:rFonts w:hint="eastAsia" w:ascii="宋体" w:hAnsi="宋体" w:cs="宋体"/>
          <w:b/>
          <w:color w:val="auto"/>
          <w:highlight w:val="none"/>
          <w:lang w:val="en-US" w:eastAsia="zh-CN"/>
        </w:rPr>
        <w:t xml:space="preserve">0</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无利害关系声明函</w:t>
      </w:r>
      <w:r/>
    </w:p>
    <w:p>
      <w:pPr>
        <w:pStyle w:val="945"/>
        <w:ind w:firstLine="560"/>
        <w:rPr>
          <w:rFonts w:hint="eastAsia"/>
          <w:color w:val="auto"/>
          <w:highlight w:val="none"/>
        </w:rPr>
      </w:pPr>
      <w:r>
        <w:rPr>
          <w:rFonts w:hint="eastAsia"/>
          <w:color w:val="auto"/>
          <w:highlight w:val="none"/>
        </w:rPr>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致:</w:t>
      </w:r>
      <w:r>
        <w:rPr>
          <w:rFonts w:hint="eastAsia" w:ascii="宋体" w:hAnsi="宋体" w:cs="宋体"/>
          <w:bCs/>
          <w:color w:val="auto"/>
          <w:szCs w:val="21"/>
          <w:highlight w:val="none"/>
          <w:u w:val="single"/>
        </w:rPr>
        <w:t xml:space="preserve">苏州工业园区服务外包职业学院、</w:t>
      </w:r>
      <w:r>
        <w:rPr>
          <w:rFonts w:hint="eastAsia"/>
          <w:bCs/>
          <w:color w:val="auto"/>
          <w:highlight w:val="none"/>
          <w:u w:val="single"/>
        </w:rPr>
        <w:t xml:space="preserve">苏州市原鑫招投标咨询服务有限公司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我(公司/本人，以下统称我公司)自愿参加</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(项目名称和项目编号)的</w:t>
      </w:r>
      <w:r>
        <w:rPr>
          <w:rFonts w:hint="eastAsia" w:ascii="宋体" w:hAnsi="宋体" w:cs="宋体"/>
          <w:bCs/>
          <w:color w:val="auto"/>
          <w:szCs w:val="21"/>
          <w:highlight w:val="none"/>
          <w:lang w:val="en-US" w:eastAsia="zh-CN"/>
        </w:rPr>
        <w:t xml:space="preserve">谈判</w:t>
      </w:r>
      <w:r>
        <w:rPr>
          <w:rFonts w:hint="eastAsia" w:ascii="宋体" w:hAnsi="宋体" w:cs="宋体"/>
          <w:bCs/>
          <w:color w:val="auto"/>
          <w:szCs w:val="21"/>
          <w:highlight w:val="none"/>
        </w:rPr>
        <w:t xml:space="preserve">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并做出如下承诺: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一、本单位及单位法定代表人、董事、监事、股东，与本采购项目的采购人、采购代理机构及相关人员不存在任何可能影响采购活动公平、公正的利害关系。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本单位及本单位法定代表人、董事、监事、股东，与本采购项目的采购人、采购代理机构、参加本项目响应的其他供应商及相关人员不存在《中华人民共和国政府采购法实施条例》第九条第四款所列的夫妻、直系血亲、三代以内旁系血亲或近姻亲关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如声明不实，我公司愿意承担由此引发的一切法律责任，包括被取消响应资格、成交资格等后果。</w:t>
      </w:r>
      <w:r/>
    </w:p>
    <w:p>
      <w:pPr>
        <w:ind w:firstLine="630"/>
        <w:jc w:val="left"/>
        <w:spacing w:line="360" w:lineRule="auto"/>
        <w:rPr>
          <w:rFonts w:hint="eastAsia"/>
          <w:color w:val="auto"/>
          <w:szCs w:val="21"/>
          <w:highlight w:val="none"/>
        </w:rPr>
      </w:pPr>
      <w:r>
        <w:rPr>
          <w:rFonts w:hint="eastAsia"/>
          <w:color w:val="auto"/>
          <w:szCs w:val="21"/>
          <w:highlight w:val="none"/>
        </w:rPr>
      </w:r>
      <w:r/>
    </w:p>
    <w:p>
      <w:pPr>
        <w:ind w:firstLine="630"/>
        <w:jc w:val="left"/>
        <w:spacing w:line="360" w:lineRule="auto"/>
        <w:rPr>
          <w:color w:val="auto"/>
          <w:szCs w:val="21"/>
          <w:highlight w:val="none"/>
        </w:rPr>
      </w:pPr>
      <w:r>
        <w:rPr>
          <w:rFonts w:hint="eastAsia"/>
          <w:color w:val="auto"/>
          <w:szCs w:val="21"/>
          <w:highlight w:val="none"/>
        </w:rPr>
        <w:t xml:space="preserve">供应商：（公章）</w:t>
      </w:r>
      <w:r/>
    </w:p>
    <w:p>
      <w:pPr>
        <w:ind w:firstLine="630"/>
        <w:jc w:val="left"/>
        <w:spacing w:line="360" w:lineRule="auto"/>
        <w:rPr>
          <w:color w:val="auto"/>
          <w:szCs w:val="21"/>
          <w:highlight w:val="none"/>
        </w:rPr>
      </w:pPr>
      <w:r>
        <w:rPr>
          <w:rFonts w:hint="eastAsia"/>
          <w:color w:val="auto"/>
          <w:szCs w:val="21"/>
          <w:highlight w:val="none"/>
        </w:rPr>
        <w:t xml:space="preserve">法定代表人或代理人（签字或盖章）</w:t>
      </w:r>
      <w:r>
        <w:rPr>
          <w:rFonts w:hint="eastAsia"/>
          <w:bCs/>
          <w:color w:val="auto"/>
          <w:szCs w:val="21"/>
          <w:highlight w:val="none"/>
        </w:rPr>
        <w:t xml:space="preserve">：</w:t>
      </w:r>
      <w:r/>
    </w:p>
    <w:p>
      <w:pPr>
        <w:ind w:firstLine="630"/>
        <w:spacing w:line="360" w:lineRule="auto"/>
        <w:rPr>
          <w:b/>
          <w:color w:val="auto"/>
          <w:szCs w:val="21"/>
          <w:highlight w:val="none"/>
        </w:rPr>
      </w:pPr>
      <w:r>
        <w:rPr>
          <w:rFonts w:hint="eastAsia"/>
          <w:bCs/>
          <w:color w:val="auto"/>
          <w:szCs w:val="21"/>
          <w:highlight w:val="none"/>
        </w:rPr>
        <w:t xml:space="preserve">日期</w:t>
      </w:r>
      <w:r>
        <w:rPr>
          <w:bCs/>
          <w:color w:val="auto"/>
          <w:szCs w:val="21"/>
          <w:highlight w:val="none"/>
        </w:rPr>
        <w:t xml:space="preserve">:</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850" w:right="907" w:bottom="1276" w:left="907" w:header="624" w:footer="283"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PMingLiU">
    <w:panose1 w:val="02020500000000000000"/>
  </w:font>
  <w:font w:name="Times">
    <w:panose1 w:val="02020603050405020304"/>
  </w:font>
  <w:font w:name="方正黑体简体">
    <w:panose1 w:val="020B0503020202020204"/>
  </w:font>
  <w:font w:name="Wingdings">
    <w:panose1 w:val="05000000000000000000"/>
  </w:font>
  <w:font w:name="Tahoma">
    <w:panose1 w:val="020B0604030504040204"/>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21</w:t>
    </w:r>
    <w:r>
      <w:rPr>
        <w:rFonts w:ascii="宋体" w:hAnsi="宋体"/>
      </w:rP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73"/>
      </w:rPr>
      <w:framePr w:wrap="around" w:vAnchor="text" w:hAnchor="margin" w:xAlign="center" w:y="1"/>
    </w:pPr>
    <w:r>
      <w:fldChar w:fldCharType="begin"/>
    </w:r>
    <w:r>
      <w:rPr>
        <w:rStyle w:val="973"/>
      </w:rPr>
      <w:instrText xml:space="preserve">PAGE  </w:instrText>
    </w:r>
    <w:r>
      <w:fldChar w:fldCharType="end"/>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default" w:ascii="宋体" w:hAnsi="宋体" w:eastAsia="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JSZC-320591-SZYX-T2026-00</w:t>
    </w:r>
    <w:r>
      <w:rPr>
        <w:rFonts w:hint="eastAsia" w:ascii="宋体" w:hAnsi="宋体" w:cs="宋体"/>
        <w:lang w:val="en-US" w:eastAsia="zh-CN"/>
      </w:rPr>
      <w:t xml:space="preserve">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b w:val="0"/>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b w:val="0"/>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567" w:hanging="567"/>
        <w:tabs>
          <w:tab w:val="left" w:pos="567"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3">
    <w:multiLevelType w:val="hybridMultilevel"/>
    <w:lvl w:ilvl="0">
      <w:start w:val="1"/>
      <w:numFmt w:val="bullet"/>
      <w:pStyle w:val="1033"/>
      <w:isLgl w:val="false"/>
      <w:suff w:val="tab"/>
      <w:lvlText w:val=""/>
      <w:lvlJc w:val="left"/>
      <w:pPr>
        <w:ind w:left="360" w:hanging="360"/>
        <w:tabs>
          <w:tab w:val="left" w:pos="360" w:leader="none"/>
        </w:tabs>
      </w:pPr>
      <w:rPr>
        <w:rFonts w:hint="default" w:ascii="Symbol" w:hAnsi="Symbol"/>
        <w:lang w:val="en-US"/>
      </w:rPr>
    </w:lvl>
    <w:lvl w:ilvl="1">
      <w:start w:val="1"/>
      <w:numFmt w:val="bullet"/>
      <w:isLgl w:val="false"/>
      <w:suff w:val="tab"/>
      <w:lvlText w:val=""/>
      <w:lvlJc w:val="left"/>
      <w:pPr>
        <w:ind w:left="1140" w:hanging="420"/>
        <w:tabs>
          <w:tab w:val="left" w:pos="1140" w:leader="none"/>
        </w:tabs>
      </w:pPr>
      <w:rPr>
        <w:rFonts w:hint="default" w:ascii="Wingdings" w:hAnsi="Wingdings"/>
        <w:lang w:val="en-US"/>
      </w:rPr>
    </w:lvl>
    <w:lvl w:ilvl="2">
      <w:start w:val="1"/>
      <w:numFmt w:val="bullet"/>
      <w:isLgl w:val="false"/>
      <w:suff w:val="tab"/>
      <w:lvlText w:val=""/>
      <w:lvlJc w:val="left"/>
      <w:pPr>
        <w:ind w:left="1800" w:hanging="360"/>
        <w:tabs>
          <w:tab w:val="left" w:pos="1800" w:leader="none"/>
        </w:tabs>
      </w:pPr>
      <w:rPr>
        <w:rFonts w:hint="default" w:ascii="Wingdings" w:hAnsi="Wingdings"/>
      </w:rPr>
    </w:lvl>
    <w:lvl w:ilvl="3">
      <w:start w:val="1"/>
      <w:numFmt w:val="bullet"/>
      <w:isLgl w:val="false"/>
      <w:suff w:val="tab"/>
      <w:lvlText w:val=""/>
      <w:lvlJc w:val="left"/>
      <w:pPr>
        <w:ind w:left="2520" w:hanging="360"/>
        <w:tabs>
          <w:tab w:val="left" w:pos="2520" w:leader="none"/>
        </w:tabs>
      </w:pPr>
      <w:rPr>
        <w:rFonts w:hint="default" w:ascii="Symbol" w:hAnsi="Symbol"/>
      </w:rPr>
    </w:lvl>
    <w:lvl w:ilvl="4">
      <w:start w:val="1"/>
      <w:numFmt w:val="bullet"/>
      <w:isLgl w:val="false"/>
      <w:suff w:val="tab"/>
      <w:lvlText w:val="o"/>
      <w:lvlJc w:val="left"/>
      <w:pPr>
        <w:ind w:left="3240" w:hanging="360"/>
        <w:tabs>
          <w:tab w:val="left" w:pos="3240" w:leader="none"/>
        </w:tabs>
      </w:pPr>
      <w:rPr>
        <w:rFonts w:hint="default" w:ascii="Courier New" w:hAnsi="Courier New" w:cs="Courier New"/>
      </w:rPr>
    </w:lvl>
    <w:lvl w:ilvl="5">
      <w:start w:val="1"/>
      <w:numFmt w:val="bullet"/>
      <w:isLgl w:val="false"/>
      <w:suff w:val="tab"/>
      <w:lvlText w:val=""/>
      <w:lvlJc w:val="left"/>
      <w:pPr>
        <w:ind w:left="3960" w:hanging="360"/>
        <w:tabs>
          <w:tab w:val="left" w:pos="3960" w:leader="none"/>
        </w:tabs>
      </w:pPr>
      <w:rPr>
        <w:rFonts w:hint="default" w:ascii="Wingdings" w:hAnsi="Wingdings"/>
      </w:rPr>
    </w:lvl>
    <w:lvl w:ilvl="6">
      <w:start w:val="1"/>
      <w:numFmt w:val="bullet"/>
      <w:isLgl w:val="false"/>
      <w:suff w:val="tab"/>
      <w:lvlText w:val=""/>
      <w:lvlJc w:val="left"/>
      <w:pPr>
        <w:ind w:left="4680" w:hanging="360"/>
        <w:tabs>
          <w:tab w:val="left" w:pos="4680" w:leader="none"/>
        </w:tabs>
      </w:pPr>
      <w:rPr>
        <w:rFonts w:hint="default" w:ascii="Symbol" w:hAnsi="Symbol"/>
      </w:rPr>
    </w:lvl>
    <w:lvl w:ilvl="7">
      <w:start w:val="1"/>
      <w:numFmt w:val="bullet"/>
      <w:isLgl w:val="false"/>
      <w:suff w:val="tab"/>
      <w:lvlText w:val="o"/>
      <w:lvlJc w:val="left"/>
      <w:pPr>
        <w:ind w:left="5400" w:hanging="360"/>
        <w:tabs>
          <w:tab w:val="left" w:pos="5400" w:leader="none"/>
        </w:tabs>
      </w:pPr>
      <w:rPr>
        <w:rFonts w:hint="default" w:ascii="Courier New" w:hAnsi="Courier New" w:cs="Courier New"/>
      </w:rPr>
    </w:lvl>
    <w:lvl w:ilvl="8">
      <w:start w:val="1"/>
      <w:numFmt w:val="bullet"/>
      <w:isLgl w:val="false"/>
      <w:suff w:val="tab"/>
      <w:lvlText w:val=""/>
      <w:lvlJc w:val="left"/>
      <w:pPr>
        <w:ind w:left="6120" w:hanging="360"/>
        <w:tabs>
          <w:tab w:val="left" w:pos="6120" w:leader="none"/>
        </w:tabs>
      </w:pPr>
      <w:rPr>
        <w:rFonts w:hint="default" w:ascii="Wingdings" w:hAnsi="Wingdings"/>
      </w:rPr>
    </w:lvl>
  </w:abstractNum>
  <w:abstractNum w:abstractNumId="24">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6">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2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9">
    <w:multiLevelType w:val="hybridMultilevel"/>
    <w:lvl w:ilvl="0">
      <w:start w:val="1"/>
      <w:numFmt w:val="decimal"/>
      <w:pStyle w:val="1050"/>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Thousand"/>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1118" w:hanging="420"/>
      </w:pPr>
      <w:rPr>
        <w:rFonts w:hint="eastAsia"/>
      </w:rPr>
    </w:lvl>
    <w:lvl w:ilvl="2">
      <w:start w:val="1"/>
      <w:numFmt w:val="lowerRoman"/>
      <w:isLgl w:val="false"/>
      <w:suff w:val="tab"/>
      <w:lvlText w:val="%3."/>
      <w:lvlJc w:val="right"/>
      <w:pPr>
        <w:ind w:left="1538" w:hanging="420"/>
      </w:pPr>
      <w:rPr>
        <w:rFonts w:hint="eastAsia"/>
      </w:rPr>
    </w:lvl>
    <w:lvl w:ilvl="3">
      <w:start w:val="1"/>
      <w:numFmt w:val="decimal"/>
      <w:isLgl w:val="false"/>
      <w:suff w:val="tab"/>
      <w:lvlText w:val="%4."/>
      <w:lvlJc w:val="left"/>
      <w:pPr>
        <w:ind w:left="1958" w:hanging="420"/>
      </w:pPr>
      <w:rPr>
        <w:rFonts w:hint="eastAsia"/>
      </w:rPr>
    </w:lvl>
    <w:lvl w:ilvl="4">
      <w:start w:val="1"/>
      <w:numFmt w:val="lowerLetter"/>
      <w:isLgl w:val="false"/>
      <w:suff w:val="tab"/>
      <w:lvlText w:val="%5)"/>
      <w:lvlJc w:val="left"/>
      <w:pPr>
        <w:ind w:left="2378" w:hanging="420"/>
      </w:pPr>
      <w:rPr>
        <w:rFonts w:hint="eastAsia"/>
      </w:rPr>
    </w:lvl>
    <w:lvl w:ilvl="5">
      <w:start w:val="1"/>
      <w:numFmt w:val="lowerRoman"/>
      <w:isLgl w:val="false"/>
      <w:suff w:val="tab"/>
      <w:lvlText w:val="%6."/>
      <w:lvlJc w:val="right"/>
      <w:pPr>
        <w:ind w:left="2798" w:hanging="420"/>
      </w:pPr>
      <w:rPr>
        <w:rFonts w:hint="eastAsia"/>
      </w:rPr>
    </w:lvl>
    <w:lvl w:ilvl="6">
      <w:start w:val="1"/>
      <w:numFmt w:val="decimal"/>
      <w:isLgl w:val="false"/>
      <w:suff w:val="tab"/>
      <w:lvlText w:val="%7."/>
      <w:lvlJc w:val="left"/>
      <w:pPr>
        <w:ind w:left="3218" w:hanging="420"/>
      </w:pPr>
      <w:rPr>
        <w:rFonts w:hint="eastAsia"/>
      </w:rPr>
    </w:lvl>
    <w:lvl w:ilvl="7">
      <w:start w:val="1"/>
      <w:numFmt w:val="lowerLetter"/>
      <w:isLgl w:val="false"/>
      <w:suff w:val="tab"/>
      <w:lvlText w:val="%8)"/>
      <w:lvlJc w:val="left"/>
      <w:pPr>
        <w:ind w:left="3638" w:hanging="420"/>
      </w:pPr>
      <w:rPr>
        <w:rFonts w:hint="eastAsia"/>
      </w:rPr>
    </w:lvl>
    <w:lvl w:ilvl="8">
      <w:start w:val="1"/>
      <w:numFmt w:val="lowerRoman"/>
      <w:isLgl w:val="false"/>
      <w:suff w:val="tab"/>
      <w:lvlText w:val="%9."/>
      <w:lvlJc w:val="right"/>
      <w:pPr>
        <w:ind w:left="4058" w:hanging="420"/>
      </w:pPr>
      <w:rPr>
        <w:rFonts w:hint="eastAsia"/>
      </w:rPr>
    </w:lvl>
  </w:abstractNum>
  <w:abstractNum w:abstractNumId="34">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none"/>
      <w:pStyle w:val="1049"/>
      <w:isLgl w:val="false"/>
      <w:suff w:val="nothing"/>
      <w:lvlText w:val="%1"/>
      <w:lvlJc w:val="left"/>
      <w:pPr>
        <w:ind w:left="0" w:firstLine="0"/>
      </w:pPr>
      <w:rPr>
        <w:rFonts w:hint="default" w:ascii="Times New Roman" w:hAnsi="Times New Roman"/>
        <w:b/>
        <w:i w:val="0"/>
        <w:sz w:val="21"/>
      </w:rPr>
    </w:lvl>
    <w:lvl w:ilvl="1">
      <w:start w:val="1"/>
      <w:numFmt w:val="decimal"/>
      <w:pStyle w:val="1055"/>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038"/>
      <w:isLgl w:val="false"/>
      <w:suff w:val="nothing"/>
      <w:lvlText w:val="%1%2.%3　"/>
      <w:lvlJc w:val="left"/>
      <w:pPr>
        <w:ind w:left="0" w:firstLine="0"/>
      </w:pPr>
      <w:rPr>
        <w:rFonts w:hint="eastAsia" w:ascii="黑体" w:hAnsi="Times New Roman" w:eastAsia="黑体"/>
        <w:b w:val="0"/>
        <w:i w:val="0"/>
        <w:sz w:val="21"/>
      </w:rPr>
    </w:lvl>
    <w:lvl w:ilvl="3">
      <w:start w:val="1"/>
      <w:numFmt w:val="decimal"/>
      <w:pStyle w:val="1037"/>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040"/>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039"/>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59"/>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36"/>
  </w:num>
  <w:num w:numId="3">
    <w:abstractNumId w:val="29"/>
  </w:num>
  <w:num w:numId="4">
    <w:abstractNumId w:val="5"/>
  </w:num>
  <w:num w:numId="5">
    <w:abstractNumId w:val="3"/>
  </w:num>
  <w:num w:numId="6">
    <w:abstractNumId w:val="11"/>
  </w:num>
  <w:num w:numId="7">
    <w:abstractNumId w:val="33"/>
  </w:num>
  <w:num w:numId="8">
    <w:abstractNumId w:val="8"/>
  </w:num>
  <w:num w:numId="9">
    <w:abstractNumId w:val="37"/>
  </w:num>
  <w:num w:numId="10">
    <w:abstractNumId w:val="35"/>
  </w:num>
  <w:num w:numId="11">
    <w:abstractNumId w:val="14"/>
  </w:num>
  <w:num w:numId="12">
    <w:abstractNumId w:val="31"/>
  </w:num>
  <w:num w:numId="13">
    <w:abstractNumId w:val="39"/>
  </w:num>
  <w:num w:numId="14">
    <w:abstractNumId w:val="18"/>
  </w:num>
  <w:num w:numId="15">
    <w:abstractNumId w:val="9"/>
  </w:num>
  <w:num w:numId="16">
    <w:abstractNumId w:val="0"/>
  </w:num>
  <w:num w:numId="17">
    <w:abstractNumId w:val="16"/>
  </w:num>
  <w:num w:numId="18">
    <w:abstractNumId w:val="25"/>
  </w:num>
  <w:num w:numId="19">
    <w:abstractNumId w:val="6"/>
  </w:num>
  <w:num w:numId="20">
    <w:abstractNumId w:val="13"/>
  </w:num>
  <w:num w:numId="21">
    <w:abstractNumId w:val="4"/>
  </w:num>
  <w:num w:numId="22">
    <w:abstractNumId w:val="7"/>
  </w:num>
  <w:num w:numId="23">
    <w:abstractNumId w:val="30"/>
  </w:num>
  <w:num w:numId="24">
    <w:abstractNumId w:val="32"/>
  </w:num>
  <w:num w:numId="25">
    <w:abstractNumId w:val="15"/>
  </w:num>
  <w:num w:numId="26">
    <w:abstractNumId w:val="20"/>
  </w:num>
  <w:num w:numId="27">
    <w:abstractNumId w:val="1"/>
  </w:num>
  <w:num w:numId="28">
    <w:abstractNumId w:val="2"/>
  </w:num>
  <w:num w:numId="29">
    <w:abstractNumId w:val="28"/>
  </w:num>
  <w:num w:numId="30">
    <w:abstractNumId w:val="38"/>
  </w:num>
  <w:num w:numId="31">
    <w:abstractNumId w:val="17"/>
  </w:num>
  <w:num w:numId="32">
    <w:abstractNumId w:val="12"/>
  </w:num>
  <w:num w:numId="33">
    <w:abstractNumId w:val="34"/>
  </w:num>
  <w:num w:numId="34">
    <w:abstractNumId w:val="19"/>
  </w:num>
  <w:num w:numId="35">
    <w:abstractNumId w:val="27"/>
  </w:num>
  <w:num w:numId="36">
    <w:abstractNumId w:val="24"/>
  </w:num>
  <w:num w:numId="37">
    <w:abstractNumId w:val="22"/>
  </w:num>
  <w:num w:numId="38">
    <w:abstractNumId w:val="10"/>
  </w:num>
  <w:num w:numId="39">
    <w:abstractNumId w:val="21"/>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43"/>
    <w:link w:val="934"/>
    <w:uiPriority w:val="9"/>
    <w:rPr>
      <w:rFonts w:ascii="Arial" w:hAnsi="Arial" w:eastAsia="Arial" w:cs="Arial"/>
      <w:sz w:val="40"/>
      <w:szCs w:val="40"/>
    </w:rPr>
  </w:style>
  <w:style w:type="character" w:styleId="773">
    <w:name w:val="Heading 2 Char"/>
    <w:basedOn w:val="943"/>
    <w:link w:val="935"/>
    <w:uiPriority w:val="9"/>
    <w:rPr>
      <w:rFonts w:ascii="Arial" w:hAnsi="Arial" w:eastAsia="Arial" w:cs="Arial"/>
      <w:sz w:val="34"/>
    </w:rPr>
  </w:style>
  <w:style w:type="character" w:styleId="774">
    <w:name w:val="Heading 3 Char"/>
    <w:basedOn w:val="943"/>
    <w:link w:val="936"/>
    <w:uiPriority w:val="9"/>
    <w:rPr>
      <w:rFonts w:ascii="Arial" w:hAnsi="Arial" w:eastAsia="Arial" w:cs="Arial"/>
      <w:sz w:val="30"/>
      <w:szCs w:val="30"/>
    </w:rPr>
  </w:style>
  <w:style w:type="character" w:styleId="775">
    <w:name w:val="Heading 4 Char"/>
    <w:basedOn w:val="943"/>
    <w:link w:val="937"/>
    <w:uiPriority w:val="9"/>
    <w:rPr>
      <w:rFonts w:ascii="Arial" w:hAnsi="Arial" w:eastAsia="Arial" w:cs="Arial"/>
      <w:b/>
      <w:bCs/>
      <w:sz w:val="26"/>
      <w:szCs w:val="26"/>
    </w:rPr>
  </w:style>
  <w:style w:type="character" w:styleId="776">
    <w:name w:val="Heading 5 Char"/>
    <w:basedOn w:val="943"/>
    <w:link w:val="938"/>
    <w:uiPriority w:val="9"/>
    <w:rPr>
      <w:rFonts w:ascii="Arial" w:hAnsi="Arial" w:eastAsia="Arial" w:cs="Arial"/>
      <w:b/>
      <w:bCs/>
      <w:sz w:val="24"/>
      <w:szCs w:val="24"/>
    </w:rPr>
  </w:style>
  <w:style w:type="character" w:styleId="777">
    <w:name w:val="Heading 6 Char"/>
    <w:basedOn w:val="943"/>
    <w:link w:val="939"/>
    <w:uiPriority w:val="9"/>
    <w:rPr>
      <w:rFonts w:ascii="Arial" w:hAnsi="Arial" w:eastAsia="Arial" w:cs="Arial"/>
      <w:b/>
      <w:bCs/>
      <w:sz w:val="22"/>
      <w:szCs w:val="22"/>
    </w:rPr>
  </w:style>
  <w:style w:type="character" w:styleId="778">
    <w:name w:val="Heading 7 Char"/>
    <w:basedOn w:val="943"/>
    <w:link w:val="940"/>
    <w:uiPriority w:val="9"/>
    <w:rPr>
      <w:rFonts w:ascii="Arial" w:hAnsi="Arial" w:eastAsia="Arial" w:cs="Arial"/>
      <w:b/>
      <w:bCs/>
      <w:i/>
      <w:iCs/>
      <w:sz w:val="22"/>
      <w:szCs w:val="22"/>
    </w:rPr>
  </w:style>
  <w:style w:type="character" w:styleId="779">
    <w:name w:val="Heading 8 Char"/>
    <w:basedOn w:val="943"/>
    <w:link w:val="941"/>
    <w:uiPriority w:val="9"/>
    <w:rPr>
      <w:rFonts w:ascii="Arial" w:hAnsi="Arial" w:eastAsia="Arial" w:cs="Arial"/>
      <w:i/>
      <w:iCs/>
      <w:sz w:val="22"/>
      <w:szCs w:val="22"/>
    </w:rPr>
  </w:style>
  <w:style w:type="character" w:styleId="780">
    <w:name w:val="Heading 9 Char"/>
    <w:basedOn w:val="943"/>
    <w:link w:val="942"/>
    <w:uiPriority w:val="9"/>
    <w:rPr>
      <w:rFonts w:ascii="Arial" w:hAnsi="Arial" w:eastAsia="Arial" w:cs="Arial"/>
      <w:i/>
      <w:iCs/>
      <w:sz w:val="21"/>
      <w:szCs w:val="21"/>
    </w:rPr>
  </w:style>
  <w:style w:type="paragraph" w:styleId="781">
    <w:name w:val="No Spacing"/>
    <w:uiPriority w:val="1"/>
    <w:qFormat/>
    <w:pPr>
      <w:spacing w:before="0" w:after="0" w:line="240" w:lineRule="auto"/>
    </w:pPr>
  </w:style>
  <w:style w:type="character" w:styleId="782">
    <w:name w:val="Title Char"/>
    <w:basedOn w:val="943"/>
    <w:link w:val="971"/>
    <w:uiPriority w:val="10"/>
    <w:rPr>
      <w:sz w:val="48"/>
      <w:szCs w:val="48"/>
    </w:rPr>
  </w:style>
  <w:style w:type="paragraph" w:styleId="783">
    <w:name w:val="Subtitle"/>
    <w:basedOn w:val="933"/>
    <w:next w:val="933"/>
    <w:link w:val="784"/>
    <w:uiPriority w:val="11"/>
    <w:qFormat/>
    <w:pPr>
      <w:spacing w:before="200" w:after="200"/>
    </w:pPr>
    <w:rPr>
      <w:sz w:val="24"/>
      <w:szCs w:val="24"/>
    </w:rPr>
  </w:style>
  <w:style w:type="character" w:styleId="784">
    <w:name w:val="Subtitle Char"/>
    <w:basedOn w:val="943"/>
    <w:link w:val="783"/>
    <w:uiPriority w:val="11"/>
    <w:rPr>
      <w:sz w:val="24"/>
      <w:szCs w:val="24"/>
    </w:rPr>
  </w:style>
  <w:style w:type="paragraph" w:styleId="785">
    <w:name w:val="Quote"/>
    <w:basedOn w:val="933"/>
    <w:next w:val="933"/>
    <w:link w:val="786"/>
    <w:uiPriority w:val="29"/>
    <w:qFormat/>
    <w:pPr>
      <w:ind w:left="720" w:right="720"/>
    </w:pPr>
    <w:rPr>
      <w:i/>
    </w:rPr>
  </w:style>
  <w:style w:type="character" w:styleId="786">
    <w:name w:val="Quote Char"/>
    <w:link w:val="785"/>
    <w:uiPriority w:val="29"/>
    <w:rPr>
      <w:i/>
    </w:rPr>
  </w:style>
  <w:style w:type="paragraph" w:styleId="787">
    <w:name w:val="Intense Quote"/>
    <w:basedOn w:val="933"/>
    <w:next w:val="933"/>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43"/>
    <w:link w:val="964"/>
    <w:uiPriority w:val="99"/>
  </w:style>
  <w:style w:type="character" w:styleId="790">
    <w:name w:val="Footer Char"/>
    <w:basedOn w:val="943"/>
    <w:link w:val="962"/>
    <w:uiPriority w:val="99"/>
  </w:style>
  <w:style w:type="paragraph" w:styleId="791">
    <w:name w:val="Caption"/>
    <w:basedOn w:val="933"/>
    <w:next w:val="933"/>
    <w:uiPriority w:val="35"/>
    <w:semiHidden/>
    <w:unhideWhenUsed/>
    <w:qFormat/>
    <w:pPr>
      <w:spacing w:line="276" w:lineRule="auto"/>
    </w:pPr>
    <w:rPr>
      <w:b/>
      <w:bCs/>
      <w:color w:val="4f81bd" w:themeColor="accent1"/>
      <w:sz w:val="18"/>
      <w:szCs w:val="18"/>
    </w:rPr>
  </w:style>
  <w:style w:type="character" w:styleId="792">
    <w:name w:val="Caption Char"/>
    <w:basedOn w:val="791"/>
    <w:link w:val="962"/>
    <w:uiPriority w:val="99"/>
  </w:style>
  <w:style w:type="table" w:styleId="793">
    <w:name w:val="Table Grid Light"/>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9">
    <w:name w:val="Grid Table 5 Dark - Accent 2"/>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0">
    <w:name w:val="Grid Table 5 Dark - Accent 3"/>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1">
    <w:name w:val="Grid Table 5 Dark- Accent 4"/>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2">
    <w:name w:val="Grid Table 5 Dark - Accent 5"/>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3">
    <w:name w:val="Grid Table 5 Dark - Accent 6"/>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4">
    <w:name w:val="Grid Table 6 Colorful"/>
    <w:basedOn w:val="9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1">
    <w:name w:val="Grid Table 7 Colorful"/>
    <w:basedOn w:val="9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4">
    <w:name w:val="List Table 3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5">
    <w:name w:val="List Table 3 - Accent 3"/>
    <w:basedOn w:val="9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6">
    <w:name w:val="List Table 3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7">
    <w:name w:val="List Table 3 - Accent 5"/>
    <w:basedOn w:val="9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8">
    <w:name w:val="List Table 3 - Accent 6"/>
    <w:basedOn w:val="9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9">
    <w:name w:val="List Table 4"/>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1">
    <w:name w:val="List Table 4 - Accent 2"/>
    <w:basedOn w:val="9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2">
    <w:name w:val="List Table 4 - Accent 3"/>
    <w:basedOn w:val="9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3">
    <w:name w:val="List Table 4 - Accent 4"/>
    <w:basedOn w:val="9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4">
    <w:name w:val="List Table 4 - Accent 5"/>
    <w:basedOn w:val="9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5">
    <w:name w:val="List Table 4 - Accent 6"/>
    <w:basedOn w:val="9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6">
    <w:name w:val="List Table 5 Dark"/>
    <w:basedOn w:val="9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5">
    <w:name w:val="List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6">
    <w:name w:val="List Table 6 Colorful - Accent 3"/>
    <w:basedOn w:val="9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7">
    <w:name w:val="List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8">
    <w:name w:val="List Table 6 Colorful - Accent 5"/>
    <w:basedOn w:val="9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9">
    <w:name w:val="List Table 6 Colorful - Accent 6"/>
    <w:basedOn w:val="9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0">
    <w:name w:val="List Table 7 Colorful"/>
    <w:basedOn w:val="9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2">
    <w:name w:val="List Table 7 Colorful - Accent 2"/>
    <w:basedOn w:val="9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3">
    <w:name w:val="List Table 7 Colorful - Accent 3"/>
    <w:basedOn w:val="9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4">
    <w:name w:val="List Table 7 Colorful - Accent 4"/>
    <w:basedOn w:val="9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5">
    <w:name w:val="List Table 7 Colorful - Accent 5"/>
    <w:basedOn w:val="9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6">
    <w:name w:val="List Table 7 Colorful - Accent 6"/>
    <w:basedOn w:val="9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7">
    <w:name w:val="Lined - Accent"/>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9">
    <w:name w:val="Lined - Accent 2"/>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Lined - Accent 3"/>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Lined - Accent 4"/>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Lined - Accent 5"/>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3">
    <w:name w:val="Lined - Accent 6"/>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amp; Lined - Accent"/>
    <w:basedOn w:val="9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6">
    <w:name w:val="Bordered &amp; Lined - Accent 2"/>
    <w:basedOn w:val="9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7">
    <w:name w:val="Bordered &amp; Lined - Accent 3"/>
    <w:basedOn w:val="9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8">
    <w:name w:val="Bordered &amp; Lined - Accent 4"/>
    <w:basedOn w:val="9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9">
    <w:name w:val="Bordered &amp; Lined - Accent 5"/>
    <w:basedOn w:val="9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0">
    <w:name w:val="Bordered &amp; Lined - Accent 6"/>
    <w:basedOn w:val="9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1">
    <w:name w:val="Bordered"/>
    <w:basedOn w:val="9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8">
    <w:name w:val="footnote text"/>
    <w:basedOn w:val="933"/>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basedOn w:val="943"/>
    <w:uiPriority w:val="99"/>
    <w:unhideWhenUsed/>
    <w:rPr>
      <w:vertAlign w:val="superscript"/>
    </w:rPr>
  </w:style>
  <w:style w:type="paragraph" w:styleId="921">
    <w:name w:val="endnote text"/>
    <w:basedOn w:val="933"/>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basedOn w:val="943"/>
    <w:uiPriority w:val="99"/>
    <w:semiHidden/>
    <w:unhideWhenUsed/>
    <w:rPr>
      <w:vertAlign w:val="superscript"/>
    </w:rPr>
  </w:style>
  <w:style w:type="paragraph" w:styleId="924">
    <w:name w:val="toc 2"/>
    <w:basedOn w:val="933"/>
    <w:next w:val="933"/>
    <w:uiPriority w:val="39"/>
    <w:unhideWhenUsed/>
    <w:pPr>
      <w:ind w:left="283" w:right="0" w:firstLine="0"/>
      <w:spacing w:after="57"/>
    </w:pPr>
  </w:style>
  <w:style w:type="paragraph" w:styleId="925">
    <w:name w:val="toc 3"/>
    <w:basedOn w:val="933"/>
    <w:next w:val="933"/>
    <w:uiPriority w:val="39"/>
    <w:unhideWhenUsed/>
    <w:pPr>
      <w:ind w:left="567" w:right="0" w:firstLine="0"/>
      <w:spacing w:after="57"/>
    </w:pPr>
  </w:style>
  <w:style w:type="paragraph" w:styleId="926">
    <w:name w:val="toc 4"/>
    <w:basedOn w:val="933"/>
    <w:next w:val="933"/>
    <w:uiPriority w:val="39"/>
    <w:unhideWhenUsed/>
    <w:pPr>
      <w:ind w:left="850" w:right="0" w:firstLine="0"/>
      <w:spacing w:after="57"/>
    </w:pPr>
  </w:style>
  <w:style w:type="paragraph" w:styleId="927">
    <w:name w:val="toc 5"/>
    <w:basedOn w:val="933"/>
    <w:next w:val="933"/>
    <w:uiPriority w:val="39"/>
    <w:unhideWhenUsed/>
    <w:pPr>
      <w:ind w:left="1134" w:right="0" w:firstLine="0"/>
      <w:spacing w:after="57"/>
    </w:pPr>
  </w:style>
  <w:style w:type="paragraph" w:styleId="928">
    <w:name w:val="toc 6"/>
    <w:basedOn w:val="933"/>
    <w:next w:val="933"/>
    <w:uiPriority w:val="39"/>
    <w:unhideWhenUsed/>
    <w:pPr>
      <w:ind w:left="1417"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45"/>
    <w:uiPriority w:val="0"/>
    <w:qFormat/>
    <w:pPr>
      <w:jc w:val="both"/>
      <w:widowControl w:val="off"/>
    </w:pPr>
    <w:rPr>
      <w:rFonts w:ascii="Times New Roman" w:hAnsi="Times New Roman" w:eastAsia="宋体" w:cs="Times New Roman"/>
      <w:sz w:val="21"/>
      <w:szCs w:val="24"/>
      <w:lang w:val="en-US" w:eastAsia="zh-CN" w:bidi="ar-SA"/>
    </w:rPr>
  </w:style>
  <w:style w:type="paragraph" w:styleId="934">
    <w:name w:val="Heading 1"/>
    <w:basedOn w:val="933"/>
    <w:next w:val="933"/>
    <w:link w:val="991"/>
    <w:uiPriority w:val="0"/>
    <w:qFormat/>
    <w:pPr>
      <w:keepLines/>
      <w:keepNext/>
      <w:spacing w:before="340" w:after="330" w:line="578" w:lineRule="auto"/>
      <w:outlineLvl w:val="0"/>
    </w:pPr>
    <w:rPr>
      <w:b/>
      <w:bCs/>
      <w:sz w:val="44"/>
      <w:szCs w:val="44"/>
    </w:rPr>
  </w:style>
  <w:style w:type="paragraph" w:styleId="935">
    <w:name w:val="Heading 2"/>
    <w:basedOn w:val="933"/>
    <w:next w:val="933"/>
    <w:link w:val="997"/>
    <w:uiPriority w:val="0"/>
    <w:qFormat/>
    <w:pPr>
      <w:keepLines/>
      <w:keepNext/>
      <w:spacing w:before="260" w:after="260" w:line="416" w:lineRule="auto"/>
      <w:outlineLvl w:val="1"/>
    </w:pPr>
    <w:rPr>
      <w:rFonts w:ascii="Arial" w:hAnsi="Arial" w:eastAsia="黑体"/>
      <w:b/>
      <w:bCs/>
      <w:sz w:val="32"/>
      <w:szCs w:val="32"/>
    </w:rPr>
  </w:style>
  <w:style w:type="paragraph" w:styleId="936">
    <w:name w:val="Heading 3"/>
    <w:basedOn w:val="933"/>
    <w:next w:val="933"/>
    <w:link w:val="1007"/>
    <w:uiPriority w:val="0"/>
    <w:qFormat/>
    <w:pPr>
      <w:keepLines/>
      <w:keepNext/>
      <w:spacing w:before="260" w:after="260" w:line="416" w:lineRule="auto"/>
      <w:outlineLvl w:val="2"/>
    </w:pPr>
    <w:rPr>
      <w:b/>
      <w:bCs/>
      <w:sz w:val="32"/>
      <w:szCs w:val="32"/>
    </w:rPr>
  </w:style>
  <w:style w:type="paragraph" w:styleId="937">
    <w:name w:val="Heading 4"/>
    <w:basedOn w:val="933"/>
    <w:next w:val="933"/>
    <w:link w:val="1009"/>
    <w:uiPriority w:val="0"/>
    <w:qFormat/>
    <w:pPr>
      <w:keepLines/>
      <w:keepNext/>
      <w:spacing w:before="280" w:after="290" w:line="376" w:lineRule="auto"/>
      <w:outlineLvl w:val="3"/>
    </w:pPr>
    <w:rPr>
      <w:rFonts w:ascii="Cambria" w:hAnsi="Cambria"/>
      <w:b/>
      <w:bCs/>
      <w:sz w:val="28"/>
      <w:szCs w:val="28"/>
    </w:rPr>
  </w:style>
  <w:style w:type="paragraph" w:styleId="938">
    <w:name w:val="Heading 5"/>
    <w:basedOn w:val="933"/>
    <w:next w:val="933"/>
    <w:link w:val="1019"/>
    <w:uiPriority w:val="0"/>
    <w:qFormat/>
    <w:pPr>
      <w:keepLines/>
      <w:keepNext/>
      <w:spacing w:before="280" w:after="290" w:line="376" w:lineRule="auto"/>
      <w:outlineLvl w:val="4"/>
    </w:pPr>
    <w:rPr>
      <w:rFonts w:ascii="Calibri" w:hAnsi="Calibri"/>
      <w:b/>
      <w:bCs/>
      <w:sz w:val="28"/>
      <w:szCs w:val="28"/>
    </w:rPr>
  </w:style>
  <w:style w:type="paragraph" w:styleId="939">
    <w:name w:val="Heading 6"/>
    <w:basedOn w:val="933"/>
    <w:next w:val="947"/>
    <w:link w:val="1001"/>
    <w:uiPriority w:val="0"/>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940">
    <w:name w:val="Heading 7"/>
    <w:basedOn w:val="933"/>
    <w:next w:val="947"/>
    <w:link w:val="1016"/>
    <w:uiPriority w:val="0"/>
    <w:qFormat/>
    <w:pPr>
      <w:ind w:left="1296" w:hanging="1296"/>
      <w:keepLines/>
      <w:keepNext/>
      <w:spacing w:before="240" w:after="64" w:line="320" w:lineRule="auto"/>
      <w:tabs>
        <w:tab w:val="left" w:pos="1296" w:leader="none"/>
      </w:tabs>
      <w:outlineLvl w:val="6"/>
    </w:pPr>
    <w:rPr>
      <w:b/>
      <w:sz w:val="24"/>
      <w:szCs w:val="20"/>
    </w:rPr>
  </w:style>
  <w:style w:type="paragraph" w:styleId="941">
    <w:name w:val="Heading 8"/>
    <w:basedOn w:val="933"/>
    <w:next w:val="947"/>
    <w:link w:val="1020"/>
    <w:uiPriority w:val="0"/>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942">
    <w:name w:val="Heading 9"/>
    <w:basedOn w:val="933"/>
    <w:next w:val="947"/>
    <w:link w:val="1006"/>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43" w:default="1">
    <w:name w:val="Default Paragraph Font"/>
    <w:uiPriority w:val="1"/>
    <w:semiHidden/>
    <w:unhideWhenUsed/>
    <w:qFormat/>
  </w:style>
  <w:style w:type="table" w:styleId="944" w:default="1">
    <w:name w:val="Normal Table"/>
    <w:uiPriority w:val="99"/>
    <w:semiHidden/>
    <w:unhideWhenUsed/>
    <w:qFormat/>
    <w:tblPr>
      <w:tblLayout w:type="fixed"/>
      <w:tblCellMar>
        <w:left w:w="108" w:type="dxa"/>
        <w:top w:w="0" w:type="dxa"/>
        <w:right w:w="108" w:type="dxa"/>
        <w:bottom w:w="0" w:type="dxa"/>
      </w:tblCellMar>
    </w:tblPr>
  </w:style>
  <w:style w:type="paragraph" w:styleId="945">
    <w:name w:val="Body Text First Indent 2"/>
    <w:basedOn w:val="946"/>
    <w:next w:val="947"/>
    <w:uiPriority w:val="99"/>
    <w:unhideWhenUsed/>
    <w:qFormat/>
    <w:pPr>
      <w:ind w:left="420" w:firstLine="420"/>
      <w:jc w:val="both"/>
      <w:spacing w:after="120"/>
    </w:pPr>
    <w:rPr>
      <w:sz w:val="21"/>
    </w:rPr>
  </w:style>
  <w:style w:type="paragraph" w:styleId="946">
    <w:name w:val="Body Text Indent"/>
    <w:basedOn w:val="933"/>
    <w:next w:val="933"/>
    <w:link w:val="1015"/>
    <w:uiPriority w:val="0"/>
    <w:qFormat/>
    <w:pPr>
      <w:ind w:firstLine="560"/>
      <w:jc w:val="left"/>
      <w:spacing w:line="300" w:lineRule="auto"/>
    </w:pPr>
    <w:rPr>
      <w:sz w:val="28"/>
    </w:rPr>
  </w:style>
  <w:style w:type="paragraph" w:styleId="947">
    <w:name w:val="Normal Indent"/>
    <w:basedOn w:val="933"/>
    <w:next w:val="933"/>
    <w:link w:val="1013"/>
    <w:uiPriority w:val="0"/>
    <w:qFormat/>
    <w:pPr>
      <w:ind w:firstLine="420"/>
      <w:jc w:val="left"/>
    </w:pPr>
    <w:rPr>
      <w:rFonts w:eastAsia="楷体_GB2312"/>
      <w:sz w:val="24"/>
      <w:szCs w:val="20"/>
    </w:rPr>
  </w:style>
  <w:style w:type="paragraph" w:styleId="948">
    <w:name w:val="List 3"/>
    <w:basedOn w:val="933"/>
    <w:uiPriority w:val="0"/>
    <w:qFormat/>
    <w:pPr>
      <w:ind w:left="100" w:hanging="200"/>
      <w:spacing w:line="360" w:lineRule="auto"/>
    </w:pPr>
    <w:rPr>
      <w:sz w:val="24"/>
    </w:rPr>
  </w:style>
  <w:style w:type="paragraph" w:styleId="949">
    <w:name w:val="annotation subject"/>
    <w:basedOn w:val="950"/>
    <w:next w:val="950"/>
    <w:link w:val="1021"/>
    <w:uiPriority w:val="0"/>
    <w:semiHidden/>
    <w:qFormat/>
    <w:rPr>
      <w:b/>
      <w:bCs/>
    </w:rPr>
  </w:style>
  <w:style w:type="paragraph" w:styleId="950">
    <w:name w:val="annotation text"/>
    <w:basedOn w:val="933"/>
    <w:link w:val="1022"/>
    <w:uiPriority w:val="0"/>
    <w:qFormat/>
    <w:pPr>
      <w:jc w:val="left"/>
    </w:pPr>
  </w:style>
  <w:style w:type="paragraph" w:styleId="951">
    <w:name w:val="toc 7"/>
    <w:basedOn w:val="934"/>
    <w:next w:val="933"/>
    <w:uiPriority w:val="39"/>
    <w:unhideWhenUsed/>
    <w:qFormat/>
    <w:pPr>
      <w:ind w:left="1701"/>
      <w:spacing w:after="57"/>
    </w:pPr>
  </w:style>
  <w:style w:type="paragraph" w:styleId="952">
    <w:name w:val="Body Text First Indent"/>
    <w:basedOn w:val="953"/>
    <w:next w:val="933"/>
    <w:link w:val="992"/>
    <w:uiPriority w:val="0"/>
    <w:qFormat/>
    <w:pPr>
      <w:ind w:firstLine="420"/>
      <w:spacing w:after="120" w:line="400" w:lineRule="exact"/>
      <w:tabs>
        <w:tab w:val="left" w:pos="5250" w:leader="none"/>
      </w:tabs>
    </w:pPr>
    <w:rPr>
      <w:sz w:val="21"/>
    </w:rPr>
  </w:style>
  <w:style w:type="paragraph" w:styleId="953">
    <w:name w:val="Body Text"/>
    <w:basedOn w:val="933"/>
    <w:next w:val="947"/>
    <w:link w:val="982"/>
    <w:uiPriority w:val="0"/>
    <w:qFormat/>
    <w:pPr>
      <w:tabs>
        <w:tab w:val="left" w:pos="5250" w:leader="none"/>
      </w:tabs>
    </w:pPr>
    <w:rPr>
      <w:sz w:val="28"/>
    </w:rPr>
  </w:style>
  <w:style w:type="paragraph" w:styleId="954">
    <w:name w:val="Document Map"/>
    <w:basedOn w:val="933"/>
    <w:link w:val="986"/>
    <w:uiPriority w:val="0"/>
    <w:semiHidden/>
    <w:qFormat/>
    <w:pPr>
      <w:shd w:val="clear" w:color="auto" w:fill="000080"/>
    </w:pPr>
  </w:style>
  <w:style w:type="paragraph" w:styleId="955">
    <w:name w:val="Body Text 3"/>
    <w:basedOn w:val="933"/>
    <w:link w:val="983"/>
    <w:uiPriority w:val="0"/>
    <w:qFormat/>
    <w:pPr>
      <w:spacing w:line="500" w:lineRule="exact"/>
    </w:pPr>
    <w:rPr>
      <w:rFonts w:ascii="宋体" w:hAnsi="宋体"/>
    </w:rPr>
  </w:style>
  <w:style w:type="paragraph" w:styleId="956">
    <w:name w:val="List 2"/>
    <w:basedOn w:val="934"/>
    <w:next w:val="951"/>
    <w:uiPriority w:val="0"/>
    <w:qFormat/>
    <w:pPr>
      <w:ind w:left="100" w:hanging="200"/>
      <w:spacing w:line="360" w:lineRule="auto"/>
    </w:pPr>
    <w:rPr>
      <w:sz w:val="24"/>
    </w:rPr>
  </w:style>
  <w:style w:type="paragraph" w:styleId="957">
    <w:name w:val="Block Text"/>
    <w:basedOn w:val="933"/>
    <w:uiPriority w:val="0"/>
    <w:qFormat/>
    <w:pPr>
      <w:ind w:left="630" w:right="-609" w:firstLine="420"/>
      <w:spacing w:line="360" w:lineRule="auto"/>
    </w:pPr>
    <w:rPr>
      <w:rFonts w:hint="eastAsia" w:ascii="仿宋_GB2312" w:eastAsia="仿宋_GB2312"/>
      <w:szCs w:val="20"/>
    </w:rPr>
  </w:style>
  <w:style w:type="paragraph" w:styleId="958">
    <w:name w:val="Plain Text"/>
    <w:basedOn w:val="933"/>
    <w:link w:val="1023"/>
    <w:uiPriority w:val="0"/>
    <w:qFormat/>
    <w:rPr>
      <w:rFonts w:ascii="宋体" w:hAnsi="Courier New" w:eastAsia="楷体_GB2312"/>
      <w:sz w:val="28"/>
      <w:szCs w:val="20"/>
    </w:rPr>
  </w:style>
  <w:style w:type="paragraph" w:styleId="959">
    <w:name w:val="Date"/>
    <w:basedOn w:val="933"/>
    <w:next w:val="933"/>
    <w:link w:val="980"/>
    <w:uiPriority w:val="0"/>
    <w:qFormat/>
    <w:rPr>
      <w:szCs w:val="20"/>
    </w:rPr>
  </w:style>
  <w:style w:type="paragraph" w:styleId="960">
    <w:name w:val="Body Text Indent 2"/>
    <w:basedOn w:val="933"/>
    <w:link w:val="1008"/>
    <w:uiPriority w:val="0"/>
    <w:qFormat/>
    <w:pPr>
      <w:ind w:left="840"/>
      <w:spacing w:line="360" w:lineRule="auto"/>
      <w:tabs>
        <w:tab w:val="left" w:pos="630" w:leader="none"/>
      </w:tabs>
    </w:pPr>
    <w:rPr>
      <w:rFonts w:ascii="宋体" w:hAnsi="宋体"/>
    </w:rPr>
  </w:style>
  <w:style w:type="paragraph" w:styleId="961">
    <w:name w:val="Balloon Text"/>
    <w:basedOn w:val="933"/>
    <w:link w:val="1003"/>
    <w:uiPriority w:val="0"/>
    <w:semiHidden/>
    <w:qFormat/>
    <w:rPr>
      <w:sz w:val="18"/>
      <w:szCs w:val="18"/>
    </w:rPr>
  </w:style>
  <w:style w:type="paragraph" w:styleId="962">
    <w:name w:val="Footer"/>
    <w:basedOn w:val="933"/>
    <w:link w:val="1012"/>
    <w:uiPriority w:val="99"/>
    <w:qFormat/>
    <w:pPr>
      <w:jc w:val="left"/>
      <w:tabs>
        <w:tab w:val="center" w:pos="4153" w:leader="none"/>
        <w:tab w:val="right" w:pos="8306" w:leader="none"/>
      </w:tabs>
    </w:pPr>
    <w:rPr>
      <w:sz w:val="18"/>
      <w:szCs w:val="18"/>
    </w:rPr>
  </w:style>
  <w:style w:type="paragraph" w:styleId="963">
    <w:name w:val="envelope return"/>
    <w:basedOn w:val="933"/>
    <w:uiPriority w:val="0"/>
    <w:qFormat/>
    <w:rPr>
      <w:rFonts w:ascii="Arial" w:hAnsi="Arial" w:cs="Arial"/>
    </w:rPr>
  </w:style>
  <w:style w:type="paragraph" w:styleId="964">
    <w:name w:val="Header"/>
    <w:basedOn w:val="933"/>
    <w:link w:val="1000"/>
    <w:uiPriority w:val="99"/>
    <w:qFormat/>
    <w:pPr>
      <w:jc w:val="center"/>
      <w:tabs>
        <w:tab w:val="center" w:pos="4153" w:leader="none"/>
        <w:tab w:val="right" w:pos="8306" w:leader="none"/>
      </w:tabs>
      <w:pBdr>
        <w:bottom w:val="single" w:color="auto" w:sz="6" w:space="1"/>
      </w:pBdr>
    </w:pPr>
    <w:rPr>
      <w:sz w:val="18"/>
      <w:szCs w:val="18"/>
    </w:rPr>
  </w:style>
  <w:style w:type="paragraph" w:styleId="965">
    <w:name w:val="toc 1"/>
    <w:basedOn w:val="933"/>
    <w:next w:val="933"/>
    <w:uiPriority w:val="0"/>
    <w:qFormat/>
    <w:pPr>
      <w:jc w:val="left"/>
      <w:spacing w:line="400" w:lineRule="exact"/>
    </w:pPr>
    <w:rPr>
      <w:rFonts w:eastAsia="楷体_GB2312"/>
      <w:sz w:val="24"/>
      <w:szCs w:val="20"/>
    </w:rPr>
  </w:style>
  <w:style w:type="paragraph" w:styleId="966">
    <w:name w:val="List"/>
    <w:basedOn w:val="933"/>
    <w:uiPriority w:val="0"/>
    <w:qFormat/>
    <w:pPr>
      <w:ind w:left="200" w:hanging="200"/>
      <w:spacing w:line="360" w:lineRule="auto"/>
    </w:pPr>
    <w:rPr>
      <w:sz w:val="24"/>
    </w:rPr>
  </w:style>
  <w:style w:type="paragraph" w:styleId="967">
    <w:name w:val="Body Text Indent 3"/>
    <w:basedOn w:val="933"/>
    <w:link w:val="981"/>
    <w:uiPriority w:val="0"/>
    <w:qFormat/>
    <w:pPr>
      <w:ind w:firstLine="480"/>
      <w:spacing w:line="360" w:lineRule="auto"/>
      <w:widowControl/>
    </w:pPr>
    <w:rPr>
      <w:sz w:val="24"/>
    </w:rPr>
  </w:style>
  <w:style w:type="paragraph" w:styleId="968">
    <w:name w:val="Body Text 2"/>
    <w:basedOn w:val="933"/>
    <w:link w:val="990"/>
    <w:uiPriority w:val="0"/>
    <w:qFormat/>
    <w:pPr>
      <w:spacing w:after="120" w:line="480" w:lineRule="auto"/>
    </w:pPr>
  </w:style>
  <w:style w:type="paragraph" w:styleId="969">
    <w:name w:val="List Continue 2"/>
    <w:basedOn w:val="933"/>
    <w:uiPriority w:val="0"/>
    <w:qFormat/>
    <w:pPr>
      <w:ind w:left="840"/>
      <w:spacing w:after="120" w:line="360" w:lineRule="auto"/>
    </w:pPr>
    <w:rPr>
      <w:sz w:val="24"/>
    </w:rPr>
  </w:style>
  <w:style w:type="paragraph" w:styleId="970">
    <w:name w:val="Normal (Web)"/>
    <w:basedOn w:val="933"/>
    <w:next w:val="956"/>
    <w:uiPriority w:val="0"/>
    <w:qFormat/>
    <w:pPr>
      <w:jc w:val="left"/>
      <w:spacing w:before="100" w:beforeAutospacing="1" w:after="100" w:afterAutospacing="1"/>
      <w:widowControl/>
    </w:pPr>
    <w:rPr>
      <w:rFonts w:ascii="Arial Unicode MS" w:hAnsi="Arial Unicode MS" w:eastAsia="Times New Roman"/>
      <w:sz w:val="24"/>
    </w:rPr>
  </w:style>
  <w:style w:type="paragraph" w:styleId="971">
    <w:name w:val="Title"/>
    <w:basedOn w:val="933"/>
    <w:link w:val="989"/>
    <w:uiPriority w:val="0"/>
    <w:qFormat/>
    <w:pPr>
      <w:jc w:val="left"/>
      <w:spacing w:before="240" w:after="60" w:line="360" w:lineRule="auto"/>
      <w:outlineLvl w:val="0"/>
    </w:pPr>
    <w:rPr>
      <w:rFonts w:ascii="Arial" w:hAnsi="Arial"/>
      <w:b/>
      <w:bCs/>
      <w:sz w:val="28"/>
      <w:szCs w:val="32"/>
    </w:rPr>
  </w:style>
  <w:style w:type="character" w:styleId="972">
    <w:name w:val="Strong"/>
    <w:uiPriority w:val="0"/>
    <w:qFormat/>
    <w:rPr>
      <w:b/>
      <w:bCs/>
    </w:rPr>
  </w:style>
  <w:style w:type="character" w:styleId="973">
    <w:name w:val="page number"/>
    <w:uiPriority w:val="0"/>
    <w:qFormat/>
  </w:style>
  <w:style w:type="character" w:styleId="974">
    <w:name w:val="FollowedHyperlink"/>
    <w:uiPriority w:val="0"/>
    <w:qFormat/>
    <w:rPr>
      <w:color w:val="800080"/>
      <w:u w:val="single"/>
    </w:rPr>
  </w:style>
  <w:style w:type="character" w:styleId="975">
    <w:name w:val="Emphasis"/>
    <w:uiPriority w:val="20"/>
    <w:qFormat/>
    <w:rPr>
      <w:color w:val="cc0000"/>
    </w:rPr>
  </w:style>
  <w:style w:type="character" w:styleId="976">
    <w:name w:val="Hyperlink"/>
    <w:uiPriority w:val="0"/>
    <w:qFormat/>
    <w:rPr>
      <w:color w:val="0000ff"/>
      <w:u w:val="single"/>
    </w:rPr>
  </w:style>
  <w:style w:type="character" w:styleId="977">
    <w:name w:val="annotation reference"/>
    <w:uiPriority w:val="0"/>
    <w:qFormat/>
    <w:rPr>
      <w:sz w:val="21"/>
      <w:szCs w:val="21"/>
    </w:rPr>
  </w:style>
  <w:style w:type="table" w:styleId="978">
    <w:name w:val="Table Grid"/>
    <w:basedOn w:val="9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979" w:customStyle="1">
    <w:name w:val="段"/>
    <w:basedOn w:val="933"/>
    <w:next w:val="933"/>
    <w:uiPriority w:val="0"/>
    <w:qFormat/>
    <w:pPr>
      <w:ind w:firstLine="425"/>
    </w:pPr>
    <w:rPr>
      <w:rFonts w:ascii="宋体"/>
    </w:rPr>
  </w:style>
  <w:style w:type="character" w:styleId="980" w:customStyle="1">
    <w:name w:val="日期 Char"/>
    <w:link w:val="959"/>
    <w:uiPriority w:val="0"/>
    <w:qFormat/>
    <w:rPr>
      <w:sz w:val="21"/>
    </w:rPr>
  </w:style>
  <w:style w:type="character" w:styleId="981" w:customStyle="1">
    <w:name w:val="正文文本缩进 3 Char"/>
    <w:link w:val="967"/>
    <w:uiPriority w:val="0"/>
    <w:qFormat/>
    <w:rPr>
      <w:sz w:val="24"/>
      <w:szCs w:val="24"/>
    </w:rPr>
  </w:style>
  <w:style w:type="character" w:styleId="982" w:customStyle="1">
    <w:name w:val="正文文本 Char"/>
    <w:link w:val="953"/>
    <w:uiPriority w:val="0"/>
    <w:qFormat/>
    <w:rPr>
      <w:sz w:val="28"/>
      <w:szCs w:val="24"/>
    </w:rPr>
  </w:style>
  <w:style w:type="character" w:styleId="983" w:customStyle="1">
    <w:name w:val="正文文本 3 Char"/>
    <w:link w:val="955"/>
    <w:uiPriority w:val="0"/>
    <w:qFormat/>
    <w:rPr>
      <w:rFonts w:ascii="宋体" w:hAnsi="宋体"/>
      <w:sz w:val="21"/>
      <w:szCs w:val="24"/>
    </w:rPr>
  </w:style>
  <w:style w:type="character" w:styleId="984" w:customStyle="1">
    <w:name w:val="验收-表格内文字 Char"/>
    <w:link w:val="985"/>
    <w:uiPriority w:val="0"/>
    <w:qFormat/>
    <w:rPr>
      <w:sz w:val="21"/>
      <w:szCs w:val="24"/>
    </w:rPr>
  </w:style>
  <w:style w:type="paragraph" w:styleId="985" w:customStyle="1">
    <w:name w:val="验收-表格内文字"/>
    <w:basedOn w:val="933"/>
    <w:link w:val="984"/>
    <w:uiPriority w:val="0"/>
    <w:qFormat/>
    <w:pPr>
      <w:jc w:val="center"/>
      <w:spacing w:line="400" w:lineRule="exact"/>
    </w:pPr>
  </w:style>
  <w:style w:type="character" w:styleId="986" w:customStyle="1">
    <w:name w:val="文档结构图 Char"/>
    <w:link w:val="954"/>
    <w:uiPriority w:val="0"/>
    <w:semiHidden/>
    <w:qFormat/>
    <w:rPr>
      <w:sz w:val="21"/>
      <w:szCs w:val="24"/>
      <w:shd w:val="clear" w:color="auto" w:fill="000080"/>
    </w:rPr>
  </w:style>
  <w:style w:type="character" w:styleId="987" w:customStyle="1">
    <w:name w:val="标准文本 Char Char"/>
    <w:uiPriority w:val="0"/>
    <w:qFormat/>
    <w:rPr>
      <w:rFonts w:cs="宋体"/>
      <w:sz w:val="24"/>
    </w:rPr>
  </w:style>
  <w:style w:type="character" w:styleId="988" w:customStyle="1">
    <w:name w:val="para1"/>
    <w:uiPriority w:val="0"/>
    <w:qFormat/>
    <w:rPr>
      <w:rFonts w:hint="default" w:ascii="Arial" w:hAnsi="Arial" w:cs="Arial"/>
      <w:sz w:val="18"/>
      <w:szCs w:val="18"/>
    </w:rPr>
  </w:style>
  <w:style w:type="character" w:styleId="989" w:customStyle="1">
    <w:name w:val="标题 Char"/>
    <w:link w:val="971"/>
    <w:uiPriority w:val="0"/>
    <w:qFormat/>
    <w:rPr>
      <w:rFonts w:ascii="Arial" w:hAnsi="Arial" w:cs="Arial"/>
      <w:b/>
      <w:bCs/>
      <w:sz w:val="28"/>
      <w:szCs w:val="32"/>
    </w:rPr>
  </w:style>
  <w:style w:type="character" w:styleId="990" w:customStyle="1">
    <w:name w:val="正文文本 2 Char"/>
    <w:link w:val="968"/>
    <w:uiPriority w:val="0"/>
    <w:qFormat/>
    <w:rPr>
      <w:sz w:val="21"/>
      <w:szCs w:val="24"/>
    </w:rPr>
  </w:style>
  <w:style w:type="character" w:styleId="991" w:customStyle="1">
    <w:name w:val="标题 1 Char"/>
    <w:link w:val="934"/>
    <w:uiPriority w:val="0"/>
    <w:qFormat/>
    <w:rPr>
      <w:b/>
      <w:bCs/>
      <w:sz w:val="44"/>
      <w:szCs w:val="44"/>
    </w:rPr>
  </w:style>
  <w:style w:type="character" w:styleId="992" w:customStyle="1">
    <w:name w:val="正文首行缩进 Char"/>
    <w:link w:val="952"/>
    <w:uiPriority w:val="0"/>
    <w:qFormat/>
    <w:rPr>
      <w:sz w:val="21"/>
      <w:szCs w:val="24"/>
    </w:rPr>
  </w:style>
  <w:style w:type="character" w:styleId="993" w:customStyle="1">
    <w:name w:val="lh151"/>
    <w:uiPriority w:val="0"/>
    <w:qFormat/>
    <w:rPr>
      <w:color w:val="666666"/>
    </w:rPr>
  </w:style>
  <w:style w:type="character" w:styleId="994" w:customStyle="1">
    <w:name w:val="标题1"/>
    <w:uiPriority w:val="99"/>
    <w:qFormat/>
    <w:rPr>
      <w:rFonts w:cs="Times New Roman"/>
    </w:rPr>
  </w:style>
  <w:style w:type="character" w:styleId="995" w:customStyle="1">
    <w:name w:val="验收-图表标题 Char"/>
    <w:link w:val="996"/>
    <w:uiPriority w:val="0"/>
    <w:qFormat/>
    <w:rPr>
      <w:rFonts w:ascii="黑体" w:eastAsia="黑体"/>
      <w:sz w:val="21"/>
      <w:szCs w:val="21"/>
    </w:rPr>
  </w:style>
  <w:style w:type="paragraph" w:styleId="996" w:customStyle="1">
    <w:name w:val="验收-图表标题"/>
    <w:basedOn w:val="933"/>
    <w:link w:val="995"/>
    <w:uiPriority w:val="0"/>
    <w:qFormat/>
    <w:pPr>
      <w:jc w:val="center"/>
      <w:spacing w:line="360" w:lineRule="auto"/>
    </w:pPr>
    <w:rPr>
      <w:rFonts w:ascii="黑体" w:eastAsia="黑体"/>
      <w:szCs w:val="21"/>
    </w:rPr>
  </w:style>
  <w:style w:type="character" w:styleId="997" w:customStyle="1">
    <w:name w:val="标题 2 Char"/>
    <w:link w:val="935"/>
    <w:uiPriority w:val="0"/>
    <w:qFormat/>
    <w:rPr>
      <w:rFonts w:ascii="Arial" w:hAnsi="Arial" w:eastAsia="黑体"/>
      <w:b/>
      <w:bCs/>
      <w:sz w:val="32"/>
      <w:szCs w:val="32"/>
    </w:rPr>
  </w:style>
  <w:style w:type="character" w:styleId="998" w:customStyle="1">
    <w:name w:val="标准文本 Char"/>
    <w:link w:val="999"/>
    <w:uiPriority w:val="0"/>
    <w:qFormat/>
    <w:rPr>
      <w:sz w:val="24"/>
    </w:rPr>
  </w:style>
  <w:style w:type="paragraph" w:styleId="999" w:customStyle="1">
    <w:name w:val="标准文本"/>
    <w:basedOn w:val="933"/>
    <w:link w:val="998"/>
    <w:uiPriority w:val="0"/>
    <w:qFormat/>
    <w:pPr>
      <w:ind w:firstLine="480"/>
      <w:spacing w:line="360" w:lineRule="auto"/>
    </w:pPr>
    <w:rPr>
      <w:sz w:val="24"/>
      <w:szCs w:val="20"/>
    </w:rPr>
  </w:style>
  <w:style w:type="character" w:styleId="1000" w:customStyle="1">
    <w:name w:val="页眉 Char"/>
    <w:link w:val="964"/>
    <w:uiPriority w:val="99"/>
    <w:qFormat/>
    <w:rPr>
      <w:sz w:val="18"/>
      <w:szCs w:val="18"/>
    </w:rPr>
  </w:style>
  <w:style w:type="character" w:styleId="1001" w:customStyle="1">
    <w:name w:val="标题 6 Char"/>
    <w:link w:val="939"/>
    <w:uiPriority w:val="0"/>
    <w:qFormat/>
    <w:rPr>
      <w:rFonts w:ascii="Arial" w:hAnsi="Arial" w:eastAsia="黑体"/>
      <w:b/>
      <w:sz w:val="24"/>
    </w:rPr>
  </w:style>
  <w:style w:type="character" w:styleId="1002" w:customStyle="1">
    <w:name w:val="纯文本 Char1"/>
    <w:uiPriority w:val="99"/>
    <w:semiHidden/>
    <w:qFormat/>
    <w:rPr>
      <w:rFonts w:ascii="宋体" w:hAnsi="Courier New" w:cs="Courier New"/>
      <w:sz w:val="21"/>
      <w:szCs w:val="21"/>
    </w:rPr>
  </w:style>
  <w:style w:type="character" w:styleId="1003" w:customStyle="1">
    <w:name w:val="批注框文本 Char"/>
    <w:link w:val="961"/>
    <w:uiPriority w:val="0"/>
    <w:semiHidden/>
    <w:qFormat/>
    <w:rPr>
      <w:sz w:val="18"/>
      <w:szCs w:val="18"/>
    </w:rPr>
  </w:style>
  <w:style w:type="character" w:styleId="1004" w:customStyle="1">
    <w:name w:val="+正文 Char3"/>
    <w:link w:val="1005"/>
    <w:uiPriority w:val="0"/>
    <w:qFormat/>
    <w:rPr>
      <w:sz w:val="28"/>
    </w:rPr>
  </w:style>
  <w:style w:type="paragraph" w:styleId="1005" w:customStyle="1">
    <w:name w:val="+正文"/>
    <w:basedOn w:val="933"/>
    <w:link w:val="1004"/>
    <w:uiPriority w:val="0"/>
    <w:qFormat/>
    <w:pPr>
      <w:ind w:firstLine="200"/>
      <w:spacing w:line="360" w:lineRule="auto"/>
    </w:pPr>
    <w:rPr>
      <w:sz w:val="28"/>
      <w:szCs w:val="20"/>
    </w:rPr>
  </w:style>
  <w:style w:type="character" w:styleId="1006" w:customStyle="1">
    <w:name w:val="标题 9 Char"/>
    <w:link w:val="942"/>
    <w:uiPriority w:val="0"/>
    <w:qFormat/>
    <w:rPr>
      <w:rFonts w:ascii="Arial" w:hAnsi="Arial" w:eastAsia="黑体"/>
      <w:sz w:val="21"/>
    </w:rPr>
  </w:style>
  <w:style w:type="character" w:styleId="1007" w:customStyle="1">
    <w:name w:val="标题 3 Char"/>
    <w:link w:val="936"/>
    <w:uiPriority w:val="0"/>
    <w:qFormat/>
    <w:rPr>
      <w:b/>
      <w:bCs/>
      <w:sz w:val="32"/>
      <w:szCs w:val="32"/>
    </w:rPr>
  </w:style>
  <w:style w:type="character" w:styleId="1008" w:customStyle="1">
    <w:name w:val="正文文本缩进 2 Char"/>
    <w:link w:val="960"/>
    <w:uiPriority w:val="0"/>
    <w:qFormat/>
    <w:rPr>
      <w:rFonts w:ascii="宋体" w:hAnsi="宋体"/>
      <w:sz w:val="21"/>
      <w:szCs w:val="24"/>
    </w:rPr>
  </w:style>
  <w:style w:type="character" w:styleId="1009" w:customStyle="1">
    <w:name w:val="标题 4 Char"/>
    <w:link w:val="937"/>
    <w:uiPriority w:val="0"/>
    <w:qFormat/>
    <w:rPr>
      <w:rFonts w:ascii="Cambria" w:hAnsi="Cambria" w:eastAsia="宋体"/>
      <w:b/>
      <w:bCs/>
      <w:sz w:val="28"/>
      <w:szCs w:val="28"/>
      <w:lang w:val="en-US" w:eastAsia="zh-CN" w:bidi="ar-SA"/>
    </w:rPr>
  </w:style>
  <w:style w:type="character" w:styleId="1010" w:customStyle="1">
    <w:name w:val="列出段落 Char"/>
    <w:link w:val="1011"/>
    <w:uiPriority w:val="34"/>
    <w:qFormat/>
    <w:rPr>
      <w:rFonts w:ascii="Calibri" w:hAnsi="Calibri"/>
      <w:sz w:val="21"/>
      <w:szCs w:val="22"/>
    </w:rPr>
  </w:style>
  <w:style w:type="paragraph" w:styleId="1011">
    <w:name w:val="List Paragraph"/>
    <w:basedOn w:val="933"/>
    <w:link w:val="1010"/>
    <w:uiPriority w:val="34"/>
    <w:qFormat/>
    <w:pPr>
      <w:ind w:firstLine="420"/>
    </w:pPr>
    <w:rPr>
      <w:rFonts w:ascii="Calibri" w:hAnsi="Calibri"/>
      <w:szCs w:val="22"/>
    </w:rPr>
  </w:style>
  <w:style w:type="character" w:styleId="1012" w:customStyle="1">
    <w:name w:val="页脚 Char"/>
    <w:link w:val="962"/>
    <w:uiPriority w:val="99"/>
    <w:qFormat/>
    <w:rPr>
      <w:sz w:val="18"/>
      <w:szCs w:val="18"/>
    </w:rPr>
  </w:style>
  <w:style w:type="character" w:styleId="1013" w:customStyle="1">
    <w:name w:val="正文缩进 Char"/>
    <w:link w:val="947"/>
    <w:uiPriority w:val="0"/>
    <w:qFormat/>
    <w:rPr>
      <w:rFonts w:eastAsia="楷体_GB2312"/>
      <w:sz w:val="24"/>
      <w:lang w:val="en-US" w:eastAsia="zh-CN" w:bidi="ar-SA"/>
    </w:rPr>
  </w:style>
  <w:style w:type="character" w:styleId="1014" w:customStyle="1">
    <w:name w:val="title_emph1"/>
    <w:uiPriority w:val="0"/>
    <w:qFormat/>
    <w:rPr>
      <w:rFonts w:hint="default" w:ascii="Arial" w:hAnsi="Arial" w:cs="Arial"/>
      <w:b/>
      <w:bCs/>
      <w:sz w:val="20"/>
      <w:szCs w:val="20"/>
    </w:rPr>
  </w:style>
  <w:style w:type="character" w:styleId="1015" w:customStyle="1">
    <w:name w:val="正文文本缩进 Char"/>
    <w:link w:val="946"/>
    <w:uiPriority w:val="0"/>
    <w:qFormat/>
    <w:rPr>
      <w:sz w:val="28"/>
      <w:szCs w:val="24"/>
    </w:rPr>
  </w:style>
  <w:style w:type="character" w:styleId="1016" w:customStyle="1">
    <w:name w:val="标题 7 Char"/>
    <w:link w:val="940"/>
    <w:uiPriority w:val="0"/>
    <w:qFormat/>
    <w:rPr>
      <w:b/>
      <w:sz w:val="24"/>
    </w:rPr>
  </w:style>
  <w:style w:type="character" w:styleId="1017" w:customStyle="1">
    <w:name w:val="Char Char8"/>
    <w:uiPriority w:val="0"/>
    <w:qFormat/>
    <w:rPr>
      <w:rFonts w:eastAsia="宋体"/>
      <w:sz w:val="24"/>
      <w:szCs w:val="24"/>
      <w:lang w:val="en-US" w:eastAsia="zh-CN" w:bidi="ar-SA"/>
    </w:rPr>
  </w:style>
  <w:style w:type="character" w:styleId="1018" w:customStyle="1">
    <w:name w:val="p141"/>
    <w:uiPriority w:val="0"/>
    <w:qFormat/>
    <w:rPr>
      <w:color w:val="000000"/>
      <w:sz w:val="28"/>
      <w:szCs w:val="28"/>
      <w:u w:val="none"/>
    </w:rPr>
  </w:style>
  <w:style w:type="character" w:styleId="1019" w:customStyle="1">
    <w:name w:val="标题 5 Char"/>
    <w:link w:val="938"/>
    <w:uiPriority w:val="0"/>
    <w:qFormat/>
    <w:rPr>
      <w:rFonts w:ascii="Calibri" w:hAnsi="Calibri" w:eastAsia="宋体"/>
      <w:b/>
      <w:bCs/>
      <w:sz w:val="28"/>
      <w:szCs w:val="28"/>
      <w:lang w:val="en-US" w:eastAsia="zh-CN" w:bidi="ar-SA"/>
    </w:rPr>
  </w:style>
  <w:style w:type="character" w:styleId="1020" w:customStyle="1">
    <w:name w:val="标题 8 Char"/>
    <w:link w:val="941"/>
    <w:uiPriority w:val="0"/>
    <w:qFormat/>
    <w:rPr>
      <w:rFonts w:ascii="Arial" w:hAnsi="Arial" w:eastAsia="黑体"/>
      <w:sz w:val="24"/>
    </w:rPr>
  </w:style>
  <w:style w:type="character" w:styleId="1021" w:customStyle="1">
    <w:name w:val="批注主题 Char"/>
    <w:link w:val="949"/>
    <w:uiPriority w:val="0"/>
    <w:semiHidden/>
    <w:qFormat/>
    <w:rPr>
      <w:b/>
      <w:bCs/>
      <w:sz w:val="21"/>
      <w:szCs w:val="24"/>
    </w:rPr>
  </w:style>
  <w:style w:type="character" w:styleId="1022" w:customStyle="1">
    <w:name w:val="批注文字 Char"/>
    <w:link w:val="950"/>
    <w:uiPriority w:val="0"/>
    <w:qFormat/>
    <w:rPr>
      <w:sz w:val="21"/>
      <w:szCs w:val="24"/>
    </w:rPr>
  </w:style>
  <w:style w:type="character" w:styleId="1023" w:customStyle="1">
    <w:name w:val="纯文本 Char"/>
    <w:link w:val="958"/>
    <w:uiPriority w:val="0"/>
    <w:qFormat/>
    <w:rPr>
      <w:rFonts w:ascii="宋体" w:hAnsi="Courier New" w:eastAsia="楷体_GB2312"/>
      <w:sz w:val="28"/>
      <w:lang w:val="en-US" w:eastAsia="zh-CN" w:bidi="ar-SA"/>
    </w:rPr>
  </w:style>
  <w:style w:type="character" w:styleId="1024" w:customStyle="1">
    <w:name w:val="Char Char"/>
    <w:uiPriority w:val="0"/>
    <w:qFormat/>
    <w:rPr>
      <w:rFonts w:eastAsia="楷体_GB2312"/>
      <w:sz w:val="24"/>
      <w:lang w:val="en-US" w:eastAsia="zh-CN" w:bidi="ar-SA"/>
    </w:rPr>
  </w:style>
  <w:style w:type="character" w:styleId="1025" w:customStyle="1">
    <w:name w:val="标题四 Char1"/>
    <w:uiPriority w:val="0"/>
    <w:qFormat/>
    <w:rPr>
      <w:rFonts w:eastAsia="楷体_GB2312"/>
      <w:sz w:val="24"/>
    </w:rPr>
  </w:style>
  <w:style w:type="paragraph" w:styleId="1026" w:customStyle="1">
    <w:name w:val="正文文本缩进 21"/>
    <w:basedOn w:val="933"/>
    <w:uiPriority w:val="0"/>
    <w:qFormat/>
    <w:pPr>
      <w:ind w:left="420"/>
      <w:spacing w:after="120" w:line="480" w:lineRule="auto"/>
    </w:pPr>
    <w:rPr>
      <w:szCs w:val="20"/>
    </w:rPr>
  </w:style>
  <w:style w:type="paragraph" w:styleId="1027" w:customStyle="1">
    <w:name w:val="首行缩进"/>
    <w:basedOn w:val="933"/>
    <w:uiPriority w:val="0"/>
    <w:qFormat/>
    <w:pPr>
      <w:ind w:firstLine="480"/>
      <w:jc w:val="left"/>
      <w:spacing w:line="360" w:lineRule="auto"/>
    </w:pPr>
    <w:rPr>
      <w:rFonts w:ascii="宋体" w:hAnsi="宋体"/>
      <w:sz w:val="24"/>
    </w:rPr>
  </w:style>
  <w:style w:type="paragraph" w:styleId="1028" w:customStyle="1">
    <w:name w:val="正文段"/>
    <w:basedOn w:val="933"/>
    <w:uiPriority w:val="0"/>
    <w:qFormat/>
    <w:pPr>
      <w:ind w:firstLine="454"/>
      <w:spacing w:after="240" w:line="240" w:lineRule="atLeast"/>
      <w:widowControl/>
    </w:pPr>
    <w:rPr>
      <w:rFonts w:ascii="宋体"/>
      <w:sz w:val="24"/>
      <w:szCs w:val="20"/>
    </w:rPr>
  </w:style>
  <w:style w:type="paragraph" w:styleId="1029" w:customStyle="1">
    <w:name w:val="默认段落字体 Para Char Char Char Char Char Char Char"/>
    <w:basedOn w:val="933"/>
    <w:uiPriority w:val="0"/>
    <w:qFormat/>
    <w:pPr>
      <w:spacing w:line="360" w:lineRule="auto"/>
    </w:pPr>
    <w:rPr>
      <w:rFonts w:ascii="Tahoma" w:hAnsi="Tahoma"/>
      <w:sz w:val="24"/>
      <w:szCs w:val="20"/>
    </w:rPr>
  </w:style>
  <w:style w:type="paragraph" w:styleId="1030" w:customStyle="1">
    <w:name w:val="杨昂超式样黑体主"/>
    <w:basedOn w:val="933"/>
    <w:uiPriority w:val="0"/>
    <w:qFormat/>
    <w:pPr>
      <w:spacing w:line="400" w:lineRule="exact"/>
    </w:pPr>
    <w:rPr>
      <w:rFonts w:ascii="方正黑体简体" w:eastAsia="方正黑体简体"/>
      <w:sz w:val="24"/>
    </w:rPr>
  </w:style>
  <w:style w:type="paragraph" w:styleId="1031" w:customStyle="1">
    <w:name w:val="Char Char1"/>
    <w:basedOn w:val="933"/>
    <w:uiPriority w:val="0"/>
    <w:qFormat/>
    <w:pPr>
      <w:jc w:val="left"/>
      <w:spacing w:after="160" w:line="240" w:lineRule="exact"/>
      <w:widowControl/>
    </w:pPr>
    <w:rPr>
      <w:rFonts w:ascii="Verdana" w:hAnsi="Verdana"/>
      <w:sz w:val="20"/>
      <w:szCs w:val="20"/>
      <w:lang w:eastAsia="en-US"/>
    </w:rPr>
  </w:style>
  <w:style w:type="paragraph" w:styleId="1032" w:customStyle="1">
    <w:name w:val="正文文本缩进1"/>
    <w:basedOn w:val="933"/>
    <w:uiPriority w:val="0"/>
    <w:qFormat/>
    <w:pPr>
      <w:ind w:firstLine="420"/>
      <w:spacing w:line="360" w:lineRule="auto"/>
    </w:pPr>
    <w:rPr>
      <w:rFonts w:ascii="宋体" w:hAnsi="宋体"/>
      <w:szCs w:val="20"/>
    </w:rPr>
  </w:style>
  <w:style w:type="paragraph" w:styleId="1033" w:customStyle="1">
    <w:name w:val="编号1"/>
    <w:basedOn w:val="933"/>
    <w:uiPriority w:val="0"/>
    <w:qFormat/>
    <w:pPr>
      <w:numPr>
        <w:ilvl w:val="0"/>
        <w:numId w:val="1"/>
      </w:numPr>
      <w:ind w:right="210"/>
      <w:spacing w:line="400" w:lineRule="exact"/>
    </w:pPr>
    <w:rPr>
      <w:rFonts w:ascii="宋体" w:hAnsi="宋体"/>
      <w:spacing w:val="10"/>
    </w:rPr>
  </w:style>
  <w:style w:type="paragraph" w:styleId="1034" w:customStyle="1">
    <w:name w:val="reader-word-layer"/>
    <w:basedOn w:val="933"/>
    <w:uiPriority w:val="0"/>
    <w:qFormat/>
    <w:pPr>
      <w:jc w:val="left"/>
      <w:spacing w:line="2212" w:lineRule="atLeast"/>
      <w:shd w:val="clear" w:color="auto" w:fill="ffffff"/>
      <w:widowControl/>
    </w:pPr>
    <w:rPr>
      <w:rFonts w:ascii="宋体" w:hAnsi="宋体" w:cs="宋体"/>
      <w:b/>
      <w:bCs/>
      <w:color w:val="606060"/>
      <w:sz w:val="28"/>
      <w:szCs w:val="28"/>
    </w:rPr>
  </w:style>
  <w:style w:type="paragraph" w:styleId="1035" w:customStyle="1">
    <w:name w:val="列出段落2"/>
    <w:basedOn w:val="933"/>
    <w:uiPriority w:val="0"/>
    <w:unhideWhenUsed/>
    <w:qFormat/>
    <w:pPr>
      <w:ind w:firstLine="420"/>
    </w:pPr>
    <w:rPr>
      <w:rFonts w:ascii="Calibri" w:hAnsi="Calibri"/>
      <w:szCs w:val="22"/>
    </w:rPr>
  </w:style>
  <w:style w:type="paragraph" w:styleId="1036" w:customStyle="1">
    <w:name w:val="Char Char Char"/>
    <w:basedOn w:val="933"/>
    <w:uiPriority w:val="0"/>
    <w:qFormat/>
  </w:style>
  <w:style w:type="paragraph" w:styleId="1037" w:customStyle="1">
    <w:name w:val="一级条标题"/>
    <w:basedOn w:val="1038"/>
    <w:next w:val="933"/>
    <w:uiPriority w:val="0"/>
    <w:qFormat/>
    <w:pPr>
      <w:numPr>
        <w:ilvl w:val="3"/>
      </w:numPr>
      <w:ind w:left="0"/>
      <w:outlineLvl w:val="2"/>
    </w:pPr>
  </w:style>
  <w:style w:type="paragraph" w:styleId="1038" w:customStyle="1">
    <w:name w:val="章标题"/>
    <w:next w:val="933"/>
    <w:uiPriority w:val="0"/>
    <w:qFormat/>
    <w:pPr>
      <w:numPr>
        <w:ilvl w:val="2"/>
        <w:numId w:val="2"/>
      </w:numPr>
      <w:ind w:left="360"/>
      <w:jc w:val="both"/>
      <w:spacing w:line="400" w:lineRule="exact"/>
      <w:outlineLvl w:val="1"/>
    </w:pPr>
    <w:rPr>
      <w:rFonts w:ascii="黑体" w:hAnsi="Times New Roman" w:eastAsia="黑体" w:cs="Times New Roman"/>
      <w:sz w:val="24"/>
      <w:lang w:val="en-US" w:eastAsia="zh-CN" w:bidi="ar-SA"/>
    </w:rPr>
  </w:style>
  <w:style w:type="paragraph" w:styleId="1039" w:customStyle="1">
    <w:name w:val="三级条标题"/>
    <w:basedOn w:val="1040"/>
    <w:next w:val="933"/>
    <w:uiPriority w:val="0"/>
    <w:qFormat/>
    <w:pPr>
      <w:numPr>
        <w:ilvl w:val="5"/>
      </w:numPr>
      <w:outlineLvl w:val="4"/>
    </w:pPr>
  </w:style>
  <w:style w:type="paragraph" w:styleId="1040" w:customStyle="1">
    <w:name w:val="二级条标题"/>
    <w:basedOn w:val="1037"/>
    <w:next w:val="933"/>
    <w:uiPriority w:val="0"/>
    <w:qFormat/>
    <w:pPr>
      <w:numPr>
        <w:ilvl w:val="4"/>
      </w:numPr>
      <w:ind w:left="540"/>
      <w:outlineLvl w:val="3"/>
    </w:pPr>
  </w:style>
  <w:style w:type="paragraph" w:styleId="1041" w:customStyle="1">
    <w:name w:val="Char Char1 Char Char Char Char Char Char Char"/>
    <w:basedOn w:val="933"/>
    <w:uiPriority w:val="0"/>
    <w:qFormat/>
    <w:rPr>
      <w:szCs w:val="20"/>
    </w:rPr>
  </w:style>
  <w:style w:type="paragraph" w:styleId="1042" w:customStyle="1">
    <w:name w:val="Char"/>
    <w:basedOn w:val="933"/>
    <w:uiPriority w:val="0"/>
    <w:qFormat/>
    <w:rPr>
      <w:rFonts w:ascii="仿宋_GB2312" w:eastAsia="仿宋_GB2312"/>
      <w:b/>
      <w:sz w:val="32"/>
      <w:szCs w:val="32"/>
    </w:rPr>
  </w:style>
  <w:style w:type="paragraph" w:styleId="1043" w:customStyle="1">
    <w:name w:val="正文首行缩进1"/>
    <w:basedOn w:val="953"/>
    <w:uiPriority w:val="0"/>
    <w:qFormat/>
    <w:pPr>
      <w:ind w:firstLine="420"/>
      <w:spacing w:after="120" w:line="400" w:lineRule="exact"/>
      <w:tabs>
        <w:tab w:val="clear" w:pos="5250" w:leader="none"/>
      </w:tabs>
    </w:pPr>
    <w:rPr>
      <w:sz w:val="21"/>
    </w:rPr>
  </w:style>
  <w:style w:type="paragraph" w:styleId="1044" w:customStyle="1">
    <w:name w:val="Char11"/>
    <w:basedOn w:val="933"/>
    <w:uiPriority w:val="0"/>
    <w:qFormat/>
    <w:pPr>
      <w:ind w:left="-62" w:right="36"/>
      <w:jc w:val="left"/>
      <w:spacing w:after="160" w:line="240" w:lineRule="exact"/>
      <w:widowControl/>
    </w:pPr>
    <w:rPr>
      <w:rFonts w:ascii="Arial" w:hAnsi="Arial" w:eastAsia="Times New Roman"/>
      <w:sz w:val="20"/>
      <w:szCs w:val="20"/>
      <w:lang w:eastAsia="en-US"/>
    </w:rPr>
  </w:style>
  <w:style w:type="paragraph" w:styleId="1045" w:customStyle="1">
    <w:name w:val="List Paragraph1"/>
    <w:basedOn w:val="933"/>
    <w:uiPriority w:val="0"/>
    <w:qFormat/>
    <w:pPr>
      <w:ind w:left="720"/>
      <w:jc w:val="left"/>
      <w:widowControl/>
    </w:pPr>
    <w:rPr>
      <w:rFonts w:ascii="Calibri" w:hAnsi="Calibri"/>
      <w:sz w:val="24"/>
      <w:lang w:eastAsia="en-US"/>
    </w:rPr>
  </w:style>
  <w:style w:type="paragraph" w:styleId="1046" w:customStyle="1">
    <w:name w:val="Default Paragraph Font Para Char"/>
    <w:basedOn w:val="933"/>
    <w:uiPriority w:val="0"/>
    <w:semiHidden/>
    <w:qFormat/>
    <w:pPr>
      <w:jc w:val="left"/>
      <w:spacing w:after="160" w:line="240" w:lineRule="exact"/>
      <w:widowControl/>
    </w:pPr>
    <w:rPr>
      <w:rFonts w:ascii="Verdana" w:hAnsi="Verdana"/>
      <w:sz w:val="20"/>
      <w:szCs w:val="20"/>
      <w:lang w:eastAsia="en-US"/>
    </w:rPr>
  </w:style>
  <w:style w:type="paragraph" w:styleId="1047" w:customStyle="1">
    <w:name w:val="纯文本1"/>
    <w:basedOn w:val="933"/>
    <w:uiPriority w:val="0"/>
    <w:qFormat/>
    <w:pPr>
      <w:spacing w:line="400" w:lineRule="exact"/>
    </w:pPr>
    <w:rPr>
      <w:rFonts w:ascii="宋体" w:hAnsi="Courier New" w:eastAsia="楷体_GB2312"/>
      <w:sz w:val="28"/>
      <w:szCs w:val="20"/>
    </w:rPr>
  </w:style>
  <w:style w:type="paragraph" w:styleId="1048" w:customStyle="1">
    <w:name w:val="列出段落1"/>
    <w:basedOn w:val="933"/>
    <w:uiPriority w:val="34"/>
    <w:qFormat/>
    <w:pPr>
      <w:ind w:firstLine="420"/>
      <w:spacing w:line="400" w:lineRule="exact"/>
    </w:pPr>
    <w:rPr>
      <w:rFonts w:ascii="Calibri" w:hAnsi="Calibri"/>
      <w:szCs w:val="22"/>
    </w:rPr>
  </w:style>
  <w:style w:type="paragraph" w:styleId="1049" w:customStyle="1">
    <w:name w:val="Char1"/>
    <w:basedOn w:val="933"/>
    <w:uiPriority w:val="0"/>
    <w:qFormat/>
    <w:pPr>
      <w:numPr>
        <w:ilvl w:val="0"/>
        <w:numId w:val="2"/>
      </w:numPr>
      <w:jc w:val="left"/>
      <w:spacing w:line="400" w:lineRule="exact"/>
    </w:pPr>
    <w:rPr>
      <w:rFonts w:ascii="仿宋_GB2312" w:eastAsia="仿宋_GB2312"/>
      <w:b/>
      <w:sz w:val="32"/>
      <w:szCs w:val="32"/>
    </w:rPr>
  </w:style>
  <w:style w:type="paragraph" w:styleId="1050" w:customStyle="1">
    <w:name w:val="正文-带编号1)"/>
    <w:basedOn w:val="933"/>
    <w:uiPriority w:val="0"/>
    <w:qFormat/>
    <w:pPr>
      <w:numPr>
        <w:ilvl w:val="0"/>
        <w:numId w:val="3"/>
      </w:numPr>
      <w:spacing w:line="400" w:lineRule="exact"/>
    </w:pPr>
    <w:rPr>
      <w:rFonts w:ascii="Arial" w:hAnsi="Arial"/>
    </w:rPr>
  </w:style>
  <w:style w:type="paragraph" w:styleId="1051" w:customStyle="1">
    <w:name w:val="说明书正文"/>
    <w:basedOn w:val="933"/>
    <w:uiPriority w:val="0"/>
    <w:qFormat/>
    <w:pPr>
      <w:ind w:firstLine="200"/>
      <w:jc w:val="left"/>
      <w:spacing w:line="460" w:lineRule="exact"/>
    </w:pPr>
    <w:rPr>
      <w:rFonts w:cs="宋体"/>
      <w:sz w:val="24"/>
      <w:szCs w:val="20"/>
    </w:rPr>
  </w:style>
  <w:style w:type="paragraph" w:styleId="1052" w:customStyle="1">
    <w:name w:val="_Style 5"/>
    <w:basedOn w:val="933"/>
    <w:uiPriority w:val="0"/>
    <w:qFormat/>
    <w:pPr>
      <w:contextualSpacing/>
      <w:ind w:left="720"/>
      <w:jc w:val="left"/>
      <w:widowControl/>
    </w:pPr>
    <w:rPr>
      <w:rFonts w:ascii="Calibri" w:hAnsi="Calibri"/>
      <w:sz w:val="24"/>
      <w:lang w:eastAsia="en-US"/>
    </w:rPr>
  </w:style>
  <w:style w:type="paragraph" w:styleId="1053" w:customStyle="1">
    <w:name w:val="规范正文"/>
    <w:basedOn w:val="933"/>
    <w:uiPriority w:val="0"/>
    <w:qFormat/>
    <w:pPr>
      <w:ind w:left="480"/>
      <w:spacing w:line="360" w:lineRule="auto"/>
    </w:pPr>
    <w:rPr>
      <w:sz w:val="24"/>
      <w:szCs w:val="20"/>
    </w:rPr>
  </w:style>
  <w:style w:type="paragraph" w:styleId="1054" w:customStyle="1">
    <w:name w:val="Para"/>
    <w:basedOn w:val="933"/>
    <w:uiPriority w:val="0"/>
    <w:qFormat/>
    <w:pPr>
      <w:ind w:firstLine="446"/>
      <w:spacing w:before="120" w:after="120" w:line="288" w:lineRule="auto"/>
      <w:widowControl/>
    </w:pPr>
    <w:rPr>
      <w:rFonts w:ascii="Arial" w:hAnsi="Arial"/>
      <w:sz w:val="20"/>
      <w:szCs w:val="20"/>
      <w:lang w:val="en-GB"/>
    </w:rPr>
  </w:style>
  <w:style w:type="paragraph" w:styleId="1055" w:customStyle="1">
    <w:name w:val="前言、引言标题"/>
    <w:next w:val="933"/>
    <w:uiPriority w:val="0"/>
    <w:qFormat/>
    <w:pPr>
      <w:numPr>
        <w:ilvl w:val="1"/>
        <w:numId w:val="2"/>
      </w:numPr>
      <w:ind w:left="0"/>
      <w:jc w:val="center"/>
      <w:spacing w:before="640" w:after="560" w:line="400" w:lineRule="exact"/>
      <w:shd w:val="clear" w:color="ffffff" w:fill="ffffff"/>
      <w:outlineLvl w:val="0"/>
    </w:pPr>
    <w:rPr>
      <w:rFonts w:ascii="黑体" w:hAnsi="Times New Roman" w:eastAsia="黑体" w:cs="Times New Roman"/>
      <w:sz w:val="32"/>
      <w:lang w:val="en-US" w:eastAsia="zh-CN" w:bidi="ar-SA"/>
    </w:rPr>
  </w:style>
  <w:style w:type="paragraph" w:styleId="1056" w:customStyle="1">
    <w:name w:val="Cell"/>
    <w:basedOn w:val="933"/>
    <w:uiPriority w:val="0"/>
    <w:qFormat/>
    <w:pPr>
      <w:spacing w:line="360" w:lineRule="atLeast"/>
    </w:pPr>
    <w:rPr>
      <w:rFonts w:ascii="Times" w:hAnsi="Times" w:eastAsia="PMingLiU"/>
      <w:color w:val="000000"/>
      <w:sz w:val="24"/>
      <w:szCs w:val="20"/>
      <w:lang w:eastAsia="en-US"/>
    </w:rPr>
  </w:style>
  <w:style w:type="paragraph" w:styleId="1057" w:customStyle="1">
    <w:name w:val="正文缩进1"/>
    <w:basedOn w:val="933"/>
    <w:uiPriority w:val="0"/>
    <w:qFormat/>
    <w:pPr>
      <w:ind w:firstLine="420"/>
      <w:jc w:val="left"/>
      <w:spacing w:line="400" w:lineRule="exact"/>
    </w:pPr>
    <w:rPr>
      <w:rFonts w:eastAsia="楷体_GB2312"/>
      <w:sz w:val="24"/>
      <w:szCs w:val="20"/>
    </w:rPr>
  </w:style>
  <w:style w:type="paragraph" w:styleId="1058" w:customStyle="1">
    <w:name w:val="样式 首行缩进:  2 字符"/>
    <w:basedOn w:val="933"/>
    <w:uiPriority w:val="0"/>
    <w:qFormat/>
    <w:pPr>
      <w:ind w:firstLine="480"/>
      <w:spacing w:line="480" w:lineRule="exact"/>
    </w:pPr>
    <w:rPr>
      <w:rFonts w:ascii="宋体" w:hAnsi="宋体" w:cs="宋体"/>
      <w:sz w:val="24"/>
      <w:szCs w:val="20"/>
    </w:rPr>
  </w:style>
  <w:style w:type="paragraph" w:styleId="1059" w:customStyle="1">
    <w:name w:val="四级条标题"/>
    <w:basedOn w:val="1039"/>
    <w:next w:val="933"/>
    <w:uiPriority w:val="0"/>
    <w:qFormat/>
    <w:pPr>
      <w:numPr>
        <w:ilvl w:val="6"/>
      </w:numPr>
      <w:outlineLvl w:val="5"/>
    </w:pPr>
  </w:style>
  <w:style w:type="paragraph" w:styleId="106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61" w:customStyle="1">
    <w:name w:val="afont"/>
    <w:basedOn w:val="933"/>
    <w:uiPriority w:val="0"/>
    <w:qFormat/>
    <w:pPr>
      <w:jc w:val="left"/>
      <w:spacing w:before="100" w:after="100" w:line="285" w:lineRule="atLeast"/>
      <w:widowControl/>
    </w:pPr>
    <w:rPr>
      <w:rFonts w:ascii="宋体" w:hAnsi="宋体"/>
      <w:sz w:val="18"/>
      <w:szCs w:val="20"/>
    </w:rPr>
  </w:style>
  <w:style w:type="paragraph" w:styleId="1062" w:customStyle="1">
    <w:name w:val="p0"/>
    <w:basedOn w:val="933"/>
    <w:uiPriority w:val="0"/>
    <w:qFormat/>
    <w:pPr>
      <w:widowControl/>
    </w:pPr>
    <w:rPr>
      <w:sz w:val="26"/>
      <w:szCs w:val="26"/>
    </w:rPr>
  </w:style>
  <w:style w:type="paragraph" w:styleId="1063"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64" w:customStyle="1">
    <w:name w:val="纯文本2"/>
    <w:basedOn w:val="933"/>
    <w:uiPriority w:val="0"/>
    <w:qFormat/>
    <w:rPr>
      <w:rFonts w:ascii="宋体" w:hAnsi="Courier New" w:eastAsia="楷体_GB2312"/>
      <w:sz w:val="28"/>
      <w:szCs w:val="20"/>
    </w:rPr>
  </w:style>
  <w:style w:type="paragraph" w:styleId="1065" w:customStyle="1">
    <w:name w:val="样式 中软正文 + 首行缩进:  2 字符"/>
    <w:basedOn w:val="933"/>
    <w:uiPriority w:val="0"/>
    <w:qFormat/>
    <w:pPr>
      <w:ind w:firstLine="420"/>
      <w:jc w:val="left"/>
      <w:spacing w:after="120" w:line="440" w:lineRule="exact"/>
      <w:widowControl/>
    </w:pPr>
    <w:rPr>
      <w:rFonts w:ascii="Arial" w:hAnsi="Arial"/>
      <w:sz w:val="24"/>
      <w:szCs w:val="20"/>
    </w:rPr>
  </w:style>
  <w:style w:type="paragraph" w:styleId="1066" w:customStyle="1">
    <w:name w:val="Char Char Char1"/>
    <w:basedOn w:val="933"/>
    <w:uiPriority w:val="0"/>
    <w:qFormat/>
    <w:rPr>
      <w:rFonts w:ascii="Tahoma" w:hAnsi="Tahoma"/>
      <w:sz w:val="24"/>
      <w:szCs w:val="20"/>
    </w:rPr>
  </w:style>
  <w:style w:type="paragraph" w:styleId="106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table" w:styleId="1068" w:customStyle="1">
    <w:name w:val="网格型4"/>
    <w:basedOn w:val="944"/>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69" w:customStyle="1">
    <w:name w:val="网格型3"/>
    <w:basedOn w:val="944"/>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70" w:customStyle="1">
    <w:name w:val="网格型2"/>
    <w:basedOn w:val="944"/>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71" w:customStyle="1">
    <w:name w:val="网格型1"/>
    <w:basedOn w:val="94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072" w:customStyle="1">
    <w:name w:val="_Style 3"/>
    <w:next w:val="967"/>
    <w:uiPriority w:val="99"/>
    <w:qFormat/>
    <w:pPr>
      <w:jc w:val="both"/>
      <w:widowControl w:val="off"/>
    </w:pPr>
    <w:rPr>
      <w:rFonts w:ascii="Times New Roman" w:hAnsi="Times New Roman" w:eastAsia="宋体" w:cs="Times New Roman"/>
      <w:sz w:val="21"/>
      <w:szCs w:val="22"/>
      <w:lang w:val="en-US" w:eastAsia="zh-CN" w:bidi="ar-SA"/>
    </w:rPr>
  </w:style>
  <w:style w:type="character" w:styleId="1073" w:customStyle="1">
    <w:name w:val="未处理的提及1"/>
    <w:basedOn w:val="943"/>
    <w:uiPriority w:val="99"/>
    <w:semiHidden/>
    <w:unhideWhenUsed/>
    <w:qFormat/>
    <w:rPr>
      <w:color w:val="605e5c"/>
      <w:shd w:val="clear" w:color="auto" w:fill="e1dfdd"/>
    </w:rPr>
  </w:style>
  <w:style w:type="paragraph" w:styleId="1074" w:customStyle="1">
    <w:name w:val="正文11"/>
    <w:basedOn w:val="933"/>
    <w:next w:val="933"/>
    <w:uiPriority w:val="0"/>
    <w:qFormat/>
    <w:pPr>
      <w:spacing w:line="340" w:lineRule="exact"/>
      <w:widowControl/>
    </w:pPr>
    <w:rPr>
      <w:rFonts w:ascii="Calibri" w:hAnsi="Calibri" w:eastAsia="黑体"/>
      <w:b/>
      <w:sz w:val="25"/>
    </w:rPr>
  </w:style>
  <w:style w:type="paragraph" w:styleId="1075" w:customStyle="1">
    <w:name w:val="列表段落1"/>
    <w:basedOn w:val="933"/>
    <w:uiPriority w:val="34"/>
    <w:qFormat/>
    <w:pPr>
      <w:ind w:firstLine="420"/>
    </w:pPr>
    <w:rPr>
      <w:rFonts w:ascii="Calibri" w:hAnsi="Calibri"/>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8EBD97-E9F8-47ED-9631-69C7AE30E9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苏州市原鑫招投标咨询服务有限公司</dc:creator>
  <cp:lastModifiedBy>金健</cp:lastModifiedBy>
  <cp:revision>17</cp:revision>
  <dcterms:created xsi:type="dcterms:W3CDTF">2024-04-18T07:07:00Z</dcterms:created>
  <dcterms:modified xsi:type="dcterms:W3CDTF">2026-07-29T05:11:03Z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C8C9D8FB0E8545DE915209C9C0DEF809_13</vt:lpwstr>
  </property>
  <property fmtid="{D5CDD505-2E9C-101B-9397-08002B2CF9AE}" pid="4" name="KSOTemplateDocerSaveRecord">
    <vt:lpwstr>eyJoZGlkIjoiMjRhYjEzN2U2M2QzMDhkYTgwZmVhMGMzYzEzZTZkOTMiLCJ1c2VySWQiOiIzMDUwNTgxMjIifQ==</vt:lpwstr>
  </property>
</Properties>
</file>