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Arial" w:hAnsi="Arial" w:eastAsia="黑体"/>
          <w:b/>
          <w:bCs/>
          <w:color w:val="000000"/>
          <w:sz w:val="84"/>
          <w:szCs w:val="24"/>
        </w:rPr>
      </w:r>
      <w:r/>
    </w:p>
    <w:p>
      <w:pPr>
        <w:pStyle w:val="931"/>
        <w:rPr>
          <w:rFonts w:hint="eastAsia"/>
        </w:rPr>
      </w:pPr>
      <w:r>
        <w:rPr>
          <w:rFonts w:hint="eastAsia"/>
        </w:rPr>
      </w:r>
      <w:r/>
    </w:p>
    <w:p>
      <w:pPr>
        <w:pStyle w:val="1012"/>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19"/>
        <w:ind w:firstLine="1506"/>
        <w:rPr>
          <w:rFonts w:hint="eastAsia"/>
          <w:b/>
          <w:sz w:val="30"/>
          <w:szCs w:val="30"/>
        </w:rPr>
      </w:pPr>
      <w:r>
        <w:rPr>
          <w:rFonts w:hint="eastAsia"/>
          <w:b/>
          <w:sz w:val="30"/>
          <w:szCs w:val="30"/>
        </w:rPr>
      </w:r>
      <w:r/>
    </w:p>
    <w:p>
      <w:pPr>
        <w:pStyle w:val="919"/>
        <w:ind w:firstLine="1506"/>
        <w:rPr>
          <w:rFonts w:hint="eastAsia"/>
          <w:b/>
          <w:sz w:val="30"/>
          <w:szCs w:val="30"/>
        </w:rPr>
      </w:pPr>
      <w:r>
        <w:rPr>
          <w:rFonts w:hint="eastAsia"/>
          <w:b/>
          <w:sz w:val="30"/>
          <w:szCs w:val="30"/>
        </w:rPr>
      </w:r>
      <w:r/>
    </w:p>
    <w:p>
      <w:pPr>
        <w:pStyle w:val="919"/>
        <w:ind w:firstLine="1506"/>
        <w:rPr>
          <w:rFonts w:hint="eastAsia"/>
          <w:b/>
          <w:sz w:val="30"/>
          <w:szCs w:val="30"/>
        </w:rPr>
      </w:pPr>
      <w:r>
        <w:rPr>
          <w:rFonts w:hint="eastAsia"/>
          <w:b/>
          <w:sz w:val="30"/>
          <w:szCs w:val="30"/>
        </w:rPr>
      </w:r>
      <w:r/>
    </w:p>
    <w:p>
      <w:pPr>
        <w:pStyle w:val="919"/>
        <w:ind w:firstLine="1506"/>
        <w:rPr>
          <w:rFonts w:hint="eastAsia"/>
          <w:b/>
          <w:sz w:val="30"/>
          <w:szCs w:val="30"/>
        </w:rPr>
      </w:pPr>
      <w:r>
        <w:rPr>
          <w:rFonts w:hint="eastAsia"/>
          <w:b/>
          <w:sz w:val="30"/>
          <w:szCs w:val="30"/>
        </w:rPr>
      </w:r>
      <w:r/>
    </w:p>
    <w:p>
      <w:pPr>
        <w:pStyle w:val="919"/>
        <w:ind w:firstLine="1506"/>
        <w:rPr>
          <w:b/>
          <w:sz w:val="30"/>
          <w:szCs w:val="30"/>
          <w:u w:val="single"/>
        </w:rPr>
      </w:pPr>
      <w:r>
        <w:rPr>
          <w:rFonts w:hint="eastAsia"/>
          <w:b/>
          <w:sz w:val="30"/>
          <w:szCs w:val="30"/>
        </w:rPr>
        <w:t xml:space="preserve">项目名称：</w:t>
      </w:r>
      <w:r>
        <w:rPr>
          <w:rFonts w:hint="eastAsia"/>
          <w:b/>
          <w:color w:val="000000"/>
          <w:sz w:val="32"/>
          <w:szCs w:val="32"/>
        </w:rPr>
        <w:t xml:space="preserve">雪亮工程视频监控、信号灯维护项目（202</w:t>
      </w:r>
      <w:r>
        <w:rPr>
          <w:b/>
          <w:color w:val="000000"/>
          <w:sz w:val="32"/>
          <w:szCs w:val="32"/>
        </w:rPr>
        <w:t xml:space="preserve">6</w:t>
      </w:r>
      <w:r>
        <w:rPr>
          <w:rFonts w:hint="eastAsia"/>
          <w:b/>
          <w:color w:val="000000"/>
          <w:sz w:val="32"/>
          <w:szCs w:val="32"/>
        </w:rPr>
        <w:t xml:space="preserve">）</w:t>
      </w:r>
      <w:r>
        <w:rPr>
          <w:rFonts w:hint="eastAsia"/>
          <w:b/>
          <w:color w:val="0000ff"/>
          <w:sz w:val="32"/>
          <w:szCs w:val="32"/>
        </w:rPr>
        <w:t xml:space="preserve"> </w:t>
      </w:r>
      <w:r>
        <w:rPr>
          <w:b/>
          <w:sz w:val="30"/>
          <w:szCs w:val="30"/>
          <w:u w:val="single"/>
        </w:rPr>
      </w:r>
      <w:r/>
    </w:p>
    <w:p>
      <w:pPr>
        <w:pStyle w:val="919"/>
        <w:ind w:firstLine="1506"/>
        <w:rPr>
          <w:rFonts w:hint="eastAsia"/>
          <w:b/>
          <w:color w:val="ff0000"/>
          <w:sz w:val="30"/>
          <w:szCs w:val="30"/>
        </w:rPr>
      </w:pPr>
      <w:r>
        <w:rPr>
          <w:rFonts w:hint="eastAsia"/>
          <w:b/>
          <w:sz w:val="30"/>
          <w:szCs w:val="30"/>
        </w:rPr>
        <w:t xml:space="preserve">项目编号：JSZC-320116-JZCG-G2026-0041</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919"/>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rPr>
          <w:rFonts w:hint="eastAsia"/>
          <w:b/>
          <w:sz w:val="30"/>
          <w:szCs w:val="30"/>
        </w:rPr>
      </w:r>
      <w:r/>
    </w:p>
    <w:p>
      <w:pPr>
        <w:pStyle w:val="919"/>
        <w:jc w:val="center"/>
        <w:rPr>
          <w:rFonts w:hint="eastAsia" w:ascii="宋体" w:hAnsi="宋体"/>
          <w:color w:val="000000"/>
          <w:sz w:val="24"/>
          <w:szCs w:val="24"/>
        </w:rPr>
      </w:pPr>
      <w:r>
        <w:rPr>
          <w:rFonts w:hint="eastAsia" w:ascii="宋体" w:hAnsi="宋体"/>
          <w:color w:val="000000"/>
          <w:sz w:val="24"/>
          <w:szCs w:val="24"/>
        </w:rPr>
      </w:r>
      <w:r/>
    </w:p>
    <w:p>
      <w:pPr>
        <w:pStyle w:val="9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2"/>
        <w:ind w:firstLine="0"/>
        <w:jc w:val="center"/>
        <w:rPr>
          <w:rFonts w:hint="eastAsia"/>
          <w:b/>
          <w:bCs/>
          <w:sz w:val="32"/>
        </w:rPr>
      </w:pPr>
      <w:r>
        <w:rPr>
          <w:rFonts w:hint="eastAsia"/>
          <w:b/>
          <w:bCs/>
          <w:sz w:val="32"/>
        </w:rPr>
        <w:t xml:space="preserve">南京市公共资源交易中心六合分中心</w:t>
      </w:r>
      <w:r>
        <w:rPr>
          <w:rFonts w:hint="eastAsia"/>
          <w:b/>
          <w:bCs/>
          <w:sz w:val="32"/>
        </w:rPr>
      </w:r>
      <w:r/>
    </w:p>
    <w:p>
      <w:pPr>
        <w:pStyle w:val="919"/>
        <w:jc w:val="center"/>
        <w:rPr>
          <w:rFonts w:hint="eastAsia" w:ascii="Arial" w:hAnsi="Arial"/>
          <w:color w:val="000000"/>
          <w:sz w:val="24"/>
          <w:szCs w:val="24"/>
          <w:u w:val="single"/>
        </w:rPr>
      </w:pPr>
      <w:r>
        <w:rPr>
          <w:rFonts w:hint="eastAsia"/>
          <w:b/>
          <w:color w:val="000000"/>
          <w:sz w:val="32"/>
          <w:szCs w:val="32"/>
        </w:rPr>
        <w:t xml:space="preserve">2026年8月</w:t>
      </w:r>
      <w:r>
        <w:rPr>
          <w:rFonts w:hint="eastAsia" w:ascii="Arial" w:hAnsi="Arial"/>
          <w:color w:val="000000"/>
          <w:sz w:val="24"/>
          <w:szCs w:val="24"/>
        </w:rPr>
        <w:t xml:space="preserve">                       </w:t>
      </w:r>
      <w:r>
        <w:rPr>
          <w:rFonts w:hint="eastAsia" w:ascii="Arial" w:hAnsi="Arial"/>
          <w:color w:val="000000"/>
          <w:sz w:val="24"/>
          <w:szCs w:val="24"/>
          <w:u w:val="single"/>
        </w:rPr>
      </w:r>
      <w:r/>
    </w:p>
    <w:p>
      <w:pPr>
        <w:pStyle w:val="91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9"/>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19"/>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953"/>
        <w:rPr>
          <w:rFonts w:hint="eastAsia"/>
        </w:rPr>
      </w:pPr>
      <w:r>
        <w:rPr>
          <w:rFonts w:hint="eastAsia"/>
        </w:rPr>
      </w:r>
      <w:r/>
    </w:p>
    <w:p>
      <w:pPr>
        <w:pStyle w:val="919"/>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1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1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91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91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91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91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919"/>
        <w:numPr>
          <w:ilvl w:val="0"/>
          <w:numId w:val="4"/>
        </w:numPr>
        <w:jc w:val="center"/>
        <w:spacing w:line="960" w:lineRule="auto"/>
        <w:tabs>
          <w:tab w:val="left" w:pos="1440" w:leader="none"/>
        </w:tabs>
        <w:rPr>
          <w:rFonts w:hint="eastAsia"/>
        </w:rPr>
        <w:outlineLvl w:val="1"/>
      </w:pPr>
      <w:r>
        <w:rPr>
          <w:rFonts w:hint="eastAsia" w:ascii="黑体" w:hAnsi="宋体" w:eastAsia="黑体"/>
          <w:sz w:val="36"/>
        </w:rPr>
        <w:t xml:space="preserve">投标文件格式………………………………</w:t>
      </w: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922"/>
        <w:ind w:firstLine="465"/>
        <w:spacing w:before="145" w:after="145" w:line="252" w:lineRule="auto"/>
        <w:rPr>
          <w:rFonts w:hint="eastAsia" w:ascii="方正黑体_GBK" w:hAnsi="方正黑体_GBK" w:eastAsia="方正黑体_GBK" w:cs="方正黑体_GBK"/>
          <w:b w:val="0"/>
          <w:bCs w:val="0"/>
          <w:sz w:val="30"/>
          <w:szCs w:val="30"/>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919"/>
        <w:ind w:firstLine="480"/>
        <w:spacing w:line="252" w:lineRule="auto"/>
        <w:rPr>
          <w:rFonts w:ascii="宋体" w:hAnsi="宋体"/>
          <w:color w:val="0000ff"/>
          <w:sz w:val="24"/>
          <w:szCs w:val="24"/>
        </w:rPr>
      </w:pPr>
      <w:r/>
      <w:bookmarkEnd w:id="11"/>
      <w:r>
        <w:rPr>
          <w:rFonts w:hint="eastAsia" w:ascii="宋体" w:hAnsi="宋体"/>
          <w:sz w:val="24"/>
          <w:szCs w:val="24"/>
        </w:rPr>
        <w:t xml:space="preserve">1.项目编号：</w:t>
      </w:r>
      <w:r>
        <w:rPr>
          <w:rFonts w:hint="eastAsia" w:ascii="宋体" w:hAnsi="宋体"/>
          <w:color w:val="000000" w:themeColor="text1"/>
          <w:sz w:val="24"/>
          <w:szCs w:val="24"/>
        </w:rPr>
        <w:t xml:space="preserve">JSZC-320116-JZCG-G2026-0041</w:t>
      </w:r>
      <w:r>
        <w:rPr>
          <w:rFonts w:hint="eastAsia" w:ascii="宋体" w:hAnsi="宋体"/>
          <w:color w:val="0000ff"/>
          <w:sz w:val="24"/>
          <w:szCs w:val="24"/>
        </w:rPr>
        <w:t xml:space="preserve"> </w:t>
      </w:r>
      <w:r>
        <w:rPr>
          <w:rFonts w:ascii="宋体" w:hAnsi="宋体"/>
          <w:color w:val="0000ff"/>
          <w:sz w:val="24"/>
          <w:szCs w:val="24"/>
        </w:rPr>
      </w:r>
      <w:r/>
    </w:p>
    <w:p>
      <w:pPr>
        <w:pStyle w:val="919"/>
        <w:ind w:firstLine="480"/>
        <w:spacing w:line="252" w:lineRule="auto"/>
        <w:rPr>
          <w:rFonts w:hint="eastAsia" w:ascii="宋体" w:hAnsi="宋体"/>
          <w:sz w:val="24"/>
          <w:szCs w:val="24"/>
        </w:rPr>
      </w:pPr>
      <w:r>
        <w:rPr>
          <w:rFonts w:hint="eastAsia" w:ascii="宋体" w:hAnsi="宋体"/>
          <w:sz w:val="24"/>
          <w:szCs w:val="24"/>
        </w:rPr>
        <w:t xml:space="preserve">2.项目名称：</w:t>
      </w:r>
      <w:r>
        <w:rPr>
          <w:rFonts w:hint="eastAsia"/>
          <w:color w:val="000000"/>
          <w:sz w:val="24"/>
        </w:rPr>
        <w:t xml:space="preserve">雪亮工程视频监控、信号灯维护项目（2026）</w:t>
      </w:r>
      <w:r>
        <w:rPr>
          <w:rFonts w:hint="eastAsia" w:ascii="宋体" w:hAnsi="宋体"/>
          <w:sz w:val="24"/>
          <w:szCs w:val="24"/>
        </w:rPr>
      </w:r>
      <w:r/>
    </w:p>
    <w:p>
      <w:pPr>
        <w:pStyle w:val="919"/>
        <w:ind w:firstLine="480"/>
        <w:jc w:val="left"/>
        <w:spacing w:line="264" w:lineRule="auto"/>
        <w:rPr>
          <w:rFonts w:hint="eastAsia" w:ascii="宋体" w:hAnsi="宋体"/>
          <w:sz w:val="24"/>
          <w:szCs w:val="24"/>
        </w:rPr>
      </w:pPr>
      <w:r>
        <w:rPr>
          <w:rFonts w:hint="eastAsia" w:ascii="宋体" w:hAnsi="宋体"/>
          <w:sz w:val="24"/>
          <w:szCs w:val="24"/>
        </w:rPr>
        <w:t xml:space="preserve">3.预算金额：880</w:t>
      </w:r>
      <w:r>
        <w:rPr>
          <w:rFonts w:hint="eastAsia"/>
          <w:color w:val="000000"/>
          <w:sz w:val="24"/>
        </w:rPr>
        <w:t xml:space="preserve">万元</w:t>
      </w:r>
      <w:r>
        <w:rPr>
          <w:color w:val="000000"/>
          <w:sz w:val="24"/>
          <w:lang w:val="en-GB"/>
        </w:rPr>
        <w:t xml:space="preserve">/</w:t>
      </w:r>
      <w:r>
        <w:rPr>
          <w:rFonts w:hint="eastAsia"/>
          <w:color w:val="000000"/>
          <w:sz w:val="24"/>
        </w:rPr>
        <w:t xml:space="preserve">年。</w:t>
      </w:r>
      <w:r>
        <w:rPr>
          <w:rFonts w:hint="eastAsia" w:ascii="宋体" w:hAnsi="宋体"/>
          <w:sz w:val="24"/>
          <w:szCs w:val="24"/>
        </w:rPr>
      </w:r>
      <w:r/>
    </w:p>
    <w:p>
      <w:pPr>
        <w:pStyle w:val="919"/>
        <w:ind w:firstLine="480"/>
        <w:spacing w:line="252" w:lineRule="auto"/>
        <w:rPr>
          <w:rFonts w:hint="eastAsia" w:ascii="宋体" w:hAnsi="宋体" w:cs="宋体"/>
          <w:sz w:val="24"/>
          <w:szCs w:val="24"/>
        </w:rPr>
      </w:pPr>
      <w:r>
        <w:rPr>
          <w:rFonts w:hint="eastAsia" w:ascii="宋体" w:hAnsi="宋体"/>
          <w:sz w:val="24"/>
          <w:szCs w:val="24"/>
        </w:rPr>
        <w:t xml:space="preserve">4.最高限价：714.9256</w:t>
      </w:r>
      <w:r>
        <w:rPr>
          <w:rFonts w:hint="eastAsia"/>
          <w:color w:val="000000"/>
          <w:sz w:val="24"/>
        </w:rPr>
        <w:t xml:space="preserve">万元</w:t>
      </w:r>
      <w:r>
        <w:rPr>
          <w:color w:val="000000"/>
          <w:sz w:val="24"/>
          <w:lang w:val="en-GB"/>
        </w:rPr>
        <w:t xml:space="preserve">/</w:t>
      </w:r>
      <w:r>
        <w:rPr>
          <w:rFonts w:hint="eastAsia"/>
          <w:color w:val="000000"/>
          <w:sz w:val="24"/>
        </w:rPr>
        <w:t xml:space="preserve">年。</w:t>
      </w:r>
      <w:r>
        <w:rPr>
          <w:rFonts w:hint="eastAsia" w:ascii="宋体" w:hAnsi="宋体" w:cs="宋体"/>
          <w:sz w:val="24"/>
          <w:szCs w:val="24"/>
        </w:rPr>
      </w:r>
      <w:r/>
    </w:p>
    <w:p>
      <w:pPr>
        <w:pStyle w:val="919"/>
        <w:ind w:firstLine="482"/>
        <w:jc w:val="left"/>
        <w:spacing w:line="400" w:lineRule="exact"/>
        <w:rPr>
          <w:rFonts w:hint="eastAsia" w:ascii="宋体" w:hAnsi="宋体"/>
          <w:color w:val="000000"/>
          <w:sz w:val="24"/>
          <w:szCs w:val="24"/>
          <w:lang w:val="zh-CN"/>
        </w:rPr>
      </w:pPr>
      <w:r>
        <w:rPr>
          <w:rFonts w:hint="eastAsia" w:ascii="宋体" w:hAnsi="宋体"/>
          <w:sz w:val="24"/>
          <w:szCs w:val="24"/>
        </w:rPr>
        <w:t xml:space="preserve">5.采购需求（简介）：</w:t>
      </w:r>
      <w:r>
        <w:rPr>
          <w:rFonts w:hint="eastAsia" w:ascii="宋体" w:hAnsi="宋体"/>
          <w:color w:val="000000"/>
          <w:sz w:val="24"/>
          <w:szCs w:val="24"/>
          <w:lang w:val="zh-CN"/>
        </w:rPr>
        <w:t xml:space="preserve">视频监控、交通安全设施、机房及网络传输等设备维护服务及上述相关设备备件采购项目。（详细内容见本招标文件第四章）</w:t>
      </w:r>
      <w:r>
        <w:rPr>
          <w:rFonts w:hint="eastAsia" w:ascii="宋体" w:hAnsi="宋体"/>
          <w:color w:val="000000"/>
          <w:sz w:val="24"/>
          <w:szCs w:val="24"/>
          <w:lang w:val="zh-CN"/>
        </w:rPr>
      </w:r>
      <w:r/>
    </w:p>
    <w:p>
      <w:pPr>
        <w:pStyle w:val="919"/>
        <w:ind w:firstLine="480"/>
        <w:spacing w:line="252" w:lineRule="auto"/>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19"/>
        <w:ind w:firstLine="480"/>
        <w:spacing w:line="252" w:lineRule="auto"/>
        <w:rPr>
          <w:rFonts w:hint="eastAsia" w:ascii="宋体" w:hAnsi="宋体" w:cs="宋体"/>
          <w:sz w:val="24"/>
          <w:szCs w:val="24"/>
        </w:rPr>
      </w:pPr>
      <w:r>
        <w:rPr>
          <w:rFonts w:hint="eastAsia" w:ascii="宋体" w:hAnsi="宋体"/>
          <w:sz w:val="24"/>
          <w:szCs w:val="24"/>
        </w:rPr>
        <w:t xml:space="preserve">6.合同履行期限：服务期2年（从进场维护之日起算），合同一年一签，每年考核合格后续签下一年度合同。每年服务期满，采购人有权根据预算调整或考核情况决定继续履行合同（可能根据预算调整压缩合同金额）或终止合同。</w:t>
      </w:r>
      <w:r>
        <w:rPr>
          <w:rFonts w:hint="eastAsia" w:ascii="宋体" w:hAnsi="宋体" w:cs="宋体"/>
          <w:sz w:val="24"/>
          <w:szCs w:val="24"/>
        </w:rPr>
      </w:r>
      <w:r/>
    </w:p>
    <w:p>
      <w:pPr>
        <w:pStyle w:val="919"/>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919"/>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rPr>
          <w:rFonts w:hint="eastAsia" w:ascii="宋体" w:hAnsi="宋体"/>
          <w:color w:val="000000"/>
          <w:sz w:val="24"/>
          <w:szCs w:val="24"/>
        </w:rPr>
      </w:r>
      <w:r/>
    </w:p>
    <w:p>
      <w:pPr>
        <w:pStyle w:val="91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922"/>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791"/>
      <w:r/>
      <w:bookmarkStart w:id="13" w:name="_Toc35393622"/>
      <w:r/>
      <w:bookmarkStart w:id="14" w:name="_Toc28359080"/>
      <w:r/>
      <w:bookmarkStart w:id="15" w:name="_Toc28359003"/>
      <w:r/>
      <w:bookmarkStart w:id="16" w:name="_Toc38985264"/>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919"/>
        <w:ind w:firstLine="480"/>
        <w:spacing w:line="252" w:lineRule="auto"/>
        <w:rPr>
          <w:rFonts w:hint="eastAsia" w:ascii="宋体" w:hAnsi="宋体"/>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9"/>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919"/>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sz w:val="24"/>
          <w:szCs w:val="24"/>
        </w:rPr>
      </w:r>
      <w:r/>
    </w:p>
    <w:p>
      <w:pPr>
        <w:pStyle w:val="919"/>
        <w:ind w:firstLine="480"/>
        <w:spacing w:line="252" w:lineRule="auto"/>
        <w:rPr>
          <w:rFonts w:hint="eastAsia" w:ascii="宋体" w:hAnsi="宋体"/>
          <w:color w:val="0000ff"/>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color w:val="000000"/>
          <w:sz w:val="24"/>
          <w:szCs w:val="24"/>
          <w:lang w:val="zh-CN"/>
        </w:rPr>
        <w:t xml:space="preserve">无。</w:t>
      </w:r>
      <w:r>
        <w:rPr>
          <w:rFonts w:hint="eastAsia" w:ascii="宋体" w:hAnsi="宋体"/>
          <w:color w:val="0000ff"/>
          <w:sz w:val="24"/>
          <w:szCs w:val="24"/>
          <w:lang w:val="zh-CN"/>
        </w:rPr>
      </w:r>
      <w:r/>
    </w:p>
    <w:p>
      <w:pPr>
        <w:pStyle w:val="919"/>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sz w:val="24"/>
          <w:szCs w:val="24"/>
        </w:rPr>
      </w:r>
      <w:r/>
    </w:p>
    <w:p>
      <w:pPr>
        <w:pStyle w:val="92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919"/>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919"/>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22"/>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w:t>
      </w:r>
      <w:r>
        <w:rPr>
          <w:rFonts w:hint="eastAsia" w:ascii="方正黑体_GBK" w:hAnsi="方正黑体_GBK" w:eastAsia="方正黑体_GBK" w:cs="方正黑体_GBK"/>
          <w:b w:val="0"/>
          <w:bCs w:val="0"/>
          <w:color w:val="000000" w:themeColor="text1"/>
          <w:sz w:val="30"/>
          <w:szCs w:val="30"/>
          <w:highlight w:val="none"/>
        </w:rPr>
        <w:t xml:space="preserve">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919"/>
        <w:ind w:firstLine="480"/>
        <w:spacing w:line="252" w:lineRule="auto"/>
        <w:rPr>
          <w:rFonts w:hint="eastAsia" w:ascii="宋体" w:hAnsi="宋体"/>
          <w:bCs/>
          <w:color w:val="000000" w:themeColor="text1"/>
          <w:sz w:val="24"/>
          <w:szCs w:val="24"/>
          <w:highlight w:val="none"/>
          <w:u w:val="single"/>
        </w:rPr>
      </w:pPr>
      <w:r>
        <w:rPr>
          <w:color w:val="000000" w:themeColor="text1"/>
          <w:highlight w:val="none"/>
        </w:rPr>
      </w:r>
      <w:bookmarkStart w:id="27" w:name="_Toc28359084"/>
      <w:r>
        <w:rPr>
          <w:color w:val="000000" w:themeColor="text1"/>
          <w:highlight w:val="none"/>
        </w:rPr>
      </w:r>
      <w:bookmarkStart w:id="28" w:name="_Toc28359007"/>
      <w:r>
        <w:rPr>
          <w:color w:val="000000" w:themeColor="text1"/>
          <w:highlight w:val="none"/>
        </w:rPr>
      </w:r>
      <w:bookmarkStart w:id="29" w:name="_Toc38985267"/>
      <w:r>
        <w:rPr>
          <w:color w:val="000000" w:themeColor="text1"/>
          <w:highlight w:val="none"/>
        </w:rPr>
      </w:r>
      <w:bookmarkStart w:id="30" w:name="_Toc35393794"/>
      <w:r>
        <w:rPr>
          <w:color w:val="000000" w:themeColor="text1"/>
          <w:highlight w:val="none"/>
        </w:rPr>
      </w:r>
      <w:bookmarkStart w:id="31" w:name="_Toc35393625"/>
      <w:r>
        <w:rPr>
          <w:rFonts w:hint="eastAsia" w:ascii="宋体" w:hAnsi="宋体" w:cs="宋体"/>
          <w:color w:val="000000" w:themeColor="text1"/>
          <w:sz w:val="24"/>
          <w:szCs w:val="24"/>
          <w:highlight w:val="none"/>
        </w:rPr>
        <w:t xml:space="preserve">1.提交投标文件截止时间、开标时间：</w:t>
      </w:r>
      <w:r>
        <w:rPr>
          <w:rFonts w:hint="eastAsia" w:ascii="宋体" w:hAnsi="宋体" w:cs="宋体"/>
          <w:bCs/>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26</w:t>
      </w:r>
      <w:r>
        <w:rPr>
          <w:rFonts w:hint="eastAsia" w:ascii="宋体" w:hAnsi="宋体"/>
          <w:bCs/>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16</w:t>
      </w:r>
      <w:r>
        <w:rPr>
          <w:rFonts w:hint="eastAsia" w:ascii="宋体" w:hAnsi="宋体"/>
          <w:bCs/>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09</w:t>
      </w:r>
      <w:r>
        <w:rPr>
          <w:rFonts w:hint="eastAsia"/>
          <w:bCs/>
          <w:color w:val="000000" w:themeColor="text1"/>
          <w:sz w:val="24"/>
          <w:szCs w:val="24"/>
          <w:highlight w:val="none"/>
        </w:rPr>
        <w:t xml:space="preserve">时</w:t>
      </w:r>
      <w:r>
        <w:rPr>
          <w:rFonts w:hint="eastAsia" w:ascii="宋体" w:hAnsi="宋体" w:cs="宋体"/>
          <w:color w:val="000000" w:themeColor="text1"/>
          <w:sz w:val="24"/>
          <w:szCs w:val="24"/>
          <w:highlight w:val="none"/>
          <w:lang w:val="en-US" w:eastAsia="zh-CN"/>
        </w:rPr>
        <w:t xml:space="preserve">00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919"/>
        <w:ind w:firstLine="480"/>
        <w:spacing w:line="252" w:lineRule="auto"/>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hint="eastAsia" w:ascii="宋体" w:hAnsi="宋体" w:cs="宋体"/>
          <w:color w:val="000000" w:themeColor="text1"/>
          <w:sz w:val="24"/>
          <w:szCs w:val="24"/>
          <w:highlight w:val="none"/>
        </w:rPr>
        <w:t xml:space="preserve">江苏省政府采购交易系统（以下简称“苏采云系统”）网上开标大厅。</w:t>
      </w:r>
      <w:r>
        <w:rPr>
          <w:color w:val="000000" w:themeColor="text1"/>
          <w:highlight w:val="none"/>
        </w:rPr>
      </w:r>
      <w:r/>
    </w:p>
    <w:p>
      <w:pPr>
        <w:pStyle w:val="922"/>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626"/>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公告期限为自本公告发布之日起5个工作日。</w:t>
      </w:r>
      <w:r>
        <w:rPr>
          <w:color w:val="000000" w:themeColor="text1"/>
          <w:highlight w:val="none"/>
        </w:rPr>
      </w:r>
      <w:r/>
    </w:p>
    <w:p>
      <w:pPr>
        <w:pStyle w:val="922"/>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六、其他事宜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919"/>
        <w:ind w:firstLine="480"/>
        <w:spacing w:line="252" w:lineRule="auto"/>
        <w:tabs>
          <w:tab w:val="left" w:pos="900" w:leader="none"/>
        </w:tabs>
        <w:rPr>
          <w:rFonts w:hint="eastAsia" w:ascii="宋体" w:hAnsi="宋体"/>
          <w:bCs/>
          <w:color w:val="000000" w:themeColor="text1"/>
          <w:sz w:val="24"/>
          <w:szCs w:val="24"/>
          <w:highlight w:val="none"/>
        </w:rPr>
      </w:pPr>
      <w:r>
        <w:rPr>
          <w:color w:val="000000" w:themeColor="text1"/>
          <w:highlight w:val="none"/>
        </w:rPr>
      </w:r>
      <w:bookmarkStart w:id="35" w:name="_Toc35393796"/>
      <w:r>
        <w:rPr>
          <w:color w:val="000000" w:themeColor="text1"/>
          <w:highlight w:val="none"/>
        </w:rPr>
      </w:r>
      <w:bookmarkStart w:id="36" w:name="_Toc28359085"/>
      <w:r>
        <w:rPr>
          <w:color w:val="000000" w:themeColor="text1"/>
          <w:highlight w:val="none"/>
        </w:rPr>
      </w:r>
      <w:bookmarkStart w:id="37" w:name="_Toc28359008"/>
      <w:r>
        <w:rPr>
          <w:color w:val="000000" w:themeColor="text1"/>
          <w:highlight w:val="none"/>
        </w:rPr>
      </w:r>
      <w:bookmarkStart w:id="38" w:name="_Toc38985269"/>
      <w:r>
        <w:rPr>
          <w:color w:val="000000" w:themeColor="text1"/>
          <w:highlight w:val="none"/>
        </w:rPr>
      </w:r>
      <w:bookmarkStart w:id="39" w:name="_Toc35393627"/>
      <w:r>
        <w:rPr>
          <w:rFonts w:hint="eastAsia" w:ascii="宋体" w:hAnsi="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本次招标不收取投标保证金。</w:t>
      </w:r>
      <w:r>
        <w:rPr>
          <w:color w:val="000000" w:themeColor="text1"/>
          <w:highlight w:val="none"/>
        </w:rPr>
      </w:r>
      <w:r/>
    </w:p>
    <w:p>
      <w:pPr>
        <w:pStyle w:val="919"/>
        <w:ind w:firstLine="480"/>
        <w:spacing w:line="264" w:lineRule="auto"/>
        <w:tabs>
          <w:tab w:val="left" w:pos="90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本项目组织集中</w:t>
      </w:r>
      <w:r>
        <w:rPr>
          <w:rFonts w:hint="eastAsia" w:ascii="宋体" w:hAnsi="宋体"/>
          <w:color w:val="000000" w:themeColor="text1"/>
          <w:sz w:val="24"/>
          <w:szCs w:val="24"/>
          <w:highlight w:val="none"/>
        </w:rPr>
        <w:t xml:space="preserve">答疑（</w:t>
      </w:r>
      <w:r>
        <w:rPr>
          <w:rFonts w:hint="eastAsia" w:ascii="宋体" w:hAnsi="宋体" w:cs="宋体"/>
          <w:color w:val="000000" w:themeColor="text1"/>
          <w:sz w:val="24"/>
          <w:szCs w:val="24"/>
          <w:highlight w:val="none"/>
        </w:rPr>
        <w:t xml:space="preserve">不组织集中</w:t>
      </w:r>
      <w:r>
        <w:rPr>
          <w:rFonts w:hint="eastAsia" w:ascii="宋体" w:hAnsi="宋体"/>
          <w:color w:val="000000" w:themeColor="text1"/>
          <w:sz w:val="24"/>
          <w:szCs w:val="24"/>
          <w:highlight w:val="none"/>
        </w:rPr>
        <w:t xml:space="preserve">勘察）</w:t>
      </w:r>
      <w:r>
        <w:rPr>
          <w:rFonts w:hint="eastAsia" w:ascii="宋体" w:hAnsi="宋体" w:cs="宋体"/>
          <w:color w:val="000000" w:themeColor="text1"/>
          <w:sz w:val="24"/>
          <w:szCs w:val="24"/>
          <w:highlight w:val="none"/>
        </w:rPr>
        <w:t xml:space="preserve">，供应商如对采购需求有疑问，请咨询采购单位联系人。</w:t>
      </w:r>
      <w:r>
        <w:rPr>
          <w:rFonts w:hint="eastAsia" w:ascii="宋体" w:hAnsi="宋体" w:cs="宋体"/>
          <w:color w:val="000000" w:themeColor="text1"/>
          <w:sz w:val="24"/>
          <w:szCs w:val="24"/>
          <w:highlight w:val="none"/>
        </w:rPr>
        <w:t xml:space="preserve">投标人代表携带加盖单位公章的营业执照复印件、法定代表人授权委托书、身份证、</w:t>
      </w:r>
      <w:r>
        <w:rPr>
          <w:rFonts w:hint="eastAsia" w:ascii="宋体" w:hAnsi="宋体"/>
          <w:color w:val="000000" w:themeColor="text1"/>
          <w:sz w:val="24"/>
          <w:szCs w:val="24"/>
          <w:highlight w:val="none"/>
        </w:rPr>
        <w:t xml:space="preserve">保密协议书（加盖公章），参加集中答疑，答疑后拷贝点位信息。集中答疑时间、地点：签到开始时间：2026年9月</w:t>
      </w:r>
      <w:r>
        <w:rPr>
          <w:rFonts w:hint="eastAsia" w:ascii="宋体" w:hAnsi="宋体"/>
          <w:color w:val="000000" w:themeColor="text1"/>
          <w:sz w:val="24"/>
          <w:szCs w:val="24"/>
          <w:highlight w:val="none"/>
        </w:rPr>
        <w:t xml:space="preserve">3日</w:t>
      </w:r>
      <w:r>
        <w:rPr>
          <w:rFonts w:hint="eastAsia" w:ascii="宋体" w:hAnsi="宋体"/>
          <w:color w:val="000000" w:themeColor="text1"/>
          <w:sz w:val="24"/>
          <w:szCs w:val="24"/>
          <w:highlight w:val="none"/>
        </w:rPr>
        <w:t xml:space="preserve">上午9:30，签到截止时间：2026年9月</w:t>
      </w:r>
      <w:r>
        <w:rPr>
          <w:rFonts w:hint="eastAsia" w:ascii="宋体" w:hAnsi="宋体"/>
          <w:color w:val="000000" w:themeColor="text1"/>
          <w:sz w:val="24"/>
          <w:szCs w:val="24"/>
          <w:highlight w:val="none"/>
        </w:rPr>
        <w:t xml:space="preserve">3日</w:t>
      </w:r>
      <w:r>
        <w:rPr>
          <w:rFonts w:hint="eastAsia" w:ascii="宋体" w:hAnsi="宋体"/>
          <w:color w:val="000000" w:themeColor="text1"/>
          <w:sz w:val="24"/>
          <w:szCs w:val="24"/>
          <w:highlight w:val="none"/>
        </w:rPr>
        <w:t xml:space="preserve">上午10:00，地点：南京市六合区雄州街道雄州东路282号705会议室，联系人：刘主任；联系电话：025-57555557。</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4.有关本次招标的事项若存在变动或修改，请及时关注“江苏政府采购网”（www.ccgp-jiangsu.gov.cn）更正公告。</w:t>
      </w:r>
      <w:r>
        <w:rPr>
          <w:color w:val="000000" w:themeColor="text1"/>
          <w:highlight w:val="none"/>
        </w:rPr>
      </w:r>
      <w:r/>
    </w:p>
    <w:p>
      <w:pPr>
        <w:pStyle w:val="919"/>
        <w:ind w:firstLine="482"/>
        <w:spacing w:line="252" w:lineRule="auto"/>
        <w:rPr>
          <w:rFonts w:hint="eastAsia" w:ascii="宋体" w:hAnsi="宋体"/>
          <w:color w:val="000000" w:themeColor="text1"/>
          <w:sz w:val="24"/>
          <w:highlight w:val="none"/>
        </w:rPr>
      </w:pPr>
      <w:r>
        <w:rPr>
          <w:rFonts w:hint="eastAsia" w:ascii="宋体" w:hAnsi="宋体" w:cs="宋体"/>
          <w:b/>
          <w:bCs/>
          <w:color w:val="000000" w:themeColor="text1"/>
          <w:sz w:val="24"/>
          <w:szCs w:val="24"/>
          <w:highlight w:val="none"/>
        </w:rPr>
        <w:t xml:space="preserve">5.</w:t>
      </w:r>
      <w:r>
        <w:rPr>
          <w:rFonts w:hint="eastAsia" w:ascii="宋体" w:hAnsi="宋体"/>
          <w:b/>
          <w:bCs/>
          <w:color w:val="000000" w:themeColor="text1"/>
          <w:sz w:val="24"/>
          <w:highlight w:val="none"/>
        </w:rPr>
        <w:t xml:space="preserve">对本项目有关</w:t>
      </w:r>
      <w:r>
        <w:rPr>
          <w:rFonts w:hint="eastAsia" w:ascii="宋体" w:hAnsi="宋体"/>
          <w:b/>
          <w:bCs/>
          <w:color w:val="000000" w:themeColor="text1"/>
          <w:sz w:val="24"/>
          <w:highlight w:val="none"/>
          <w:lang w:val="zh-CN"/>
        </w:rPr>
        <w:t xml:space="preserve">的</w:t>
      </w:r>
      <w:r>
        <w:rPr>
          <w:rFonts w:hint="eastAsia" w:ascii="宋体" w:hAnsi="宋体"/>
          <w:b/>
          <w:bCs/>
          <w:color w:val="000000" w:themeColor="text1"/>
          <w:sz w:val="24"/>
          <w:highlight w:val="none"/>
        </w:rPr>
        <w:t xml:space="preserve">所有</w:t>
      </w:r>
      <w:r>
        <w:rPr>
          <w:rFonts w:hint="eastAsia" w:ascii="宋体" w:hAnsi="宋体"/>
          <w:b/>
          <w:bCs/>
          <w:color w:val="000000" w:themeColor="text1"/>
          <w:sz w:val="24"/>
          <w:highlight w:val="none"/>
          <w:lang w:val="zh-CN"/>
        </w:rPr>
        <w:t xml:space="preserve">询问</w:t>
      </w:r>
      <w:r>
        <w:rPr>
          <w:rFonts w:hint="eastAsia" w:ascii="宋体" w:hAnsi="宋体"/>
          <w:b/>
          <w:bCs/>
          <w:color w:val="000000" w:themeColor="text1"/>
          <w:sz w:val="24"/>
          <w:highlight w:val="none"/>
        </w:rPr>
        <w:t xml:space="preserve">或</w:t>
      </w:r>
      <w:r>
        <w:rPr>
          <w:rFonts w:hint="eastAsia" w:ascii="宋体" w:hAnsi="宋体"/>
          <w:b/>
          <w:bCs/>
          <w:color w:val="000000" w:themeColor="text1"/>
          <w:sz w:val="24"/>
          <w:highlight w:val="none"/>
          <w:lang w:val="zh-CN"/>
        </w:rPr>
        <w:t xml:space="preserve">质疑，应向采购人提出，由采购人负责答复。</w:t>
      </w:r>
      <w:r>
        <w:rPr>
          <w:color w:val="000000" w:themeColor="text1"/>
          <w:highlight w:val="none"/>
        </w:rPr>
      </w:r>
      <w:r/>
    </w:p>
    <w:p>
      <w:pPr>
        <w:pStyle w:val="919"/>
        <w:ind w:firstLine="480"/>
        <w:spacing w:line="252"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采购人收《质疑函》，收件人：刘主任；收件地址：</w:t>
      </w:r>
      <w:r>
        <w:rPr>
          <w:rFonts w:hint="eastAsia" w:ascii="宋体" w:hAnsi="宋体" w:cs="宋体"/>
          <w:color w:val="000000" w:themeColor="text1"/>
          <w:sz w:val="24"/>
          <w:szCs w:val="24"/>
          <w:highlight w:val="none"/>
        </w:rPr>
        <w:t xml:space="preserve">南京市</w:t>
      </w:r>
      <w:r>
        <w:rPr>
          <w:rFonts w:hint="eastAsia" w:ascii="宋体" w:hAnsi="宋体"/>
          <w:color w:val="000000" w:themeColor="text1"/>
          <w:sz w:val="24"/>
          <w:szCs w:val="24"/>
          <w:highlight w:val="none"/>
        </w:rPr>
        <w:t xml:space="preserve">六合区雄州东路282</w:t>
      </w:r>
      <w:r>
        <w:rPr>
          <w:rFonts w:hint="eastAsia" w:ascii="宋体" w:hAnsi="宋体" w:cs="宋体"/>
          <w:color w:val="000000" w:themeColor="text1"/>
          <w:sz w:val="24"/>
          <w:szCs w:val="24"/>
          <w:highlight w:val="none"/>
        </w:rPr>
        <w:t xml:space="preserve">号；</w:t>
      </w:r>
      <w:r>
        <w:rPr>
          <w:rFonts w:hint="eastAsia" w:ascii="宋体" w:hAnsi="宋体"/>
          <w:color w:val="000000" w:themeColor="text1"/>
          <w:sz w:val="24"/>
          <w:highlight w:val="none"/>
        </w:rPr>
        <w:t xml:space="preserve">联系电话：025-57555557。</w:t>
      </w:r>
      <w:r>
        <w:rPr>
          <w:color w:val="000000" w:themeColor="text1"/>
          <w:highlight w:val="none"/>
        </w:rPr>
      </w:r>
      <w:r/>
    </w:p>
    <w:p>
      <w:pPr>
        <w:pStyle w:val="922"/>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七、本次招标联系方式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1.采购人</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名称：南京市公安局六合分局</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地址：江苏省南京市六合区雄州街道雄州东路282号</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联系人：刘主任</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联系电话：025-57555557</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2.交易中心</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地　址：南京市六合区雄州街道龙池路333号　　　　　　　　　　　</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lang w:val="en-US" w:eastAsia="zh-CN"/>
        </w:rPr>
        <w:t xml:space="preserve">林先生</w:t>
      </w:r>
      <w:r>
        <w:rPr>
          <w:rFonts w:hint="eastAsia" w:ascii="宋体" w:hAnsi="宋体"/>
          <w:color w:val="000000" w:themeColor="text1"/>
          <w:sz w:val="24"/>
          <w:szCs w:val="24"/>
          <w:highlight w:val="none"/>
        </w:rPr>
        <w:t xml:space="preserve">     </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联系电话：025-</w:t>
      </w:r>
      <w:r>
        <w:rPr>
          <w:rFonts w:hint="eastAsia" w:ascii="宋体" w:hAnsi="宋体"/>
          <w:color w:val="000000" w:themeColor="text1"/>
          <w:sz w:val="24"/>
          <w:szCs w:val="24"/>
          <w:highlight w:val="none"/>
          <w:lang w:val="en-US" w:eastAsia="zh-CN"/>
        </w:rPr>
        <w:t xml:space="preserve">57130352</w:t>
      </w:r>
      <w:r>
        <w:rPr>
          <w:rFonts w:hint="eastAsia" w:ascii="宋体" w:hAnsi="宋体"/>
          <w:color w:val="000000" w:themeColor="text1"/>
          <w:sz w:val="24"/>
          <w:szCs w:val="24"/>
          <w:highlight w:val="none"/>
        </w:rPr>
        <w:t xml:space="preserve">  </w:t>
      </w:r>
      <w:r>
        <w:rPr>
          <w:color w:val="000000" w:themeColor="text1"/>
          <w:highlight w:val="none"/>
        </w:rPr>
      </w:r>
      <w:r/>
    </w:p>
    <w:p>
      <w:pPr>
        <w:pStyle w:val="93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0" w:name="_Hlt16619350"/>
      <w:r/>
      <w:bookmarkStart w:id="41" w:name="_Toc16938590"/>
      <w:r/>
      <w:bookmarkStart w:id="42" w:name="_Toc120614244"/>
      <w:r/>
      <w:bookmarkStart w:id="43" w:name="_Toc20823346"/>
      <w:r/>
      <w:bookmarkStart w:id="44" w:name="_Toc462564139"/>
      <w:r/>
      <w:bookmarkStart w:id="45" w:name="_Toc479757211"/>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7.1 在投标截止时间之前，交易中心可以对已发出的招标文件进行必要的澄清或者修改，并在原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919"/>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rPr>
          <w:rFonts w:hint="eastAsia" w:ascii="宋体" w:hAnsi="宋体"/>
          <w:sz w:val="24"/>
          <w:szCs w:val="22"/>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919"/>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919"/>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92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92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17.4 如出现投标截止时间递交投标文件的投标人不足三家的情况，按政府采购相关规定执行。</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18.评标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18.2 评委会由采购人代表和有关方面专家组成，人员构成符合政府采购有关规定。</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18.3 评委会独立工作，负责评审所有投标文件并推荐中标候选人，或根据采购人授权直接确定中标人。</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919"/>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投标人在开、评标全过程中应保持通信畅通，及时登录苏采云系统查阅、答复相关信息。</w:t>
      </w:r>
      <w:r>
        <w:rPr>
          <w:rFonts w:hint="eastAsia" w:ascii="宋体" w:hAnsi="宋体"/>
          <w:sz w:val="24"/>
          <w:lang w:val="zh-CN"/>
        </w:rPr>
      </w:r>
      <w:r/>
    </w:p>
    <w:p>
      <w:pPr>
        <w:pStyle w:val="919"/>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rPr>
        <w:t xml:space="preserve">55</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rPr>
        <w:t xml:space="preserve">55</w:t>
      </w:r>
      <w:r>
        <w:rPr>
          <w:rFonts w:hint="eastAsia" w:ascii="宋体" w:hAnsi="宋体"/>
          <w:sz w:val="24"/>
          <w:szCs w:val="22"/>
          <w:lang w:val="zh-CN"/>
        </w:rPr>
        <w:t xml:space="preserve">%；</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rPr>
        <w:t xml:space="preserve">55</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rPr>
        <w:t xml:space="preserve">55</w:t>
      </w:r>
      <w:r>
        <w:rPr>
          <w:rFonts w:hint="eastAsia" w:ascii="宋体" w:hAnsi="宋体"/>
          <w:sz w:val="24"/>
          <w:szCs w:val="22"/>
          <w:lang w:val="zh-CN"/>
        </w:rPr>
        <w:t xml:space="preserve">%；</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55</w:t>
      </w:r>
      <w:r>
        <w:rPr>
          <w:rFonts w:hint="eastAsia" w:ascii="宋体" w:hAnsi="宋体"/>
          <w:sz w:val="24"/>
          <w:szCs w:val="22"/>
          <w:lang w:val="zh-CN"/>
        </w:rPr>
        <w:t xml:space="preserve">%的，即投标报价&lt;采购项目最高限价×</w:t>
      </w:r>
      <w:r>
        <w:rPr>
          <w:rFonts w:hint="eastAsia" w:ascii="宋体" w:hAnsi="宋体"/>
          <w:sz w:val="24"/>
          <w:szCs w:val="22"/>
        </w:rPr>
        <w:t xml:space="preserve">55</w:t>
      </w:r>
      <w:r>
        <w:rPr>
          <w:rFonts w:hint="eastAsia" w:ascii="宋体" w:hAnsi="宋体"/>
          <w:sz w:val="24"/>
          <w:szCs w:val="22"/>
          <w:lang w:val="zh-CN"/>
        </w:rPr>
        <w:t xml:space="preserve">%；</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szCs w:val="22"/>
          <w:lang w:val="zh-CN"/>
        </w:rPr>
        <w:t xml:space="preserve">（4）评委会基于专业判断，认为投标报价过低，有可能影响产品质量或者不能诚信履约的其他情形。</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并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szCs w:val="22"/>
          <w:lang w:val="zh-CN"/>
        </w:rPr>
      </w:r>
      <w:r/>
    </w:p>
    <w:p>
      <w:pPr>
        <w:pStyle w:val="919"/>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919"/>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91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rPr>
          <w:rFonts w:hint="eastAsia" w:ascii="宋体" w:hAnsi="宋体"/>
          <w:sz w:val="24"/>
          <w:lang w:val="zh-CN"/>
        </w:rPr>
      </w:r>
      <w:r/>
    </w:p>
    <w:p>
      <w:pPr>
        <w:pStyle w:val="919"/>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919"/>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91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91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91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919"/>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91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919"/>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92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919"/>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92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91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919"/>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rPr>
      </w:r>
      <w:r/>
    </w:p>
    <w:p>
      <w:pPr>
        <w:pStyle w:val="919"/>
        <w:ind w:firstLine="422"/>
        <w:rPr>
          <w:rFonts w:hint="eastAsia" w:ascii="宋体" w:hAnsi="宋体"/>
          <w:b/>
          <w:bCs/>
          <w:color w:val="000000" w:themeColor="text1"/>
          <w:sz w:val="24"/>
        </w:rPr>
      </w:pPr>
      <w:r>
        <w:rPr>
          <w:rFonts w:hint="eastAsia" w:ascii="宋体" w:hAnsi="宋体"/>
          <w:b/>
          <w:bCs/>
          <w:sz w:val="24"/>
        </w:rPr>
        <w:t xml:space="preserve">投标人对采购人、交易中心的质疑答复不满意，</w:t>
      </w:r>
      <w:r>
        <w:rPr>
          <w:rFonts w:hint="eastAsia" w:ascii="宋体" w:hAnsi="宋体"/>
          <w:b/>
          <w:bCs/>
          <w:color w:val="000000" w:themeColor="text1"/>
          <w:sz w:val="24"/>
        </w:rPr>
        <w:t xml:space="preserve">或者采购人、交易中心未在规定时间内作出质疑答复的，可以在答复期满后15个工作日内向</w:t>
      </w:r>
      <w:r>
        <w:rPr>
          <w:rFonts w:hint="eastAsia" w:ascii="宋体" w:hAnsi="宋体"/>
          <w:b/>
          <w:bCs/>
          <w:color w:val="000000" w:themeColor="text1"/>
          <w:sz w:val="24"/>
        </w:rPr>
        <w:t xml:space="preserve">南京市六合区财政局</w:t>
      </w:r>
      <w:r>
        <w:rPr>
          <w:rFonts w:hint="eastAsia" w:ascii="宋体" w:hAnsi="宋体"/>
          <w:b/>
          <w:bCs/>
          <w:color w:val="000000" w:themeColor="text1"/>
          <w:sz w:val="24"/>
        </w:rPr>
        <w:t xml:space="preserve">提起投诉。</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以下情形的质疑不予受理：</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.1 超出政府采购法定期限的质疑。</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.2 </w:t>
      </w:r>
      <w:r>
        <w:rPr>
          <w:rFonts w:hint="eastAsia" w:ascii="宋体" w:hAnsi="宋体"/>
          <w:color w:val="000000" w:themeColor="text1"/>
          <w:sz w:val="24"/>
        </w:rPr>
        <w:t xml:space="preserve">属于第30条规定的对</w:t>
      </w:r>
      <w:r>
        <w:rPr>
          <w:rFonts w:hint="eastAsia" w:ascii="宋体" w:hAnsi="宋体"/>
          <w:color w:val="000000" w:themeColor="text1"/>
          <w:sz w:val="24"/>
          <w:lang w:val="zh-CN"/>
        </w:rPr>
        <w:t xml:space="preserve">同一采购程序环节提出</w:t>
      </w:r>
      <w:r>
        <w:rPr>
          <w:rFonts w:hint="eastAsia" w:ascii="宋体" w:hAnsi="宋体"/>
          <w:color w:val="000000" w:themeColor="text1"/>
          <w:sz w:val="24"/>
        </w:rPr>
        <w:t xml:space="preserve">的多次</w:t>
      </w:r>
      <w:r>
        <w:rPr>
          <w:rFonts w:hint="eastAsia" w:ascii="宋体" w:hAnsi="宋体"/>
          <w:color w:val="000000" w:themeColor="text1"/>
          <w:sz w:val="24"/>
          <w:lang w:val="zh-CN"/>
        </w:rPr>
        <w:t xml:space="preserve">质疑。</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.3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34.</w:t>
      </w:r>
      <w:r>
        <w:rPr>
          <w:rFonts w:hint="eastAsia" w:ascii="宋体" w:hAnsi="宋体"/>
          <w:color w:val="000000" w:themeColor="text1"/>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color w:val="000000" w:themeColor="text1"/>
        </w:rPr>
      </w:r>
      <w:r/>
    </w:p>
    <w:p>
      <w:pPr>
        <w:pStyle w:val="922"/>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九、政策功能落实</w:t>
      </w:r>
      <w:r>
        <w:rPr>
          <w:color w:val="000000" w:themeColor="text1"/>
        </w:rPr>
      </w:r>
      <w:r/>
    </w:p>
    <w:p>
      <w:pPr>
        <w:pStyle w:val="923"/>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w:t>
      </w:r>
      <w:r>
        <w:rPr>
          <w:rFonts w:hint="eastAsia" w:ascii="方正楷体_GBK" w:hAnsi="方正楷体_GBK" w:eastAsia="方正楷体_GBK" w:cs="方正楷体_GBK"/>
          <w:color w:val="000000" w:themeColor="text1"/>
        </w:rPr>
        <w:t xml:space="preserve">5</w:t>
      </w:r>
      <w:r>
        <w:rPr>
          <w:rFonts w:hint="eastAsia" w:ascii="方正楷体_GBK" w:hAnsi="方正楷体_GBK" w:eastAsia="方正楷体_GBK" w:cs="方正楷体_GBK"/>
          <w:color w:val="000000" w:themeColor="text1"/>
          <w:lang w:val="zh-CN"/>
        </w:rPr>
        <w:t xml:space="preserve">.促进中小企业发展</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pStyle w:val="919"/>
        <w:ind w:firstLine="420"/>
        <w:rPr>
          <w:rFonts w:ascii="宋体" w:hAnsi="宋体"/>
          <w:b/>
          <w:bCs/>
          <w:color w:val="000000" w:themeColor="text1"/>
          <w:sz w:val="24"/>
        </w:rPr>
      </w:pPr>
      <w:r>
        <w:rPr>
          <w:rFonts w:hint="eastAsia" w:ascii="宋体" w:hAnsi="宋体"/>
          <w:color w:val="000000" w:themeColor="text1"/>
          <w:sz w:val="24"/>
        </w:rPr>
        <w:t xml:space="preserve">35.2 中小企业参加政府采购活动，应当</w:t>
      </w:r>
      <w:r>
        <w:rPr>
          <w:rFonts w:ascii="宋体" w:hAnsi="宋体"/>
          <w:color w:val="000000" w:themeColor="text1"/>
          <w:sz w:val="24"/>
        </w:rPr>
        <w:t xml:space="preserve">出具</w:t>
      </w:r>
      <w:r>
        <w:rPr>
          <w:rFonts w:hint="eastAsia" w:ascii="宋体" w:hAnsi="宋体"/>
          <w:color w:val="000000" w:themeColor="text1"/>
          <w:sz w:val="24"/>
        </w:rPr>
        <w:t xml:space="preserve">《中小企业声明函》，否则不享受相关中小企业支持政策。</w:t>
      </w:r>
      <w:r>
        <w:rPr>
          <w:rFonts w:hint="eastAsia" w:ascii="宋体" w:hAnsi="宋体"/>
          <w:b/>
          <w:bCs/>
          <w:color w:val="000000" w:themeColor="text1"/>
          <w:sz w:val="24"/>
        </w:rPr>
        <w:t xml:space="preserve">中标人享受中小企业扶持政策的，其《中小企业声明函》将随中标结果公开。</w:t>
      </w:r>
      <w:r>
        <w:rPr>
          <w:color w:val="000000" w:themeColor="text1"/>
        </w:rPr>
      </w:r>
      <w:r/>
    </w:p>
    <w:p>
      <w:pPr>
        <w:pStyle w:val="919"/>
        <w:ind w:firstLine="420"/>
        <w:rPr>
          <w:rFonts w:hint="eastAsia" w:ascii="宋体" w:hAnsi="宋体" w:cs="宋体"/>
          <w:b/>
          <w:bCs/>
          <w:color w:val="000000" w:themeColor="text1"/>
          <w:sz w:val="24"/>
          <w:szCs w:val="24"/>
        </w:rPr>
      </w:pPr>
      <w:r>
        <w:rPr>
          <w:rFonts w:hint="eastAsia" w:ascii="宋体" w:hAnsi="宋体"/>
          <w:color w:val="000000" w:themeColor="text1"/>
          <w:sz w:val="24"/>
        </w:rPr>
        <w:t xml:space="preserve">35.3 </w:t>
      </w:r>
      <w:r>
        <w:rPr>
          <w:rFonts w:hint="eastAsia" w:ascii="宋体" w:hAnsi="宋体" w:cs="宋体"/>
          <w:b/>
          <w:bCs/>
          <w:color w:val="000000" w:themeColor="text1"/>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szCs w:val="22"/>
        </w:rPr>
        <w:t xml:space="preserve">35.4</w:t>
      </w:r>
      <w:r>
        <w:rPr>
          <w:rFonts w:hint="eastAsia" w:ascii="宋体" w:hAnsi="宋体"/>
          <w:b/>
          <w:bCs/>
          <w:color w:val="000000" w:themeColor="text1"/>
          <w:sz w:val="24"/>
          <w:szCs w:val="22"/>
        </w:rPr>
        <w:t xml:space="preserve"> </w:t>
      </w:r>
      <w:r>
        <w:rPr>
          <w:rFonts w:hint="eastAsia" w:ascii="宋体" w:hAnsi="宋体"/>
          <w:b/>
          <w:bCs/>
          <w:color w:val="000000" w:themeColor="text1"/>
          <w:sz w:val="24"/>
          <w:szCs w:val="22"/>
          <w:lang w:val="zh-CN"/>
        </w:rPr>
        <w:t xml:space="preserve">评委会评审中发现</w:t>
      </w:r>
      <w:r>
        <w:rPr>
          <w:rFonts w:hint="eastAsia" w:ascii="宋体" w:hAnsi="宋体"/>
          <w:b/>
          <w:bCs/>
          <w:color w:val="000000" w:themeColor="text1"/>
          <w:sz w:val="24"/>
          <w:szCs w:val="22"/>
        </w:rPr>
        <w:t xml:space="preserve">投标人</w:t>
      </w:r>
      <w:r>
        <w:rPr>
          <w:rFonts w:hint="eastAsia" w:ascii="宋体" w:hAnsi="宋体"/>
          <w:b/>
          <w:bCs/>
          <w:color w:val="000000" w:themeColor="text1"/>
          <w:sz w:val="24"/>
          <w:szCs w:val="22"/>
          <w:lang w:val="zh-CN"/>
        </w:rPr>
        <w:t xml:space="preserve">提供的</w:t>
      </w:r>
      <w:r>
        <w:rPr>
          <w:rFonts w:hint="eastAsia" w:ascii="宋体" w:hAnsi="宋体"/>
          <w:b/>
          <w:bCs/>
          <w:color w:val="000000" w:themeColor="text1"/>
          <w:sz w:val="24"/>
          <w:lang w:val="zh-CN"/>
        </w:rPr>
        <w:t xml:space="preserve">《中小企业声明函》</w:t>
      </w:r>
      <w:r>
        <w:rPr>
          <w:rFonts w:hint="eastAsia" w:ascii="宋体" w:hAnsi="宋体"/>
          <w:b/>
          <w:bCs/>
          <w:color w:val="000000" w:themeColor="text1"/>
          <w:sz w:val="24"/>
          <w:szCs w:val="22"/>
          <w:lang w:val="zh-CN"/>
        </w:rPr>
        <w:t xml:space="preserve">内容含义不明确、同类事项表述不一致或者有明显文字错误等情况的，应当以书面形式要求</w:t>
      </w:r>
      <w:r>
        <w:rPr>
          <w:rFonts w:hint="eastAsia" w:ascii="宋体" w:hAnsi="宋体"/>
          <w:b/>
          <w:bCs/>
          <w:color w:val="000000" w:themeColor="text1"/>
          <w:sz w:val="24"/>
          <w:szCs w:val="22"/>
        </w:rPr>
        <w:t xml:space="preserve">投标人</w:t>
      </w:r>
      <w:r>
        <w:rPr>
          <w:rFonts w:hint="eastAsia" w:ascii="宋体" w:hAnsi="宋体"/>
          <w:b/>
          <w:bCs/>
          <w:color w:val="000000" w:themeColor="text1"/>
          <w:sz w:val="24"/>
          <w:szCs w:val="22"/>
          <w:lang w:val="zh-CN"/>
        </w:rPr>
        <w:t xml:space="preserve">作出必要的澄清、说明或者补正。</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35.5 以联合体形式参加政府采购活动，联合体各方均为中小企业的，联合体视同中小企业。其中，联合体各方均为小微企业的，联合体视同小微企业。</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35.7 残疾人福利性单位视同小型、微型企业。按照《关于促进残疾人就业政府采购政策的通知》（财库〔2017〕141号）规定，残疾人福利性单位需提供《残疾人福利性单位声明函》。</w:t>
      </w:r>
      <w:bookmarkEnd w:id="46"/>
      <w:r>
        <w:rPr>
          <w:color w:val="000000" w:themeColor="text1"/>
        </w:rPr>
      </w:r>
      <w:bookmarkStart w:id="47" w:name="_Toc479757207"/>
      <w:r>
        <w:rPr>
          <w:color w:val="000000" w:themeColor="text1"/>
        </w:rPr>
      </w:r>
      <w:bookmarkStart w:id="48" w:name="_Toc16938558"/>
      <w:r>
        <w:rPr>
          <w:color w:val="000000" w:themeColor="text1"/>
        </w:rPr>
      </w:r>
      <w:bookmarkStart w:id="49" w:name="_Toc20823314"/>
      <w:r>
        <w:rPr>
          <w:color w:val="000000" w:themeColor="text1"/>
        </w:rPr>
      </w:r>
      <w:bookmarkStart w:id="50" w:name="_Toc120614221"/>
      <w:r>
        <w:rPr>
          <w:color w:val="000000" w:themeColor="text1"/>
        </w:rPr>
      </w:r>
      <w:bookmarkStart w:id="51" w:name="_Toc513029242"/>
      <w:r>
        <w:rPr>
          <w:color w:val="000000" w:themeColor="text1"/>
        </w:rPr>
      </w:r>
      <w:r/>
    </w:p>
    <w:p>
      <w:pPr>
        <w:pStyle w:val="923"/>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w:t>
      </w:r>
      <w:r>
        <w:rPr>
          <w:rFonts w:hint="eastAsia" w:ascii="方正楷体_GBK" w:hAnsi="方正楷体_GBK" w:eastAsia="方正楷体_GBK" w:cs="方正楷体_GBK"/>
          <w:color w:val="000000" w:themeColor="text1"/>
        </w:rPr>
        <w:t xml:space="preserve">6</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节能产品和环境标志产品</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36.2 采购产品</w:t>
      </w:r>
      <w:r>
        <w:rPr>
          <w:rFonts w:hint="eastAsia" w:ascii="宋体" w:hAnsi="宋体"/>
          <w:color w:val="000000" w:themeColor="text1"/>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36.3 采购产品</w:t>
      </w:r>
      <w:r>
        <w:rPr>
          <w:rFonts w:hint="eastAsia" w:ascii="宋体" w:hAnsi="宋体"/>
          <w:color w:val="000000" w:themeColor="text1"/>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rPr>
        <w:t xml:space="preserve">第五章</w:t>
      </w:r>
      <w:r>
        <w:rPr>
          <w:rFonts w:hint="eastAsia" w:ascii="宋体" w:hAnsi="宋体"/>
          <w:color w:val="000000" w:themeColor="text1"/>
          <w:sz w:val="24"/>
          <w:lang w:val="zh-CN"/>
        </w:rPr>
        <w:t xml:space="preserve">）。</w:t>
      </w:r>
      <w:r>
        <w:rPr>
          <w:color w:val="000000" w:themeColor="text1"/>
        </w:rPr>
      </w:r>
      <w:r/>
    </w:p>
    <w:p>
      <w:pPr>
        <w:pStyle w:val="923"/>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37</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绿色采购</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37.1 采购产品</w:t>
      </w:r>
      <w:r>
        <w:rPr>
          <w:rFonts w:hint="eastAsia" w:ascii="宋体"/>
          <w:bCs/>
          <w:color w:val="000000" w:themeColor="text1"/>
          <w:sz w:val="24"/>
          <w:szCs w:val="24"/>
        </w:rPr>
        <w:t xml:space="preserve">中涉及商品包装、快递包装要求的，应按照</w:t>
      </w:r>
      <w:r>
        <w:rPr>
          <w:rFonts w:hint="eastAsia" w:ascii="宋体" w:hAnsi="宋体"/>
          <w:color w:val="000000" w:themeColor="text1"/>
          <w:sz w:val="24"/>
          <w:szCs w:val="22"/>
        </w:rPr>
        <w:t xml:space="preserve">《关于印发〈商品包装政府采购需求标准（试行）&gt;、&lt;快递包装政府采购需求标准（试行）&gt;的通知》（财办库〔2020〕123号）、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文件执行。招标文件对</w:t>
      </w:r>
      <w:r>
        <w:rPr>
          <w:rFonts w:hint="eastAsia" w:ascii="宋体"/>
          <w:bCs/>
          <w:color w:val="000000" w:themeColor="text1"/>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37.2 采购产品中涉及数据中心相关设备、运维服务的，应按照《关于印发</w:t>
      </w:r>
      <w:r>
        <w:rPr>
          <w:rFonts w:hint="eastAsia" w:ascii="宋体" w:hAnsi="宋体"/>
          <w:color w:val="000000" w:themeColor="text1"/>
          <w:sz w:val="24"/>
          <w:szCs w:val="22"/>
        </w:rPr>
        <w:t xml:space="preserve">&lt;</w:t>
      </w:r>
      <w:r>
        <w:rPr>
          <w:rFonts w:hint="eastAsia" w:ascii="宋体" w:hAnsi="宋体"/>
          <w:color w:val="000000" w:themeColor="text1"/>
          <w:sz w:val="24"/>
        </w:rPr>
        <w:t xml:space="preserve">绿色数据中心政府采购需求标准（试行）&gt;的通知》（财办库〔2023〕7号）、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color w:val="000000" w:themeColor="text1"/>
        </w:rPr>
      </w:r>
      <w:r/>
    </w:p>
    <w:p>
      <w:pPr>
        <w:pStyle w:val="923"/>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38</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创新产品采购</w:t>
      </w:r>
      <w:r>
        <w:rPr>
          <w:color w:val="000000" w:themeColor="text1"/>
        </w:rPr>
      </w:r>
      <w:r/>
    </w:p>
    <w:p>
      <w:pPr>
        <w:pStyle w:val="919"/>
        <w:ind w:firstLine="420"/>
        <w:widowControl/>
        <w:rPr>
          <w:rFonts w:hint="eastAsia" w:ascii="宋体" w:hAnsi="宋体"/>
          <w:color w:val="000000" w:themeColor="text1"/>
          <w:sz w:val="24"/>
        </w:rPr>
      </w:pPr>
      <w:r>
        <w:rPr>
          <w:rFonts w:hint="eastAsia" w:ascii="宋体" w:hAnsi="宋体"/>
          <w:color w:val="000000" w:themeColor="text1"/>
          <w:sz w:val="24"/>
        </w:rPr>
        <w:t xml:space="preserve">38.1 优先采购各级政府部门公开发布的有效期内的创新产品、首台套等《目录》内的创新产品。创新产品自进入《目录》起2年内视同具备相应销售业绩。</w:t>
      </w:r>
      <w:r>
        <w:rPr>
          <w:color w:val="000000" w:themeColor="text1"/>
        </w:rPr>
      </w:r>
      <w:r/>
    </w:p>
    <w:p>
      <w:pPr>
        <w:pStyle w:val="923"/>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39.</w:t>
      </w:r>
      <w:r>
        <w:rPr>
          <w:rFonts w:hint="eastAsia" w:ascii="方正楷体_GBK" w:hAnsi="方正楷体_GBK" w:eastAsia="方正楷体_GBK" w:cs="方正楷体_GBK"/>
          <w:color w:val="000000" w:themeColor="text1"/>
          <w:lang w:val="zh-CN"/>
        </w:rPr>
        <w:t xml:space="preserve">网络产品、市场准入类产品采购</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39.1 </w:t>
      </w:r>
      <w:r>
        <w:rPr>
          <w:rFonts w:hint="eastAsia" w:ascii="宋体" w:hAnsi="宋体"/>
          <w:color w:val="000000" w:themeColor="text1"/>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39.2 </w:t>
      </w:r>
      <w:r>
        <w:rPr>
          <w:rFonts w:hint="eastAsia" w:ascii="宋体" w:hAnsi="宋体"/>
          <w:color w:val="000000" w:themeColor="text1"/>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color w:val="000000" w:themeColor="text1"/>
        </w:rPr>
      </w:r>
      <w:r/>
    </w:p>
    <w:p>
      <w:pPr>
        <w:pStyle w:val="923"/>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4</w:t>
      </w:r>
      <w:r>
        <w:rPr>
          <w:rFonts w:hint="eastAsia" w:ascii="方正楷体_GBK" w:hAnsi="方正楷体_GBK" w:eastAsia="方正楷体_GBK" w:cs="方正楷体_GBK"/>
          <w:color w:val="000000" w:themeColor="text1"/>
        </w:rPr>
        <w:t xml:space="preserve">0</w:t>
      </w:r>
      <w:r>
        <w:rPr>
          <w:rFonts w:hint="eastAsia" w:ascii="方正楷体_GBK" w:hAnsi="方正楷体_GBK" w:eastAsia="方正楷体_GBK" w:cs="方正楷体_GBK"/>
          <w:color w:val="000000" w:themeColor="text1"/>
          <w:lang w:val="zh-CN"/>
        </w:rPr>
        <w:t xml:space="preserve">.实施本国产品标准及相关政策</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rPr>
        <w:t xml:space="preserve">40.</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根据《国务院办公厅关于在政府采购中实施本国产品标准及相关政策的通知》（国办发〔2025〕34号）、《关于贯彻落实</w:t>
      </w:r>
      <w:r>
        <w:rPr>
          <w:rFonts w:hint="eastAsia" w:ascii="宋体" w:hAnsi="宋体"/>
          <w:color w:val="000000" w:themeColor="text1"/>
          <w:sz w:val="24"/>
          <w:szCs w:val="22"/>
        </w:rPr>
        <w:t xml:space="preserve">&lt;</w:t>
      </w:r>
      <w:r>
        <w:rPr>
          <w:rFonts w:hint="eastAsia" w:ascii="宋体" w:hAnsi="宋体"/>
          <w:color w:val="000000" w:themeColor="text1"/>
          <w:sz w:val="24"/>
        </w:rPr>
        <w:t xml:space="preserve">国务院办公厅关于在政府采购中实施本国产品标准及相关政策的通知</w:t>
      </w:r>
      <w:r>
        <w:rPr>
          <w:rFonts w:hint="eastAsia" w:ascii="宋体" w:hAnsi="宋体"/>
          <w:color w:val="000000" w:themeColor="text1"/>
          <w:sz w:val="24"/>
          <w:lang w:val="zh-CN"/>
        </w:rPr>
        <w:t xml:space="preserve">&gt;</w:t>
      </w:r>
      <w:r>
        <w:rPr>
          <w:rFonts w:hint="eastAsia" w:ascii="宋体" w:hAnsi="宋体"/>
          <w:color w:val="000000" w:themeColor="text1"/>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lang w:val="zh-CN"/>
        </w:rPr>
        <w:t xml:space="preserve">。</w:t>
      </w:r>
      <w:r>
        <w:rPr>
          <w:color w:val="000000" w:themeColor="text1"/>
        </w:rPr>
      </w:r>
      <w:r/>
    </w:p>
    <w:p>
      <w:pPr>
        <w:pStyle w:val="919"/>
        <w:ind w:firstLine="420"/>
        <w:rPr>
          <w:rFonts w:hint="eastAsia" w:ascii="宋体" w:hAnsi="宋体"/>
          <w:color w:val="000000" w:themeColor="text1"/>
          <w:sz w:val="24"/>
          <w:szCs w:val="22"/>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.2</w:t>
      </w:r>
      <w:r>
        <w:rPr>
          <w:rFonts w:hint="eastAsia" w:ascii="宋体" w:hAnsi="宋体"/>
          <w:color w:val="000000" w:themeColor="text1"/>
          <w:sz w:val="24"/>
          <w:szCs w:val="22"/>
          <w:lang w:val="zh-CN"/>
        </w:rPr>
        <w:t xml:space="preserve">本国产品应当符合以下条件：</w:t>
      </w:r>
      <w:r>
        <w:rPr>
          <w:color w:val="000000" w:themeColor="text1"/>
        </w:rPr>
      </w:r>
      <w:r/>
    </w:p>
    <w:p>
      <w:pPr>
        <w:pStyle w:val="919"/>
        <w:ind w:firstLine="420"/>
        <w:rPr>
          <w:rFonts w:hint="eastAsia" w:ascii="宋体" w:hAnsi="宋体"/>
          <w:color w:val="000000" w:themeColor="text1"/>
          <w:sz w:val="24"/>
          <w:szCs w:val="22"/>
        </w:rPr>
      </w:pPr>
      <w:r>
        <w:rPr>
          <w:rFonts w:hint="eastAsia" w:ascii="宋体" w:hAnsi="宋体"/>
          <w:color w:val="000000" w:themeColor="text1"/>
          <w:sz w:val="24"/>
          <w:szCs w:val="22"/>
          <w:lang w:val="zh-CN"/>
        </w:rPr>
        <w:t xml:space="preserve">（1）在中国境内生产</w:t>
      </w:r>
      <w:r>
        <w:rPr>
          <w:color w:val="000000" w:themeColor="text1"/>
        </w:rPr>
      </w:r>
      <w:r/>
    </w:p>
    <w:p>
      <w:pPr>
        <w:pStyle w:val="919"/>
        <w:ind w:firstLine="420"/>
        <w:rPr>
          <w:rFonts w:hint="eastAsia" w:ascii="宋体" w:hAnsi="宋体"/>
          <w:color w:val="000000" w:themeColor="text1"/>
          <w:sz w:val="24"/>
          <w:szCs w:val="22"/>
        </w:rPr>
      </w:pPr>
      <w:r>
        <w:rPr>
          <w:rFonts w:hint="eastAsia" w:ascii="宋体" w:hAnsi="宋体"/>
          <w:color w:val="000000" w:themeColor="text1"/>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lang w:val="zh-CN"/>
        </w:rPr>
        <w:t xml:space="preserve">（2）在中国境内生产的组件成本占比达到规定比例</w:t>
      </w:r>
      <w:r>
        <w:rPr>
          <w:color w:val="000000" w:themeColor="text1"/>
        </w:rPr>
      </w:r>
      <w:r/>
    </w:p>
    <w:p>
      <w:pPr>
        <w:pStyle w:val="919"/>
        <w:ind w:firstLine="420"/>
        <w:rPr>
          <w:rFonts w:hint="eastAsia" w:ascii="宋体" w:hAnsi="宋体"/>
          <w:color w:val="000000" w:themeColor="text1"/>
          <w:sz w:val="24"/>
          <w:szCs w:val="22"/>
        </w:rPr>
      </w:pPr>
      <w:r>
        <w:rPr>
          <w:rFonts w:hint="eastAsia" w:ascii="宋体" w:hAnsi="宋体"/>
          <w:color w:val="000000" w:themeColor="text1"/>
          <w:sz w:val="24"/>
          <w:lang w:val="zh-CN"/>
        </w:rPr>
        <w:t xml:space="preserve">比例计算公式</w:t>
      </w:r>
      <w:r>
        <w:rPr>
          <w:rFonts w:hint="eastAsia" w:ascii="宋体" w:hAnsi="宋体"/>
          <w:color w:val="000000" w:themeColor="text1"/>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rPr>
      </w:r>
      <w:r/>
    </w:p>
    <w:p>
      <w:pPr>
        <w:pStyle w:val="919"/>
        <w:ind w:firstLine="420"/>
        <w:rPr>
          <w:rFonts w:hint="eastAsia" w:ascii="宋体" w:hAnsi="宋体"/>
          <w:color w:val="000000" w:themeColor="text1"/>
          <w:sz w:val="24"/>
          <w:szCs w:val="22"/>
        </w:rPr>
      </w:pPr>
      <w:r>
        <w:rPr>
          <w:rFonts w:hint="eastAsia" w:ascii="宋体" w:hAnsi="宋体"/>
          <w:color w:val="000000" w:themeColor="text1"/>
          <w:sz w:val="24"/>
          <w:szCs w:val="22"/>
          <w:lang w:val="zh-CN"/>
        </w:rPr>
        <w:t xml:space="preserve">（3）特定产品的关键组件、关键工序符合相关要求</w:t>
      </w:r>
      <w:r>
        <w:rPr>
          <w:color w:val="000000" w:themeColor="text1"/>
        </w:rPr>
      </w:r>
      <w:r/>
    </w:p>
    <w:p>
      <w:pPr>
        <w:pStyle w:val="919"/>
        <w:ind w:firstLine="420"/>
        <w:rPr>
          <w:rFonts w:hint="eastAsia" w:ascii="宋体" w:hAnsi="宋体"/>
          <w:color w:val="000000" w:themeColor="text1"/>
          <w:sz w:val="24"/>
          <w:szCs w:val="22"/>
        </w:rPr>
      </w:pPr>
      <w:r>
        <w:rPr>
          <w:rFonts w:hint="eastAsia" w:ascii="宋体" w:hAnsi="宋体"/>
          <w:color w:val="000000" w:themeColor="text1"/>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.3本国产品标准的适用范围</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919"/>
        <w:ind w:firstLine="420"/>
        <w:rPr>
          <w:rFonts w:ascii="宋体" w:hAnsi="宋体"/>
          <w:color w:val="000000" w:themeColor="text1"/>
          <w:sz w:val="24"/>
        </w:rPr>
      </w:pPr>
      <w:r>
        <w:rPr>
          <w:rFonts w:hint="eastAsia" w:ascii="宋体" w:hAnsi="宋体"/>
          <w:color w:val="000000" w:themeColor="text1"/>
          <w:sz w:val="24"/>
        </w:rPr>
        <w:t xml:space="preserve">40.4对本国产品的支持政策</w:t>
      </w:r>
      <w:r>
        <w:rPr>
          <w:color w:val="000000" w:themeColor="text1"/>
        </w:rPr>
      </w:r>
      <w:r/>
    </w:p>
    <w:p>
      <w:pPr>
        <w:pStyle w:val="919"/>
        <w:ind w:firstLine="422"/>
        <w:rPr>
          <w:rFonts w:ascii="宋体" w:hAnsi="宋体"/>
          <w:b/>
          <w:bCs/>
          <w:color w:val="000000" w:themeColor="text1"/>
          <w:sz w:val="24"/>
        </w:rPr>
      </w:pPr>
      <w:r>
        <w:rPr>
          <w:rFonts w:hint="eastAsia" w:ascii="宋体" w:hAnsi="宋体"/>
          <w:b/>
          <w:bCs/>
          <w:color w:val="000000" w:themeColor="text1"/>
          <w:sz w:val="24"/>
        </w:rPr>
        <w:t xml:space="preserve">本项目如</w:t>
      </w:r>
      <w:r>
        <w:rPr>
          <w:rFonts w:hint="eastAsia" w:ascii="宋体" w:hAnsi="宋体"/>
          <w:b/>
          <w:bCs/>
          <w:color w:val="000000" w:themeColor="text1"/>
          <w:sz w:val="24"/>
          <w:lang w:val="zh-CN"/>
        </w:rPr>
        <w:t xml:space="preserve">既有本国产品又有非本国产品参与竞争，依法对本国产品给予价格评审优惠，</w:t>
      </w:r>
      <w:r>
        <w:rPr>
          <w:rFonts w:hint="eastAsia" w:ascii="宋体" w:hAnsi="宋体"/>
          <w:b/>
          <w:bCs/>
          <w:color w:val="000000" w:themeColor="text1"/>
          <w:sz w:val="24"/>
        </w:rPr>
        <w:t xml:space="preserve">具体详见第五章。</w:t>
      </w:r>
      <w:r>
        <w:rPr>
          <w:color w:val="000000" w:themeColor="text1"/>
        </w:rPr>
      </w:r>
      <w:r/>
    </w:p>
    <w:p>
      <w:pPr>
        <w:pStyle w:val="919"/>
        <w:ind w:firstLine="420"/>
        <w:rPr>
          <w:rFonts w:ascii="宋体" w:hAnsi="宋体"/>
          <w:color w:val="000000" w:themeColor="text1"/>
          <w:sz w:val="24"/>
        </w:rPr>
      </w:pPr>
      <w:r>
        <w:rPr>
          <w:rFonts w:hint="eastAsia" w:ascii="宋体" w:hAnsi="宋体"/>
          <w:color w:val="000000" w:themeColor="text1"/>
          <w:sz w:val="24"/>
        </w:rPr>
        <w:t xml:space="preserve">40.5政策执行要求</w:t>
      </w:r>
      <w:r>
        <w:rPr>
          <w:color w:val="000000" w:themeColor="text1"/>
        </w:rPr>
      </w:r>
      <w:r/>
    </w:p>
    <w:p>
      <w:pPr>
        <w:pStyle w:val="919"/>
        <w:ind w:firstLine="420"/>
        <w:rPr>
          <w:rFonts w:hint="eastAsia" w:ascii="宋体" w:hAnsi="宋体" w:cs="宋体"/>
          <w:color w:val="000000" w:themeColor="text1"/>
          <w:sz w:val="24"/>
          <w:szCs w:val="24"/>
          <w:shd w:val="clear" w:color="auto" w:fill="ffffff"/>
        </w:rPr>
      </w:pP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rPr>
        <w:t xml:space="preserve">详见</w:t>
      </w:r>
      <w:r>
        <w:rPr>
          <w:rFonts w:hint="eastAsia" w:ascii="宋体" w:hAnsi="宋体" w:cs="宋体"/>
          <w:color w:val="000000" w:themeColor="text1"/>
          <w:sz w:val="24"/>
          <w:szCs w:val="24"/>
          <w:shd w:val="clear" w:color="auto" w:fill="ffffff"/>
        </w:rPr>
        <w:t xml:space="preserve">《国务院办公厅关于在政府采购中实施本国产品标准及相关政策的通知》（国办发〔2025〕34号）规定。</w:t>
      </w:r>
      <w:r>
        <w:rPr>
          <w:color w:val="000000" w:themeColor="text1"/>
        </w:rPr>
      </w:r>
      <w:r/>
    </w:p>
    <w:p>
      <w:pPr>
        <w:pStyle w:val="919"/>
        <w:ind w:firstLine="420"/>
        <w:rPr>
          <w:rFonts w:hint="eastAsia" w:ascii="宋体" w:hAnsi="宋体"/>
          <w:b/>
          <w:bCs/>
          <w:color w:val="000000" w:themeColor="text1"/>
          <w:sz w:val="24"/>
        </w:rPr>
      </w:pPr>
      <w:r>
        <w:rPr>
          <w:rFonts w:hint="eastAsia" w:ascii="宋体" w:hAnsi="宋体"/>
          <w:color w:val="000000" w:themeColor="text1"/>
          <w:sz w:val="24"/>
          <w:lang w:val="zh-CN"/>
        </w:rPr>
        <w:t xml:space="preserve">（2）有关证明文件。</w:t>
      </w:r>
      <w:r>
        <w:rPr>
          <w:rFonts w:hint="eastAsia" w:ascii="宋体" w:hAnsi="宋体"/>
          <w:b/>
          <w:bCs/>
          <w:color w:val="000000" w:themeColor="text1"/>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color w:val="000000" w:themeColor="text1"/>
        </w:rPr>
      </w:r>
      <w:r/>
    </w:p>
    <w:p>
      <w:pPr>
        <w:pStyle w:val="919"/>
        <w:ind w:firstLine="420"/>
        <w:rPr>
          <w:rFonts w:hint="eastAsia" w:ascii="宋体" w:hAnsi="宋体"/>
          <w:color w:val="000000" w:themeColor="text1"/>
          <w:sz w:val="24"/>
        </w:rPr>
      </w:pPr>
      <w:r>
        <w:rPr>
          <w:rFonts w:hint="eastAsia" w:ascii="宋体" w:hAnsi="宋体"/>
          <w:color w:val="000000" w:themeColor="text1"/>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color w:val="000000" w:themeColor="text1"/>
        </w:rPr>
      </w:r>
      <w:r/>
    </w:p>
    <w:p>
      <w:pPr>
        <w:pStyle w:val="931"/>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19"/>
        <w:jc w:val="center"/>
        <w:spacing w:before="145" w:after="145"/>
        <w:rPr>
          <w:rFonts w:hint="eastAsia" w:ascii="宋体" w:hAnsi="宋体"/>
          <w:bCs/>
          <w:color w:val="000000"/>
          <w:sz w:val="24"/>
        </w:rPr>
      </w:pPr>
      <w:r/>
      <w:bookmarkStart w:id="52" w:name="_Toc20823315"/>
      <w:r/>
      <w:bookmarkStart w:id="53" w:name="_Toc16938559"/>
      <w:r/>
      <w:bookmarkStart w:id="54" w:name="_Toc513029243"/>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31"/>
        <w:ind w:left="0"/>
        <w:rPr>
          <w:rFonts w:hint="eastAsia"/>
        </w:rPr>
      </w:pPr>
      <w:r>
        <w:rPr>
          <w:rFonts w:hint="eastAsia"/>
        </w:rPr>
      </w:r>
      <w:r/>
    </w:p>
    <w:p>
      <w:pPr>
        <w:pStyle w:val="919"/>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1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1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1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1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19"/>
        <w:rPr>
          <w:rFonts w:ascii="宋体" w:hAnsi="宋体" w:cs="Courier New"/>
          <w:b/>
          <w:color w:val="000000" w:themeColor="text1"/>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w:t>
      </w:r>
      <w:r>
        <w:rPr>
          <w:rFonts w:ascii="宋体" w:hAnsi="宋体" w:cs="Courier New"/>
          <w:color w:val="000000" w:themeColor="text1"/>
          <w:sz w:val="24"/>
          <w:szCs w:val="24"/>
        </w:rPr>
        <w:t xml:space="preserve">据</w:t>
      </w:r>
      <w:r>
        <w:rPr>
          <w:rFonts w:hint="eastAsia" w:ascii="宋体" w:hAnsi="宋体" w:cs="Courier New"/>
          <w:color w:val="000000" w:themeColor="text1"/>
          <w:sz w:val="24"/>
          <w:szCs w:val="24"/>
        </w:rPr>
        <w:t xml:space="preserve">南京市公共资源交易中心六合分中心组织的</w:t>
      </w:r>
      <w:r>
        <w:rPr>
          <w:rFonts w:hint="eastAsia" w:hAnsi="宋体" w:cs="Courier New"/>
          <w:color w:val="000000" w:themeColor="text1"/>
          <w:sz w:val="24"/>
          <w:szCs w:val="24"/>
        </w:rPr>
        <w:t xml:space="preserve">____________________</w:t>
      </w:r>
      <w:r>
        <w:rPr>
          <w:rFonts w:ascii="宋体" w:hAnsi="宋体" w:cs="Courier New"/>
          <w:color w:val="000000" w:themeColor="text1"/>
          <w:sz w:val="24"/>
          <w:szCs w:val="24"/>
        </w:rPr>
        <w:t xml:space="preserve">项目公开招标结果</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签署本合同。</w:t>
      </w:r>
      <w:r>
        <w:rPr>
          <w:color w:val="000000" w:themeColor="text1"/>
        </w:rPr>
      </w:r>
      <w:r/>
    </w:p>
    <w:p>
      <w:pPr>
        <w:pStyle w:val="919"/>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一、合同内容</w:t>
      </w:r>
      <w:r>
        <w:rPr>
          <w:color w:val="000000" w:themeColor="text1"/>
        </w:rPr>
      </w:r>
      <w:r/>
    </w:p>
    <w:p>
      <w:pPr>
        <w:pStyle w:val="919"/>
        <w:rPr>
          <w:rFonts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标的</w:t>
      </w:r>
      <w:r>
        <w:rPr>
          <w:rFonts w:ascii="宋体" w:hAnsi="宋体" w:cs="Courier New"/>
          <w:color w:val="000000" w:themeColor="text1"/>
          <w:sz w:val="24"/>
          <w:szCs w:val="24"/>
        </w:rPr>
        <w:t xml:space="preserve">名称：</w:t>
      </w:r>
      <w:r>
        <w:rPr>
          <w:color w:val="000000" w:themeColor="text1"/>
        </w:rPr>
      </w:r>
      <w:r/>
    </w:p>
    <w:p>
      <w:pPr>
        <w:pStyle w:val="919"/>
        <w:rPr>
          <w:rFonts w:hint="eastAsia"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 标的质量：</w:t>
      </w:r>
      <w:r>
        <w:rPr>
          <w:rFonts w:hint="eastAsia" w:ascii="宋体" w:hAnsi="宋体" w:cs="Courier New"/>
          <w:color w:val="000000" w:themeColor="text1"/>
          <w:sz w:val="24"/>
          <w:szCs w:val="24"/>
        </w:rPr>
        <w:t xml:space="preserve">按招标文件及投标文件执行。</w:t>
      </w:r>
      <w:r>
        <w:rPr>
          <w:color w:val="000000" w:themeColor="text1"/>
        </w:rPr>
      </w:r>
      <w:r/>
    </w:p>
    <w:p>
      <w:pPr>
        <w:pStyle w:val="919"/>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 标的数量（规模）：</w:t>
      </w:r>
      <w:r>
        <w:rPr>
          <w:rFonts w:hint="eastAsia" w:ascii="宋体" w:hAnsi="宋体" w:cs="Courier New"/>
          <w:color w:val="000000" w:themeColor="text1"/>
          <w:sz w:val="24"/>
          <w:szCs w:val="24"/>
        </w:rPr>
        <w:t xml:space="preserve">按招标文件及投标文件执行。</w:t>
      </w:r>
      <w:r>
        <w:rPr>
          <w:color w:val="000000" w:themeColor="text1"/>
        </w:rPr>
      </w:r>
      <w:r/>
    </w:p>
    <w:p>
      <w:pPr>
        <w:pStyle w:val="919"/>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 履行时间（期限）：</w:t>
      </w:r>
      <w:r>
        <w:rPr>
          <w:rFonts w:hint="eastAsia" w:ascii="宋体" w:hAnsi="宋体" w:cs="Courier New"/>
          <w:color w:val="000000" w:themeColor="text1"/>
          <w:sz w:val="24"/>
          <w:szCs w:val="24"/>
        </w:rPr>
        <w:t xml:space="preserve">按招标文件及投标文件执行。</w:t>
      </w:r>
      <w:r>
        <w:rPr>
          <w:color w:val="000000" w:themeColor="text1"/>
        </w:rPr>
      </w:r>
      <w:r/>
    </w:p>
    <w:p>
      <w:pPr>
        <w:pStyle w:val="919"/>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 履行地点：</w:t>
      </w:r>
      <w:r>
        <w:rPr>
          <w:rFonts w:hint="eastAsia" w:ascii="宋体" w:hAnsi="宋体" w:cs="Courier New"/>
          <w:color w:val="000000" w:themeColor="text1"/>
          <w:sz w:val="24"/>
          <w:szCs w:val="24"/>
        </w:rPr>
        <w:t xml:space="preserve">甲方指定地点。</w:t>
      </w:r>
      <w:r>
        <w:rPr>
          <w:color w:val="000000" w:themeColor="text1"/>
        </w:rPr>
      </w:r>
      <w:r/>
    </w:p>
    <w:p>
      <w:pPr>
        <w:pStyle w:val="919"/>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w:t>
      </w:r>
      <w:r>
        <w:rPr>
          <w:rFonts w:hint="eastAsia" w:ascii="宋体" w:hAnsi="宋体" w:cs="Courier New"/>
          <w:color w:val="000000" w:themeColor="text1"/>
          <w:sz w:val="24"/>
          <w:szCs w:val="24"/>
        </w:rPr>
        <w:t xml:space="preserve">按招标文件及投标文件执行。</w:t>
      </w:r>
      <w:r>
        <w:rPr>
          <w:color w:val="000000" w:themeColor="text1"/>
        </w:rPr>
      </w:r>
      <w:r/>
    </w:p>
    <w:p>
      <w:pPr>
        <w:pStyle w:val="919"/>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.7 包装方式：</w:t>
      </w:r>
      <w:r>
        <w:rPr>
          <w:rFonts w:hint="eastAsia" w:ascii="宋体" w:hAnsi="宋体" w:cs="Courier New"/>
          <w:color w:val="000000" w:themeColor="text1"/>
          <w:sz w:val="24"/>
          <w:szCs w:val="24"/>
        </w:rPr>
        <w:t xml:space="preserve">按招标文件及投标文件执行。</w:t>
      </w:r>
      <w:r>
        <w:rPr>
          <w:color w:val="000000" w:themeColor="text1"/>
        </w:rPr>
      </w:r>
      <w:r/>
    </w:p>
    <w:p>
      <w:pPr>
        <w:pStyle w:val="919"/>
        <w:rPr>
          <w:rFonts w:ascii="宋体" w:hAnsi="宋体" w:cs="Courier New"/>
          <w:color w:val="000000" w:themeColor="text1"/>
          <w:sz w:val="24"/>
          <w:szCs w:val="24"/>
        </w:rPr>
      </w:pPr>
      <w:r>
        <w:rPr>
          <w:rFonts w:ascii="宋体" w:hAnsi="宋体" w:cs="宋体"/>
          <w:color w:val="000000" w:themeColor="text1"/>
          <w:sz w:val="24"/>
          <w:szCs w:val="24"/>
        </w:rPr>
        <w:t xml:space="preserve">1.8</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themeColor="text1"/>
        </w:rPr>
      </w:r>
      <w:r/>
    </w:p>
    <w:p>
      <w:pPr>
        <w:pStyle w:val="919"/>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二、合同金额</w:t>
      </w:r>
      <w:r>
        <w:rPr>
          <w:color w:val="000000" w:themeColor="text1"/>
        </w:rPr>
      </w:r>
      <w:r/>
    </w:p>
    <w:p>
      <w:pPr>
        <w:pStyle w:val="959"/>
        <w:rPr>
          <w:rFonts w:hAnsi="宋体"/>
          <w:color w:val="000000" w:themeColor="text1"/>
          <w:sz w:val="24"/>
          <w:szCs w:val="24"/>
        </w:rPr>
      </w:pPr>
      <w:r>
        <w:rPr>
          <w:rFonts w:hAnsi="宋体"/>
          <w:color w:val="000000" w:themeColor="text1"/>
          <w:sz w:val="24"/>
          <w:szCs w:val="24"/>
        </w:rPr>
        <w:t xml:space="preserve">2.1 </w:t>
      </w:r>
      <w:r>
        <w:rPr>
          <w:rFonts w:hint="eastAsia" w:hAnsi="宋体"/>
          <w:color w:val="000000" w:themeColor="text1"/>
          <w:sz w:val="24"/>
          <w:szCs w:val="24"/>
        </w:rPr>
        <w:t xml:space="preserve">本合同金额为：人民币____________________元，（大写：_____________________）</w:t>
      </w:r>
      <w:r>
        <w:rPr>
          <w:color w:val="000000" w:themeColor="text1"/>
        </w:rPr>
      </w:r>
      <w:r/>
    </w:p>
    <w:p>
      <w:pPr>
        <w:pStyle w:val="919"/>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三、技术资料</w:t>
      </w:r>
      <w:r>
        <w:rPr>
          <w:color w:val="000000" w:themeColor="text1"/>
        </w:rPr>
      </w:r>
      <w:r/>
    </w:p>
    <w:p>
      <w:pPr>
        <w:pStyle w:val="919"/>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3.1 乙方应按招标文件规定的时间向甲方提供服务（包含与服务相关的货物）的有关技术资料。</w:t>
      </w:r>
      <w:r>
        <w:rPr>
          <w:color w:val="000000" w:themeColor="text1"/>
        </w:rPr>
      </w:r>
      <w:r/>
    </w:p>
    <w:p>
      <w:pPr>
        <w:pStyle w:val="919"/>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000000" w:themeColor="text1"/>
        </w:rPr>
      </w:r>
      <w:r/>
    </w:p>
    <w:p>
      <w:pPr>
        <w:pStyle w:val="919"/>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四、知识产权</w:t>
      </w:r>
      <w:r>
        <w:rPr>
          <w:color w:val="000000" w:themeColor="text1"/>
        </w:rPr>
      </w:r>
      <w:r/>
    </w:p>
    <w:p>
      <w:pPr>
        <w:pStyle w:val="919"/>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r/>
    </w:p>
    <w:p>
      <w:pPr>
        <w:pStyle w:val="919"/>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五、产权担保</w:t>
      </w:r>
      <w:r>
        <w:rPr>
          <w:color w:val="000000" w:themeColor="text1"/>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%缴纳履约保证金。合同履行结束后，甲方按以下约定退还：</w:t>
      </w:r>
      <w:r>
        <w:rPr>
          <w:rFonts w:hint="eastAsia" w:ascii="宋体" w:hAnsi="宋体" w:cs="Courier New"/>
          <w:color w:val="000000"/>
          <w:sz w:val="24"/>
          <w:szCs w:val="24"/>
        </w:rPr>
      </w:r>
      <w:r/>
    </w:p>
    <w:p>
      <w:pPr>
        <w:pStyle w:val="919"/>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rPr>
          <w:rFonts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rPr>
          <w:rFonts w:hint="eastAsia" w:ascii="宋体" w:hAnsi="宋体" w:cs="Courier New"/>
          <w:color w:val="000000"/>
          <w:sz w:val="24"/>
          <w:szCs w:val="24"/>
        </w:rPr>
      </w:r>
      <w:r/>
    </w:p>
    <w:p>
      <w:pPr>
        <w:pStyle w:val="919"/>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rPr>
          <w:rFonts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919"/>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宋体" w:hAnsi="宋体" w:cs="Courier New"/>
          <w:color w:val="000000"/>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59"/>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959"/>
        <w:rPr>
          <w:rFonts w:hint="eastAsia" w:hAnsi="宋体"/>
          <w:sz w:val="24"/>
          <w:szCs w:val="24"/>
        </w:rPr>
      </w:pPr>
      <w:r>
        <w:rPr>
          <w:rFonts w:hint="eastAsia" w:hAnsi="宋体"/>
          <w:sz w:val="24"/>
          <w:szCs w:val="24"/>
        </w:rPr>
        <w:t xml:space="preserve">8.1.1预付款支付时间：合同签订后，合同总金额扣除备品备件费和其他未列出设备更换费后的10%作为预付款。</w:t>
      </w:r>
      <w:r>
        <w:rPr>
          <w:rFonts w:hint="eastAsia" w:hAnsi="宋体"/>
          <w:sz w:val="24"/>
          <w:szCs w:val="24"/>
        </w:rPr>
      </w:r>
      <w:r/>
    </w:p>
    <w:p>
      <w:pPr>
        <w:pStyle w:val="959"/>
        <w:rPr>
          <w:rFonts w:hint="eastAsia" w:hAnsi="宋体"/>
          <w:sz w:val="24"/>
          <w:szCs w:val="24"/>
        </w:rPr>
      </w:pPr>
      <w:r>
        <w:rPr>
          <w:rFonts w:hint="eastAsia" w:hAnsi="宋体"/>
          <w:sz w:val="24"/>
          <w:szCs w:val="24"/>
        </w:rPr>
        <w:t xml:space="preserve">8.1.2款项支付：按季度支付，每季度支付合同中维护费的25%和实际交付的备品备件费用，同时扣除预付款的25%。第四季度（一年）服务期结束按审定价支付余款。</w:t>
      </w:r>
      <w:r>
        <w:rPr>
          <w:rFonts w:hint="eastAsia" w:hAnsi="宋体"/>
          <w:sz w:val="24"/>
          <w:szCs w:val="24"/>
        </w:rPr>
      </w:r>
      <w:r/>
    </w:p>
    <w:p>
      <w:pPr>
        <w:pStyle w:val="959"/>
        <w:rPr>
          <w:rFonts w:hint="eastAsia"/>
        </w:rPr>
      </w:pPr>
      <w:r>
        <w:rPr>
          <w:rFonts w:hint="eastAsia" w:hAnsi="宋体"/>
          <w:sz w:val="24"/>
          <w:szCs w:val="24"/>
        </w:rPr>
        <w:t xml:space="preserve">8.1.3满足合同约定支付条件的，甲方收到乙方发票后，将资金支付到合同约定的乙方账户。 </w:t>
      </w:r>
      <w:r>
        <w:rPr>
          <w:rFonts w:hint="eastAsia"/>
        </w:rPr>
      </w:r>
      <w:r/>
    </w:p>
    <w:p>
      <w:pPr>
        <w:pStyle w:val="95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19"/>
        <w:spacing w:line="264" w:lineRule="auto"/>
        <w:rPr>
          <w:rFonts w:hint="eastAsia"/>
        </w:rPr>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919"/>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color w:val="000000"/>
          <w:sz w:val="24"/>
          <w:szCs w:val="24"/>
        </w:rPr>
      </w:r>
      <w:r/>
    </w:p>
    <w:p>
      <w:pPr>
        <w:pStyle w:val="91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w:t>
      </w:r>
      <w:r>
        <w:rPr>
          <w:rFonts w:ascii="宋体" w:hAnsi="宋体" w:cs="宋体"/>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91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1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本合同未尽事宜，遵照《中华人民共和国民法典》《中华人民共和国政府采购法》等有关条文执行。</w:t>
      </w:r>
      <w:r>
        <w:rPr>
          <w:rFonts w:hint="eastAsia" w:ascii="宋体" w:hAnsi="宋体" w:cs="Courier New"/>
          <w:color w:val="000000"/>
          <w:sz w:val="24"/>
          <w:szCs w:val="24"/>
        </w:rPr>
      </w:r>
      <w:r/>
    </w:p>
    <w:p>
      <w:pPr>
        <w:pStyle w:val="91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59"/>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59"/>
        <w:ind w:firstLine="240"/>
        <w:spacing w:before="120" w:after="120"/>
        <w:rPr>
          <w:rFonts w:hint="eastAsia" w:hAnsi="宋体"/>
          <w:sz w:val="24"/>
          <w:szCs w:val="24"/>
        </w:rPr>
      </w:pPr>
      <w:r/>
      <w:bookmarkEnd w:id="52"/>
      <w:r/>
      <w:bookmarkEnd w:id="53"/>
      <w:r/>
      <w:bookmarkEnd w:id="54"/>
      <w:r>
        <w:rPr>
          <w:rFonts w:hint="eastAsia" w:hAnsi="宋体"/>
          <w:sz w:val="24"/>
          <w:szCs w:val="24"/>
        </w:rPr>
        <w:t xml:space="preserve">甲方：（公章）                       乙方：（公章） </w:t>
      </w:r>
      <w:r>
        <w:rPr>
          <w:rFonts w:hint="eastAsia" w:hAnsi="宋体"/>
          <w:sz w:val="24"/>
          <w:szCs w:val="24"/>
        </w:rPr>
      </w:r>
      <w:r/>
    </w:p>
    <w:p>
      <w:pPr>
        <w:pStyle w:val="959"/>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59"/>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59"/>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59"/>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59"/>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59"/>
        <w:ind w:firstLine="4800"/>
        <w:spacing w:before="120" w:after="120"/>
        <w:rPr>
          <w:rFonts w:hint="eastAsia" w:hAnsi="宋体"/>
          <w:sz w:val="24"/>
          <w:szCs w:val="24"/>
        </w:rPr>
      </w:pPr>
      <w:r>
        <w:rPr>
          <w:rFonts w:hint="eastAsia" w:hAnsi="宋体"/>
          <w:sz w:val="24"/>
          <w:szCs w:val="24"/>
        </w:rPr>
      </w:r>
      <w:r/>
    </w:p>
    <w:p>
      <w:pPr>
        <w:pStyle w:val="919"/>
        <w:jc w:val="center"/>
        <w:spacing w:before="145" w:after="145"/>
        <w:rPr>
          <w:rFonts w:hint="eastAsia" w:ascii="宋体" w:hAnsi="宋体"/>
          <w:b/>
          <w:sz w:val="30"/>
        </w:rPr>
      </w:pPr>
      <w:r>
        <w:rPr>
          <w:rFonts w:hint="eastAsia" w:ascii="宋体" w:hAnsi="宋体"/>
          <w:b/>
          <w:sz w:val="30"/>
        </w:rPr>
      </w:r>
      <w:r/>
    </w:p>
    <w:p>
      <w:pPr>
        <w:pStyle w:val="919"/>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59"/>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19"/>
        <w:spacing w:line="340" w:lineRule="exact"/>
        <w:rPr>
          <w:rFonts w:ascii="宋体" w:hAnsi="宋体"/>
          <w:color w:val="000000"/>
          <w:sz w:val="24"/>
        </w:rPr>
      </w:pPr>
      <w:r>
        <w:rPr>
          <w:rFonts w:hint="eastAsia" w:hAnsi="宋体"/>
          <w:color w:val="000000"/>
          <w:sz w:val="24"/>
          <w:szCs w:val="24"/>
        </w:rPr>
        <w:br w:type="page" w:clear="all"/>
      </w:r>
      <w:r>
        <w:rPr>
          <w:rFonts w:hint="eastAsia" w:ascii="宋体" w:hAnsi="宋体"/>
          <w:color w:val="000000"/>
          <w:sz w:val="24"/>
        </w:rPr>
        <w:t xml:space="preserve">附件1</w:t>
      </w:r>
      <w:r>
        <w:rPr>
          <w:rFonts w:ascii="宋体" w:hAnsi="宋体"/>
          <w:color w:val="000000"/>
          <w:sz w:val="24"/>
        </w:rPr>
      </w:r>
      <w:r/>
    </w:p>
    <w:p>
      <w:pPr>
        <w:pStyle w:val="919"/>
        <w:jc w:val="center"/>
        <w:spacing w:after="240" w:line="500" w:lineRule="exact"/>
        <w:rPr>
          <w:rFonts w:ascii="华文中宋" w:hAnsi="华文中宋" w:eastAsia="华文中宋"/>
          <w:b/>
          <w:color w:val="000000"/>
          <w:sz w:val="36"/>
          <w:szCs w:val="36"/>
        </w:rPr>
      </w:pPr>
      <w:r>
        <w:rPr>
          <w:rFonts w:hint="eastAsia" w:ascii="华文中宋" w:hAnsi="华文中宋" w:eastAsia="华文中宋"/>
          <w:b/>
          <w:color w:val="000000"/>
          <w:sz w:val="36"/>
          <w:szCs w:val="36"/>
        </w:rPr>
        <w:t xml:space="preserve">保密协议书</w:t>
      </w:r>
      <w:r>
        <w:rPr>
          <w:rFonts w:ascii="华文中宋" w:hAnsi="华文中宋" w:eastAsia="华文中宋"/>
          <w:b/>
          <w:color w:val="000000"/>
          <w:sz w:val="36"/>
          <w:szCs w:val="36"/>
        </w:rPr>
      </w:r>
      <w:r/>
    </w:p>
    <w:p>
      <w:pPr>
        <w:pStyle w:val="919"/>
        <w:spacing w:line="340" w:lineRule="exact"/>
        <w:rPr>
          <w:rFonts w:ascii="宋体" w:hAnsi="宋体"/>
          <w:color w:val="000000"/>
          <w:sz w:val="24"/>
          <w:u w:val="single"/>
        </w:rPr>
      </w:pPr>
      <w:r>
        <w:rPr>
          <w:rFonts w:hint="eastAsia" w:ascii="宋体" w:hAnsi="宋体"/>
          <w:color w:val="000000"/>
          <w:sz w:val="24"/>
        </w:rPr>
        <w:t xml:space="preserve">采购方（以下简称甲方）</w:t>
      </w:r>
      <w:r>
        <w:rPr>
          <w:rFonts w:hint="eastAsia" w:ascii="宋体" w:hAnsi="宋体"/>
          <w:color w:val="000000"/>
          <w:sz w:val="24"/>
          <w:u w:val="single"/>
        </w:rPr>
        <w:t xml:space="preserve">                         </w:t>
      </w:r>
      <w:r>
        <w:rPr>
          <w:rFonts w:ascii="宋体" w:hAnsi="宋体"/>
          <w:color w:val="000000"/>
          <w:sz w:val="24"/>
          <w:u w:val="single"/>
        </w:rPr>
      </w:r>
      <w:r/>
    </w:p>
    <w:p>
      <w:pPr>
        <w:pStyle w:val="919"/>
        <w:spacing w:after="240" w:line="340" w:lineRule="exact"/>
        <w:rPr>
          <w:rFonts w:ascii="宋体" w:hAnsi="宋体"/>
          <w:color w:val="000000"/>
          <w:sz w:val="24"/>
        </w:rPr>
      </w:pPr>
      <w:r>
        <w:rPr>
          <w:rFonts w:hint="eastAsia" w:ascii="宋体" w:hAnsi="宋体"/>
          <w:color w:val="000000"/>
          <w:sz w:val="24"/>
        </w:rPr>
        <w:t xml:space="preserve">供货商（以下简称乙方）</w:t>
      </w:r>
      <w:r>
        <w:rPr>
          <w:rFonts w:hint="eastAsia" w:ascii="宋体" w:hAnsi="宋体"/>
          <w:color w:val="000000"/>
          <w:sz w:val="24"/>
          <w:u w:val="single"/>
        </w:rPr>
        <w:t xml:space="preserve">                         </w:t>
      </w:r>
      <w:r>
        <w:rPr>
          <w:rFonts w:ascii="宋体" w:hAnsi="宋体"/>
          <w:color w:val="000000"/>
          <w:sz w:val="24"/>
        </w:rPr>
      </w:r>
      <w:r/>
    </w:p>
    <w:p>
      <w:pPr>
        <w:pStyle w:val="919"/>
        <w:ind w:firstLine="480"/>
        <w:rPr>
          <w:rFonts w:ascii="宋体" w:hAnsi="宋体"/>
          <w:color w:val="000000"/>
          <w:sz w:val="24"/>
        </w:rPr>
      </w:pPr>
      <w:r>
        <w:rPr>
          <w:rFonts w:hint="eastAsia" w:ascii="宋体" w:hAnsi="宋体"/>
          <w:color w:val="000000"/>
          <w:sz w:val="24"/>
        </w:rPr>
        <w:t xml:space="preserve">项目名称：雪亮工程视频监控、信号灯维护项目（2026）的招投标及项目合同执行期间，为加强对国家秘密和警务工作秘密的保护，维护国家安全和利益，严防失、泄密事件的发生，根据《中华人民共和国保守国家秘密法》和公安机关有关保密工作规定，约定本保密协议如下：</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一、本协议中所指的秘密事项是指，以文字、数据、符号、图形、视频、音频以及其他任何形式记载的国家秘密、警务工作秘密以及公安机关的其他应当保密的事宜。</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二、甲方应当对乙方的基本情况（公司名称、公司地址、公司法人等资料）进行审查备案。乙方应当如实提供上述基本情况。</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三、甲方应当对乙方保密制度的执行情况进行监督检查，及时发现问题、纠正错误。</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四、乙方应当严格遵守《中华人民共和国保守国家秘密法》及有关的保密法律法规和甲方保密工作纪律、有关规章制度，保守国家秘密和警务工作秘密，自觉维护国家安全和利益。严禁有下列行为：</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1.以抄录、复制、下载、编写、发布、传递或其他任何方式泄露工作中接触或知悉的秘密事项。</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2.将甲方的秘密事项带出工作场所；与无关人员谈论有关甲方的秘密工作情况；使用私人存储介质进入公安机关网络系统；擅自在甲方工作场所摄像、照相；私自打听甲方秘密事项。</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五、乙方未经甲方批准不得查看使用公安信息网、计算机、纸介质、光电磁介质等存储记载的内容。</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六、招投标程序结束或合同期满后，对在此期间获知的秘密事项应当严格保守，不得以任何方式对外泄露。</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七、乙方违反上述规定，甲方一经发现，立即取消其投标资格或解除其施工合同，并依法追究其相关责任。</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乙方泄露在项目招投标或项目施工期间获知的秘密事项的，甲方应当根据相关法律法规追究乙方法律责任。</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乙方造成严重失、泄密事故的，甲方应当将其移送司法机关依法追究刑事责任。</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八、本协议一式两份，甲乙双方各执一份，自双方签字盖章之日起生效。</w:t>
      </w:r>
      <w:r>
        <w:rPr>
          <w:rFonts w:ascii="宋体" w:hAnsi="宋体"/>
          <w:color w:val="000000"/>
          <w:sz w:val="24"/>
        </w:rPr>
      </w:r>
      <w:r/>
    </w:p>
    <w:p>
      <w:pPr>
        <w:pStyle w:val="919"/>
        <w:ind w:firstLine="480"/>
        <w:spacing w:line="340" w:lineRule="exact"/>
        <w:rPr>
          <w:rFonts w:ascii="宋体" w:hAnsi="宋体"/>
          <w:color w:val="000000"/>
          <w:sz w:val="24"/>
        </w:rPr>
      </w:pP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甲方：（签章）                      乙方：（签字）</w:t>
      </w:r>
      <w:r>
        <w:rPr>
          <w:rFonts w:ascii="宋体" w:hAnsi="宋体"/>
          <w:color w:val="000000"/>
          <w:sz w:val="24"/>
        </w:rPr>
      </w:r>
      <w:r/>
    </w:p>
    <w:p>
      <w:pPr>
        <w:pStyle w:val="919"/>
        <w:ind w:firstLine="480"/>
        <w:spacing w:line="340" w:lineRule="exact"/>
        <w:rPr>
          <w:rFonts w:ascii="宋体" w:hAnsi="宋体"/>
          <w:color w:val="000000"/>
          <w:sz w:val="24"/>
        </w:rPr>
      </w:pPr>
      <w:r>
        <w:rPr>
          <w:rFonts w:hint="eastAsia" w:ascii="宋体" w:hAnsi="宋体"/>
          <w:color w:val="000000"/>
          <w:sz w:val="24"/>
        </w:rPr>
        <w:t xml:space="preserve">2026年　月　日                     </w:t>
      </w:r>
      <w:r>
        <w:rPr>
          <w:rFonts w:ascii="宋体" w:hAnsi="宋体"/>
          <w:color w:val="000000"/>
          <w:sz w:val="24"/>
          <w:lang w:val="en-GB"/>
        </w:rPr>
        <w:t xml:space="preserve"> </w:t>
      </w:r>
      <w:r>
        <w:rPr>
          <w:rFonts w:hint="eastAsia" w:ascii="宋体" w:hAnsi="宋体"/>
          <w:color w:val="000000"/>
          <w:sz w:val="24"/>
        </w:rPr>
        <w:t xml:space="preserve">2026年　月　日</w:t>
      </w:r>
      <w:r>
        <w:rPr>
          <w:rFonts w:ascii="宋体" w:hAnsi="宋体"/>
          <w:color w:val="000000"/>
          <w:sz w:val="24"/>
        </w:rPr>
      </w:r>
      <w:r/>
    </w:p>
    <w:p>
      <w:pPr>
        <w:pStyle w:val="919"/>
        <w:spacing w:after="240"/>
        <w:rPr>
          <w:rFonts w:hAnsi="宋体"/>
          <w:color w:val="000000"/>
          <w:sz w:val="24"/>
          <w:szCs w:val="24"/>
        </w:rPr>
      </w:pPr>
      <w:r>
        <w:rPr>
          <w:rFonts w:hAnsi="宋体"/>
          <w:color w:val="000000"/>
          <w:sz w:val="24"/>
          <w:szCs w:val="24"/>
        </w:rPr>
      </w:r>
      <w:r/>
    </w:p>
    <w:p>
      <w:pPr>
        <w:pStyle w:val="919"/>
        <w:spacing w:after="240"/>
        <w:rPr>
          <w:rFonts w:ascii="宋体" w:hAnsi="宋体"/>
          <w:color w:val="000000"/>
          <w:sz w:val="24"/>
          <w:szCs w:val="24"/>
        </w:rPr>
      </w:pPr>
      <w:r>
        <w:rPr>
          <w:rFonts w:ascii="宋体" w:hAnsi="宋体"/>
          <w:color w:val="000000"/>
          <w:sz w:val="24"/>
          <w:szCs w:val="24"/>
        </w:rPr>
      </w:r>
      <w:r/>
    </w:p>
    <w:p>
      <w:pPr>
        <w:pStyle w:val="919"/>
        <w:spacing w:after="240"/>
        <w:rPr>
          <w:rFonts w:ascii="宋体" w:hAnsi="宋体"/>
          <w:color w:val="000000"/>
          <w:sz w:val="24"/>
          <w:szCs w:val="24"/>
        </w:rPr>
      </w:pPr>
      <w:r>
        <w:rPr>
          <w:rFonts w:hint="eastAsia" w:ascii="宋体" w:hAnsi="宋体"/>
          <w:color w:val="000000"/>
          <w:sz w:val="24"/>
        </w:rPr>
        <w:br w:type="page" w:clear="all"/>
      </w:r>
      <w:r>
        <w:rPr>
          <w:rFonts w:hint="eastAsia" w:ascii="宋体" w:hAnsi="宋体"/>
          <w:color w:val="000000"/>
          <w:sz w:val="24"/>
        </w:rPr>
        <w:t xml:space="preserve">附件2</w:t>
      </w:r>
      <w:r>
        <w:rPr>
          <w:rFonts w:ascii="宋体" w:hAnsi="宋体"/>
          <w:color w:val="000000"/>
          <w:sz w:val="24"/>
          <w:szCs w:val="24"/>
        </w:rPr>
      </w:r>
      <w:r/>
    </w:p>
    <w:p>
      <w:pPr>
        <w:pStyle w:val="919"/>
        <w:jc w:val="center"/>
        <w:spacing w:after="240"/>
        <w:rPr>
          <w:b/>
          <w:bCs/>
          <w:color w:val="000000"/>
          <w:spacing w:val="-4"/>
          <w:sz w:val="36"/>
          <w:szCs w:val="36"/>
        </w:rPr>
      </w:pPr>
      <w:r>
        <w:rPr>
          <w:rFonts w:hint="eastAsia" w:ascii="华文中宋" w:hAnsi="华文中宋" w:eastAsia="华文中宋"/>
          <w:b/>
          <w:color w:val="000000"/>
          <w:sz w:val="36"/>
          <w:szCs w:val="36"/>
        </w:rPr>
        <w:t xml:space="preserve">违 约 责 任 书</w:t>
      </w:r>
      <w:r>
        <w:rPr>
          <w:b/>
          <w:bCs/>
          <w:color w:val="000000"/>
          <w:spacing w:val="-4"/>
          <w:sz w:val="36"/>
          <w:szCs w:val="36"/>
        </w:rPr>
      </w:r>
      <w:r/>
    </w:p>
    <w:p>
      <w:pPr>
        <w:pStyle w:val="919"/>
        <w:rPr>
          <w:rFonts w:ascii="仿宋_GB2312" w:eastAsia="仿宋_GB2312"/>
          <w:color w:val="000000"/>
        </w:rPr>
      </w:pPr>
      <w:r>
        <w:rPr>
          <w:rFonts w:hint="eastAsia" w:ascii="宋体" w:hAnsi="宋体"/>
          <w:color w:val="000000"/>
        </w:rPr>
        <w:t xml:space="preserve">采购方（以下简称甲方）</w:t>
      </w:r>
      <w:r>
        <w:rPr>
          <w:rFonts w:hint="eastAsia" w:ascii="宋体" w:hAnsi="宋体"/>
          <w:color w:val="000000"/>
          <w:u w:val="single"/>
        </w:rPr>
        <w:t xml:space="preserve">                         </w:t>
      </w:r>
      <w:r>
        <w:rPr>
          <w:rFonts w:ascii="仿宋_GB2312" w:eastAsia="仿宋_GB2312"/>
          <w:color w:val="000000"/>
        </w:rPr>
      </w:r>
      <w:r/>
    </w:p>
    <w:p>
      <w:pPr>
        <w:pStyle w:val="919"/>
        <w:ind w:firstLine="420"/>
        <w:rPr>
          <w:rFonts w:ascii="宋体" w:hAnsi="宋体"/>
          <w:color w:val="000000"/>
        </w:rPr>
      </w:pPr>
      <w:r>
        <w:rPr>
          <w:rFonts w:hint="eastAsia" w:ascii="宋体" w:hAnsi="宋体"/>
          <w:color w:val="000000"/>
        </w:rPr>
        <w:t xml:space="preserve">1.如乙方不能交付服务的，乙方应向甲方支付合同总价5%的违约金。</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2.乙方逾期交付的，每逾期1天，乙方向甲方偿付合同总额的5‰的违约金。如乙方逾期交付达10天，甲方有权解除合同，解除合同的通知自到达乙方时生效，违约责任依照第1款。</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3.乙方所交付的服务不符合合同规定的，甲方有权拒收。甲方拒收的，乙方应向甲方支付合同总价5%的违约金。</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4.乙方提供的服务不符合要求的，应立即进行整改，并按每次1000元标准支付违约金。乙方拒绝整改、整改后仍不符合要求或者累计发生3次以上需整改情形的，甲方有权解除合同，乙方应退回全部合同价款，并按第3款处理。同时，乙方还须赔偿甲方因此遭受的损失。</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5.乙方未按本合同的规定和“服务承诺”提供伴随服务/售后服务的，应按合同总价款的1%向甲方承担违约责任。</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6.乙方响应属虚假承诺，或经权威部门监测提供的服务不能满足招标文件要求，或是由于乙方的过错造成合同无法继续履行的，乙方应向甲方支付不少于合同总价5%赔偿金。</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7.对于逾期支付违约金的，每逾期1天需额外支付违约金逾期利息5‰；但累计违约逾期利息金总额不超过总额的5%。</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8.乙方在承担上述1-7款一项或多项违约责任后，仍应继续履行合同规定的义务（甲方解除合同的除外）。甲方未能及时追究乙方的任何一项违约责任并不表明甲方放弃追究乙方该项或其他违约责任。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lang w:val="en-GB"/>
        </w:rPr>
        <w:t xml:space="preserve">9.</w:t>
      </w:r>
      <w:r>
        <w:rPr>
          <w:rFonts w:hint="eastAsia" w:ascii="宋体" w:hAnsi="宋体"/>
          <w:color w:val="000000"/>
        </w:rPr>
        <w:t xml:space="preserve">如项目出现违约，根据项目现场管理要求，结合现场实际工作情况，进行如下处罚：</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（1）乙方必须按国家、省、市行业标准规范，提交基础文档、过程文档、技术文档和验收文档，由甲方进行抽查审核。如没有通过甲方验收，甲方有权扣除合同金额20%。</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（2）乙方违约行为造成影响的或损失较大的，违约金不足以弥补所造成损失的，不足差额部分由乙方进行支付。</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3）如果乙方在开展项目实施过程中，因自身管理不善，出现对社会造成重大影响的事故时，乙方承担消除负面影响或损失产生的诉讼费、取证费、律师费等相关费用，甲方有权扣除项目合同金额20%。同时，鉴于违法行为造成的后果较长时间才能被发现或者显现，或损失数额难以一次性确认，公安机关保留进一步追偿的权利。</w:t>
      </w:r>
      <w:r>
        <w:rPr>
          <w:rFonts w:ascii="宋体" w:hAnsi="宋体"/>
          <w:color w:val="000000"/>
        </w:rPr>
      </w:r>
      <w:r/>
    </w:p>
    <w:p>
      <w:pPr>
        <w:pStyle w:val="919"/>
        <w:ind w:firstLine="420"/>
        <w:spacing w:line="340" w:lineRule="exact"/>
        <w:rPr>
          <w:rFonts w:ascii="宋体" w:hAnsi="宋体"/>
          <w:color w:val="000000"/>
        </w:rPr>
      </w:pPr>
      <w:r>
        <w:rPr>
          <w:rFonts w:hint="eastAsia" w:ascii="宋体" w:hAnsi="宋体"/>
          <w:color w:val="000000"/>
        </w:rPr>
        <w:t xml:space="preserve">（</w:t>
      </w:r>
      <w:r>
        <w:rPr>
          <w:rFonts w:ascii="宋体" w:hAnsi="宋体"/>
          <w:color w:val="000000"/>
          <w:lang w:val="en-GB"/>
        </w:rPr>
        <w:t xml:space="preserve">4</w:t>
      </w:r>
      <w:r>
        <w:rPr>
          <w:rFonts w:hint="eastAsia" w:ascii="宋体" w:hAnsi="宋体"/>
          <w:color w:val="000000"/>
        </w:rPr>
        <w:t xml:space="preserve">）如乙方出现不按投标文件执行，不服从甲方管理，不执行甲方制定的工作要求，对甲方工作要求故意拖延、拒不执行，或项目实施出现严重安全事件或导致业务无法正常开展等后果，乙方需消除影响、提供替代软硬件产品或寻求第三方协助等相关的补救措施；构成违法犯罪的违约行为，甲方有权将涉及的单位或个人列入政府采购严重违法失信记录名单、市场监督管理严重失信名单。甲方有权根据乙方违法、违规行为的情节严重程度，采取取消付款、要求退款和支付违约金、解除合同等措施，违约金金额为项目合同金额的20%。</w:t>
      </w:r>
      <w:r>
        <w:rPr>
          <w:rFonts w:ascii="宋体" w:hAnsi="宋体"/>
          <w:color w:val="000000"/>
        </w:rPr>
      </w:r>
      <w:r/>
    </w:p>
    <w:p>
      <w:pPr>
        <w:pStyle w:val="919"/>
        <w:ind w:firstLine="420"/>
        <w:jc w:val="right"/>
        <w:spacing w:line="340" w:lineRule="exact"/>
        <w:rPr>
          <w:rFonts w:ascii="宋体" w:hAnsi="宋体"/>
          <w:color w:val="000000"/>
        </w:rPr>
      </w:pPr>
      <w:r>
        <w:rPr>
          <w:rFonts w:hint="eastAsia" w:ascii="宋体" w:hAnsi="宋体"/>
          <w:color w:val="000000"/>
        </w:rPr>
        <w:t xml:space="preserve">承诺人： </w:t>
      </w:r>
      <w:r>
        <w:rPr>
          <w:rFonts w:hint="eastAsia" w:ascii="宋体" w:hAnsi="宋体"/>
          <w:color w:val="000000"/>
        </w:rPr>
        <w:tab/>
      </w:r>
      <w:r>
        <w:rPr>
          <w:rFonts w:hint="eastAsia" w:ascii="宋体" w:hAnsi="宋体"/>
          <w:color w:val="000000"/>
        </w:rPr>
        <w:t xml:space="preserve">  （盖单位章）</w:t>
      </w:r>
      <w:r>
        <w:rPr>
          <w:rFonts w:ascii="宋体" w:hAnsi="宋体"/>
          <w:color w:val="000000"/>
        </w:rPr>
      </w:r>
      <w:r/>
    </w:p>
    <w:p>
      <w:pPr>
        <w:pStyle w:val="919"/>
        <w:ind w:firstLine="420"/>
        <w:jc w:val="right"/>
        <w:spacing w:line="340" w:lineRule="exact"/>
        <w:rPr>
          <w:rFonts w:ascii="宋体" w:hAnsi="宋体"/>
          <w:color w:val="000000"/>
        </w:rPr>
      </w:pPr>
      <w:r>
        <w:rPr>
          <w:rFonts w:ascii="宋体" w:hAnsi="宋体"/>
          <w:color w:val="000000"/>
        </w:rPr>
      </w:r>
      <w:r/>
    </w:p>
    <w:p>
      <w:pPr>
        <w:pStyle w:val="919"/>
        <w:ind w:firstLine="420"/>
        <w:jc w:val="right"/>
        <w:spacing w:line="340" w:lineRule="exact"/>
        <w:rPr>
          <w:rFonts w:ascii="宋体" w:hAnsi="宋体"/>
          <w:color w:val="000000"/>
        </w:rPr>
      </w:pPr>
      <w:r>
        <w:rPr>
          <w:rFonts w:hint="eastAsia" w:ascii="宋体" w:hAnsi="宋体"/>
          <w:color w:val="000000"/>
        </w:rPr>
        <w:t xml:space="preserve">时间：     年   月    日</w:t>
      </w:r>
      <w:r>
        <w:rPr>
          <w:rFonts w:ascii="宋体" w:hAnsi="宋体"/>
          <w:color w:val="000000"/>
        </w:rPr>
      </w:r>
      <w:r/>
    </w:p>
    <w:p>
      <w:pPr>
        <w:pStyle w:val="959"/>
        <w:ind w:firstLine="840"/>
        <w:jc w:val="left"/>
        <w:spacing w:before="120" w:after="120"/>
        <w:rPr>
          <w:rFonts w:hint="eastAsia" w:hAnsi="宋体"/>
          <w:color w:val="000000"/>
          <w:sz w:val="24"/>
          <w:szCs w:val="24"/>
        </w:rPr>
      </w:pPr>
      <w:r>
        <w:rPr>
          <w:rFonts w:hint="eastAsia" w:hAnsi="宋体"/>
          <w:color w:val="000000"/>
          <w:sz w:val="24"/>
          <w:szCs w:val="24"/>
        </w:rPr>
      </w:r>
      <w:r/>
    </w:p>
    <w:p>
      <w:pPr>
        <w:pStyle w:val="104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0"/>
      <w:r>
        <w:rPr>
          <w:rFonts w:hint="eastAsia" w:ascii="方正小标宋简体" w:hAnsi="方正小标宋简体" w:eastAsia="方正小标宋简体" w:cs="方正小标宋简体"/>
          <w:color w:val="000000"/>
          <w:sz w:val="36"/>
          <w:szCs w:val="36"/>
        </w:rPr>
        <w:t xml:space="preserve">四章  采购需求</w:t>
      </w:r>
      <w:bookmarkEnd w:id="41"/>
      <w:r/>
      <w:bookmarkEnd w:id="42"/>
      <w:r/>
      <w:bookmarkEnd w:id="43"/>
      <w:r>
        <w:rPr>
          <w:rFonts w:hint="eastAsia" w:ascii="方正小标宋简体" w:hAnsi="方正小标宋简体" w:eastAsia="方正小标宋简体" w:cs="方正小标宋简体"/>
          <w:color w:val="000000"/>
          <w:sz w:val="36"/>
          <w:szCs w:val="36"/>
        </w:rPr>
      </w:r>
      <w:r/>
    </w:p>
    <w:p>
      <w:pPr>
        <w:pStyle w:val="919"/>
        <w:ind w:firstLine="480"/>
        <w:spacing w:line="252" w:lineRule="auto"/>
        <w:rPr>
          <w:rFonts w:hint="eastAsia" w:ascii="黑体" w:hAnsi="黑体" w:eastAsia="黑体" w:cs="黑体"/>
          <w:color w:val="000000"/>
          <w:sz w:val="24"/>
          <w:szCs w:val="24"/>
        </w:rPr>
      </w:pPr>
      <w:r/>
      <w:bookmarkStart w:id="55" w:name="_Toc26554093"/>
      <w:r/>
      <w:bookmarkStart w:id="56"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919"/>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919"/>
        <w:ind w:firstLine="480"/>
        <w:spacing w:line="252"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交通信号灯、电子警察、视频监控以及机房内等设施维保内容及要求。视频监控、交通安全设施、机房及网络传输等设备维护服务及上述相关设备备件采购项目维保设备情况：</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1.交通信号灯、电子警察：470个路口1661套（方向）信号灯、1647个电子警察设备。</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2.视频监控：1461路视频监控。</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3.卡口、测速设备：865套卡口设备、48套测速设备。</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4.相关设备的杆件、电源、信号灯倒计时、补光灯、交换机、数据传输设备、防雷设备、支架及电源线缆、传输线缆等用于保证功能完整性所必须的其他配套、辅助材料和设施。</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5.机房空调、核心交换机、UPS等设备维护。</w:t>
      </w:r>
      <w:r>
        <w:rPr>
          <w:rFonts w:hint="eastAsia" w:ascii="宋体" w:hAnsi="宋体" w:cs="Courier New"/>
          <w:color w:val="000000"/>
          <w:sz w:val="24"/>
          <w:szCs w:val="24"/>
        </w:rPr>
      </w:r>
      <w:r/>
    </w:p>
    <w:p>
      <w:pPr>
        <w:pStyle w:val="919"/>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遵循国家、行业及地方现行的规范和标准。依据如下：</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《安全防范工程建设与维护保养费用预算编制办法》GA/T70-2014；</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《数据中心设计规范》GB50174-2017；</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《城市监控报警联网系统建设通用技术要求》GA/T669-2023；</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《综合布线系统工程设计规范》GB50311-2016；</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《电气装置安装工程电气设备交接试验标准》GB50150-2016；</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《电气装置安装工程电缆线路施工及验收规范》GB50168-2018 ；</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《建筑物防雷设计规范》GB50057-2019；</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《安全防范工程技术标准》GB50348—2018；</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《安全防范系统验收规则》GA308-2001；</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《视频安防监控系统工程设计规范》GB50395-2023；</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《视频安防监控系统技术要求》GA/T367-2001；</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《公共安全视频监控联网系统信息传输、交换、控制技术要求》GB28181-2022；</w:t>
      </w:r>
      <w:r>
        <w:rPr>
          <w:rFonts w:hint="eastAsia" w:ascii="宋体" w:hAnsi="宋体" w:cs="Courier New"/>
          <w:color w:val="000000"/>
          <w:sz w:val="24"/>
          <w:szCs w:val="24"/>
        </w:rPr>
      </w:r>
      <w:r/>
    </w:p>
    <w:p>
      <w:pPr>
        <w:pStyle w:val="919"/>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《安全防范工程程序与要求》GA/T75-1994。</w:t>
      </w:r>
      <w:r>
        <w:rPr>
          <w:rFonts w:hint="eastAsia" w:ascii="宋体" w:hAnsi="宋体" w:cs="Courier New"/>
          <w:color w:val="000000"/>
          <w:sz w:val="24"/>
          <w:szCs w:val="24"/>
        </w:rPr>
      </w:r>
      <w:r/>
    </w:p>
    <w:p>
      <w:pPr>
        <w:pStyle w:val="919"/>
        <w:numPr>
          <w:ilvl w:val="0"/>
          <w:numId w:val="5"/>
        </w:numPr>
        <w:ind w:firstLine="480"/>
        <w:spacing w:line="252" w:lineRule="auto"/>
        <w:rPr>
          <w:rFonts w:hint="eastAsia"/>
        </w:rPr>
      </w:pPr>
      <w:r>
        <w:rPr>
          <w:rFonts w:hint="eastAsia" w:ascii="黑体" w:hAnsi="黑体" w:eastAsia="黑体" w:cs="黑体"/>
          <w:sz w:val="24"/>
          <w:szCs w:val="24"/>
        </w:rPr>
        <w:t xml:space="preserve">项目清单</w:t>
      </w:r>
      <w:r>
        <w:rPr>
          <w:rFonts w:hint="eastAsia"/>
        </w:rPr>
      </w:r>
      <w:r/>
    </w:p>
    <w:p>
      <w:pPr>
        <w:pStyle w:val="919"/>
        <w:ind w:firstLine="422"/>
        <w:rPr>
          <w:b/>
          <w:bCs/>
        </w:rPr>
      </w:pPr>
      <w:r>
        <w:rPr>
          <w:rFonts w:hint="eastAsia"/>
          <w:b/>
          <w:bCs/>
        </w:rPr>
        <w:t xml:space="preserve">1.汇总表</w:t>
      </w:r>
      <w:r>
        <w:rPr>
          <w:b/>
          <w:bCs/>
        </w:rPr>
      </w:r>
      <w:r/>
    </w:p>
    <w:tbl>
      <w:tblPr>
        <w:tblpPr w:horzAnchor="page" w:tblpX="1081" w:vertAnchor="text" w:tblpY="480" w:leftFromText="180" w:topFromText="0" w:rightFromText="180" w:bottomFromText="0"/>
        <w:tblW w:w="5057"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6"/>
        <w:gridCol w:w="1629"/>
        <w:gridCol w:w="820"/>
        <w:gridCol w:w="658"/>
        <w:gridCol w:w="1032"/>
        <w:gridCol w:w="994"/>
        <w:gridCol w:w="1133"/>
        <w:gridCol w:w="741"/>
        <w:gridCol w:w="1148"/>
        <w:gridCol w:w="1222"/>
      </w:tblGrid>
      <w:tr>
        <w:trPr>
          <w:trHeight w:val="888"/>
        </w:trPr>
        <w:tc>
          <w:tcPr>
            <w:tcW w:w="251"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bCs/>
                <w:color w:val="000000" w:themeColor="text1"/>
                <w:sz w:val="24"/>
                <w:szCs w:val="24"/>
                <w:highlight w:val="none"/>
              </w:rPr>
              <w:t xml:space="preserve">序号</w:t>
            </w:r>
            <w:r>
              <w:rPr>
                <w:color w:val="000000" w:themeColor="text1"/>
                <w:highlight w:val="none"/>
              </w:rPr>
            </w:r>
            <w:r/>
          </w:p>
        </w:tc>
        <w:tc>
          <w:tcPr>
            <w:tcW w:w="824"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分项名称</w:t>
            </w:r>
            <w:r>
              <w:rPr>
                <w:color w:val="000000" w:themeColor="text1"/>
                <w:highlight w:val="none"/>
              </w:rPr>
            </w:r>
            <w:r/>
          </w:p>
        </w:tc>
        <w:tc>
          <w:tcPr>
            <w:tcW w:w="415"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数量</w:t>
            </w:r>
            <w:r>
              <w:rPr>
                <w:color w:val="000000" w:themeColor="text1"/>
                <w:highlight w:val="none"/>
              </w:rPr>
            </w:r>
            <w:r/>
          </w:p>
        </w:tc>
        <w:tc>
          <w:tcPr>
            <w:tcW w:w="333"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单位</w:t>
            </w:r>
            <w:r>
              <w:rPr>
                <w:color w:val="000000" w:themeColor="text1"/>
                <w:highlight w:val="none"/>
              </w:rPr>
            </w:r>
            <w:r/>
          </w:p>
        </w:tc>
        <w:tc>
          <w:tcPr>
            <w:tcW w:w="522"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单价上限</w:t>
            </w:r>
            <w:r>
              <w:rPr>
                <w:color w:val="000000" w:themeColor="text1"/>
                <w:highlight w:val="none"/>
              </w:rPr>
            </w:r>
            <w:r/>
          </w:p>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（元）</w:t>
            </w:r>
            <w:r>
              <w:rPr>
                <w:color w:val="000000" w:themeColor="text1"/>
                <w:highlight w:val="none"/>
              </w:rPr>
            </w:r>
            <w:r/>
          </w:p>
        </w:tc>
        <w:tc>
          <w:tcPr>
            <w:tcW w:w="503"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产品类型</w:t>
            </w:r>
            <w:r>
              <w:rPr>
                <w:color w:val="000000" w:themeColor="text1"/>
                <w:highlight w:val="none"/>
              </w:rPr>
            </w:r>
            <w:r/>
          </w:p>
        </w:tc>
        <w:tc>
          <w:tcPr>
            <w:tcW w:w="573"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中小企业划分标准所属行业</w:t>
            </w:r>
            <w:r>
              <w:rPr>
                <w:color w:val="000000" w:themeColor="text1"/>
                <w:highlight w:val="none"/>
              </w:rPr>
            </w:r>
            <w:r/>
          </w:p>
        </w:tc>
        <w:tc>
          <w:tcPr>
            <w:tcW w:w="375"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属性</w:t>
            </w:r>
            <w:r>
              <w:rPr>
                <w:color w:val="000000" w:themeColor="text1"/>
                <w:highlight w:val="none"/>
              </w:rPr>
            </w:r>
            <w:r/>
          </w:p>
        </w:tc>
        <w:tc>
          <w:tcPr>
            <w:tcW w:w="581"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备注</w:t>
            </w:r>
            <w:r>
              <w:rPr>
                <w:color w:val="000000" w:themeColor="text1"/>
                <w:highlight w:val="none"/>
              </w:rPr>
            </w:r>
            <w:r/>
          </w:p>
        </w:tc>
        <w:tc>
          <w:tcPr>
            <w:tcW w:w="618" w:type="dxa"/>
            <w:vAlign w:val="center"/>
            <w:textDirection w:val="lrTb"/>
            <w:noWrap w:val="false"/>
          </w:tcPr>
          <w:p>
            <w:pPr>
              <w:pStyle w:val="919"/>
              <w:jc w:val="center"/>
              <w:spacing w:line="288" w:lineRule="auto"/>
              <w:rPr>
                <w:rFonts w:hint="eastAsia" w:ascii="宋体" w:hAnsi="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政府强制采购节能产品（如有）</w:t>
            </w:r>
            <w:r>
              <w:rPr>
                <w:color w:val="000000" w:themeColor="text1"/>
                <w:highlight w:val="none"/>
              </w:rPr>
            </w:r>
            <w:r/>
          </w:p>
        </w:tc>
      </w:tr>
      <w:tr>
        <w:trPr>
          <w:trHeight w:val="587"/>
        </w:trPr>
        <w:tc>
          <w:tcPr>
            <w:tcW w:w="251"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W w:w="824" w:type="dxa"/>
            <w:vAlign w:val="center"/>
            <w:textDirection w:val="lrTb"/>
            <w:noWrap w:val="false"/>
          </w:tcPr>
          <w:p>
            <w:pPr>
              <w:pStyle w:val="1044"/>
              <w:ind w:left="143" w:right="106" w:hanging="1"/>
              <w:jc w:val="center"/>
              <w:spacing w:before="90" w:line="242" w:lineRule="auto"/>
              <w:rPr>
                <w:rFonts w:hint="eastAsia"/>
                <w:bCs/>
                <w:color w:val="000000" w:themeColor="text1"/>
                <w:sz w:val="24"/>
                <w:szCs w:val="24"/>
                <w:highlight w:val="none"/>
              </w:rPr>
              <w:framePr w:vAnchor="text" w:hAnchor="page" w:x="1081" w:y="480"/>
            </w:pPr>
            <w:r>
              <w:rPr>
                <w:rFonts w:hint="eastAsia"/>
                <w:color w:val="000000" w:themeColor="text1"/>
                <w:spacing w:val="-2"/>
                <w:highlight w:val="none"/>
              </w:rPr>
              <w:t xml:space="preserve">维护报价</w:t>
            </w:r>
            <w:r>
              <w:rPr>
                <w:color w:val="000000" w:themeColor="text1"/>
                <w:highlight w:val="none"/>
              </w:rPr>
            </w:r>
            <w:r/>
          </w:p>
        </w:tc>
        <w:tc>
          <w:tcPr>
            <w:tcW w:w="415"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W w:w="333"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bCs/>
                <w:color w:val="000000" w:themeColor="text1"/>
                <w:sz w:val="24"/>
                <w:szCs w:val="24"/>
                <w:highlight w:val="none"/>
              </w:rPr>
              <w:t xml:space="preserve">项</w:t>
            </w:r>
            <w:r>
              <w:rPr>
                <w:color w:val="000000" w:themeColor="text1"/>
                <w:highlight w:val="none"/>
              </w:rPr>
            </w:r>
            <w:r/>
          </w:p>
        </w:tc>
        <w:tc>
          <w:tcPr>
            <w:tcW w:w="522"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olor w:val="000000" w:themeColor="text1"/>
                <w:sz w:val="22"/>
                <w:highlight w:val="none"/>
              </w:rPr>
              <w:t xml:space="preserve">4602956</w:t>
            </w:r>
            <w:r>
              <w:rPr>
                <w:color w:val="000000" w:themeColor="text1"/>
                <w:highlight w:val="none"/>
              </w:rPr>
            </w:r>
            <w:r/>
          </w:p>
        </w:tc>
        <w:tc>
          <w:tcPr>
            <w:tcW w:w="503"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主要产品</w:t>
            </w:r>
            <w:r>
              <w:rPr>
                <w:color w:val="000000" w:themeColor="text1"/>
                <w:highlight w:val="none"/>
              </w:rPr>
            </w:r>
            <w:r/>
          </w:p>
        </w:tc>
        <w:tc>
          <w:tcPr>
            <w:tcW w:w="573"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color w:val="000000" w:themeColor="text1"/>
                <w:sz w:val="22"/>
                <w:highlight w:val="none"/>
                <w:lang w:val="zh-CN"/>
              </w:rPr>
              <w:t xml:space="preserve">软件和信息技术服务业</w:t>
            </w:r>
            <w:r>
              <w:rPr>
                <w:color w:val="000000" w:themeColor="text1"/>
                <w:highlight w:val="none"/>
              </w:rPr>
            </w:r>
            <w:r/>
          </w:p>
        </w:tc>
        <w:tc>
          <w:tcPr>
            <w:tcW w:w="375"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服务</w:t>
            </w:r>
            <w:r>
              <w:rPr>
                <w:color w:val="000000" w:themeColor="text1"/>
                <w:highlight w:val="none"/>
              </w:rPr>
            </w:r>
            <w:r/>
          </w:p>
        </w:tc>
        <w:tc>
          <w:tcPr>
            <w:tcW w:w="581"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bCs/>
                <w:color w:val="000000" w:themeColor="text1"/>
                <w:sz w:val="24"/>
                <w:szCs w:val="24"/>
                <w:highlight w:val="none"/>
              </w:rPr>
            </w:r>
            <w:r>
              <w:rPr>
                <w:color w:val="000000" w:themeColor="text1"/>
                <w:highlight w:val="none"/>
              </w:rPr>
            </w:r>
            <w:r/>
          </w:p>
        </w:tc>
        <w:tc>
          <w:tcPr>
            <w:tcW w:w="618" w:type="dxa"/>
            <w:vAlign w:val="center"/>
            <w:textDirection w:val="lrTb"/>
            <w:noWrap w:val="false"/>
          </w:tcPr>
          <w:p>
            <w:pPr>
              <w:pStyle w:val="919"/>
              <w:jc w:val="center"/>
              <w:spacing w:line="264"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r>
            <w:r>
              <w:rPr>
                <w:color w:val="000000" w:themeColor="text1"/>
                <w:highlight w:val="none"/>
              </w:rPr>
            </w:r>
            <w:r/>
          </w:p>
        </w:tc>
      </w:tr>
      <w:tr>
        <w:trPr>
          <w:trHeight w:val="587"/>
        </w:trPr>
        <w:tc>
          <w:tcPr>
            <w:tcW w:w="251"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W w:w="824" w:type="dxa"/>
            <w:vAlign w:val="center"/>
            <w:textDirection w:val="lrTb"/>
            <w:noWrap w:val="false"/>
          </w:tcPr>
          <w:p>
            <w:pPr>
              <w:pStyle w:val="919"/>
              <w:jc w:val="center"/>
              <w:widowControl/>
              <w:rPr>
                <w:rFonts w:hint="eastAsia" w:ascii="宋体" w:hAnsi="宋体"/>
                <w:color w:val="000000" w:themeColor="text1"/>
                <w:sz w:val="24"/>
                <w:szCs w:val="24"/>
                <w:highlight w:val="none"/>
              </w:rPr>
              <w:framePr w:vAnchor="text" w:hAnchor="page" w:x="1081" w:y="480"/>
            </w:pPr>
            <w:r>
              <w:rPr>
                <w:rFonts w:hint="eastAsia"/>
                <w:color w:val="000000" w:themeColor="text1"/>
                <w:spacing w:val="-2"/>
                <w:highlight w:val="none"/>
              </w:rPr>
              <w:t xml:space="preserve">备品备件报价</w:t>
            </w:r>
            <w:r>
              <w:rPr>
                <w:color w:val="000000" w:themeColor="text1"/>
                <w:highlight w:val="none"/>
              </w:rPr>
            </w:r>
            <w:r/>
          </w:p>
        </w:tc>
        <w:tc>
          <w:tcPr>
            <w:tcW w:w="415"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W w:w="333"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bCs/>
                <w:color w:val="000000" w:themeColor="text1"/>
                <w:sz w:val="24"/>
                <w:szCs w:val="24"/>
                <w:highlight w:val="none"/>
              </w:rPr>
              <w:t xml:space="preserve">项</w:t>
            </w:r>
            <w:r>
              <w:rPr>
                <w:color w:val="000000" w:themeColor="text1"/>
                <w:highlight w:val="none"/>
              </w:rPr>
            </w:r>
            <w:r/>
          </w:p>
        </w:tc>
        <w:tc>
          <w:tcPr>
            <w:tcW w:w="522"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olor w:val="000000" w:themeColor="text1"/>
                <w:sz w:val="22"/>
                <w:highlight w:val="none"/>
              </w:rPr>
              <w:t xml:space="preserve">2361300</w:t>
            </w:r>
            <w:r>
              <w:rPr>
                <w:color w:val="000000" w:themeColor="text1"/>
                <w:highlight w:val="none"/>
              </w:rPr>
            </w:r>
            <w:r/>
          </w:p>
        </w:tc>
        <w:tc>
          <w:tcPr>
            <w:tcW w:w="503"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r>
            <w:r>
              <w:rPr>
                <w:color w:val="000000" w:themeColor="text1"/>
                <w:highlight w:val="none"/>
              </w:rPr>
            </w:r>
            <w:r/>
          </w:p>
        </w:tc>
        <w:tc>
          <w:tcPr>
            <w:tcW w:w="573"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color w:val="000000" w:themeColor="text1"/>
                <w:sz w:val="22"/>
                <w:highlight w:val="none"/>
              </w:rPr>
              <w:t xml:space="preserve">工业</w:t>
            </w:r>
            <w:r>
              <w:rPr>
                <w:color w:val="000000" w:themeColor="text1"/>
                <w:highlight w:val="none"/>
              </w:rPr>
            </w:r>
            <w:r/>
          </w:p>
        </w:tc>
        <w:tc>
          <w:tcPr>
            <w:tcW w:w="375" w:type="dxa"/>
            <w:vAlign w:val="center"/>
            <w:textDirection w:val="lrTb"/>
            <w:noWrap w:val="false"/>
          </w:tcPr>
          <w:p>
            <w:pPr>
              <w:pStyle w:val="919"/>
              <w:jc w:val="center"/>
              <w:spacing w:line="252" w:lineRule="auto"/>
              <w:rPr>
                <w:rFonts w:hint="eastAsia" w:ascii="宋体" w:hAnsi="宋体" w:cs="宋体"/>
                <w:bCs/>
                <w:color w:val="000000" w:themeColor="text1"/>
                <w:sz w:val="24"/>
                <w:szCs w:val="24"/>
                <w:highlight w:val="none"/>
              </w:rPr>
              <w:framePr w:vAnchor="text" w:hAnchor="page" w:x="1081" w:y="480"/>
            </w:pPr>
            <w:r>
              <w:rPr>
                <w:rFonts w:hint="eastAsia" w:ascii="宋体" w:hAnsi="宋体" w:cs="宋体"/>
                <w:bCs/>
                <w:color w:val="000000" w:themeColor="text1"/>
                <w:sz w:val="24"/>
                <w:szCs w:val="24"/>
                <w:highlight w:val="none"/>
              </w:rPr>
              <w:t xml:space="preserve">货物</w:t>
            </w:r>
            <w:r>
              <w:rPr>
                <w:color w:val="000000" w:themeColor="text1"/>
                <w:highlight w:val="none"/>
              </w:rPr>
            </w:r>
            <w:r/>
          </w:p>
        </w:tc>
        <w:tc>
          <w:tcPr>
            <w:tcW w:w="581"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bCs/>
                <w:color w:val="000000" w:themeColor="text1"/>
                <w:sz w:val="24"/>
                <w:szCs w:val="24"/>
                <w:highlight w:val="none"/>
              </w:rPr>
            </w:r>
            <w:r>
              <w:rPr>
                <w:color w:val="000000" w:themeColor="text1"/>
                <w:highlight w:val="none"/>
              </w:rPr>
            </w:r>
            <w:r/>
          </w:p>
        </w:tc>
        <w:tc>
          <w:tcPr>
            <w:tcW w:w="618" w:type="dxa"/>
            <w:vAlign w:val="center"/>
            <w:textDirection w:val="lrTb"/>
            <w:noWrap w:val="false"/>
          </w:tcPr>
          <w:p>
            <w:pPr>
              <w:pStyle w:val="919"/>
              <w:jc w:val="center"/>
              <w:spacing w:line="252" w:lineRule="auto"/>
              <w:rPr>
                <w:rFonts w:hint="eastAsia" w:ascii="宋体" w:hAnsi="宋体"/>
                <w:bCs/>
                <w:color w:val="000000" w:themeColor="text1"/>
                <w:sz w:val="24"/>
                <w:szCs w:val="24"/>
                <w:highlight w:val="none"/>
              </w:rPr>
              <w:framePr w:vAnchor="text" w:hAnchor="page" w:x="1081" w:y="480"/>
            </w:pPr>
            <w:r>
              <w:rPr>
                <w:rFonts w:hint="eastAsia" w:ascii="宋体" w:hAnsi="宋体"/>
                <w:bCs/>
                <w:color w:val="000000" w:themeColor="text1"/>
                <w:sz w:val="24"/>
                <w:szCs w:val="24"/>
                <w:highlight w:val="none"/>
              </w:rPr>
            </w:r>
            <w:r>
              <w:rPr>
                <w:color w:val="000000" w:themeColor="text1"/>
                <w:highlight w:val="none"/>
              </w:rPr>
            </w:r>
            <w:r/>
          </w:p>
        </w:tc>
      </w:tr>
    </w:tbl>
    <w:p>
      <w:pPr>
        <w:pStyle w:val="931"/>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919"/>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919"/>
        <w:ind w:firstLine="422"/>
        <w:rPr>
          <w:rFonts w:hint="eastAsia"/>
          <w:b/>
          <w:bCs/>
          <w:color w:val="000000" w:themeColor="text1"/>
          <w:highlight w:val="none"/>
        </w:rPr>
      </w:pPr>
      <w:r>
        <w:rPr>
          <w:rFonts w:hint="eastAsia"/>
          <w:b/>
          <w:bCs/>
          <w:color w:val="000000" w:themeColor="text1"/>
          <w:highlight w:val="none"/>
        </w:rPr>
        <w:t xml:space="preserve">2.维护分项</w:t>
      </w:r>
      <w:r>
        <w:rPr>
          <w:color w:val="000000" w:themeColor="text1"/>
          <w:highlight w:val="none"/>
        </w:rPr>
      </w:r>
      <w:r/>
    </w:p>
    <w:tbl>
      <w:tblPr>
        <w:tblW w:w="9601" w:type="dxa"/>
        <w:tblInd w:w="-10" w:type="dxa"/>
        <w:tblLayout w:type="fixed"/>
        <w:tblCellMar>
          <w:left w:w="108" w:type="dxa"/>
          <w:top w:w="0" w:type="dxa"/>
          <w:right w:w="108" w:type="dxa"/>
          <w:bottom w:w="0" w:type="dxa"/>
        </w:tblCellMar>
        <w:tblLook w:val="04A0" w:firstRow="1" w:lastRow="0" w:firstColumn="1" w:lastColumn="0" w:noHBand="0" w:noVBand="1"/>
      </w:tblPr>
      <w:tblGrid>
        <w:gridCol w:w="583"/>
        <w:gridCol w:w="1484"/>
        <w:gridCol w:w="788"/>
        <w:gridCol w:w="1025"/>
        <w:gridCol w:w="737"/>
        <w:gridCol w:w="700"/>
        <w:gridCol w:w="1077"/>
        <w:gridCol w:w="1292"/>
        <w:gridCol w:w="838"/>
        <w:gridCol w:w="1077"/>
      </w:tblGrid>
      <w:tr>
        <w:trPr>
          <w:trHeight w:val="1140"/>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19"/>
              <w:jc w:val="center"/>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分项名称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月份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单价上限</w:t>
            </w:r>
            <w:r>
              <w:rPr>
                <w:rFonts w:hint="eastAsia" w:ascii="宋体" w:hAnsi="宋体" w:cs="宋体"/>
                <w:b/>
                <w:bCs/>
                <w:color w:val="000000" w:themeColor="text1"/>
                <w:highlight w:val="none"/>
                <w:lang w:bidi="ar"/>
              </w:rPr>
              <w:br w:type="textWrapping" w:clear="all"/>
            </w:r>
            <w:r>
              <w:rPr>
                <w:rFonts w:hint="eastAsia" w:ascii="宋体" w:hAnsi="宋体" w:cs="宋体"/>
                <w:b/>
                <w:bCs/>
                <w:color w:val="000000" w:themeColor="text1"/>
                <w:highlight w:val="none"/>
                <w:lang w:bidi="ar"/>
              </w:rPr>
              <w:t xml:space="preserve">（元）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产品类型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中小企业划分标准所属行业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属性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919"/>
              <w:jc w:val="center"/>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备注</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1661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套（方向）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lang w:val="zh-CN"/>
              </w:rPr>
              <w:t xml:space="preserve">软件和信息技术服务业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highlight w:val="none"/>
              </w:rPr>
            </w:pPr>
            <w:r>
              <w:rPr>
                <w:rFonts w:hint="eastAsia" w:ascii="宋体" w:hAnsi="宋体" w:cs="宋体"/>
                <w:color w:val="000000" w:themeColor="text1"/>
                <w:sz w:val="18"/>
                <w:szCs w:val="18"/>
                <w:highlight w:val="none"/>
              </w:rPr>
              <w:t xml:space="preserve">470个路口（含信号机），1661个方向。含每个方向全部车行灯（辅助灯）、非机动车灯、人行灯、倒计时、信号机、LED显示条屏及其他所有设备</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电警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1647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含路口的智能终端维护</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球机/枪机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卡口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测速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抓拍监控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内部普通监控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室外大屏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防撞车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班次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4小时为一班</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区间测速检定费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车道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按每年每个车道收费</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UPS维护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机房空调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1台精密空调，14台模块化机房空调；整机维护</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信号机管理系统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保障平台运行的所有费用</w:t>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视频监控综合平台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919"/>
              <w:spacing w:line="200" w:lineRule="exact"/>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保障平台运行的所有费用</w:t>
            </w:r>
            <w:r>
              <w:rPr>
                <w:color w:val="000000" w:themeColor="text1"/>
                <w:highlight w:val="none"/>
              </w:rPr>
            </w:r>
            <w:r/>
          </w:p>
        </w:tc>
      </w:tr>
    </w:tbl>
    <w:p>
      <w:pPr>
        <w:pStyle w:val="931"/>
        <w:ind w:left="0"/>
        <w:rPr>
          <w:color w:val="000000" w:themeColor="text1"/>
          <w:highlight w:val="none"/>
        </w:rPr>
      </w:pPr>
      <w:r>
        <w:rPr>
          <w:color w:val="000000" w:themeColor="text1"/>
          <w:highlight w:val="none"/>
          <w:lang w:val="en-US"/>
        </w:rPr>
      </w:r>
      <w:r>
        <w:rPr>
          <w:color w:val="000000" w:themeColor="text1"/>
          <w:highlight w:val="none"/>
        </w:rPr>
      </w:r>
      <w:r/>
    </w:p>
    <w:p>
      <w:pPr>
        <w:pStyle w:val="919"/>
        <w:rPr>
          <w:color w:val="000000" w:themeColor="text1"/>
          <w:highlight w:val="none"/>
        </w:rPr>
      </w:pPr>
      <w:r>
        <w:rPr>
          <w:color w:val="000000" w:themeColor="text1"/>
          <w:highlight w:val="none"/>
        </w:rPr>
      </w:r>
      <w:r>
        <w:rPr>
          <w:color w:val="000000" w:themeColor="text1"/>
          <w:highlight w:val="none"/>
        </w:rPr>
      </w:r>
      <w:r/>
    </w:p>
    <w:p>
      <w:pPr>
        <w:pStyle w:val="919"/>
        <w:ind w:firstLine="422"/>
        <w:rPr>
          <w:rFonts w:hint="eastAsia"/>
          <w:b/>
          <w:bCs/>
          <w:color w:val="000000" w:themeColor="text1"/>
          <w:highlight w:val="none"/>
        </w:rPr>
      </w:pPr>
      <w:r>
        <w:rPr>
          <w:rFonts w:hint="eastAsia"/>
          <w:b/>
          <w:bCs/>
          <w:color w:val="000000" w:themeColor="text1"/>
          <w:highlight w:val="none"/>
        </w:rPr>
        <w:t xml:space="preserve">3.备品备件分项</w:t>
      </w:r>
      <w:r>
        <w:rPr>
          <w:color w:val="000000" w:themeColor="text1"/>
          <w:highlight w:val="none"/>
        </w:rPr>
      </w:r>
      <w:r/>
    </w:p>
    <w:tbl>
      <w:tblPr>
        <w:tblW w:w="9840" w:type="dxa"/>
        <w:tblInd w:w="-10" w:type="dxa"/>
        <w:tblLayout w:type="fixed"/>
        <w:tblCellMar>
          <w:left w:w="108" w:type="dxa"/>
          <w:top w:w="0" w:type="dxa"/>
          <w:right w:w="108" w:type="dxa"/>
          <w:bottom w:w="0" w:type="dxa"/>
        </w:tblCellMar>
        <w:tblLook w:val="04A0" w:firstRow="1" w:lastRow="0" w:firstColumn="1" w:lastColumn="0" w:noHBand="0" w:noVBand="1"/>
      </w:tblPr>
      <w:tblGrid>
        <w:gridCol w:w="830"/>
        <w:gridCol w:w="1431"/>
        <w:gridCol w:w="625"/>
        <w:gridCol w:w="713"/>
        <w:gridCol w:w="1094"/>
        <w:gridCol w:w="1096"/>
        <w:gridCol w:w="971"/>
        <w:gridCol w:w="1079"/>
        <w:gridCol w:w="922"/>
        <w:gridCol w:w="1079"/>
      </w:tblGrid>
      <w:tr>
        <w:trPr>
          <w:trHeight w:val="1218"/>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分项名称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单价上限</w:t>
            </w:r>
            <w:r>
              <w:rPr>
                <w:rFonts w:hint="eastAsia" w:ascii="宋体" w:hAnsi="宋体" w:cs="宋体"/>
                <w:b/>
                <w:bCs/>
                <w:color w:val="000000" w:themeColor="text1"/>
                <w:highlight w:val="none"/>
                <w:lang w:bidi="ar"/>
              </w:rPr>
              <w:br w:type="textWrapping" w:clear="all"/>
            </w:r>
            <w:r>
              <w:rPr>
                <w:rFonts w:hint="eastAsia" w:ascii="宋体" w:hAnsi="宋体" w:cs="宋体"/>
                <w:b/>
                <w:bCs/>
                <w:color w:val="000000" w:themeColor="text1"/>
                <w:highlight w:val="none"/>
                <w:lang w:bidi="ar"/>
              </w:rPr>
              <w:t xml:space="preserve">（元）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产品类型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919"/>
              <w:spacing w:line="240" w:lineRule="exact"/>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中小企业划分标准所属行业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属性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备注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19"/>
              <w:jc w:val="center"/>
              <w:spacing w:line="240" w:lineRule="exac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highlight w:val="none"/>
                <w:lang w:bidi="ar"/>
              </w:rPr>
              <w:t xml:space="preserve">政府强制采购节能产品（如有）</w:t>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800W全结构摄像机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枪球一体摄像机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1200万电警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1400万电警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500万电警1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500万电警2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频闪灯1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频闪灯2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900万环保卡口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环保一体灯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配合环保卡口用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气体爆闪灯1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气体爆闪灯2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400万半球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高性能窄波平板雷达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8T企业级存储硬盘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12T企业级存储硬盘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6T企业级存储硬盘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万兆光模块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60公里千兆光模块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路口接入交换机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主要产品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路口汇聚交换机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32口交换机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40口交换机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车行满屏信号灯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车行箭头信号灯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圆盘车行信号灯灯盘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箭头车行信号灯灯盘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人行信号灯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人行信号灯红灯盘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人行信号灯绿灯盘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520型倒计时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780型倒计时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倒计时灯条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倒计时主板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倒计时电源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品牌国产优质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3公里工业级网桥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国标RVV3*6电源线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国标RVV3*4电源线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国标RVV3*2.5电源线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线缆RVVSP2*1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信号灯线缆RVV4*1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信号灯线缆RVV8*1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智能终端服务器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云存储设备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485000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35114加密盒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电警标志牌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维护井井盖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维护井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落地机箱（含基础）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抱杆机箱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杆件迁移（含基础）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光缆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PE50穿线管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信号灯检测器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需根据路口相机选择相应的检测器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多业务光端机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交通标线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平方米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9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919"/>
              <w:rPr>
                <w:rFonts w:hint="eastAsia" w:ascii="宋体" w:hAnsi="宋体" w:cs="宋体"/>
                <w:color w:val="000000" w:themeColor="text1"/>
                <w:highlight w:val="none"/>
              </w:rPr>
            </w:pPr>
            <w:r>
              <w:rPr>
                <w:rFonts w:hint="eastAsia" w:ascii="宋体" w:hAnsi="宋体"/>
                <w:color w:val="000000" w:themeColor="text1"/>
                <w:sz w:val="22"/>
                <w:highlight w:val="none"/>
              </w:rPr>
              <w:t xml:space="preserve">工业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货物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919"/>
              <w:jc w:val="lef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919"/>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bl>
    <w:p>
      <w:pPr>
        <w:pStyle w:val="919"/>
        <w:rPr>
          <w:color w:val="000000" w:themeColor="text1"/>
          <w:highlight w:val="none"/>
        </w:rPr>
      </w:pPr>
      <w:r>
        <w:rPr>
          <w:color w:val="000000" w:themeColor="text1"/>
          <w:highlight w:val="none"/>
        </w:rPr>
      </w:r>
      <w:r>
        <w:rPr>
          <w:color w:val="000000" w:themeColor="text1"/>
          <w:highlight w:val="none"/>
        </w:rPr>
      </w:r>
      <w:r/>
    </w:p>
    <w:p>
      <w:pPr>
        <w:pStyle w:val="919"/>
        <w:ind w:firstLine="480"/>
        <w:spacing w:line="252" w:lineRule="auto"/>
        <w:rPr>
          <w:rFonts w:hint="eastAsia" w:ascii="宋体" w:hAnsi="宋体" w:cs="宋体"/>
          <w:b/>
          <w:color w:val="000000" w:themeColor="text1"/>
          <w:sz w:val="24"/>
          <w:szCs w:val="24"/>
          <w:highlight w:val="none"/>
        </w:rPr>
        <w:outlineLvl w:val="1"/>
      </w:pPr>
      <w:r>
        <w:rPr>
          <w:rFonts w:hint="eastAsia" w:ascii="黑体" w:hAnsi="黑体" w:eastAsia="黑体" w:cs="黑体"/>
          <w:color w:val="000000" w:themeColor="text1"/>
          <w:sz w:val="24"/>
          <w:szCs w:val="24"/>
          <w:highlight w:val="none"/>
        </w:rPr>
        <w:t xml:space="preserve">四、拟采购标的需要满足的技术、商务要求</w:t>
      </w:r>
      <w:r>
        <w:rPr>
          <w:color w:val="000000" w:themeColor="text1"/>
          <w:highlight w:val="none"/>
        </w:rPr>
      </w:r>
      <w:r/>
    </w:p>
    <w:tbl>
      <w:tblPr>
        <w:tblW w:w="9961" w:type="dxa"/>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856"/>
        <w:gridCol w:w="1194"/>
        <w:gridCol w:w="856"/>
        <w:gridCol w:w="662"/>
        <w:gridCol w:w="6393"/>
      </w:tblGrid>
      <w:tr>
        <w:trPr>
          <w:tblHead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center"/>
              <w:keepNext/>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设备名称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919"/>
              <w:jc w:val="center"/>
              <w:keepNext/>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center"/>
              <w:keepNext/>
              <w:widowControl/>
              <w:rPr>
                <w:rFonts w:hint="eastAsia" w:ascii="宋体" w:hAnsi="宋体" w:cs="宋体"/>
                <w:b/>
                <w:bCs/>
                <w:color w:val="000000" w:themeColor="text1"/>
                <w:highlight w:val="none"/>
              </w:rPr>
            </w:pPr>
            <w:r>
              <w:rPr>
                <w:rFonts w:hint="eastAsia" w:ascii="宋体" w:hAnsi="宋体" w:cs="宋体"/>
                <w:b/>
                <w:bCs/>
                <w:color w:val="000000" w:themeColor="text1"/>
                <w:highlight w:val="none"/>
                <w:lang w:bidi="ar"/>
              </w:rPr>
              <w:t xml:space="preserve">设备参数</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800W全结构摄像机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▲1、内置双镜头，图像传感器均不小于1/1.8靶面尺寸。（提供具有CMA认证的检验报告）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2、全景监控通道分辨率不低于2560×1440，镜头不大于4mm；细节抓拍通道分辨率不低于3840×2160，镜头范围10—50mm。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3、最低照度彩色不大于0.0002lx，黑白不大于0.0001lx。</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4.支持混合补光。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5、支持人脸、人体、车辆同时检测和抓拍。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6、具有瞳孔亮斑消除功能。</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8、不低于IP66防护等级。</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9、含电源、支架。</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枪球一体摄像机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1、全景内置2个镜头，光圈不小于F1.0，具有不小于1/1.8靶面尺寸。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2、细节内置1个镜头，具备不小于1/1.8靶面尺寸，内置红外补光灯及白光灯。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3、细节通道内置镜头，支持不小于32倍光学变焦，镜头最大焦距不小于188mm。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▲4、全景通道可输出两个镜头无缝拼接的全景图像，拼接偏差像素不大于4个像素，全景画面水平视场角不小于180°，垂直视场角不小于70°。（提供具有CMA认证的检验报告）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5、红外距离不小于240米。</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6、支持水平旋转范围360°连续旋转，垂直旋转范围-20°~90°。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7、全景路视频图像分辨率不小于3632×1632，细节路视频图像分辨率不小于2560x1440。（提供具有CMA认证的检验报告）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8、细节通道可同时对行人、非机动车、机动车进行检测和抓拍。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9、设备全景通道支持区域入侵检测功能，同时联动细节通道进行跟踪、抓拍和结构化信息显示，全景通道区域入侵检测最远距离不小于40m。（提供具有CMA认证的检验报告）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11、不低于IP66防护等级。</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12、含电源、支架。</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1200万电警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1、传感器：采用不小于1.1英寸GMOS。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2、最大图像尺寸：≥4112×3072像素；字符叠满足公安需求。</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3、视频帧率：在1～25fps可调。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4、视频压缩支持H.265、H.264、MJPEG。</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5、防护等级：IP66。</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6、闯红灯事件检测试验，在天气晴朗无雾，车辆无遮挡，白天环境光照度不低于 200lx，夜晚辅助光照度不高于30lx的情况下进行测试；白天捕获率≥99%，晚上捕获率≥99%；白天准确率≥99%，晚上准确率≥99%。（提供具有CMA认证的检验报告）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7、车辆识别性能试验，在天气晴朗无雾，车辆无遮挡，号牌无污损白天环境光照度不低于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8、车牌识别功能检查 ：支持对25×10 像素～1100×3000 像素的机动车车牌进行抓拍并识别号码； 支持抓拍并识别垂直倾斜角度≤45°、水平倾斜角度≤35°、俯仰角度≤40°的机动车车牌号码。（提供具有CMA认证的检验报告）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监控摄像机图像画面信息不应有明显的缺损，图像画面应连贯，物体移动时图像不应有前冲现象、图像边缘不应有明显的锯齿状、拉毛、断裂、拖尾等现象。5级评分应不低于3.5分。（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12、包含高清一体化嵌入式摄像机、高清镜头、室外防护罩、相机内置网络信号防雷器、电源适配器、万向支架等。</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1400万电警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1、传感器：靶面尺寸≥1.17英寸；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 图像分辨率≥4480×3072，视频分辨率≥4480×3072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 支持实时显示车辆目标的结构化信息，包括车标、车牌号、车牌颜色、车辆类型、车身颜色、速度、车道号等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 支持通过相机控制台进入图像调节工具，并对图像和视频设置逆光亮度补偿及顺光亮度补偿。（提供具有CMA认证的检验报告）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 支持配合外接补光灯控制使用，支持闪光灯和频闪灯同步补光；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 支持场景划线示意，可以通过图像及文字形式辅助相机场景规则线的配置。</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 支持车牌识别功能：白天识别准确率≥99%；晚上识别准确率≥99%；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 支持车辆违章变道检测抓拍功能， 白天捕获率≥99%； 晚上捕获率≥99%；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 支持礼让行人及行人闯红灯模式下的自动划线。</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 支持车辆逆行检测抓拍功能， 白天捕获率≥99%； 晚上捕获率≥99%；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 支持通过视频触发进行车辆抓拍，支持车牌识别、车身颜色识别、车型识别，通行车辆信息捕获和违章检测功能；</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 支持对支干车辆合并进入主干车道时不礼让主干车道通行车辆的行为进行抓拍。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13、支持GB35114A级安全加密。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14、包含高清一体化嵌入式摄像机、高清镜头、室外防护罩、相机内置网络信号防雷器、电源适配器、万向支架等。</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500万电警1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1、图像传感器：采用2/3英寸GMOS。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2、最大图像尺寸：≥2448×2048像素。</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3、视频压缩支持H.265、H.264、MJPEG。</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▲4、支持车辆捕获抓拍功能，在天气晴朗无雾，号牌无遮挡、无污损，白天环境光照度不低于200lx，晚上辅助光照度不高于30lx的条件下测试，白天和晚上的捕获率均≥99%。（提供具有CMA认证的检验报告）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5、支持车牌识别功能（含新能源），在白天环境光照度不低于200lx，晚上辅助光照度不高于30lx的条件下测试，白天和晚上的识别率均≥99%。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6、支持闯红灯抓拍功能，在天气晴朗无雾，号牌无遮挡、无污损，白天环境光照度不低于200lx，晚上辅助光照度不高于30lx的条件下测试，白天和晚上闯红灯的捕获率均≥99%。（提供具有CMA认证的检验报告）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7、支持不少于14种车身颜色识别，包括黑、白、灰、红、绿、蓝、黄、粉、紫、棕、青、金、橙、银灰等。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▲8、支持压线（压实线、压单黄线、压双黄线）、逆行、占用应急车道、黄网格违停、加塞等违章检测。（提供具有CMA认证的检验报告）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支持识别车标类型不小于460种；在天气晴朗无雾，车辆无遮挡，白天环境光照度不低于200lx，夜晚辅助光照度不高于30lx的情况下进行测试；白天车标识别准确率≥99%；晚上车标识别准确率≥98%。（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10、防护等级：IP66。</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12、包含高清一体化嵌入式摄像机、高清镜头、室外防护罩、相机内置网络信号防雷器、电源适配器、万向支架等。</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500万电警2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1、传感器：GS-CMOS，1/1.2英寸，视频分辨率不低于2816×2112。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2、支持H.265和H.264编码。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3、支持一机并用，集卡口电警数十种违法抓拍业务、交通信息采集、事件检测于一体，适用于多种道路场景。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4、支持配置内置补光灯，并可通过相机进行控制开启/关闭。</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5、支持红外模式下的车牌识别功能，白天识别准确率≥99.9%；晚上识别准确率≥99.9%。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6、支持车牌识别功能，白天准确率≥99.9%，晚上准确率≥99.9%。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7、支持压线抓拍，白天准确率≥99%，晚上准确率≥99%。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8、支持车距违章抓拍功能，当两车距离小于设定值，则抓拍后车。</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9、支持对非机动车道上的有车占道行为进行检测抓拍。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10、支持禁左、禁右、禁止掉头检测抓拍功能，白天捕获率≥99%，晚上捕获率≥99%；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11、支持违章变道抓拍功能，白天准确率≥99%，晚上准确率≥99%。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13、包含高清一体化嵌入式摄像机、高清镜头、室外防护罩、相机内置网络信号防雷器、电源适配器、万向支架等。</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频闪灯1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1、光源类型：16颗LED灯。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2、发光角度：10°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3、覆盖范围：单车道。</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4、补光范围：16米～25米。</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5、触发方式：4V～6V电平量触发，可选配开关量触发。</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6、与500万电警1同一品牌。</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★7、符合GA/T1202-2022《交通技术监控成像补光装置通用技术条件》要求，提供检验报告证明。</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频闪灯2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1、照射距离：照射距离不小于20米。</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2、支持频闪级联功能。</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3、色温范围3000k~5500k。</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4、频闪频率：20、25、30、50、60、75、90、100、120Hz9档可选。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5、频闪信号输出至LED灯板响应的时间≤45us。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6、可根据环境亮度自动点亮或者熄灭补光灯，环境亮度阈值10档可调。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7、支持补光灯亮度等级1~255级可调。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8、与500万电警2同一品牌。</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★9、符合GA/T1202-2022《交通技术监控成像补光装置通用技术条件》要求，提供检验报告证明。</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900万环保卡口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1、最大图像尺寸：4096×2160像素。</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2、镜头焦距：50mm。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3、视频压缩支持H.265、H.264、MJPEG。</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4、抓拍支持输出三张同时刻目标图片，三张图片抓拍时间为同一时刻，抓拍运动目标，三张图片中目标位置相同无位移。</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车辆捕获抓拍功能，白天测试时的环境光照度不低于200lx，晚上测试时辅助照明光照度不高于30lx。车辆捕获可由线圈（设备配合线圈检测器使用）、雷达（设备配合雷达使用）激光（设备配合激光检测器使用）、视频触发抓拍，抓拍张数可配置。</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6、支持车牌识别功能，在白天环境光照度不低于200lx，晚上辅助照度不高于30lx的条件下测试，白天和晚上的识别率均≥99%。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7、支持主/副驾驶人脸检出和抓拍功能。</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▲8、设备抓拍车牌、车身颜色、车内前排人脸及衣着均清晰可见。（提供具有CMA认证的检验报告）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9、支持识别车标类型≥450种；在天气晴朗无雾，车辆无遮挡，白天环境光照度不低于200lx，夜晚辅助光照度不高于30lx的情况下进行测试；白天车标识别准确率≥99%；晚上车标识别准确率≥99%。</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10、支持GB35114A级安全加密。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11、承诺中标后设备可接入公安现有的视频综合平台。</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12、包含高清一体化嵌入式摄像机、高清镜头、电源适配器、万向支架等。</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环保一体灯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1、采用24颗优质高亮度LED芯片。</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2、支持LED灯频闪、LED爆闪、白光气体爆闪，红外气体爆闪。</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3、气体光源回电时间小于67ms，支持超速连拍。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4、搭配环保卡口使用，与900万环保卡口相机同一品牌。</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5、符合GA/T1202-2022《交通技术监控成像补光装置通用技术条件》要求，提供检验报告证明。</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气体爆闪灯1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1、灯型：氙气灯，补光装置宜采用LED光源或气体放电光源，也可采用其他光源。</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2、光源：可见光（波长350-780nm）。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3、色温：5800K±200K。</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4、中心光照度：≤4000Lx。</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5、触发方式：开关量。</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6、光斑覆盖范围：1车道。</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7、补光距离：16m～26m。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8、回电时间：＜60ms。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9、闪光持续时间：180μs～500μs。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10、闪光灯寿命：≥1000万次。</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11、远程故障显示：支持远程显示补光灯故障、正常状态。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12、防眩目处理：支持。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13、功耗：＜65J。</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14、可适配现有海康卡口设备。</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气体爆闪灯2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1、灯型：氙气灯，补光装置宜采用LED光源或气体放电光源，也可采用其他光源。</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2、光源：可见光（波长350-780nm）。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3、色温：5800K±200K。</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4、中心光照度：≤4000Lx。</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5、触发方式：开关量。</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6、光斑覆盖范围：1车道。</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7、补光距离：16m～26m。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8、回电时间：＜60ms。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9、闪光持续时间：180μs～500μs。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10、闪光灯寿命：≥1000万次。</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11、远程故障显示：支持远程显示补光灯故障、正常状态。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12、防眩目处理：支持。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13、功耗：＜65J。</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14、可适配现有大华卡口设备。</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400万半球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1、传感器类型：1/2.7英寸CMOS；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2、像素：400万；</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3、最大分辨率：2688×1520；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4、最低照度：0.002lux（彩色模式）；0.0002lux（黑白模式）；0lux（补光灯开启）；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5、最大补光距离：50m（红外）；20m（暖光）；2m（人脸检测距离）；</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6、补光灯：2颗（红外灯）；1颗（暖光灯）；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7、镜头焦距：6mm；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8、视场角：水平：51°；垂直：28°；对角：60°；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9、人脸检测：支持人脸检测</w:t>
            </w:r>
            <w:r>
              <w:rPr>
                <w:rFonts w:hint="eastAsia" w:ascii="宋体" w:hAnsi="宋体" w:cs="宋体"/>
                <w:color w:val="000000" w:themeColor="text1"/>
                <w:highlight w:val="none"/>
                <w:lang w:bidi="ar"/>
              </w:rPr>
              <w:br w:type="textWrapping" w:clear="all"/>
            </w:r>
            <w:r>
              <w:rPr>
                <w:rFonts w:ascii="宋体" w:hAnsi="宋体" w:cs="宋体"/>
                <w:color w:val="000000" w:themeColor="text1"/>
                <w:highlight w:val="none"/>
                <w:lang w:bidi="ar"/>
              </w:rPr>
              <w:t xml:space="preserve">10</w:t>
            </w:r>
            <w:r>
              <w:rPr>
                <w:rFonts w:hint="eastAsia" w:ascii="宋体" w:hAnsi="宋体" w:cs="宋体"/>
                <w:color w:val="000000" w:themeColor="text1"/>
                <w:highlight w:val="none"/>
                <w:lang w:bidi="ar"/>
              </w:rPr>
              <w:t xml:space="preserve">、AI编码：H.264或H.265：</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w:t>
            </w:r>
            <w:r>
              <w:rPr>
                <w:rFonts w:ascii="宋体" w:hAnsi="宋体" w:cs="宋体"/>
                <w:color w:val="000000" w:themeColor="text1"/>
                <w:highlight w:val="none"/>
                <w:lang w:bidi="ar"/>
              </w:rPr>
              <w:t xml:space="preserve">1</w:t>
            </w:r>
            <w:r>
              <w:rPr>
                <w:rFonts w:hint="eastAsia" w:ascii="宋体" w:hAnsi="宋体" w:cs="宋体"/>
                <w:color w:val="000000" w:themeColor="text1"/>
                <w:highlight w:val="none"/>
                <w:lang w:bidi="ar"/>
              </w:rPr>
              <w:t xml:space="preserve">、供电方式：DC12V（±30%）；PoE+（802.3at）；</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w:t>
            </w:r>
            <w:r>
              <w:rPr>
                <w:rFonts w:ascii="宋体" w:hAnsi="宋体" w:cs="宋体"/>
                <w:color w:val="000000" w:themeColor="text1"/>
                <w:highlight w:val="none"/>
                <w:lang w:bidi="ar"/>
              </w:rPr>
              <w:t xml:space="preserve">2</w:t>
            </w:r>
            <w:r>
              <w:rPr>
                <w:rFonts w:hint="eastAsia" w:ascii="宋体" w:hAnsi="宋体" w:cs="宋体"/>
                <w:color w:val="000000" w:themeColor="text1"/>
                <w:highlight w:val="none"/>
                <w:lang w:bidi="ar"/>
              </w:rPr>
              <w:t xml:space="preserve">、防护等级：IP67；IK10；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w:t>
            </w:r>
            <w:r>
              <w:rPr>
                <w:rFonts w:ascii="宋体" w:hAnsi="宋体" w:cs="宋体"/>
                <w:color w:val="000000" w:themeColor="text1"/>
                <w:highlight w:val="none"/>
                <w:lang w:bidi="ar"/>
              </w:rPr>
              <w:t xml:space="preserve">3</w:t>
            </w:r>
            <w:r>
              <w:rPr>
                <w:rFonts w:hint="eastAsia" w:ascii="宋体" w:hAnsi="宋体" w:cs="宋体"/>
                <w:color w:val="000000" w:themeColor="text1"/>
                <w:highlight w:val="none"/>
                <w:lang w:bidi="ar"/>
              </w:rPr>
              <w:t xml:space="preserve">、可接入分局现有监控平台。</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高性能窄波平板雷达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1、单车道测速雷达，频率24G。</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2、测速距离：单车道18～28m（可调整）。</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3、测速范围：10km/h～250km/h。</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4、支持RS485协议。</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5、工作电压：9-12VDC（含电源）。</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6、可与现有的测速设备匹配。</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8T企业级存储硬盘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1、容量8TB。</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2、接口类型SATA，3.5英寸。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3、接口速率6Gb/s。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4、转速7200转/分。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5、缓存256MB。</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6、支持5年有限质保服务</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12T企业级存储硬盘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ascii="宋体" w:hAnsi="宋体" w:cs="宋体"/>
                <w:color w:val="000000" w:themeColor="text1"/>
                <w:highlight w:val="none"/>
                <w:lang w:bidi="ar"/>
              </w:rPr>
              <w:t xml:space="preserve">1</w:t>
            </w:r>
            <w:r>
              <w:rPr>
                <w:rFonts w:hint="eastAsia" w:ascii="宋体" w:hAnsi="宋体" w:cs="宋体"/>
                <w:color w:val="000000" w:themeColor="text1"/>
                <w:highlight w:val="none"/>
                <w:lang w:bidi="ar"/>
              </w:rPr>
              <w:t xml:space="preserve">、12TB容量，3.5英寸，SATA3.0接口，7200RPM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2、空气盘，CMR传统磁记录</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3、传输速率267MB/s，256MB高速缓存，流畅存储视频有效防止丢帧</w:t>
            </w:r>
            <w:r>
              <w:rPr>
                <w:rFonts w:hint="eastAsia" w:ascii="宋体" w:hAnsi="宋体" w:cs="宋体"/>
                <w:color w:val="000000" w:themeColor="text1"/>
                <w:highlight w:val="none"/>
                <w:lang w:bidi="ar"/>
              </w:rPr>
              <w:br w:type="textWrapping" w:clear="all"/>
            </w:r>
            <w:r>
              <w:rPr>
                <w:rFonts w:ascii="宋体" w:hAnsi="宋体" w:cs="宋体"/>
                <w:color w:val="000000" w:themeColor="text1"/>
                <w:highlight w:val="none"/>
                <w:lang w:bidi="ar"/>
              </w:rPr>
              <w:t xml:space="preserve">4</w:t>
            </w:r>
            <w:r>
              <w:rPr>
                <w:rFonts w:hint="eastAsia" w:ascii="宋体" w:hAnsi="宋体" w:cs="宋体"/>
                <w:color w:val="000000" w:themeColor="text1"/>
                <w:highlight w:val="none"/>
                <w:lang w:bidi="ar"/>
              </w:rPr>
              <w:t xml:space="preserve">、MTBF可达2,000,000小时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5、支持5年有限质保服务</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6T企业级存储硬盘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1、容量6TB。</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2、接口类型SATA，3.5英寸。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3、接口速率6Gb/s。</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4、转速7200转/分。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5、缓存256MB。</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6、支持5年有限质保服务</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万兆光模块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1、工业级。</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2、10KM单模单纤。</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3、LC万兆光模块。</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4、可适配主流交换机。</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60公里千兆光模块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1、工业级。</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2、60KM单模单纤。</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3、LC万千光模块。</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4、可适配主流交换机。</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路口接入交换机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1、工业级千兆交换机。</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2、2光8电以上。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3、2个千兆SFP插槽，含1对LC千兆单纤单模光模块。</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4、光模块可适配主流交换机。</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路口汇聚交换机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1、工业级千兆交换机。</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2、6光8电以上。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3、8个以上千兆SFP插槽。</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4、带4对LC千兆单纤单模光模块。</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5、光模块可适配主流交换机。</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32口交换机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1、交换容量≥2.4Tbps，包转发率≥670Mpps，提供官网链接及截图证明（以官网最小值为准）；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2、千兆电口≥24个，10/25GE光口≥8个，提供官网链接及截图证明；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3、CPU（处理器）、转发芯片均为国产自研芯片，提供具有CMA认证的第三方测试报告截图证明；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4、支持4K个VLAN，支持VoiceVLAN，基于端口的VLAN，基于MAC的VLAN，基于协议的VLAN；</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5、支持静态协议、RIP、RIPng、OSPF、OSPFv3路由协议；</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6、MAC表项≥330000，ARP表项≥16K，IPv4FIB表项≥256K，IPv6FIB表项≥128K，提供具有CMA认证的第三方测试报告截图证明；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7、支持ID指示灯：用于现场定位，运维人员远程管理ID灯开启和关闭，提供官网链接及截图证明；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8、设备支持复位按钮和清配置按钮（PNP），恢复出厂配置并复位设备，提供官网链接及截图证明；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9、实配：主机及可插拔双电源；</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40口交换机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1、交换容量≥2.4Tbps，包转发率≥670Mpps，提供官网链接及截图证明（以官网最小值为准）；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2、千兆电口≥24个，1/2.5GE光口≥8个，10/25GE光口≥8个，支持2个扩展插槽，提供官网链接及截图证明；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3、CPU（处理器）、转发芯片均为国产自研芯片，提供具有CMA认证的第三方测试报告截图证明；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4、支持4K个VLAN，支持Voice VLAN，基于端口的VLAN，基于MAC的VLAN，基于协议的VLAN；</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5、支持静态协议、RIP、RIPng、OSPF、OSPFv3路由协议；</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6、MAC表项≥330000，ARP表项≥16K，IPv4 FIB表项≥256K，IPv6 FIB表项≥128K，提供具有CMA认证的第三方测试报告截图证明；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7、支持ID指示灯：用于现场定位，运维人员远程管理ID灯开启和关闭，提供官网链接及截图证明；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8、设备支持复位按钮和清配置按钮（PNP），恢复出厂配置并复位设备，提供官网链接及截图证明；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9、实配：主机及可插拔双电源；</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车行满屏信号灯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1、面罩规格：φ400mm。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2、面罩材质：玻璃。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3、外壳材质：铝压铸。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4、表面处理：黑色喷塑哑光。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5、工作温度：-40℃~+80°C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7、可视距离：＞450m。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8、可视角度：＞30°。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9、满屏信号灯，竖装，包含灯具、帽檐、装饰边、背杆支架。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10、符合GB14887-2011道路交通信号灯。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11、设备前维护。</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12、承诺中标后可接入现有信号机。</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车行箭头信号灯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1、箭头灯信号灯，竖装，包含灯具、帽檐、装饰边、背杆支架。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2、面罩规格：φ400mm。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3、面罩材质：玻璃。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4、外壳材质：铝压铸。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5、表面处理：黑色喷塑哑光。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7、工作温度：-40℃~+80°C。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8、可视距离：＞450m。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9、可视角度：＞30°。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10、设备前维护。</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11、承诺中标后可接入现有信号机。</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12、符合GB14887-2011道路交通信号灯。</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圆盘车行信号灯灯盘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2、可视距离：&gt;450m；可视角度：&gt;30°。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3、规格：φ400mm。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4、孔距：307.7mm。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5、承诺中标后可替换现有灯盘。投标时仅报国优。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箭头车行信号灯灯盘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2、可视距离：&gt;450m；可视角度：&gt;30°。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3、规格：φ400mm。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4、孔距：307.7mm。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5、承诺中标后可替换现有灯盘。投标时仅报国优。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人行信号灯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1、面罩规格：φ300mm。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2、面罩材质：玻璃。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3、外壳材质：铝压铸。</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4、表面处理：黑色喷塑哑光。</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5、LED数量：红60，绿56。</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6、LED波长：红：625nm；绿：505nm。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7、LED直径：φ5mm。</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人行信号灯红灯盘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2、规格：适配现有行人灯组</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3、LED数量：红60或绿56。</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4、LED直径：φ5mm。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4、承诺中标后可替换现有灯盘（包含红、绿灯盘，根据故障情况选择）。投标时仅报国优。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人行信号灯绿灯盘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2、规格：适配现有行人灯组</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3、LED数量：绿56。</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4、LED直径：φ5mm。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4、承诺中标后可替换现有灯盘（动态绿人）。投标时仅报国优。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520型倒计时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1、数字尺寸：大于500×260mm。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2、计时方式：跟随/触发/RS485通信。</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3、显示数值：红99~1；绿99~1；黄9~1。</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4、面罩材质：PC。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5、外壳材质：铝、黑色喷塑。</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7、中心亮度：红≥5000cd/m2；黄≥5000cd/m2；绿≥8000cd/m2。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8、可视距离：＞500m。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9、可视角度：＞30°。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10、工作温度：-40℃℃~+80℃C。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11、包含：灯具、帽檐、装饰边、横连杆抱箍。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12、符合GB14887-2011、GA/T508-2014，前维护。</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780型倒计时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1、数字尺寸：大于780×2440mm。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2、计时方式：跟随/触发/RS485通信。</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3、显示数值：红99~1；绿99~1；黄9~1。</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4、面罩材质：PC。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5、外壳材质：铝、黑色喷塑。</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6、LED寿命：≥70000小时。</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7、中心亮度：红≥5000cd/m2；黄≥5000cd/m2；绿≥8000cd/m2。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8、可视距离：＞500m。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9、可视角度：＞30°。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10、工作温度：-40℃℃~+80℃C。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11、包含：灯具、帽檐、装饰边、横连杆抱箍。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12、符合GB14887-2011、GA/T508-2014，前维护。</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倒计时灯条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适配现有倒计时。投标时仅报国优。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倒计时主板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适配现有倒计时。投标时仅报国优。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倒计时电源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适配现有倒计时。投标时仅报国优。</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3公里工业级网桥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1、网络接口类型：2个RJ45,10/100Mbps自适应。</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2、无线传输距离：3km。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3、支持20路2MPIPC或10路4MPIPC或6路6MPIPC。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4、水平天线角度：35°±5°。</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5、垂直天线角度：15°±5°。</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6、工作温度：-30℃~70℃。</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国标RVV3*6电源线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1、产品名称：铜芯聚氯乙烯绝缘聚氯乙烯护套软电线电缆。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2、额定电压：300V/500V。</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3、导体：多股铜导体，符合GB/T3956第5类（等同于IEC60228.5）。</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4、绝缘：聚氯乙烯混合料（PVC）；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5、护套：防水柔性聚氯乙烯混合料（PVC）。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6、测试电压：2000V，5min。绝缘电阻：&gt;200M欧姆×KM。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7、使用温度：-30~+70℃。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8、符合GB/T5023.5-2008;JB/T8734.3-2016；通过国家CCC强制认证。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国标RVV3*4电源线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1、产品名称：铜芯聚氯乙烯绝缘聚氯乙烯护套软电线电缆。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2、额定电压：300V/500V。</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3、导体：多股铜导体，符合GB/T3956第5类（等同于IEC60228.5）。</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4、绝缘：聚氯乙烯混合料（PVC）；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5、护套：防水柔性聚氯乙烯混合料（PVC）。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6、测试电压：2000V，5min。绝缘电阻：&gt;200M欧姆×KM。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7、使用温度：-30~+70℃。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8、符合GB/T5023.5-2008;JB/T8734.3-2016；通过国家CCC强制认证。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国标RVV3*2.5电源线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1、产品名称：铜芯聚氯乙烯绝缘聚氯乙烯护套软电线电缆。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2、额定电压：300V/500V。</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3、导体：多股铜导体，符合GB/T3956第5类（等同于IEC60228.5）。</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4、绝缘：聚氯乙烯混合料（PVC）；护套：防水柔性聚氯乙烯混合料（PVC）。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5、芯线标识：≤5芯，彩色芯线；黑色芯线白色数字编号，黄绿地线。</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6、芯线数：2—5芯，7—36芯。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7、截面积：0.75—2.5mm&amp;sup2；0.5、2.5—35mm&amp;sup2。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8、测试电压：2000V，5min。绝缘电阻：&gt;200M欧姆×KM。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9、使用温度：-30~+70℃。</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10、弯曲半径：15×电缆外径。</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11、符合GB/T5023.5-2008;JB/T8734.3-2016；通过国家CCC强制认证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线缆RVVSP2*1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1、2芯RVV</w:t>
            </w:r>
            <w:r>
              <w:rPr>
                <w:rFonts w:hint="eastAsia" w:ascii="宋体" w:hAnsi="宋体" w:cs="宋体"/>
                <w:color w:val="000000" w:themeColor="text1"/>
                <w:highlight w:val="none"/>
                <w:lang w:val="en-US" w:eastAsia="zh-CN" w:bidi="ar"/>
              </w:rPr>
              <w:t xml:space="preserve">SP</w:t>
            </w:r>
            <w:r>
              <w:rPr>
                <w:rFonts w:hint="eastAsia" w:ascii="宋体" w:hAnsi="宋体" w:cs="宋体"/>
                <w:color w:val="000000" w:themeColor="text1"/>
                <w:highlight w:val="none"/>
                <w:lang w:bidi="ar"/>
              </w:rPr>
              <w:t xml:space="preserve">电源线（1mm2）。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2、无氧铜线芯。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3、环保绝缘、护被。</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4、线芯绝缘颜色鲜艳。</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5、符合RoHS2.0环保认证。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6、符合GB/T5023.5-2008;JB/T8734.3-2016；通过国家CCC强制认证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信号灯线缆RVV4*1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1、4芯RVV电源线（1mm2）。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2、无氧铜线芯。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3、环保绝缘、护被。</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4、线芯绝缘颜色鲜艳。</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5、符合RoHS2.0环保认证。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6、符合GB/T5023.5-2008;JB/T8734.3-2016；通过国家CCC强制认证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信号灯线缆RVV8*1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1、8芯RVV电源线（1mm2）。</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2、无氧铜线芯。</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3、环保绝缘、护被。</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4、线芯绝缘颜色鲜艳。</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5、符合RoHS2.0环保认证。</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6、符合GB/T5023.5-2008;JB/T8734.3-2016；通过国家CCC强制认证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智能终端服务器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1、具有不少于16个10M/100M/1000M自适应RJ45接口。</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2、可接入H.265、H.264、MPEG4、MJPEG、Smart265、Smart264、SVAC视频编码格式的IPC。</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3、具有记录、回放、报警联动、图像检索、权限管理、视频水印、日志功能、支持叠加图像标识信息和时间，支持图像多画面显示。</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4、支持将1张、2张、3张、4张、5张、6张图片合成，支持选择图片形状，修改顺序，支持原始图片去黑边。（提供具有CMA认证的检验报告）</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5、含4T硬盘。</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6、承诺中标后可接入公安现有平台。</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云存储设备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1、单设备应配置不低于两颗64位多核CPU（中国信息安全测评中心的安全可靠测评结果公告目录），内存≥32GB，系统盘≥1×960GB SSD。</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2、单设备应标配不低于6个千兆网口，可增扩≥2个万兆口。</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3、应支持FCSAN、IPSAN、NAS存储功能。</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4、具有48块硬盘热插拔插槽；支持硬盘热插拔设备在读写数据时，热插拔设备内的任意块硬盘，设备正常运行不宕机，硬盘不损坏，数据不丢失，业务不中断。</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5、能对视音频、图片智能分析录像的混合直存，无需存储服务器和图片服务器参与。</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6、支持ONVIF、GB/T 28181、RTSP等标准协议。</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7、接入路数不少于450路2Mbps视频图像。</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8、设备内配置48块16T企业级硬盘。</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9、每台包含云存储软件授权扩容：1台云存储设备接入管理和768TB存储虚拟化服务。</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10、承诺中标后可接入六合公安原有云存储系统。</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35114加密盒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1、网络接口：2个10M/100M/1000Mbps自适应网口。</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2、支持接驳符合GB/T28181协议、ONVIF、RTSP协议的高清IPC并对视频进行35114C级加密。</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3、支持8路200万或4路400万或2路800万分辨率的H.264/H.265格式码流转码成SVAC2.0格式。</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电警标志牌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1、版面尺寸：600*800*2mm。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2、反光膜等级：高强级。</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3、材质：1100铝质板材。</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4、内容标识：违法抓拍。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5、符合道路交通标志和标线（GB-5768-2022）</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维护井井盖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1、井圈四周内置4根直径6mm钢筋，2、上沿宽：50mm，厚：100mm。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2、井圈外框尺寸：500mm*500mm*100mm。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3、井盖横纵各内置4根直径6mm钢筋，厚：45mm，井盖四周采用50mm*4mm厚热镀锌钢板包裹，井盖外框尺寸：400mm*400mm*50mm。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4、井圈、井盖混凝土采用C30商品混凝土。</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维护井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1、维护井盖50cm*50cm。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2、维护井内径40*40cm。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3、深60cm。</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4、管道离上边沿约45cm，井壁用砂浆抹面，井底用砖铺设。</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5、含井盖、井圈。</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落地机箱（含基础）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1、外形尺寸：W600*H1480*D420，1.2mm不锈钢钢板材质，静电喷塑。</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2、机箱内结构：内分四层，最上层为强电层。</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3、强电层配备：总路32A/2P空开1个、分路16A/1P+N漏电开关4个、五孔插座模块3个、40KA/2P浪涌1只、门控开关及内置LED照明单元。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4、含基础。</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抱杆机箱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1、外尺寸：W500*H600*D250mm，1.2mm201不锈钢静电喷塑。</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2、机箱内配备：配备25A2P空开、5A1P空开3个、40KA/2P浪涌1只、14位接线端子、24v供电电源模块、五孔插座模块、温控模块及风扇组件、门控开关及内置LED照明单元。</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3、含换箱后所需的熔纤费等杂费。</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杆件迁移（含基础）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1、杆件利旧，六合辖区内现状杆件拆除迁移至新建点位。</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2、基础规格不小于本设计方案中横臂6m杆件基础规格：1.2m*1.0m*1.0mC25混凝土；底层C25混凝土碎石垫层。</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3、满足安全需要。</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光缆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1、产品类型：中心束管式 铠装。</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2、纤芯类型：单模OS2标准B1.3（9/125μm），芯数：6芯。</w:t>
            </w:r>
            <w:r>
              <w:rPr>
                <w:color w:val="000000" w:themeColor="text1"/>
                <w:highlight w:val="none"/>
              </w:rPr>
            </w:r>
            <w:r/>
          </w:p>
          <w:p>
            <w:pPr>
              <w:pStyle w:val="919"/>
              <w:jc w:val="left"/>
              <w:keepNext/>
              <w:widowControl/>
              <w:rPr>
                <w:rFonts w:hint="eastAsia" w:ascii="宋体" w:hAnsi="宋体" w:eastAsia="宋体" w:cs="宋体"/>
                <w:color w:val="000000" w:themeColor="text1"/>
                <w:highlight w:val="none"/>
              </w:rPr>
            </w:pPr>
            <w:r>
              <w:rPr>
                <w:rFonts w:hint="eastAsia" w:ascii="宋体" w:hAnsi="宋体" w:cs="宋体"/>
                <w:color w:val="000000" w:themeColor="text1"/>
                <w:highlight w:val="none"/>
                <w:lang w:bidi="ar"/>
              </w:rPr>
              <w:t xml:space="preserve">3、金属加强构件、中心束管结构</w:t>
            </w:r>
            <w:r>
              <w:rPr>
                <w:rFonts w:hint="eastAsia" w:ascii="宋体" w:hAnsi="宋体" w:cs="宋体"/>
                <w:color w:val="000000" w:themeColor="text1"/>
                <w:highlight w:val="none"/>
                <w:lang w:eastAsia="zh-CN" w:bidi="ar"/>
              </w:rPr>
              <w:t xml:space="preserve">。</w:t>
            </w:r>
            <w:r>
              <w:rPr>
                <w:color w:val="000000" w:themeColor="text1"/>
                <w:highlight w:val="none"/>
              </w:rPr>
            </w:r>
            <w:r/>
          </w:p>
          <w:p>
            <w:pPr>
              <w:pStyle w:val="919"/>
              <w:jc w:val="left"/>
              <w:keepNext/>
              <w:widowControl/>
              <w:rPr>
                <w:rFonts w:hint="eastAsia" w:ascii="宋体" w:hAnsi="宋体" w:eastAsia="宋体" w:cs="宋体"/>
                <w:color w:val="000000" w:themeColor="text1"/>
                <w:highlight w:val="none"/>
              </w:rPr>
            </w:pPr>
            <w:r>
              <w:rPr>
                <w:rFonts w:hint="eastAsia" w:ascii="宋体" w:hAnsi="宋体" w:cs="宋体"/>
                <w:color w:val="000000" w:themeColor="text1"/>
                <w:highlight w:val="none"/>
                <w:lang w:bidi="ar"/>
              </w:rPr>
              <w:t xml:space="preserve">4、两根平行圆钢丝加强光缆抗拉强度，使其具有更加优越的机械性能</w:t>
            </w:r>
            <w:r>
              <w:rPr>
                <w:rFonts w:hint="eastAsia" w:ascii="宋体" w:hAnsi="宋体" w:cs="宋体"/>
                <w:color w:val="000000" w:themeColor="text1"/>
                <w:highlight w:val="none"/>
                <w:lang w:eastAsia="zh-CN" w:bidi="ar"/>
              </w:rPr>
              <w:t xml:space="preserve">。</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4、PE外护套具有良好的抗紫外辐射及防水性能 </w:t>
            </w:r>
            <w:r>
              <w:rPr>
                <w:rFonts w:hint="eastAsia" w:ascii="宋体" w:hAnsi="宋体" w:cs="宋体"/>
                <w:color w:val="000000" w:themeColor="text1"/>
                <w:highlight w:val="none"/>
                <w:lang w:eastAsia="zh-CN" w:bidi="ar"/>
              </w:rPr>
              <w:t xml:space="preserve">。</w:t>
            </w:r>
            <w:r>
              <w:rPr>
                <w:rFonts w:hint="eastAsia" w:ascii="宋体" w:hAnsi="宋体" w:cs="宋体"/>
                <w:color w:val="000000" w:themeColor="text1"/>
                <w:highlight w:val="none"/>
                <w:lang w:bidi="ar"/>
              </w:rPr>
              <w:t xml:space="preserve">     </w:t>
            </w:r>
            <w:r>
              <w:rPr>
                <w:color w:val="000000" w:themeColor="text1"/>
                <w:highlight w:val="none"/>
              </w:rPr>
            </w:r>
            <w:r/>
          </w:p>
          <w:p>
            <w:pPr>
              <w:pStyle w:val="919"/>
              <w:jc w:val="left"/>
              <w:keepNext/>
              <w:widowControl/>
              <w:rPr>
                <w:rFonts w:hint="eastAsia" w:ascii="宋体" w:hAnsi="宋体" w:eastAsia="宋体" w:cs="宋体"/>
                <w:color w:val="000000" w:themeColor="text1"/>
                <w:highlight w:val="none"/>
              </w:rPr>
            </w:pPr>
            <w:r>
              <w:rPr>
                <w:rFonts w:hint="eastAsia" w:ascii="宋体" w:hAnsi="宋体" w:cs="宋体"/>
                <w:color w:val="000000" w:themeColor="text1"/>
                <w:highlight w:val="none"/>
                <w:lang w:bidi="ar"/>
              </w:rPr>
              <w:t xml:space="preserve">5、松套管内填充特种油膏，对光纤进行关键性保护</w:t>
            </w:r>
            <w:r>
              <w:rPr>
                <w:rFonts w:hint="eastAsia" w:ascii="宋体" w:hAnsi="宋体" w:cs="宋体"/>
                <w:color w:val="000000" w:themeColor="text1"/>
                <w:highlight w:val="none"/>
                <w:lang w:eastAsia="zh-CN" w:bidi="ar"/>
              </w:rPr>
              <w:t xml:space="preserve">。</w:t>
            </w:r>
            <w:r>
              <w:rPr>
                <w:color w:val="000000" w:themeColor="text1"/>
                <w:highlight w:val="none"/>
              </w:rPr>
            </w:r>
            <w:r/>
          </w:p>
          <w:p>
            <w:pPr>
              <w:pStyle w:val="919"/>
              <w:jc w:val="left"/>
              <w:keepNext/>
              <w:widowControl/>
              <w:rPr>
                <w:rFonts w:hint="eastAsia" w:ascii="宋体" w:hAnsi="宋体" w:eastAsia="宋体" w:cs="宋体"/>
                <w:color w:val="000000" w:themeColor="text1"/>
                <w:highlight w:val="none"/>
              </w:rPr>
            </w:pPr>
            <w:r>
              <w:rPr>
                <w:rFonts w:hint="eastAsia" w:ascii="宋体" w:hAnsi="宋体" w:cs="宋体"/>
                <w:color w:val="000000" w:themeColor="text1"/>
                <w:highlight w:val="none"/>
                <w:lang w:bidi="ar"/>
              </w:rPr>
              <w:t xml:space="preserve">6、磷化钢丝中心加强构件模量高、耐腐蚀</w:t>
            </w:r>
            <w:r>
              <w:rPr>
                <w:rFonts w:hint="eastAsia" w:ascii="宋体" w:hAnsi="宋体" w:cs="宋体"/>
                <w:color w:val="000000" w:themeColor="text1"/>
                <w:highlight w:val="none"/>
                <w:lang w:eastAsia="zh-CN" w:bidi="ar"/>
              </w:rPr>
              <w:t xml:space="preserve">。</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7、8.0mm光缆外径小、重量轻、结构紧凑严密，弯曲性能优异，适宜施工操作 保证光缆在恶劣的环境下光纤不受到压力。</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8、产品使用寿命30年以上。</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9、敷设方式：架空、管道。</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10、工作温度：-40°至70°。</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11、弯曲半径：静态10倍缆径/动态20倍缆径。</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PE50穿线管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1、耐化学性：不被污水、废水及化学药品腐蚀，不因土壤中腐烂物质而腐蚀。</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2、抗冲击：管材壁采用“工字型”结构，耐冲击、耐压，地基下沉情况下也不破裂，而且变形后复原性强，对任何地基都有很好的适应性。</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3、耐老化：管材通常为黑色，可承受存放和施工过程中太阳的直晒。</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4、耐寒性：PE管材在-60℃环境中不会被冻裂。</w:t>
            </w:r>
            <w:r>
              <w:rPr>
                <w:rFonts w:hint="eastAsia" w:ascii="宋体" w:hAnsi="宋体" w:cs="宋体"/>
                <w:color w:val="000000" w:themeColor="text1"/>
                <w:highlight w:val="none"/>
                <w:lang w:bidi="ar"/>
              </w:rPr>
              <w:br w:type="textWrapping" w:clear="all"/>
            </w:r>
            <w:r>
              <w:rPr>
                <w:rFonts w:hint="eastAsia" w:ascii="宋体" w:hAnsi="宋体" w:cs="宋体"/>
                <w:color w:val="000000" w:themeColor="text1"/>
                <w:highlight w:val="none"/>
                <w:lang w:bidi="ar"/>
              </w:rPr>
              <w:t xml:space="preserve">5、公称外径：DN50mm，公称壁厚：EN3mm。</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信号灯检测器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1、参数配置：支持不少于16路相机参数和通道参数；</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2、状态检测：支持相机及红/绿灯状态检测；</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3、检测模式切换：支持红/绿灯检测模式切换；</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4、输入异常检测：支持红/绿灯输入信号异常检测；</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5、校时功能：支持NTP校时和同步PC；</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6、网络状态监测：支持；</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7、日志记录：支持日志记录；</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8、升级功能：支持网络升级；</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9、信号输入：不少于16路，AC220V红/绿灯信号；</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10、RS-485接口：不少于1个；</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11、网络接口：1个RJ-45以太网口；</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12、工作温度：-40℃～+65℃；</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13、工作湿度：10%～95%RH；</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多业务光端机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1、使用硬件完全物理隔离，各通道带宽互不抢占，每个网口线速转发，无交换芯片共享带宽；（提供CNAS检测报告）</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2、光纤数量：单模单纤；</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3、通信距离：20-60KM；</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4、光接口类型：LC光口；</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5、外形尺寸：1U机架式；</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6、速率：支持10/100/1000M自适应；</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7、电源配置：支持双电源冗余供电，支持AC220V/DC‑48V双输入模式，单电源故障设备业务不中断，需提供产品手册；</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8、设备支持SNMP网络管理，具备光功率监测、端口链路告警、整机故障继电器告警输出功能，可实时监测光模块收发功率；</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9、光接口支持硬件级光口1+1热备份保护功能，设备具备主、备两路独立LC光接口，主用光链路发生光衰过大、光纤断裂、模块故障等异常工况时，可实现无人工干预自动链路倒换，倒换时间≤50ms；倒换过程不影响8路物理隔离以太网业务数据传输，业务报文无丢包、无乱序；</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10、系统误码率：小于等于10E-9</w:t>
            </w:r>
            <w:r>
              <w:rPr>
                <w:color w:val="000000" w:themeColor="text1"/>
                <w:highlight w:val="none"/>
              </w:rPr>
            </w:r>
            <w:r/>
          </w:p>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11、工作温度：-30°-70°</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交通标线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919"/>
              <w:jc w:val="center"/>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平方米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919"/>
              <w:jc w:val="left"/>
              <w:keepNext/>
              <w:widowControl/>
              <w:rPr>
                <w:rFonts w:hint="eastAsia" w:ascii="宋体" w:hAnsi="宋体" w:cs="宋体"/>
                <w:color w:val="000000" w:themeColor="text1"/>
                <w:highlight w:val="none"/>
              </w:rPr>
            </w:pPr>
            <w:r>
              <w:rPr>
                <w:rFonts w:hint="eastAsia" w:ascii="宋体" w:hAnsi="宋体" w:cs="宋体"/>
                <w:color w:val="000000" w:themeColor="text1"/>
                <w:highlight w:val="none"/>
                <w:lang w:bidi="ar"/>
              </w:rPr>
              <w:t xml:space="preserve">斑马线、停止线、导向箭头等，涂层厚度：≥2.0mm；线型：白色实线，线宽0.3m；施划地面热熔交通标线。</w:t>
            </w:r>
            <w:r>
              <w:rPr>
                <w:color w:val="000000" w:themeColor="text1"/>
                <w:highlight w:val="none"/>
              </w:rPr>
            </w:r>
            <w:r/>
          </w:p>
        </w:tc>
      </w:tr>
    </w:tbl>
    <w:p>
      <w:pPr>
        <w:pStyle w:val="919"/>
        <w:ind w:firstLine="480"/>
        <w:spacing w:line="252" w:lineRule="auto"/>
        <w:rPr>
          <w:rFonts w:hint="eastAsia" w:ascii="宋体" w:hAnsi="宋体" w:cs="宋体"/>
          <w:bCs/>
          <w:color w:val="000000" w:themeColor="text1"/>
          <w:sz w:val="24"/>
          <w:szCs w:val="24"/>
          <w:highlight w:val="none"/>
        </w:rPr>
        <w:outlineLvl w:val="2"/>
      </w:pPr>
      <w:r>
        <w:rPr>
          <w:rFonts w:hint="eastAsia" w:ascii="宋体" w:hAnsi="宋体" w:cs="宋体"/>
          <w:bCs/>
          <w:color w:val="000000" w:themeColor="text1"/>
          <w:sz w:val="24"/>
          <w:szCs w:val="24"/>
          <w:highlight w:val="none"/>
        </w:rPr>
        <w:t xml:space="preserve">（一）技术要求</w:t>
      </w:r>
      <w:r>
        <w:rPr>
          <w:color w:val="000000" w:themeColor="text1"/>
          <w:highlight w:val="none"/>
        </w:rPr>
      </w:r>
      <w:r/>
    </w:p>
    <w:p>
      <w:pPr>
        <w:pStyle w:val="931"/>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919"/>
        <w:ind w:firstLine="480"/>
        <w:spacing w:line="264" w:lineRule="auto"/>
        <w:rPr>
          <w:rFonts w:hint="eastAsia"/>
          <w:color w:val="000000" w:themeColor="text1"/>
          <w:highlight w:val="none"/>
        </w:rPr>
      </w:pPr>
      <w:r>
        <w:rPr>
          <w:color w:val="000000" w:themeColor="text1"/>
          <w:spacing w:val="-2"/>
          <w:highlight w:val="none"/>
        </w:rPr>
        <w:t xml:space="preserve">★</w:t>
      </w:r>
      <w:r>
        <w:rPr>
          <w:rFonts w:hint="eastAsia" w:ascii="宋体" w:hAnsi="宋体" w:cs="宋体"/>
          <w:b/>
          <w:color w:val="000000" w:themeColor="text1"/>
          <w:sz w:val="24"/>
          <w:szCs w:val="24"/>
          <w:highlight w:val="none"/>
        </w:rPr>
        <w:t xml:space="preserve">1.实施要求</w:t>
      </w:r>
      <w:r>
        <w:rPr>
          <w:color w:val="000000" w:themeColor="text1"/>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563"/>
        <w:gridCol w:w="7229"/>
      </w:tblGrid>
      <w:tr>
        <w:trPr>
          <w:cantSplit/>
          <w:tblHeader/>
        </w:trPr>
        <w:tc>
          <w:tcPr>
            <w:tcW w:w="522" w:type="dxa"/>
            <w:vAlign w:val="top"/>
            <w:textDirection w:val="lrTb"/>
            <w:noWrap w:val="false"/>
          </w:tcPr>
          <w:p>
            <w:pPr>
              <w:pStyle w:val="1049"/>
              <w:jc w:val="center"/>
              <w:spacing w:line="320" w:lineRule="exact"/>
              <w:rPr>
                <w:b/>
                <w:bCs/>
                <w:color w:val="000000" w:themeColor="text1"/>
                <w:highlight w:val="none"/>
              </w:rPr>
            </w:pPr>
            <w:r>
              <w:rPr>
                <w:b/>
                <w:bCs/>
                <w:color w:val="000000" w:themeColor="text1"/>
                <w:spacing w:val="-2"/>
                <w:highlight w:val="none"/>
              </w:rPr>
              <w:t xml:space="preserve">序号</w:t>
            </w:r>
            <w:r>
              <w:rPr>
                <w:color w:val="000000" w:themeColor="text1"/>
                <w:highlight w:val="none"/>
              </w:rPr>
            </w:r>
            <w:r/>
          </w:p>
        </w:tc>
        <w:tc>
          <w:tcPr>
            <w:tcW w:w="796" w:type="dxa"/>
            <w:vAlign w:val="top"/>
            <w:textDirection w:val="lrTb"/>
            <w:noWrap w:val="false"/>
          </w:tcPr>
          <w:p>
            <w:pPr>
              <w:pStyle w:val="1049"/>
              <w:jc w:val="center"/>
              <w:spacing w:line="320" w:lineRule="exact"/>
              <w:rPr>
                <w:b/>
                <w:bCs/>
                <w:color w:val="000000" w:themeColor="text1"/>
                <w:highlight w:val="none"/>
              </w:rPr>
            </w:pPr>
            <w:r>
              <w:rPr>
                <w:b/>
                <w:bCs/>
                <w:color w:val="000000" w:themeColor="text1"/>
                <w:spacing w:val="-3"/>
                <w:highlight w:val="none"/>
              </w:rPr>
              <w:t xml:space="preserve">名称</w:t>
            </w:r>
            <w:r>
              <w:rPr>
                <w:color w:val="000000" w:themeColor="text1"/>
                <w:highlight w:val="none"/>
              </w:rPr>
            </w:r>
            <w:r/>
          </w:p>
        </w:tc>
        <w:tc>
          <w:tcPr>
            <w:tcW w:w="3681" w:type="dxa"/>
            <w:vAlign w:val="top"/>
            <w:textDirection w:val="lrTb"/>
            <w:noWrap w:val="false"/>
          </w:tcPr>
          <w:p>
            <w:pPr>
              <w:pStyle w:val="1049"/>
              <w:jc w:val="center"/>
              <w:spacing w:line="320" w:lineRule="exact"/>
              <w:rPr>
                <w:b/>
                <w:bCs/>
                <w:color w:val="000000" w:themeColor="text1"/>
                <w:highlight w:val="none"/>
              </w:rPr>
            </w:pPr>
            <w:r>
              <w:rPr>
                <w:rFonts w:hint="eastAsia"/>
                <w:b/>
                <w:bCs/>
                <w:color w:val="000000" w:themeColor="text1"/>
                <w:spacing w:val="-1"/>
                <w:highlight w:val="none"/>
                <w:lang w:eastAsia="zh-CN"/>
              </w:rPr>
              <w:t xml:space="preserve">采购</w:t>
            </w:r>
            <w:r>
              <w:rPr>
                <w:b/>
                <w:bCs/>
                <w:color w:val="000000" w:themeColor="text1"/>
                <w:spacing w:val="-1"/>
                <w:highlight w:val="none"/>
              </w:rPr>
              <w:t xml:space="preserve">要求</w:t>
            </w:r>
            <w:r>
              <w:rPr>
                <w:color w:val="000000" w:themeColor="text1"/>
                <w:highlight w:val="none"/>
              </w:rPr>
            </w:r>
            <w:r/>
          </w:p>
        </w:tc>
      </w:tr>
      <w:tr>
        <w:trPr>
          <w:trHeight w:val="4171"/>
        </w:trPr>
        <w:tc>
          <w:tcPr>
            <w:tcW w:w="522" w:type="dxa"/>
            <w:vAlign w:val="center"/>
            <w:textDirection w:val="lrTb"/>
            <w:noWrap w:val="false"/>
          </w:tcPr>
          <w:p>
            <w:pPr>
              <w:pStyle w:val="1049"/>
              <w:spacing w:line="320" w:lineRule="exact"/>
              <w:rPr>
                <w:color w:val="000000" w:themeColor="text1"/>
                <w:highlight w:val="none"/>
              </w:rPr>
            </w:pPr>
            <w:r>
              <w:rPr>
                <w:color w:val="000000" w:themeColor="text1"/>
                <w:highlight w:val="none"/>
                <w:lang w:eastAsia="zh-CN"/>
              </w:rPr>
            </w:r>
            <w:r>
              <w:rPr>
                <w:color w:val="000000" w:themeColor="text1"/>
                <w:highlight w:val="none"/>
              </w:rPr>
            </w:r>
            <w:r/>
          </w:p>
        </w:tc>
        <w:tc>
          <w:tcPr>
            <w:tcW w:w="796" w:type="dxa"/>
            <w:vAlign w:val="center"/>
            <w:textDirection w:val="lrTb"/>
            <w:noWrap w:val="false"/>
          </w:tcPr>
          <w:p>
            <w:pPr>
              <w:pStyle w:val="1049"/>
              <w:jc w:val="center"/>
              <w:spacing w:line="320" w:lineRule="exact"/>
              <w:rPr>
                <w:color w:val="000000" w:themeColor="text1"/>
                <w:highlight w:val="none"/>
              </w:rPr>
            </w:pPr>
            <w:r>
              <w:rPr>
                <w:color w:val="000000" w:themeColor="text1"/>
                <w:spacing w:val="-2"/>
                <w:highlight w:val="none"/>
                <w:lang w:eastAsia="zh-CN"/>
              </w:rPr>
              <w:t xml:space="preserve">系统日常维护及设备保养</w:t>
            </w:r>
            <w:r>
              <w:rPr>
                <w:color w:val="000000" w:themeColor="text1"/>
                <w:highlight w:val="none"/>
              </w:rPr>
            </w:r>
            <w:r/>
          </w:p>
        </w:tc>
        <w:tc>
          <w:tcPr>
            <w:tcW w:w="3681" w:type="dxa"/>
            <w:vAlign w:val="top"/>
            <w:textDirection w:val="lrTb"/>
            <w:noWrap w:val="false"/>
          </w:tcPr>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1、系统的日常维护保养系统的日常</w:t>
            </w:r>
            <w:r>
              <w:rPr>
                <w:rFonts w:hint="eastAsia" w:ascii="宋体" w:hAnsi="宋体" w:cs="宋体"/>
                <w:color w:val="000000" w:themeColor="text1"/>
                <w:spacing w:val="-2"/>
                <w:highlight w:val="none"/>
              </w:rPr>
              <w:t xml:space="preserve">维护应包含所有设备的维修及更换，以满足采购人的维保考核要求。系统维护保养包括所有系统的前端设备、传输线路及后台设备的日常维护，但不限于检查、清洁、调整、测试、优化系统、备份数据、排查隐患、处置问题等工作。检查设备时，应对设备进行物理检查、运行环境检查、电气参数与性能检查等。清洁设备时，应根据设备类型使用吸（吹）尘、刷、擦等方法对设备表面或内部的灰尘、污物等进行清理。调整设备时，应按照标准规范、技术手册和使用管理要求对设备的安装位置、防护范围、电气参数、运行模式等进行设置与校正。测试设备系统时，应按照标准规范</w:t>
            </w:r>
            <w:r>
              <w:rPr>
                <w:rFonts w:hint="eastAsia" w:ascii="宋体" w:hAnsi="宋体" w:cs="宋体"/>
                <w:color w:val="000000" w:themeColor="text1"/>
                <w:spacing w:val="-2"/>
                <w:highlight w:val="none"/>
              </w:rPr>
              <w:t xml:space="preserve">、技术手册和使用管理要求对设备系统的功能、性能进行测量试验。优化系统时，应按照标准规范和使用管理要求对系统的参数、设置等进行合理配置。备份数据时，应根据使用/管理要求对重要数据进行转存、转录，并确保数据和存储介质的安全。排查隐患时，应对可能造成系统不稳定运行、系统设置、功能、性能等不满足标准规范和使用/管理要求的情况进行详细检查与记录。处置问题时，应根据检查、测试及隐患排查过程中发现的问题，提出处置建议，经建设/使用单位同意后，采取相应的措施进行解决，同时形成相关台账记录。维护保养对象及维护保养内容与要求：</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（1）前端设备</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物理检查：检查前端监控设备是否依图纸标定位置（或系统中标定的位置）存在，对于前端设备的拆改、挪移应及时反应至系统中。检查设备安装部件是否齐全，安装是否牢固，有无明显破损情况，并进行必要处理或处置。</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运行环境检查：检查前端有无影响监控效果，影响设备正常工作的因素。对于发现的异常情况，应及时调整或处置。</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电气参数与性能检查：检查摄像机，及其配套设备，包括电源、风扇、加热、雨刷、辅助照明装置等的工作状态。采用相应的仪器/仪表测量摄像机的相关指标，并做相应调整。</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机械构件维护：对摄像机、防护罩、云台、辅助照明装置的安装支架、立杆等构件进行加固、除锈、防腐等养护，并做必要调整。</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设备清洁：采用专业的方式方法，对摄像机镜头、摄像机防护罩及附属配件进行必要的清洁。</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设备调整：根据视频监控需要调整前端摄像机的焦距、监控范围等。确保设备处于良好的运行状态，发挥其最佳监控作用。</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（2）传输设备</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线缆、路由检查：传输线缆安装应牢固，安装部件应齐全，标识应清晰。检查线缆有无破损、破坏，氧化等情况。检查线管管口封堵情况，接地连接情况，查找有无异常现象。</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传输设备检查：传输设备安装应牢固，安装部件应齐全，标识应清晰，工作状态应正常。使用电池供电的无线发射/接收/中继设备应根据具体要求定期更换电池。</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清洁整理：对传输设备、管线、人井手孔等传输设备、设施或配套装置进行必要的清洁和清理。根据现场情况和需要，调整电缆、光缆等的捆扎方式。</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测试调整：根据检查结果和系统需要调整传输设备的相关参数。调整后，应保证视频信号及控制信号衰减满足规范或原设计要求。</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（3）处理/控制/管理/记录设备</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物理检查：根据系统形成模式和安装方式，制定检查方案，重点检查处理、控制、管理设备安装是否牢固，设备外壳及部件有无异常变化或破损迹象，设备部件和接线是否正常。对发现的问题应在维保过程中及时处理。</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电气参数与性能检查：通过观察设备指示灯、测量设备电压/电流等方式，检查设备运行状态。应确保设备运行指示正常，排查明显故障隐患。设备清洁：采用适当的方式，对设备内外进行必要的清洁和除尘。</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（4）显示设备</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物理检查：检查显示设备安装柜、箱和结构件是否牢固，检查其外表有无异常或破损迹象，检查接地是否完好。检查并调整显示设备，确保显示设备安装牢固，设备外壳及部件应无异常变化或破损迹象，设备部件和接线应正常。除视频显示设备外，显示设备还应包括LED显示屏等字符显示装置。</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设备清洁：对设备、箱、柜及结构件等进行必要的清洁和除尘。显示屏幕清洁，应采用专用试剂。</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（5）系统</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系统优化：根据系统运行情况及使用、管理要求，调整系统的相关设置参数，提高、优化系统性能。系统优化的重点在于提高视频监控系统监控效果、延长视频录像保存时间、提高视频图像回放效果、缩短报警视频联动时间等。</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系统校时：对系统进行校时，系统的主时钟与标准时间偏差应满足相应标准规定或使用管理要求。</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数据备份：对系统信息、设置数据及其它有助于保证系统安全，有助于系统快速恢复的数据资料进行备份。备份文件应存储在专门的介质上，并注明备份时间、打开密码（如有），恢复数据注意事项等信息。维保工作要求的备份内容不包括视频数据信息，采购人特别要求除外。</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隐患排查：通过询问系统管理员、操作员、查阅运行记录等方式，核实系统运行状态，排查系统存在的问题或隐患。汇总维保过程中发现的问题，分析系统目前的健康状态，预测系统可能发生的问题，并前瞻性提出处置意见。</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问题处置：监控图像、记录图像达不到标准规范和使用管理要求或设备破损、污损严重，且已经不能满足视频监控需要时，应提出处置建议，征得建设/使用单位同意后，采取相应的措施进行解决。对于日常运行过程中性能稳定性较差或频繁发生故障的设备，经现场</w:t>
            </w:r>
            <w:r>
              <w:rPr>
                <w:rFonts w:hint="eastAsia" w:ascii="宋体" w:hAnsi="宋体" w:cs="宋体"/>
                <w:color w:val="000000" w:themeColor="text1"/>
                <w:spacing w:val="-2"/>
                <w:highlight w:val="none"/>
              </w:rPr>
              <w:t xml:space="preserve">调整/调试后仍无法满足要求时，应提出处置建议，在征得建设/使用单位同意后，采取相应的措施进行解决。对于系统可能发生的问题，应及时书面告知建设/使用单位，并同时提出处置意见，在征得建设/使用单位同意后，采取相应的措施予以应对。巡检中发现前端监控设备存在遮挡或污损，应及时清理。还需按标准对重点核心地区视频监控所有点位前端监控二维码标贴进行张贴和日常维护。为配合道路整治及视频监控并杆及线路下地工程，在所涉及的包含重点核心地区视频监控的路段，应配合市公安局和市政部门，按期保质保量地完成视频监控并杆及线路下地的工作。</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2、设备保养内容</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定期对系统所有相关设备等进行保养，并形成保养记录，每次保养记录由采购人签字确认。摄像机保养：摄像机镜头如存在遮挡或污损，应及时清除遮挡监控视线的障碍物。</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机房保养：每季度对机房设备进行检测保养。网络应用终端：系统软件故障排除及恢复、病毒防范及消除、硬盘垃圾清理、外设安装调试、系统安装调试与维护、应急、系统恢复及日常维护等。</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网络服务系统：包括服务器软硬件系统、网络线缆线路、网络交换路由设备、备用电源（UPS）检测、保养、维护及故障排除等。其他保养：对监控立杆和设备箱等设施的损坏和锈蚀应及时进行修复和翻新。对摄像机的位置有迁移必要时进行迁移。</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3、巡检</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前端现场巡检：每个季度开展一轮前端巡检，主要应围绕前端设备运行状况和安全（包括：杆件、落地机箱、抱杆箱、箱体锁、摄像机、镜头、云台、网络传输设备等）和管线情况（包括管线质量、防雷接地情况、屏蔽情况、线路接头质量等）。形成巡检电子台账（主要是带水印的照片），记录发现的问题，以及解决情况；</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后端设备现场巡检：早、中、晚机房（含配电房、UPS间，机房内的编解码器、存储设备、网络交换设备、安全设备、服务器、UPS电源、平台软件等设备）整体现场巡检，发现有无故障报警；每周一次的存储设备巡检，发现存在故障磁盘，并更换，如故障率高，增大巡检频率，避免数据丢失；每季度巡检一次空调外机，并对外机除尘，清洗，保障外机正常工作；</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系统巡检：巡检系统功能、系统的各项技术指标及操作运行情况，且利用系统运维功能，每日对信号灯在线情况、信号灯工作状态、监控在线情况、卡口设备抓拍情况、违章抓拍等情况开展巡检发现问题进行记录，满足考核要求，通知前端维护人员维护。</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重点节点巡检：遇重大活动、重大节假日、恶劣天气和其他紧急情况，采购人要求进行巡检的，需安排巡检。</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巡检发现本项目重要设备或整个系统存在运行问题的，需立即整改，且做好记录。</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b/>
                <w:bCs/>
                <w:color w:val="000000" w:themeColor="text1"/>
                <w:spacing w:val="-2"/>
                <w:highlight w:val="none"/>
              </w:rPr>
              <w:t xml:space="preserve">注：以上要求请投标人提供承诺书并加盖公章，上传至投标系统。</w:t>
            </w:r>
            <w:r>
              <w:rPr>
                <w:color w:val="000000" w:themeColor="text1"/>
                <w:highlight w:val="none"/>
              </w:rPr>
            </w:r>
            <w:r/>
          </w:p>
        </w:tc>
      </w:tr>
    </w:tbl>
    <w:p>
      <w:pPr>
        <w:pStyle w:val="931"/>
        <w:ind w:left="0"/>
        <w:rPr>
          <w:rFonts w:hint="eastAsia"/>
          <w:color w:val="000000" w:themeColor="text1"/>
          <w:highlight w:val="none"/>
        </w:rPr>
      </w:pPr>
      <w:r>
        <w:rPr>
          <w:rFonts w:hint="eastAsia"/>
          <w:color w:val="000000" w:themeColor="text1"/>
          <w:highlight w:val="none"/>
          <w:lang w:val="en-US" w:eastAsia="en-US"/>
        </w:rPr>
      </w:r>
      <w:r>
        <w:rPr>
          <w:color w:val="000000" w:themeColor="text1"/>
          <w:highlight w:val="none"/>
        </w:rPr>
      </w:r>
      <w:r/>
    </w:p>
    <w:p>
      <w:pPr>
        <w:pStyle w:val="1017"/>
        <w:ind w:left="220" w:firstLine="472"/>
        <w:spacing w:before="29" w:after="18"/>
        <w:tabs>
          <w:tab w:val="left" w:pos="1033" w:leader="none"/>
        </w:tabs>
        <w:rPr>
          <w:b/>
          <w:color w:val="000000" w:themeColor="text1"/>
          <w:sz w:val="31"/>
          <w:highlight w:val="none"/>
        </w:rPr>
      </w:pPr>
      <w:r>
        <w:rPr>
          <w:color w:val="000000" w:themeColor="text1"/>
          <w:spacing w:val="-2"/>
          <w:highlight w:val="none"/>
          <w:lang w:eastAsia="zh-CN"/>
        </w:rPr>
        <w:t xml:space="preserve">★2</w:t>
      </w:r>
      <w:r>
        <w:rPr>
          <w:rFonts w:hint="eastAsia" w:ascii="宋体" w:hAnsi="宋体" w:cs="宋体"/>
          <w:b/>
          <w:color w:val="000000" w:themeColor="text1"/>
          <w:highlight w:val="none"/>
          <w:lang w:eastAsia="zh-CN" w:bidi="ar-SA"/>
        </w:rPr>
        <w:t xml:space="preserve">、服务</w:t>
      </w:r>
      <w:r>
        <w:rPr>
          <w:color w:val="000000" w:themeColor="text1"/>
          <w:highlight w:val="none"/>
        </w:rPr>
      </w:r>
      <w:r/>
    </w:p>
    <w:tbl>
      <w:tblPr>
        <w:tblW w:w="9902" w:type="dxa"/>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1"/>
        <w:gridCol w:w="1516"/>
        <w:gridCol w:w="7775"/>
      </w:tblGrid>
      <w:tr>
        <w:trPr>
          <w:trHeight w:val="510"/>
        </w:trPr>
        <w:tc>
          <w:tcPr>
            <w:tcW w:w="611" w:type="dxa"/>
            <w:vAlign w:val="top"/>
            <w:textDirection w:val="lrTb"/>
            <w:noWrap w:val="false"/>
          </w:tcPr>
          <w:p>
            <w:pPr>
              <w:pStyle w:val="1049"/>
              <w:jc w:val="center"/>
              <w:spacing w:line="320" w:lineRule="exact"/>
              <w:rPr>
                <w:b/>
                <w:bCs/>
                <w:color w:val="000000" w:themeColor="text1"/>
                <w:spacing w:val="-3"/>
                <w:highlight w:val="none"/>
              </w:rPr>
            </w:pPr>
            <w:r>
              <w:rPr>
                <w:rFonts w:hint="eastAsia"/>
                <w:b/>
                <w:bCs/>
                <w:color w:val="000000" w:themeColor="text1"/>
                <w:spacing w:val="-3"/>
                <w:highlight w:val="none"/>
                <w:lang w:eastAsia="zh-CN"/>
              </w:rPr>
              <w:t xml:space="preserve">序号</w:t>
            </w:r>
            <w:r>
              <w:rPr>
                <w:color w:val="000000" w:themeColor="text1"/>
                <w:highlight w:val="none"/>
              </w:rPr>
            </w:r>
            <w:r/>
          </w:p>
        </w:tc>
        <w:tc>
          <w:tcPr>
            <w:tcW w:w="1516" w:type="dxa"/>
            <w:vAlign w:val="top"/>
            <w:textDirection w:val="lrTb"/>
            <w:noWrap w:val="false"/>
          </w:tcPr>
          <w:p>
            <w:pPr>
              <w:pStyle w:val="1049"/>
              <w:jc w:val="center"/>
              <w:spacing w:line="320" w:lineRule="exact"/>
              <w:rPr>
                <w:b/>
                <w:bCs/>
                <w:color w:val="000000" w:themeColor="text1"/>
                <w:spacing w:val="-3"/>
                <w:highlight w:val="none"/>
              </w:rPr>
            </w:pPr>
            <w:r>
              <w:rPr>
                <w:rFonts w:hint="eastAsia"/>
                <w:b/>
                <w:bCs/>
                <w:color w:val="000000" w:themeColor="text1"/>
                <w:spacing w:val="-3"/>
                <w:highlight w:val="none"/>
                <w:lang w:eastAsia="zh-CN"/>
              </w:rPr>
              <w:t xml:space="preserve">名称</w:t>
            </w:r>
            <w:r>
              <w:rPr>
                <w:color w:val="000000" w:themeColor="text1"/>
                <w:highlight w:val="none"/>
              </w:rPr>
            </w:r>
            <w:r/>
          </w:p>
        </w:tc>
        <w:tc>
          <w:tcPr>
            <w:tcW w:w="7775" w:type="dxa"/>
            <w:vAlign w:val="top"/>
            <w:textDirection w:val="lrTb"/>
            <w:noWrap w:val="false"/>
          </w:tcPr>
          <w:p>
            <w:pPr>
              <w:pStyle w:val="1049"/>
              <w:jc w:val="center"/>
              <w:spacing w:line="320" w:lineRule="exact"/>
              <w:rPr>
                <w:b/>
                <w:bCs/>
                <w:color w:val="000000" w:themeColor="text1"/>
                <w:spacing w:val="-3"/>
                <w:highlight w:val="none"/>
              </w:rPr>
            </w:pPr>
            <w:r>
              <w:rPr>
                <w:rFonts w:hint="eastAsia"/>
                <w:b/>
                <w:bCs/>
                <w:color w:val="000000" w:themeColor="text1"/>
                <w:spacing w:val="-3"/>
                <w:highlight w:val="none"/>
                <w:lang w:eastAsia="zh-CN"/>
              </w:rPr>
              <w:t xml:space="preserve">采购要求</w:t>
            </w:r>
            <w:r>
              <w:rPr>
                <w:color w:val="000000" w:themeColor="text1"/>
                <w:highlight w:val="none"/>
              </w:rPr>
            </w:r>
            <w:r/>
          </w:p>
        </w:tc>
      </w:tr>
      <w:tr>
        <w:trPr>
          <w:trHeight w:val="797"/>
        </w:trPr>
        <w:tc>
          <w:tcPr>
            <w:tcW w:w="611" w:type="dxa"/>
            <w:vAlign w:val="center"/>
            <w:textDirection w:val="lrTb"/>
            <w:noWrap w:val="false"/>
          </w:tcPr>
          <w:p>
            <w:pPr>
              <w:pStyle w:val="1049"/>
              <w:jc w:val="center"/>
              <w:spacing w:line="320" w:lineRule="exact"/>
              <w:rPr>
                <w:color w:val="000000" w:themeColor="text1"/>
                <w:spacing w:val="-5"/>
                <w:sz w:val="24"/>
                <w:highlight w:val="none"/>
              </w:rPr>
            </w:pPr>
            <w:r>
              <w:rPr>
                <w:rFonts w:hint="eastAsia"/>
                <w:color w:val="000000" w:themeColor="text1"/>
                <w:highlight w:val="none"/>
                <w:lang w:eastAsia="zh-CN"/>
              </w:rPr>
              <w:t xml:space="preserve">2.1</w:t>
            </w:r>
            <w:r>
              <w:rPr>
                <w:color w:val="000000" w:themeColor="text1"/>
                <w:highlight w:val="none"/>
              </w:rPr>
            </w:r>
            <w:r/>
          </w:p>
        </w:tc>
        <w:tc>
          <w:tcPr>
            <w:tcW w:w="1516" w:type="dxa"/>
            <w:vAlign w:val="center"/>
            <w:textDirection w:val="lrTb"/>
            <w:noWrap w:val="false"/>
          </w:tcPr>
          <w:p>
            <w:pPr>
              <w:pStyle w:val="1044"/>
              <w:ind w:left="143" w:right="106" w:hanging="1"/>
              <w:jc w:val="center"/>
              <w:spacing w:before="90" w:line="242" w:lineRule="auto"/>
              <w:rPr>
                <w:color w:val="000000" w:themeColor="text1"/>
                <w:spacing w:val="-2"/>
                <w:highlight w:val="none"/>
              </w:rPr>
            </w:pPr>
            <w:r>
              <w:rPr>
                <w:color w:val="000000" w:themeColor="text1"/>
                <w:spacing w:val="-2"/>
                <w:highlight w:val="none"/>
              </w:rPr>
              <w:t xml:space="preserve">拟投入本项目的人员</w:t>
            </w:r>
            <w:r>
              <w:rPr>
                <w:color w:val="000000" w:themeColor="text1"/>
                <w:highlight w:val="none"/>
              </w:rPr>
            </w:r>
            <w:r/>
          </w:p>
        </w:tc>
        <w:tc>
          <w:tcPr>
            <w:tcW w:w="7775" w:type="dxa"/>
            <w:vAlign w:val="top"/>
            <w:textDirection w:val="lrTb"/>
            <w:noWrap w:val="false"/>
          </w:tcPr>
          <w:p>
            <w:pPr>
              <w:pStyle w:val="919"/>
              <w:jc w:val="left"/>
              <w:widowControl/>
              <w:rPr>
                <w:rFonts w:ascii="宋体" w:hAnsi="宋体" w:cs="宋体"/>
                <w:color w:val="000000" w:themeColor="text1"/>
                <w:spacing w:val="-2"/>
                <w:highlight w:val="none"/>
              </w:rPr>
            </w:pPr>
            <w:r>
              <w:rPr>
                <w:rFonts w:hint="eastAsia"/>
                <w:color w:val="000000" w:themeColor="text1"/>
                <w:spacing w:val="-2"/>
                <w:highlight w:val="none"/>
              </w:rPr>
              <w:t xml:space="preserve">1、</w:t>
            </w:r>
            <w:r>
              <w:rPr>
                <w:color w:val="000000" w:themeColor="text1"/>
                <w:spacing w:val="-2"/>
                <w:highlight w:val="none"/>
              </w:rPr>
              <w:t xml:space="preserve">项目</w:t>
            </w:r>
            <w:r>
              <w:rPr>
                <w:rFonts w:hint="eastAsia" w:ascii="宋体" w:hAnsi="宋体" w:cs="宋体"/>
                <w:color w:val="000000" w:themeColor="text1"/>
                <w:spacing w:val="-2"/>
                <w:highlight w:val="none"/>
              </w:rPr>
              <w:t xml:space="preserve">经理1名；</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2、项目组至少有17名维修服务人员（含项目经理），其中4名驻场，其他人员前端维护。</w:t>
            </w:r>
            <w:r>
              <w:rPr>
                <w:color w:val="000000" w:themeColor="text1"/>
                <w:highlight w:val="none"/>
              </w:rPr>
            </w:r>
            <w:r/>
          </w:p>
        </w:tc>
      </w:tr>
      <w:tr>
        <w:trPr>
          <w:trHeight w:val="510"/>
        </w:trPr>
        <w:tc>
          <w:tcPr>
            <w:tcW w:w="611" w:type="dxa"/>
            <w:vAlign w:val="center"/>
            <w:textDirection w:val="lrTb"/>
            <w:noWrap w:val="false"/>
          </w:tcPr>
          <w:p>
            <w:pPr>
              <w:pStyle w:val="1049"/>
              <w:jc w:val="center"/>
              <w:spacing w:line="320" w:lineRule="exact"/>
              <w:rPr>
                <w:color w:val="000000" w:themeColor="text1"/>
                <w:highlight w:val="none"/>
              </w:rPr>
            </w:pPr>
            <w:r>
              <w:rPr>
                <w:rFonts w:hint="eastAsia"/>
                <w:color w:val="000000" w:themeColor="text1"/>
                <w:highlight w:val="none"/>
                <w:lang w:eastAsia="zh-CN"/>
              </w:rPr>
              <w:t xml:space="preserve">2.2</w:t>
            </w:r>
            <w:r>
              <w:rPr>
                <w:color w:val="000000" w:themeColor="text1"/>
                <w:highlight w:val="none"/>
              </w:rPr>
            </w:r>
            <w:r/>
          </w:p>
        </w:tc>
        <w:tc>
          <w:tcPr>
            <w:tcW w:w="1516" w:type="dxa"/>
            <w:vAlign w:val="center"/>
            <w:textDirection w:val="lrTb"/>
            <w:noWrap w:val="false"/>
          </w:tcPr>
          <w:p>
            <w:pPr>
              <w:pStyle w:val="1044"/>
              <w:ind w:left="143" w:right="106" w:hanging="1"/>
              <w:jc w:val="center"/>
              <w:spacing w:before="90" w:line="242" w:lineRule="auto"/>
              <w:rPr>
                <w:color w:val="000000" w:themeColor="text1"/>
                <w:spacing w:val="-2"/>
                <w:highlight w:val="none"/>
              </w:rPr>
            </w:pPr>
            <w:r>
              <w:rPr>
                <w:rFonts w:hint="eastAsia"/>
                <w:color w:val="000000" w:themeColor="text1"/>
                <w:spacing w:val="-2"/>
                <w:highlight w:val="none"/>
              </w:rPr>
              <w:t xml:space="preserve">故障处理要求</w:t>
            </w:r>
            <w:r>
              <w:rPr>
                <w:color w:val="000000" w:themeColor="text1"/>
                <w:highlight w:val="none"/>
              </w:rPr>
            </w:r>
            <w:r/>
          </w:p>
          <w:p>
            <w:pPr>
              <w:pStyle w:val="1044"/>
              <w:ind w:left="143" w:right="106" w:hanging="1"/>
              <w:jc w:val="center"/>
              <w:spacing w:before="90" w:line="242" w:lineRule="auto"/>
              <w:rPr>
                <w:color w:val="000000" w:themeColor="text1"/>
                <w:spacing w:val="-2"/>
                <w:highlight w:val="none"/>
              </w:rPr>
            </w:pPr>
            <w:r>
              <w:rPr>
                <w:color w:val="000000" w:themeColor="text1"/>
                <w:spacing w:val="-2"/>
                <w:highlight w:val="none"/>
              </w:rPr>
            </w:r>
            <w:r>
              <w:rPr>
                <w:color w:val="000000" w:themeColor="text1"/>
                <w:highlight w:val="none"/>
              </w:rPr>
            </w:r>
            <w:r/>
          </w:p>
          <w:p>
            <w:pPr>
              <w:pStyle w:val="1044"/>
              <w:ind w:left="143" w:right="106" w:hanging="1"/>
              <w:jc w:val="center"/>
              <w:spacing w:before="90" w:line="242" w:lineRule="auto"/>
              <w:rPr>
                <w:color w:val="000000" w:themeColor="text1"/>
                <w:spacing w:val="-2"/>
                <w:highlight w:val="none"/>
              </w:rPr>
            </w:pPr>
            <w:r>
              <w:rPr>
                <w:color w:val="000000" w:themeColor="text1"/>
                <w:spacing w:val="-2"/>
                <w:highlight w:val="none"/>
              </w:rPr>
            </w:r>
            <w:r>
              <w:rPr>
                <w:color w:val="000000" w:themeColor="text1"/>
                <w:highlight w:val="none"/>
              </w:rPr>
            </w:r>
            <w:r/>
          </w:p>
        </w:tc>
        <w:tc>
          <w:tcPr>
            <w:tcW w:w="7775" w:type="dxa"/>
            <w:vAlign w:val="top"/>
            <w:textDirection w:val="lrTb"/>
            <w:noWrap w:val="false"/>
          </w:tcPr>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针对监控产生的故障，制定详细的运行维护服务保障方案，及时受理采购人故障报表、电话报修。故障级别定义及解决时间要求如下：</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（1）故障级别Ⅰ级：属于重特大故障，其具体现象为系统崩溃。技术人员到场时间：接报30分钟以内到现场。提出解决方案：到现场后1小时内提交故障解决方案。</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（2）故障级别Ⅱ级：属于严重问题，其具体现象为部分系统发生故障或小面积瘫痪但不影响系统整体运行。技术人员到场时间：接报60分钟以内到现场。提出解决方案：到现场后1小时内提交故障解决方案。</w:t>
            </w:r>
            <w:r>
              <w:rPr>
                <w:color w:val="000000" w:themeColor="text1"/>
                <w:highlight w:val="none"/>
              </w:rPr>
            </w:r>
            <w:r/>
          </w:p>
          <w:p>
            <w:pPr>
              <w:pStyle w:val="919"/>
              <w:jc w:val="left"/>
              <w:widowControl/>
              <w:rPr>
                <w:color w:val="000000" w:themeColor="text1"/>
                <w:spacing w:val="-2"/>
                <w:highlight w:val="none"/>
              </w:rPr>
            </w:pPr>
            <w:r>
              <w:rPr>
                <w:rFonts w:hint="eastAsia" w:ascii="宋体" w:hAnsi="宋体" w:cs="宋体"/>
                <w:color w:val="000000" w:themeColor="text1"/>
                <w:spacing w:val="-2"/>
                <w:highlight w:val="none"/>
              </w:rPr>
              <w:t xml:space="preserve">（3）故障级别Ⅲ级：属于普通问题，其具体现象为前端监控点单个摄像机故障、前端监控点传输设备或线路故障。技术人员到场时间：接报4小时内到现场。提出解决方案：即时提交或到现场后1小时内提交解决方案。</w:t>
            </w:r>
            <w:r>
              <w:rPr>
                <w:color w:val="000000" w:themeColor="text1"/>
                <w:highlight w:val="none"/>
              </w:rPr>
            </w:r>
            <w:r/>
          </w:p>
        </w:tc>
      </w:tr>
      <w:tr>
        <w:trPr>
          <w:trHeight w:val="510"/>
        </w:trPr>
        <w:tc>
          <w:tcPr>
            <w:tcW w:w="611" w:type="dxa"/>
            <w:vAlign w:val="center"/>
            <w:textDirection w:val="lrTb"/>
            <w:noWrap w:val="false"/>
          </w:tcPr>
          <w:p>
            <w:pPr>
              <w:pStyle w:val="1049"/>
              <w:jc w:val="center"/>
              <w:spacing w:line="320" w:lineRule="exact"/>
              <w:rPr>
                <w:color w:val="000000" w:themeColor="text1"/>
                <w:highlight w:val="none"/>
              </w:rPr>
            </w:pPr>
            <w:r>
              <w:rPr>
                <w:rFonts w:hint="eastAsia"/>
                <w:color w:val="000000" w:themeColor="text1"/>
                <w:highlight w:val="none"/>
                <w:lang w:eastAsia="zh-CN"/>
              </w:rPr>
              <w:t xml:space="preserve">2.3</w:t>
            </w:r>
            <w:r>
              <w:rPr>
                <w:color w:val="000000" w:themeColor="text1"/>
                <w:highlight w:val="none"/>
              </w:rPr>
            </w:r>
            <w:r/>
          </w:p>
        </w:tc>
        <w:tc>
          <w:tcPr>
            <w:tcW w:w="1516" w:type="dxa"/>
            <w:vAlign w:val="center"/>
            <w:textDirection w:val="lrTb"/>
            <w:noWrap w:val="false"/>
          </w:tcPr>
          <w:p>
            <w:pPr>
              <w:pStyle w:val="919"/>
              <w:jc w:val="center"/>
              <w:widowControl/>
              <w:rPr>
                <w:color w:val="000000" w:themeColor="text1"/>
                <w:highlight w:val="none"/>
              </w:rPr>
            </w:pPr>
            <w:r>
              <w:rPr>
                <w:rFonts w:hint="eastAsia" w:ascii="宋体" w:hAnsi="宋体" w:cs="宋体"/>
                <w:color w:val="000000" w:themeColor="text1"/>
                <w:spacing w:val="-2"/>
                <w:highlight w:val="none"/>
              </w:rPr>
              <w:t xml:space="preserve">考核要求</w:t>
            </w:r>
            <w:r>
              <w:rPr>
                <w:color w:val="000000" w:themeColor="text1"/>
                <w:highlight w:val="none"/>
              </w:rPr>
            </w:r>
            <w:r/>
          </w:p>
          <w:p>
            <w:pPr>
              <w:pStyle w:val="1044"/>
              <w:ind w:left="143" w:right="106" w:hanging="1"/>
              <w:jc w:val="center"/>
              <w:spacing w:before="90" w:line="242" w:lineRule="auto"/>
              <w:rPr>
                <w:color w:val="000000" w:themeColor="text1"/>
                <w:spacing w:val="-2"/>
                <w:highlight w:val="none"/>
              </w:rPr>
            </w:pPr>
            <w:r>
              <w:rPr>
                <w:color w:val="000000" w:themeColor="text1"/>
                <w:spacing w:val="-2"/>
                <w:highlight w:val="none"/>
              </w:rPr>
            </w:r>
            <w:r>
              <w:rPr>
                <w:color w:val="000000" w:themeColor="text1"/>
                <w:highlight w:val="none"/>
              </w:rPr>
            </w:r>
            <w:r/>
          </w:p>
        </w:tc>
        <w:tc>
          <w:tcPr>
            <w:tcW w:w="7775" w:type="dxa"/>
            <w:vAlign w:val="top"/>
            <w:textDirection w:val="lrTb"/>
            <w:noWrap w:val="false"/>
          </w:tcPr>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1、前端摄像机完好率：对系统中前端监控摄像机完好情况进行考核。前端摄像</w:t>
            </w:r>
            <w:r>
              <w:rPr>
                <w:rFonts w:hint="eastAsia" w:ascii="宋体" w:hAnsi="宋体" w:cs="宋体"/>
                <w:color w:val="000000" w:themeColor="text1"/>
                <w:spacing w:val="-2"/>
                <w:highlight w:val="none"/>
              </w:rPr>
              <w:t xml:space="preserve">机完好的标准：摄像机在平台显示为在线，视频能实时显示无卡顿。前端摄像机完好率=（摄像机完好总数／摄像机维护总数）×100%。所有视频监控、电子警察、卡口、球机、测速等设备完好率连续三天低于98%高于96%或单个摄像头无故3天不在线，扣1000元，每超1日增扣1000元，以此类推；连续三天低于96%或单个摄像头无故4天不在线，扣2000元，每超1日增扣2000元，以此类推；无法达到采购目的的，采购人有权根据需求聘请其他人员开展维护，所产生的维护费从维护费中支付；连续10天完好率低于96%，采购人有权解除合同。</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2、图像画面字符叠加标注：对系统前端监控摄像机字符叠加标注情况进行考核。</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图像画面字符叠加标注标准：符合公安部GAT751-2008标准及省厅、市局相关规范要求，时钟标识准确（与市局授时服务器时钟误差不超过3秒）。字符标注准确率=（符合图像画面字符叠加标注标准的摄像机总数/摄像机入网总数）×100%。（保留到小数点后两位）考核方式：每月考核，每月20日通过平台检查一遍所有入网摄像机的图像画面字符叠加标注情况作为每月的考核依据每月字符标注准确率低于99.5%，扣1000元；低于99%扣2000元。</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3、存储考核</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存储正常标准：视频图像实时在线存储且存储时间不少于30天。图像在线存储率：图像在线存储率=（在线且能正常调取存储录像的摄像机数／摄像机总数）×100%。（保留到小数点后两位）考核方式：每月考核，每月20日通过平台检查一遍所有入网摄像机的在线存储情况作为每月的考核数据。每月图像在线存储率低于98%，扣1000元；低于95%扣2000元。</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4、图像存储时间达标率</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图像存储时间达标率=（图像存储时间不少于30天的摄像机数／入网摄像机总数）×100%。（保留到小数点后两位）考核方式：每月考核，每月20日通过平台检查一遍所有入网摄像机的存储时间是否达标作为考核依据。95%≤每月图像存储时间达标率＜98%，扣1000元；每月图像存储时间达标率＜95%，扣2000元。</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5、电警数据考核：高速公路卡口每天连续无过车数据不超过4小时，其他道路卡口每天连续无过车数据不超过8小时视为当天设备达标；每月内运行稳定天数不低于90%，视为本月该设备达标。卡口传输数据延时在1分钟内的比例不低于90%算当天上传及时，每个月内上传及时天数不低于90%，视为卡口上传及时达标。号牌号码识别准确率，准确率达到90%以上的视为达标。上述考核项每低于达标1%的，扣500元。</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6、系统后台考核：按采购人需求及时完善、配置系统参数、系统管理日志、用户管理数据、视频和报警数据定期备份、恢复和维护，平台软件、硬件设备升级包及时更新。以无法登录系统平台或登录后无法打开和下载视频次数作为故障数来计算系统后台故障并进行考核。系统后台故障及时上报采购人并按时修复的，不作为实质故障；故障一次扣1000元。</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7、运维保障响应考核：每月根据日常及突发情况运维保障响应情况进行考核，主要根据第3.2故障响应要求统计故障维护响应及时情况。每月发生Ⅰ、Ⅱ级故障未按第3.2要求及时响应的，未及时响应1次扣1000元，Ⅰ、Ⅱ级故障响应时间每超2小时加扣2000元。</w:t>
            </w:r>
            <w:r>
              <w:rPr>
                <w:color w:val="000000" w:themeColor="text1"/>
                <w:highlight w:val="none"/>
              </w:rPr>
            </w:r>
            <w:r/>
          </w:p>
          <w:p>
            <w:pPr>
              <w:pStyle w:val="919"/>
              <w:jc w:val="left"/>
              <w:widowControl/>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8、其他情况：采购人各类大型活动、重大案事件保障工作中不能正常调取图像（无图像、云台及镜头不能控制、图像不清晰、无存储等）的，每路图像每次扣500元，每月最多扣2000元。</w:t>
            </w:r>
            <w:r>
              <w:rPr>
                <w:color w:val="000000" w:themeColor="text1"/>
                <w:highlight w:val="none"/>
              </w:rPr>
            </w:r>
            <w:r/>
          </w:p>
          <w:p>
            <w:pPr>
              <w:pStyle w:val="919"/>
              <w:jc w:val="left"/>
              <w:widowControl/>
              <w:rPr>
                <w:color w:val="000000" w:themeColor="text1"/>
                <w:spacing w:val="-2"/>
                <w:highlight w:val="none"/>
              </w:rPr>
            </w:pPr>
            <w:r>
              <w:rPr>
                <w:rFonts w:hint="eastAsia" w:ascii="宋体" w:hAnsi="宋体" w:cs="宋体"/>
                <w:color w:val="000000" w:themeColor="text1"/>
                <w:spacing w:val="-2"/>
                <w:highlight w:val="none"/>
              </w:rPr>
              <w:t xml:space="preserve">9</w:t>
            </w:r>
            <w:r>
              <w:rPr>
                <w:rFonts w:hint="eastAsia" w:ascii="宋体" w:hAnsi="宋体" w:cs="宋体"/>
                <w:color w:val="000000" w:themeColor="text1"/>
                <w:spacing w:val="-2"/>
                <w:highlight w:val="none"/>
                <w:lang w:val="en-GB"/>
              </w:rPr>
              <w:t xml:space="preserve">、</w:t>
            </w:r>
            <w:r>
              <w:rPr>
                <w:rFonts w:hint="eastAsia" w:ascii="宋体" w:hAnsi="宋体" w:cs="宋体"/>
                <w:color w:val="000000" w:themeColor="text1"/>
                <w:spacing w:val="-2"/>
                <w:highlight w:val="none"/>
              </w:rPr>
              <w:t xml:space="preserve">连续2个月考核被扣10000元的，采购人有权终止合同并拒付当期维护费用，纳入南京市公安局视频图像维护黑名单。</w:t>
            </w:r>
            <w:r>
              <w:rPr>
                <w:color w:val="000000" w:themeColor="text1"/>
                <w:highlight w:val="none"/>
              </w:rPr>
            </w:r>
            <w:r/>
          </w:p>
        </w:tc>
      </w:tr>
    </w:tbl>
    <w:p>
      <w:pPr>
        <w:pStyle w:val="919"/>
        <w:ind w:firstLine="412"/>
        <w:spacing w:line="252" w:lineRule="auto"/>
        <w:rPr>
          <w:rFonts w:ascii="宋体" w:hAnsi="宋体" w:cs="宋体"/>
          <w:b/>
          <w:color w:val="000000" w:themeColor="text1"/>
          <w:sz w:val="24"/>
          <w:szCs w:val="24"/>
          <w:highlight w:val="none"/>
        </w:rPr>
      </w:pPr>
      <w:r>
        <w:rPr>
          <w:color w:val="000000" w:themeColor="text1"/>
          <w:spacing w:val="-2"/>
          <w:highlight w:val="none"/>
        </w:rPr>
        <w:t xml:space="preserve">★</w:t>
      </w:r>
      <w:r>
        <w:rPr>
          <w:rFonts w:hint="eastAsia" w:ascii="宋体" w:hAnsi="宋体" w:cs="宋体"/>
          <w:b/>
          <w:color w:val="000000" w:themeColor="text1"/>
          <w:sz w:val="24"/>
          <w:szCs w:val="24"/>
          <w:highlight w:val="none"/>
        </w:rPr>
        <w:t xml:space="preserve">3、其他说明</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1）采购人不组织现场踏勘，投标人投标前应对各类设备运行情况及现场进行踏勘，在集中答疑期间，提交保密协议，获取维护的点位信息，勘探机房等。</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2）中标供应商应切实加强安全教育、安全检查、安全管理，对服务期发生的安全事故及造成自身或第三方损失伤亡的，均由中标供应商自行承担。</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服务期内对损坏无法修复的或无修复价值的相关设备，经采购人同意，可从备品备件中进行更换。对本年度内未使用完的备品备件，采购人可根据需求通知中标供应商对性能不佳、故障频繁的老旧设备进行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4）服务期内，采购人对涉及所有设备的杆件、电源、交换机、数据传输设备、防雷设备、支架及各类线缆等其他配套、辅助设施的维修、更换（含土建部分）以及各类施工审批均不另行支付费用。</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5）维护服务期内，中标供应商应积极配合采购人，例如违法曝光照片的采集、公示，测速设备的检测、标定等涉及维护范围内设备的其他工作。</w:t>
      </w:r>
      <w:r>
        <w:rPr>
          <w:color w:val="000000" w:themeColor="text1"/>
          <w:highlight w:val="none"/>
        </w:rPr>
      </w:r>
      <w:r/>
    </w:p>
    <w:p>
      <w:pPr>
        <w:pStyle w:val="919"/>
        <w:ind w:firstLine="480"/>
        <w:spacing w:line="252" w:lineRule="auto"/>
        <w:rPr>
          <w:rFonts w:hint="eastAsia"/>
          <w:color w:val="000000" w:themeColor="text1"/>
          <w:highlight w:val="none"/>
        </w:rPr>
      </w:pPr>
      <w:r>
        <w:rPr>
          <w:rFonts w:hint="eastAsia" w:ascii="宋体" w:hAnsi="宋体" w:cs="宋体"/>
          <w:color w:val="000000" w:themeColor="text1"/>
          <w:sz w:val="24"/>
          <w:szCs w:val="24"/>
          <w:highlight w:val="none"/>
        </w:rPr>
        <w:t xml:space="preserve">6）</w:t>
      </w:r>
      <w:r>
        <w:rPr>
          <w:rFonts w:hint="eastAsia" w:ascii="宋体" w:hAnsi="宋体" w:cs="宋体"/>
          <w:b/>
          <w:bCs/>
          <w:color w:val="000000" w:themeColor="text1"/>
          <w:sz w:val="24"/>
          <w:szCs w:val="24"/>
          <w:highlight w:val="none"/>
        </w:rPr>
        <w:t xml:space="preserve">中标后，签订合同前需提供所采购设备原厂质保承诺书加盖厂商公章，</w:t>
      </w:r>
      <w:r>
        <w:rPr>
          <w:rFonts w:hint="eastAsia" w:ascii="宋体" w:hAnsi="宋体" w:cs="宋体"/>
          <w:color w:val="000000" w:themeColor="text1"/>
          <w:sz w:val="24"/>
          <w:szCs w:val="24"/>
          <w:highlight w:val="none"/>
        </w:rPr>
        <w:t xml:space="preserve">招标文件参数中有明确质保期的，以招标参数为准；未明确的，质保3年</w:t>
      </w:r>
      <w:r>
        <w:rPr>
          <w:rFonts w:hint="eastAsia" w:ascii="宋体" w:hAnsi="宋体" w:cs="宋体"/>
          <w:b/>
          <w:bCs/>
          <w:color w:val="000000" w:themeColor="text1"/>
          <w:sz w:val="24"/>
          <w:szCs w:val="24"/>
          <w:highlight w:val="none"/>
        </w:rPr>
        <w:t xml:space="preserve">。</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7）采购人根据实际工作需求，对零星点位和设备迁移，迁移所需线缆、穿线管等材料，从备品备件库中领用。</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中标供应商至少保证1辆可正常工作的高空作业车始终在六合辖区（高空作业车检修保养的，需提供替代高空作业车），并配备项目所需的充足高空作业车，在现有高空作业车无法及时支持所有登高服务的，应随时增加高空作业车，满足相应要求。每发现一次无高空作业车可用的扣2000元。</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9）确认设备损坏的，备品备件库中有的，从备品备件库中领用更换；备品备件库中没有该种类的，且采购单价超过1000元的，从其他未列出设备更换费中支付；单价未超1000元的，由中标供应商自行采购更换。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主线缆（电源线、光缆、光纤）从备品备件库中领用更换。主线缆是指从接电点至落地箱的线缆；没有落地机箱，仅有抱杆箱的，主线缆是指接入抱杆箱的线缆；非主线缆均由中标供应商进行更换，且更换的线缆是国标、不低于原规格。</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11）根据工作需要，临时布设监控点位，所需材料、设备从备品备件库中领用，除维护费的其他费用从其他未列出设备更换费中支付。</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12）其他未列出设备更换费主要用来支付飞线整治、投诉整改、安全隐患整改、上级交办、用于对接的定制程序、漏洞升级及其它未列入事项且备品备件库中没有的配件费。</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13）维护的前端设备（球机、卡口、测速等）费用中包含路口中智能终端设备维护费用，不另行报价。</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14）UPS整机质保维护，在发生故障后，专业维修人员须在</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小时赶到现场开展维护，每个季度开展整机检查，如无法履约单次扣减1</w:t>
      </w:r>
      <w:r>
        <w:rPr>
          <w:rFonts w:ascii="宋体" w:hAnsi="宋体" w:cs="宋体"/>
          <w:color w:val="000000" w:themeColor="text1"/>
          <w:sz w:val="24"/>
          <w:szCs w:val="24"/>
          <w:highlight w:val="none"/>
        </w:rPr>
        <w:t xml:space="preserve">0000</w:t>
      </w:r>
      <w:r>
        <w:rPr>
          <w:rFonts w:hint="eastAsia" w:ascii="宋体" w:hAnsi="宋体" w:cs="宋体"/>
          <w:color w:val="000000" w:themeColor="text1"/>
          <w:sz w:val="24"/>
          <w:szCs w:val="24"/>
          <w:highlight w:val="none"/>
        </w:rPr>
        <w:t xml:space="preserve">元。</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15）机房空调维护，每个月开展一次整体检修，在第一年的维护期内需要更换一次滤网和过滤水壶。在发生故障后，专业维修人员须在2小时赶到现场开展维护，如无法履约单次扣减1</w:t>
      </w:r>
      <w:r>
        <w:rPr>
          <w:rFonts w:ascii="宋体" w:hAnsi="宋体" w:cs="宋体"/>
          <w:color w:val="000000" w:themeColor="text1"/>
          <w:sz w:val="24"/>
          <w:szCs w:val="24"/>
          <w:highlight w:val="none"/>
        </w:rPr>
        <w:t xml:space="preserve">0000</w:t>
      </w:r>
      <w:r>
        <w:rPr>
          <w:rFonts w:hint="eastAsia" w:ascii="宋体" w:hAnsi="宋体" w:cs="宋体"/>
          <w:color w:val="000000" w:themeColor="text1"/>
          <w:sz w:val="24"/>
          <w:szCs w:val="24"/>
          <w:highlight w:val="none"/>
        </w:rPr>
        <w:t xml:space="preserve">元。</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系统平台维护：包含整理平台数据库，升级平台漏洞，与其他系统平台的对接、现场服务等保证平台正常运转的一切费用。硬件配件故障，采购的硬件配件费用从其他未列出设备更换费中支付。系统平台原厂现场服务不少于1</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次/年。</w:t>
      </w:r>
      <w:r>
        <w:rPr>
          <w:color w:val="000000" w:themeColor="text1"/>
          <w:highlight w:val="none"/>
        </w:rPr>
      </w:r>
      <w:r/>
    </w:p>
    <w:p>
      <w:pPr>
        <w:pStyle w:val="919"/>
        <w:ind w:firstLine="480"/>
        <w:spacing w:line="252" w:lineRule="auto"/>
        <w:rPr>
          <w:rFonts w:hint="eastAsia" w:ascii="宋体" w:hAnsi="宋体" w:cs="宋体"/>
          <w:sz w:val="24"/>
          <w:szCs w:val="24"/>
        </w:rPr>
      </w:pPr>
      <w:r>
        <w:rPr>
          <w:rFonts w:hint="eastAsia" w:ascii="宋体" w:hAnsi="宋体" w:cs="宋体"/>
          <w:color w:val="000000" w:themeColor="text1"/>
          <w:sz w:val="24"/>
          <w:szCs w:val="24"/>
          <w:highlight w:val="none"/>
        </w:rPr>
        <w:t xml:space="preserve">17</w:t>
      </w:r>
      <w:r>
        <w:rPr>
          <w:rFonts w:hint="eastAsia" w:ascii="宋体" w:hAnsi="宋体" w:cs="宋体"/>
          <w:color w:val="000000" w:themeColor="text1"/>
          <w:sz w:val="24"/>
          <w:szCs w:val="24"/>
          <w:highlight w:val="none"/>
          <w:lang w:val="en-GB"/>
        </w:rPr>
        <w:t xml:space="preserve">）</w:t>
      </w:r>
      <w:r>
        <w:rPr>
          <w:rFonts w:hint="eastAsia" w:ascii="宋体" w:hAnsi="宋体" w:cs="宋体"/>
          <w:color w:val="000000" w:themeColor="text1"/>
          <w:sz w:val="24"/>
          <w:szCs w:val="24"/>
          <w:highlight w:val="none"/>
        </w:rPr>
        <w:t xml:space="preserve">信号机维护：信号机的主控板、灯驱板、转接板、</w:t>
      </w:r>
      <w:r>
        <w:rPr>
          <w:rFonts w:hint="eastAsia" w:ascii="宋体" w:hAnsi="宋体" w:cs="宋体"/>
          <w:sz w:val="24"/>
          <w:szCs w:val="24"/>
        </w:rPr>
        <w:t xml:space="preserve">电源板损坏，返厂维修，报价时考虑邮寄费，其他损坏配件低于1000元的，由中标供应商支付，超过1000元的，从其他未列出设备更换费中支付。</w:t>
      </w:r>
      <w:r>
        <w:rPr>
          <w:rFonts w:hint="eastAsia" w:ascii="宋体" w:hAnsi="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18）机房配件更换，机房内的所有配件损坏或因工作需要而更换或升级设备，从其他未列出设备更换费中支付。</w:t>
      </w:r>
      <w:r>
        <w:rPr>
          <w:rFonts w:hint="eastAsia" w:ascii="宋体" w:hAnsi="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19）所投的备品备件，无法更换现有的损坏部件，在不加价格的情况下，更换成不低于同档次的、满足更换要求的备品备件。</w:t>
      </w:r>
      <w:r>
        <w:rPr>
          <w:rFonts w:hint="eastAsia" w:ascii="宋体" w:hAnsi="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20）线缆更换：需将原有线缆拆除，确认管道无法穿线的，报经采购人同意，按照横平竖直方式架空拉线。</w:t>
      </w:r>
      <w:r>
        <w:rPr>
          <w:rFonts w:hint="eastAsia" w:ascii="宋体" w:hAnsi="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21）每个点位维护时间以实际维护时间为准。</w:t>
      </w:r>
      <w:r>
        <w:rPr>
          <w:rFonts w:hint="eastAsia" w:ascii="宋体" w:hAnsi="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22）根据备品备件库存量，按实际需求采购，季度结算。</w:t>
      </w:r>
      <w:r>
        <w:rPr>
          <w:rFonts w:hint="eastAsia" w:ascii="宋体" w:hAnsi="宋体" w:cs="宋体"/>
          <w:sz w:val="24"/>
          <w:szCs w:val="24"/>
        </w:rPr>
      </w:r>
      <w:r/>
    </w:p>
    <w:p>
      <w:pPr>
        <w:pStyle w:val="919"/>
        <w:ind w:firstLine="480"/>
        <w:spacing w:line="252" w:lineRule="auto"/>
        <w:rPr>
          <w:rFonts w:ascii="宋体" w:hAnsi="宋体" w:cs="宋体"/>
          <w:sz w:val="24"/>
          <w:szCs w:val="24"/>
        </w:rPr>
      </w:pPr>
      <w:r>
        <w:rPr>
          <w:rFonts w:hint="eastAsia" w:ascii="宋体" w:hAnsi="宋体" w:cs="宋体"/>
          <w:sz w:val="24"/>
          <w:szCs w:val="24"/>
        </w:rPr>
        <w:t xml:space="preserve">23）大屏维护中，损坏的配件低于1000元的，由中标供应商支付，超过1000元的，从其他未列出设备更换费中支付。</w:t>
      </w:r>
      <w:r>
        <w:rPr>
          <w:rFonts w:ascii="宋体" w:hAnsi="宋体" w:cs="宋体"/>
          <w:sz w:val="24"/>
          <w:szCs w:val="24"/>
        </w:rPr>
      </w:r>
      <w:r/>
    </w:p>
    <w:p>
      <w:pPr>
        <w:pStyle w:val="919"/>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24）分项报价表中备注国产优质的，在采购时可根据实际故障部件更换对应的备件。</w:t>
      </w:r>
      <w:r>
        <w:rPr>
          <w:rFonts w:hint="eastAsia" w:ascii="宋体" w:hAnsi="宋体" w:eastAsia="宋体" w:cs="宋体"/>
          <w:sz w:val="24"/>
          <w:szCs w:val="24"/>
        </w:rPr>
      </w:r>
      <w:r/>
    </w:p>
    <w:p>
      <w:pPr>
        <w:pStyle w:val="919"/>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25）除备品备件分项报价表中备注中标注为国产优质的，投标时其他的必须报品牌。</w:t>
      </w:r>
      <w:r>
        <w:rPr>
          <w:rFonts w:hint="eastAsia" w:ascii="宋体" w:hAnsi="宋体" w:eastAsia="宋体" w:cs="宋体"/>
          <w:sz w:val="24"/>
          <w:szCs w:val="24"/>
        </w:rPr>
      </w:r>
      <w:r/>
    </w:p>
    <w:p>
      <w:pPr>
        <w:pStyle w:val="919"/>
        <w:ind w:firstLine="480"/>
        <w:spacing w:line="252"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26）在投标时，各类检测报告</w:t>
      </w:r>
      <w:r>
        <w:rPr>
          <w:rFonts w:hint="eastAsia" w:ascii="宋体" w:hAnsi="宋体" w:eastAsia="宋体" w:cs="宋体"/>
          <w:sz w:val="24"/>
          <w:szCs w:val="24"/>
        </w:rPr>
        <w:t xml:space="preserve">、证书、截图等证明材料</w:t>
      </w:r>
      <w:r>
        <w:rPr>
          <w:rFonts w:hint="eastAsia" w:ascii="宋体" w:hAnsi="宋体" w:eastAsia="宋体" w:cs="宋体"/>
          <w:sz w:val="24"/>
          <w:szCs w:val="24"/>
          <w:lang w:val="en-US"/>
        </w:rPr>
        <w:t xml:space="preserve">可以不加盖原厂公章，但需提供投标人的承诺书，承诺签订合同前提供加盖原厂公章的检测报告</w:t>
      </w:r>
      <w:r>
        <w:rPr>
          <w:rFonts w:hint="eastAsia" w:ascii="宋体" w:hAnsi="宋体" w:eastAsia="宋体" w:cs="宋体"/>
          <w:sz w:val="24"/>
          <w:szCs w:val="24"/>
        </w:rPr>
        <w:t xml:space="preserve">、证书、截图等证明材料</w:t>
      </w:r>
      <w:r>
        <w:rPr>
          <w:rFonts w:hint="eastAsia" w:ascii="宋体" w:hAnsi="宋体" w:eastAsia="宋体" w:cs="宋体"/>
          <w:sz w:val="24"/>
          <w:szCs w:val="24"/>
          <w:lang w:val="en-US"/>
        </w:rPr>
        <w:t xml:space="preserve">。</w:t>
      </w:r>
      <w:r>
        <w:rPr>
          <w:rFonts w:hint="eastAsia" w:ascii="宋体" w:hAnsi="宋体" w:eastAsia="宋体" w:cs="宋体"/>
          <w:sz w:val="24"/>
          <w:szCs w:val="24"/>
          <w:lang w:val="en-US"/>
        </w:rPr>
      </w:r>
      <w:r/>
    </w:p>
    <w:p>
      <w:pPr>
        <w:pStyle w:val="919"/>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27）至少提供3台发电机，在信号灯断电时，首选发电机供电，油费分摊在项目中；至少提供3台临时信号灯（信号灯故障，可以放临时信号灯路口），至少提供12个便携式警示灯（信号灯故障时，无法用发电机和临时信号灯，在路边放便携式警示灯）。</w:t>
      </w:r>
      <w:r>
        <w:rPr>
          <w:rFonts w:hint="eastAsia" w:ascii="宋体" w:hAnsi="宋体" w:eastAsia="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28）提供不少于100平方米的场地，用于临时存放杆件、旧设备等，并将上期的废旧设备托运至新场地保存。</w:t>
      </w:r>
      <w:r>
        <w:rPr>
          <w:rFonts w:hint="eastAsia" w:ascii="宋体" w:hAnsi="宋体" w:cs="宋体"/>
          <w:sz w:val="24"/>
          <w:szCs w:val="24"/>
        </w:rPr>
      </w:r>
      <w:r/>
    </w:p>
    <w:p>
      <w:pPr>
        <w:pStyle w:val="919"/>
        <w:ind w:firstLine="480"/>
        <w:spacing w:line="252" w:lineRule="auto"/>
        <w:rPr>
          <w:rFonts w:ascii="宋体" w:hAnsi="宋体" w:cs="宋体"/>
          <w:sz w:val="24"/>
          <w:szCs w:val="24"/>
        </w:rPr>
      </w:pPr>
      <w:r>
        <w:rPr>
          <w:rFonts w:hint="eastAsia" w:ascii="宋体" w:hAnsi="宋体" w:cs="宋体"/>
          <w:sz w:val="24"/>
          <w:szCs w:val="24"/>
        </w:rPr>
        <w:t xml:space="preserve">29）根据采购商的需要，在指定的地点，新增建设监控点位，从备品备件中申领材料，不在备品备件库中的材料，从其他未列出设备更换费中支付。</w:t>
      </w:r>
      <w:r>
        <w:rPr>
          <w:rFonts w:ascii="宋体" w:hAnsi="宋体" w:cs="宋体"/>
          <w:sz w:val="24"/>
          <w:szCs w:val="24"/>
        </w:rPr>
      </w:r>
      <w:r/>
    </w:p>
    <w:p>
      <w:pPr>
        <w:pStyle w:val="919"/>
        <w:ind w:firstLine="480"/>
        <w:spacing w:line="252" w:lineRule="auto"/>
        <w:rPr>
          <w:rFonts w:hint="eastAsia" w:ascii="宋体" w:hAnsi="宋体" w:cs="宋体"/>
          <w:sz w:val="24"/>
          <w:szCs w:val="24"/>
        </w:rPr>
      </w:pPr>
      <w:r>
        <w:rPr>
          <w:rFonts w:hint="eastAsia" w:ascii="宋体" w:hAnsi="宋体" w:cs="宋体"/>
          <w:sz w:val="24"/>
          <w:szCs w:val="24"/>
        </w:rPr>
        <w:t xml:space="preserve">30）建筑工程一切险、第三方责任险由中标供应商投保，投保的范围和条件应符合招标文件及国家有关规定，保险费由中标供应商承担并支付，其中第三者责任限额不低于1000万元，单人单次事故不低于150万元。投标文件中提供承诺书并加盖公章，合同签订后且进场前需提供相关投保证明材料。</w:t>
      </w:r>
      <w:r>
        <w:rPr>
          <w:rFonts w:hint="eastAsia" w:ascii="宋体" w:hAnsi="宋体" w:cs="宋体"/>
          <w:sz w:val="24"/>
          <w:szCs w:val="24"/>
        </w:rPr>
      </w:r>
      <w:r/>
    </w:p>
    <w:p>
      <w:pPr>
        <w:pStyle w:val="919"/>
        <w:ind w:firstLine="480"/>
        <w:spacing w:line="264" w:lineRule="auto"/>
        <w:rPr>
          <w:rFonts w:ascii="宋体" w:hAnsi="宋体" w:cs="宋体"/>
          <w:b/>
          <w:color w:val="000000"/>
          <w:sz w:val="24"/>
          <w:szCs w:val="24"/>
        </w:rPr>
      </w:pPr>
      <w:r>
        <w:rPr>
          <w:rFonts w:hint="eastAsia" w:ascii="宋体" w:hAnsi="宋体" w:cs="宋体"/>
          <w:b/>
          <w:color w:val="000000"/>
          <w:sz w:val="24"/>
          <w:szCs w:val="24"/>
        </w:rPr>
        <w:t xml:space="preserve">4、</w:t>
      </w:r>
      <w:r>
        <w:rPr>
          <w:rFonts w:ascii="宋体" w:hAnsi="宋体" w:cs="宋体"/>
          <w:b/>
          <w:color w:val="000000"/>
          <w:sz w:val="24"/>
          <w:szCs w:val="24"/>
        </w:rPr>
        <w:t xml:space="preserve">本项目其他附件</w:t>
      </w:r>
      <w:r>
        <w:rPr>
          <w:rFonts w:ascii="宋体" w:hAnsi="宋体" w:cs="宋体"/>
          <w:b/>
          <w:color w:val="000000"/>
          <w:sz w:val="24"/>
          <w:szCs w:val="24"/>
        </w:rPr>
      </w:r>
      <w:r/>
    </w:p>
    <w:p>
      <w:pPr>
        <w:pStyle w:val="919"/>
        <w:ind w:firstLine="480"/>
        <w:spacing w:line="264" w:lineRule="auto"/>
        <w:rPr>
          <w:rFonts w:hint="eastAsia" w:ascii="黑体" w:hAnsi="黑体" w:eastAsia="黑体" w:cs="黑体"/>
          <w:sz w:val="24"/>
          <w:szCs w:val="24"/>
        </w:rPr>
      </w:pPr>
      <w:r>
        <w:rPr>
          <w:rFonts w:hint="eastAsia" w:ascii="宋体" w:hAnsi="宋体" w:cs="宋体"/>
          <w:bCs/>
          <w:color w:val="000000"/>
          <w:sz w:val="24"/>
          <w:szCs w:val="24"/>
        </w:rPr>
        <w:t xml:space="preserve">无</w:t>
      </w:r>
      <w:r>
        <w:rPr>
          <w:rFonts w:hint="eastAsia" w:ascii="黑体" w:hAnsi="黑体" w:eastAsia="黑体" w:cs="黑体"/>
          <w:sz w:val="24"/>
          <w:szCs w:val="24"/>
        </w:rPr>
      </w:r>
      <w:r/>
    </w:p>
    <w:p>
      <w:pPr>
        <w:pStyle w:val="919"/>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919"/>
        <w:ind w:firstLine="480"/>
        <w:spacing w:line="252" w:lineRule="auto"/>
        <w:rPr>
          <w:rFonts w:ascii="宋体" w:hAnsi="宋体"/>
          <w:color w:val="0000ff"/>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报价要求</w:t>
      </w:r>
      <w:r>
        <w:rPr>
          <w:rFonts w:ascii="宋体" w:hAnsi="宋体"/>
          <w:color w:val="0000ff"/>
          <w:sz w:val="24"/>
          <w:szCs w:val="24"/>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w:t>
      </w:r>
      <w:r>
        <w:rPr>
          <w:rFonts w:hint="eastAsia" w:ascii="宋体" w:hAnsi="宋体" w:cs="宋体"/>
          <w:color w:val="000000" w:themeColor="text1"/>
          <w:sz w:val="24"/>
          <w:szCs w:val="24"/>
          <w:highlight w:val="none"/>
        </w:rPr>
        <w:t xml:space="preserve">金，以及投标人认为需要的其他费用等。</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（2）投标人的任何错漏、优惠、竞争性报价不得作为减轻责任、减少服务、增加收费、降低服务质量的理由。</w:t>
      </w:r>
      <w:r>
        <w:rPr>
          <w:color w:val="000000" w:themeColor="text1"/>
          <w:highlight w:val="none"/>
        </w:rPr>
      </w:r>
      <w:r/>
    </w:p>
    <w:p>
      <w:pPr>
        <w:pStyle w:val="919"/>
        <w:ind w:firstLine="480"/>
        <w:spacing w:line="252"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（3）投标人报价除包含招标文件中列明的项目外，还应包括保障服务正常运行应当具有的物资和服务，对服务正常运行应当具有的物资和服务理解不一致的以采购人理解为准。</w:t>
      </w:r>
      <w:r>
        <w:rPr>
          <w:color w:val="000000" w:themeColor="text1"/>
          <w:highlight w:val="none"/>
        </w:rPr>
      </w:r>
      <w:r/>
    </w:p>
    <w:p>
      <w:pPr>
        <w:pStyle w:val="919"/>
        <w:ind w:firstLine="480"/>
        <w:spacing w:line="252"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rPr>
        <w:t xml:space="preserve">实施要求</w:t>
      </w:r>
      <w:r>
        <w:rPr>
          <w:color w:val="000000" w:themeColor="text1"/>
          <w:highlight w:val="none"/>
        </w:rPr>
      </w:r>
      <w:r/>
    </w:p>
    <w:p>
      <w:pPr>
        <w:pStyle w:val="919"/>
        <w:ind w:firstLine="480"/>
        <w:spacing w:line="252"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总体要求</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达到维护要求。</w:t>
      </w:r>
      <w:r>
        <w:rPr>
          <w:color w:val="000000" w:themeColor="text1"/>
          <w:highlight w:val="none"/>
        </w:rPr>
      </w:r>
      <w:r/>
    </w:p>
    <w:p>
      <w:pPr>
        <w:pStyle w:val="919"/>
        <w:ind w:firstLine="480"/>
        <w:spacing w:line="252"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服务要求</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（1）交通信号灯</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①信号灯及其附属设施的安全性日常检查。包括杆件、电源、线缆、检修井（盖）、灯具等全部配套设施检查与更换。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②新改扩建道路信号灯（含附属设施）的移交接收，以及目前已有维护单位的信号灯（含附属设施）到期后的后续维护。</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③根据需求及流量变化及时调整信号灯配时，以及重大活动、警卫安保等信号保障。</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④因道路建设需要临时拆除信号灯、电子警察及视频监控设施（含附属设施）及道路建设结束后的恢复（拆除期间应视情况设置临时信号灯）。</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⑤因升级改造需要，提供相关设备的更换、调试服务。</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⑥因交通事故等原因造成的损坏，有赔偿方的由采购人委托中标供应商按照交通事故处理程序进行索赔，无赔偿方的由中标供应商自行恢复，相关设施规格、质量、型号及性能不低于原标准。</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⑦对信号灯进行日常巡查，发现设施损坏的，应及时修复，无法修复需更换相关设备的，中标供应商经采购人同意后，从备品备件清单（备品备件种类见备品备件分项报价表）中予以更换。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⑧日常巡查包括（包括但不限于）：</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信号灯及杆件、信号机柜的内、外部保洁，小广告、蜘蛛网、树木、杂物遮挡的清除；</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对歪斜灯杆、灯具的校正，松动部件的紧固等；</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信号灯故障的排除（应根据交管部门意见设置发电机、临时信号灯、警示灯），对有维护单位的路口信号灯，中标供应商有义务进行日常平台巡查，发现问题的及时通知采购人，由采购人通知原维护单位进行维护。</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⑨线缆坠落、断裂等故障的修复、更换。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⑩按照采购人要求，对原架空线缆进行下地施工。</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⑪在已有的杆件上零星增补视频监控。</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⑫中标供应商应对日常各项巡查、修复、更换设备等工作统一台账，并每季度报采购人备案。</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GB"/>
        </w:rPr>
        <w:t xml:space="preserve">（2）</w:t>
      </w:r>
      <w:r>
        <w:rPr>
          <w:rFonts w:hint="eastAsia" w:ascii="宋体" w:hAnsi="宋体" w:cs="宋体"/>
          <w:color w:val="000000" w:themeColor="text1"/>
          <w:sz w:val="24"/>
          <w:szCs w:val="24"/>
          <w:highlight w:val="none"/>
        </w:rPr>
        <w:t xml:space="preserve">电子警察、视频监控等设备</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①相关设备安全性日常检查，包括但不限于杆件、电源、线缆、检修井（盖）、设备紧固件、空挂机箱等全部配备设施检查与更换。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②其他单位移交的设备及其附属设施做好移交检查及接收。</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③其他建设需要临时拆除及结束后的恢复，包括采购人需求迁移部分零星监控点位的施工。</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④因升级改造需要，提供相关设备的更换、调试服务等。</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⑤因交通事故等原因造成的损坏，有赔偿方的由采购人委托中标供应商按照交通事故处理程序进行索赔，无赔偿方的由中标供应商自行恢复，相关设施规格、质量、型号及性能不低于原标准。</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⑥对各类设备进行日常巡查，包括但不仅限于设备及杆件的清洁、小广告、树木遮挡的清除。发现设备损坏的，应及时修复，无法修复需更换相关设备的，中标供应商经采购人同意后从备品备件中予以更换。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⑦对部分未到期维护单位的相关设备，中标供应商有义务进行日常系统巡查，发现设备损坏及时通知采购人，由采购人通知原维护单位进行维护。</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⑧线缆坠落、断裂等故障的修复、更换。</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⑨按照采购人要求，对原架空线缆进行下地施工。</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⑩中标供应商应对日常各项巡查、修复、更换设备等工作统一台账，并每季度报采购人备案。</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GB"/>
        </w:rPr>
        <w:t xml:space="preserve">⑪</w:t>
      </w:r>
      <w:r>
        <w:rPr>
          <w:rFonts w:hint="eastAsia" w:ascii="宋体" w:hAnsi="宋体" w:cs="宋体"/>
          <w:color w:val="000000" w:themeColor="text1"/>
          <w:sz w:val="24"/>
          <w:szCs w:val="24"/>
          <w:highlight w:val="none"/>
        </w:rPr>
        <w:t xml:space="preserve">对车辆抓拍、人脸抓拍设备，进行调试，满足抓拍需要。</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（3）网络传输</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供应商应进行日常网络传输情况的巡查，对发现传输故障的，及时与相应网络租赁公司联系，并协助做好网络传输恢复工作。每个接入点采用租用（EPON、带宽不低于100M）或自建光纤方式（接入就近派出所），确保图像传输流畅，线路故障24小时内恢复。</w:t>
      </w:r>
      <w:r>
        <w:rPr>
          <w:color w:val="000000" w:themeColor="text1"/>
          <w:highlight w:val="none"/>
        </w:rPr>
      </w:r>
      <w:r/>
    </w:p>
    <w:p>
      <w:pPr>
        <w:pStyle w:val="919"/>
        <w:ind w:firstLine="480"/>
        <w:spacing w:line="252"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人员要求</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项目团队至少有17名维护服务人员，其中4名驻场，13名前端巡检维护。</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4名驻场人员，分别为项目经理、安全员、网络平台维护员、材料管理员，其中项目经理全面负责项目管理、运行</w:t>
      </w:r>
      <w:r>
        <w:rPr>
          <w:rFonts w:hint="eastAsia" w:ascii="宋体" w:hAnsi="宋体" w:cs="宋体"/>
          <w:color w:val="000000" w:themeColor="text1"/>
          <w:sz w:val="24"/>
          <w:szCs w:val="24"/>
          <w:highlight w:val="none"/>
        </w:rPr>
        <w:t xml:space="preserve">，安全员负责日常安全教育、安全监督、视频监控、信号灯、卡口设备的巡检、人体等抓拍巡检，满足上级机关对视频、卡口数据考核要求；网络平台维护员负责后端网络、平台、设备、维护接入等工作；材料管理员负责视频监控、卡口设备的巡检、人体等抓拍巡检，满足上级机关对视频、卡口数据考核要求；材料管理员主要负责资料管理，维护资料整理、移交项目前期实地检查、平台数据质量通报等工作。投标中承诺从事本项目的工作人员，人员调整需经采购人同意。在维护过程中，发现中标供应商提供的维护人员不能胜任相关工作，采购人有权要求中标供应商更换人员。</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13名维护人员，无需驻场，但应满足故障当日响应，当日修复的要求，无法保障及时完成管养维修任务的（包含大面积故障、恶劣天气影响等情况），需临时增配人员参与维护服务，</w:t>
      </w:r>
      <w:r>
        <w:rPr>
          <w:rFonts w:hint="eastAsia" w:ascii="宋体" w:hAnsi="宋体" w:eastAsia="宋体" w:cs="宋体"/>
          <w:color w:val="000000" w:themeColor="text1"/>
          <w:sz w:val="24"/>
          <w:szCs w:val="24"/>
          <w:highlight w:val="none"/>
        </w:rPr>
        <w:t xml:space="preserve">所有维护人员需持证上岗。</w:t>
      </w:r>
      <w:r>
        <w:rPr>
          <w:color w:val="000000" w:themeColor="text1"/>
          <w:highlight w:val="none"/>
        </w:rPr>
      </w:r>
      <w:r/>
    </w:p>
    <w:p>
      <w:pPr>
        <w:pStyle w:val="919"/>
        <w:ind w:firstLine="480"/>
        <w:spacing w:line="252" w:lineRule="auto"/>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参与项目维护的人员临时调整或增加的，需签订保密协议，并向采购人报备。</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维保要求</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1）接到报修通知，原主城区、</w:t>
      </w:r>
      <w:r>
        <w:rPr>
          <w:rFonts w:hint="eastAsia" w:ascii="宋体" w:hAnsi="宋体" w:cs="宋体"/>
          <w:color w:val="000000" w:themeColor="text1"/>
          <w:sz w:val="24"/>
          <w:szCs w:val="24"/>
          <w:highlight w:val="none"/>
        </w:rPr>
        <w:t xml:space="preserve">新城、开发区范围内信号灯故障的，1小时赶到现场；干线公路、各街镇信号灯故障的，2小时赶到现场；未按规定时间到现场处置的，扣除1000元/处。普通故障的，超过8小时未恢复的；复杂故障的，信号灯故障超过24小时未恢复的，扣除2000元/处。连续72小时未恢复的，采购人可聘用临时服务人员进行维护，产生的一切费用均从维护费中扣除。中标供应商未规范履职造成严重后果的，采购人有权解除合同，并因解除合同，产生的一切费用均从维护费中扣除（以上故障因修路等其他人为破坏的除外，故障排除期间，应根据交管部门意见设置临时信号灯）。</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2）中标供应商至少准备5套临时信号灯，保持可工作状态，并根据交管部门意见摆放，无法按要求提供的，每次扣3000元。</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3）前端维护：每日至少安排1组人值班（含夜间），根据通知进行维护，1组人无法完成维护任务的，根据维护任务情况增加相应的人员，保证有足够人员能及时进行维护。</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4）后端巡检维护：每日至少安排1名工作人员值守至22时，无法完成维护任务的，根据维护任务情况增加相应的人员，保证有足够人员能及时进行维护。</w:t>
      </w:r>
      <w:r>
        <w:rPr>
          <w:color w:val="000000" w:themeColor="text1"/>
          <w:highlight w:val="none"/>
        </w:rPr>
      </w:r>
      <w:r/>
    </w:p>
    <w:p>
      <w:pPr>
        <w:pStyle w:val="919"/>
        <w:ind w:firstLine="480"/>
        <w:spacing w:line="252" w:lineRule="auto"/>
        <w:rPr>
          <w:rFonts w:hint="eastAsia"/>
          <w:color w:val="000000" w:themeColor="text1"/>
          <w:highlight w:val="none"/>
        </w:rPr>
      </w:pPr>
      <w:r>
        <w:rPr>
          <w:rFonts w:hint="eastAsia" w:ascii="宋体" w:hAnsi="宋体" w:cs="宋体"/>
          <w:color w:val="000000" w:themeColor="text1"/>
          <w:sz w:val="24"/>
          <w:szCs w:val="24"/>
          <w:highlight w:val="none"/>
        </w:rPr>
        <w:t xml:space="preserve">5）根据上级要求，开展相关的数据整改、设备调试等工作。</w:t>
      </w:r>
      <w:r>
        <w:rPr>
          <w:color w:val="000000" w:themeColor="text1"/>
          <w:highlight w:val="none"/>
        </w:rPr>
      </w:r>
      <w:r/>
    </w:p>
    <w:p>
      <w:pPr>
        <w:pStyle w:val="919"/>
        <w:ind w:firstLine="480"/>
        <w:spacing w:line="252"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ascii="宋体" w:hAnsi="宋体" w:cs="宋体"/>
          <w:bCs/>
          <w:color w:val="000000" w:themeColor="text1"/>
          <w:sz w:val="24"/>
          <w:szCs w:val="24"/>
          <w:highlight w:val="none"/>
        </w:rPr>
        <w:t xml:space="preserve">付款条件</w:t>
      </w:r>
      <w:r>
        <w:rPr>
          <w:color w:val="000000" w:themeColor="text1"/>
          <w:highlight w:val="none"/>
        </w:rPr>
      </w:r>
      <w:r/>
    </w:p>
    <w:p>
      <w:pPr>
        <w:pStyle w:val="919"/>
        <w:ind w:firstLine="480"/>
        <w:spacing w:line="252"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以第三章合同文本</w:t>
      </w:r>
      <w:r>
        <w:rPr>
          <w:rFonts w:hint="eastAsia" w:ascii="宋体" w:hAnsi="宋体" w:cs="宋体"/>
          <w:color w:val="000000" w:themeColor="text1"/>
          <w:sz w:val="24"/>
          <w:szCs w:val="24"/>
          <w:highlight w:val="none"/>
        </w:rPr>
        <w:t xml:space="preserve">内容</w:t>
      </w:r>
      <w:r>
        <w:rPr>
          <w:rFonts w:ascii="宋体" w:hAnsi="宋体" w:cs="宋体"/>
          <w:color w:val="000000" w:themeColor="text1"/>
          <w:sz w:val="24"/>
          <w:szCs w:val="24"/>
          <w:highlight w:val="none"/>
        </w:rPr>
        <w:t xml:space="preserve">为准。</w:t>
      </w:r>
      <w:r>
        <w:rPr>
          <w:color w:val="000000" w:themeColor="text1"/>
          <w:highlight w:val="none"/>
        </w:rPr>
      </w:r>
      <w:r/>
    </w:p>
    <w:p>
      <w:pPr>
        <w:pStyle w:val="919"/>
        <w:ind w:firstLine="480"/>
        <w:spacing w:line="252"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交付时间及地点</w:t>
      </w:r>
      <w:r>
        <w:rPr>
          <w:color w:val="000000" w:themeColor="text1"/>
          <w:highlight w:val="none"/>
        </w:rPr>
      </w:r>
      <w:r/>
    </w:p>
    <w:p>
      <w:pPr>
        <w:pStyle w:val="919"/>
        <w:ind w:firstLine="480"/>
        <w:spacing w:line="252"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（1）交付时间：</w:t>
      </w:r>
      <w:r>
        <w:rPr>
          <w:rFonts w:hint="eastAsia" w:ascii="宋体" w:hAnsi="宋体" w:cs="宋体"/>
          <w:color w:val="000000" w:themeColor="text1"/>
          <w:sz w:val="24"/>
          <w:szCs w:val="24"/>
          <w:highlight w:val="none"/>
        </w:rPr>
        <w:t xml:space="preserve">自</w:t>
      </w:r>
      <w:r>
        <w:rPr>
          <w:rFonts w:hint="eastAsia" w:ascii="宋体" w:hAnsi="宋体"/>
          <w:color w:val="000000" w:themeColor="text1"/>
          <w:sz w:val="24"/>
          <w:szCs w:val="24"/>
          <w:highlight w:val="none"/>
        </w:rPr>
        <w:t xml:space="preserve">进场维护之日起365天</w:t>
      </w:r>
      <w:r>
        <w:rPr>
          <w:color w:val="000000" w:themeColor="text1"/>
          <w:highlight w:val="none"/>
        </w:rPr>
      </w:r>
      <w:r/>
    </w:p>
    <w:p>
      <w:pPr>
        <w:pStyle w:val="919"/>
        <w:ind w:firstLine="480"/>
        <w:spacing w:line="252" w:lineRule="auto"/>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（2）交付地点：采购人指定地点</w:t>
      </w:r>
      <w:r>
        <w:rPr>
          <w:rFonts w:hint="eastAsia" w:ascii="宋体" w:hAnsi="宋体" w:cs="宋体"/>
          <w:bCs/>
          <w:color w:val="000000" w:themeColor="text1"/>
          <w:sz w:val="24"/>
          <w:szCs w:val="24"/>
          <w:highlight w:val="none"/>
        </w:rPr>
        <w:t xml:space="preserve">。</w:t>
      </w:r>
      <w:r>
        <w:rPr>
          <w:color w:val="000000" w:themeColor="text1"/>
          <w:highlight w:val="none"/>
        </w:rPr>
      </w:r>
      <w:r/>
    </w:p>
    <w:p>
      <w:pPr>
        <w:pStyle w:val="919"/>
        <w:ind w:firstLine="480"/>
        <w:spacing w:line="252"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5.履约保证金</w:t>
      </w:r>
      <w:r>
        <w:rPr>
          <w:color w:val="000000" w:themeColor="text1"/>
          <w:highlight w:val="none"/>
        </w:rPr>
      </w:r>
      <w:r/>
    </w:p>
    <w:p>
      <w:pPr>
        <w:pStyle w:val="919"/>
        <w:ind w:firstLine="480"/>
        <w:spacing w:line="252" w:lineRule="auto"/>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以第三章合同文本</w:t>
      </w:r>
      <w:r>
        <w:rPr>
          <w:rFonts w:hint="eastAsia" w:ascii="宋体" w:hAnsi="宋体" w:cs="宋体"/>
          <w:bCs/>
          <w:color w:val="000000" w:themeColor="text1"/>
          <w:sz w:val="24"/>
          <w:szCs w:val="24"/>
          <w:highlight w:val="none"/>
        </w:rPr>
        <w:t xml:space="preserve">内容</w:t>
      </w:r>
      <w:r>
        <w:rPr>
          <w:rFonts w:ascii="宋体" w:hAnsi="宋体" w:cs="宋体"/>
          <w:bCs/>
          <w:color w:val="000000" w:themeColor="text1"/>
          <w:sz w:val="24"/>
          <w:szCs w:val="24"/>
          <w:highlight w:val="none"/>
        </w:rPr>
        <w:t xml:space="preserve">为准。</w:t>
      </w:r>
      <w:r>
        <w:rPr>
          <w:color w:val="000000" w:themeColor="text1"/>
          <w:highlight w:val="none"/>
        </w:rPr>
      </w:r>
      <w:r/>
    </w:p>
    <w:p>
      <w:pPr>
        <w:pStyle w:val="919"/>
        <w:ind w:firstLine="480"/>
        <w:spacing w:line="252" w:lineRule="auto"/>
        <w:rPr>
          <w:rFonts w:hint="eastAsia" w:ascii="宋体" w:hAnsi="宋体" w:cs="宋体"/>
          <w:bCs/>
          <w:color w:val="000000" w:themeColor="text1"/>
          <w:sz w:val="24"/>
          <w:szCs w:val="24"/>
          <w:highlight w:val="none"/>
        </w:rPr>
      </w:pPr>
      <w:r>
        <w:rPr>
          <w:color w:val="000000" w:themeColor="text1"/>
          <w:highlight w:val="none"/>
        </w:rPr>
      </w:r>
      <w:bookmarkStart w:id="57" w:name="OLE_LINK1"/>
      <w:r>
        <w:rPr>
          <w:rFonts w:hint="eastAsia" w:ascii="宋体" w:hAnsi="宋体" w:cs="宋体"/>
          <w:bCs/>
          <w:color w:val="000000" w:themeColor="text1"/>
          <w:sz w:val="24"/>
          <w:szCs w:val="24"/>
          <w:highlight w:val="none"/>
        </w:rPr>
        <w:t xml:space="preserve">6.其他要求</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color w:val="000000" w:themeColor="text1"/>
          <w:highlight w:val="none"/>
        </w:rPr>
      </w:r>
      <w:bookmarkEnd w:id="57"/>
      <w:r>
        <w:rPr>
          <w:rFonts w:hint="eastAsia" w:ascii="宋体" w:hAnsi="宋体" w:cs="宋体"/>
          <w:color w:val="000000" w:themeColor="text1"/>
          <w:sz w:val="24"/>
          <w:szCs w:val="24"/>
          <w:highlight w:val="none"/>
        </w:rPr>
        <w:t xml:space="preserve">招标文件中要求提供证明材料的，签订合同时投标人应按招标文件要求和投标文件响应内容提供相应证明材料原件供采购人核验，否则采购人将取消其中标资格。</w:t>
      </w:r>
      <w:r>
        <w:rPr>
          <w:color w:val="000000" w:themeColor="text1"/>
          <w:highlight w:val="none"/>
        </w:rPr>
      </w:r>
      <w:r/>
    </w:p>
    <w:p>
      <w:pPr>
        <w:pStyle w:val="919"/>
        <w:ind w:firstLine="480"/>
        <w:spacing w:line="252"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color w:val="000000" w:themeColor="text1"/>
          <w:highlight w:val="none"/>
        </w:rPr>
      </w:r>
      <w:r/>
    </w:p>
    <w:p>
      <w:pPr>
        <w:pStyle w:val="919"/>
        <w:jc w:val="center"/>
        <w:spacing w:line="252" w:lineRule="auto"/>
        <w:rPr>
          <w:rFonts w:hint="eastAsia" w:ascii="方正小标宋简体" w:hAnsi="方正小标宋简体" w:eastAsia="方正小标宋简体" w:cs="方正小标宋简体"/>
          <w:color w:val="000000" w:themeColor="text1"/>
          <w:sz w:val="36"/>
          <w:szCs w:val="36"/>
          <w:highlight w:val="none"/>
        </w:rPr>
      </w:pPr>
      <w:r>
        <w:rPr>
          <w:rFonts w:hint="eastAsia" w:ascii="宋体" w:hAnsi="宋体" w:cs="宋体"/>
          <w:b/>
          <w:bCs/>
          <w:color w:val="000000" w:themeColor="text1"/>
          <w:sz w:val="24"/>
          <w:szCs w:val="24"/>
          <w:highlight w:val="none"/>
        </w:rPr>
        <w:br w:type="page" w:clear="all"/>
      </w:r>
      <w:bookmarkStart w:id="58" w:name="_Toc120614281"/>
      <w:r>
        <w:rPr>
          <w:rFonts w:hint="eastAsia" w:ascii="方正小标宋简体" w:hAnsi="方正小标宋简体" w:eastAsia="方正小标宋简体" w:cs="方正小标宋简体"/>
          <w:color w:val="000000" w:themeColor="text1"/>
          <w:sz w:val="36"/>
          <w:szCs w:val="36"/>
          <w:highlight w:val="none"/>
        </w:rPr>
        <w:t xml:space="preserve">第五章  评标方法与评标标准</w:t>
      </w:r>
      <w:r>
        <w:rPr>
          <w:color w:val="000000" w:themeColor="text1"/>
          <w:highlight w:val="none"/>
        </w:rPr>
      </w:r>
      <w:r/>
    </w:p>
    <w:p>
      <w:pPr>
        <w:pStyle w:val="919"/>
        <w:ind w:firstLine="480"/>
        <w:spacing w:line="264" w:lineRule="auto"/>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r>
      <w:r>
        <w:rPr>
          <w:color w:val="000000" w:themeColor="text1"/>
          <w:highlight w:val="none"/>
        </w:rPr>
      </w:r>
      <w:r/>
    </w:p>
    <w:p>
      <w:pPr>
        <w:pStyle w:val="919"/>
        <w:ind w:firstLine="480"/>
        <w:spacing w:line="264" w:lineRule="auto"/>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一、评标方法</w:t>
      </w:r>
      <w:r>
        <w:rPr>
          <w:color w:val="000000" w:themeColor="text1"/>
          <w:highlight w:val="none"/>
        </w:rPr>
      </w:r>
      <w:r/>
    </w:p>
    <w:p>
      <w:pPr>
        <w:pStyle w:val="919"/>
        <w:ind w:firstLine="480"/>
        <w:spacing w:line="264"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s="宋体"/>
          <w:color w:val="000000" w:themeColor="text1"/>
          <w:sz w:val="24"/>
          <w:szCs w:val="24"/>
          <w:highlight w:val="none"/>
        </w:rPr>
        <w:t xml:space="preserve">2.服务</w:t>
      </w:r>
      <w:r>
        <w:rPr>
          <w:rFonts w:hint="eastAsia" w:ascii="宋体" w:hAnsi="宋体" w:cs="宋体"/>
          <w:color w:val="000000" w:themeColor="text1"/>
          <w:sz w:val="24"/>
          <w:szCs w:val="24"/>
          <w:highlight w:val="none"/>
        </w:rPr>
        <w:t xml:space="preserve">”得分由高到低顺序排列。在投标文件满足招标文件全部实质性要求的投标人中，按照评审得分由高到低选取</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名</w:t>
      </w:r>
      <w:r>
        <w:rPr>
          <w:rFonts w:hint="eastAsia" w:ascii="宋体" w:hAnsi="宋体" w:cs="宋体"/>
          <w:color w:val="000000" w:themeColor="text1"/>
          <w:sz w:val="24"/>
          <w:szCs w:val="24"/>
          <w:highlight w:val="none"/>
        </w:rPr>
        <w:t xml:space="preserve">中标候选人。</w:t>
      </w:r>
      <w:r>
        <w:rPr>
          <w:color w:val="000000" w:themeColor="text1"/>
          <w:highlight w:val="none"/>
        </w:rPr>
      </w:r>
      <w:r/>
    </w:p>
    <w:p>
      <w:pPr>
        <w:pStyle w:val="919"/>
        <w:ind w:firstLine="480"/>
        <w:spacing w:line="264" w:lineRule="auto"/>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二、本国产品价格扣除</w:t>
      </w:r>
      <w:r>
        <w:rPr>
          <w:color w:val="000000" w:themeColor="text1"/>
          <w:highlight w:val="none"/>
        </w:rPr>
      </w:r>
      <w:r/>
    </w:p>
    <w:p>
      <w:pPr>
        <w:pStyle w:val="919"/>
        <w:ind w:firstLine="42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1.本</w:t>
      </w:r>
      <w:r>
        <w:rPr>
          <w:rFonts w:hint="eastAsia" w:ascii="宋体" w:hAnsi="宋体"/>
          <w:color w:val="000000" w:themeColor="text1"/>
          <w:sz w:val="24"/>
          <w:szCs w:val="24"/>
          <w:highlight w:val="none"/>
        </w:rPr>
        <w:t xml:space="preserve">项目如</w:t>
      </w:r>
      <w:r>
        <w:rPr>
          <w:rFonts w:hint="eastAsia" w:ascii="宋体" w:hAnsi="宋体"/>
          <w:color w:val="000000" w:themeColor="text1"/>
          <w:sz w:val="24"/>
          <w:szCs w:val="24"/>
          <w:highlight w:val="none"/>
          <w:lang w:val="zh-CN"/>
        </w:rPr>
        <w:t xml:space="preserve">既有本国产品又有非本国产品参与竞争，依法对本国产品给予价格评审优惠，对本国产品的报价给予20%的价格扣除，用扣除后的价格参与评审。</w:t>
      </w:r>
      <w:r>
        <w:rPr>
          <w:color w:val="000000" w:themeColor="text1"/>
          <w:highlight w:val="none"/>
        </w:rPr>
      </w:r>
      <w:r/>
    </w:p>
    <w:p>
      <w:pPr>
        <w:pStyle w:val="919"/>
        <w:ind w:firstLine="42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919"/>
        <w:ind w:firstLine="42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000000" w:themeColor="text1"/>
          <w:sz w:val="24"/>
          <w:szCs w:val="24"/>
          <w:highlight w:val="none"/>
        </w:rPr>
        <w:t xml:space="preserve">且投标人在投标文件中对此作出承诺的（按照招标文件要求在《投标分项报价表》中作出承诺），</w:t>
      </w:r>
      <w:r>
        <w:rPr>
          <w:rFonts w:hint="eastAsia" w:ascii="宋体" w:hAnsi="宋体"/>
          <w:color w:val="000000" w:themeColor="text1"/>
          <w:sz w:val="24"/>
          <w:szCs w:val="24"/>
          <w:highlight w:val="none"/>
        </w:rPr>
        <w:t xml:space="preserve">则依法对该投标人提供的全部产品给予价格评审优惠，即对该投标人提供的全部产品的总报价给予20%的价格扣除，用扣除后的价格参与评审。</w:t>
      </w:r>
      <w:r>
        <w:rPr>
          <w:rFonts w:hint="eastAsia" w:ascii="宋体" w:hAnsi="宋体"/>
          <w:b/>
          <w:bCs/>
          <w:color w:val="000000" w:themeColor="text1"/>
          <w:sz w:val="24"/>
          <w:szCs w:val="24"/>
          <w:highlight w:val="none"/>
        </w:rPr>
        <w:t xml:space="preserve">全部产品是指货物或服务采购项目或采购包中包含的全部货物、服务产品。</w:t>
      </w:r>
      <w:r>
        <w:rPr>
          <w:color w:val="000000" w:themeColor="text1"/>
          <w:highlight w:val="none"/>
        </w:rPr>
      </w:r>
      <w:r/>
    </w:p>
    <w:p>
      <w:pPr>
        <w:pStyle w:val="919"/>
        <w:ind w:firstLine="42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color w:val="000000" w:themeColor="text1"/>
          <w:highlight w:val="none"/>
        </w:rPr>
      </w:r>
      <w:r/>
    </w:p>
    <w:p>
      <w:pPr>
        <w:pStyle w:val="919"/>
        <w:ind w:firstLine="422"/>
        <w:widowControl/>
        <w:rPr>
          <w:rFonts w:hint="eastAsia" w:ascii="宋体" w:hAnsi="宋体" w:cs="宋体"/>
          <w:b/>
          <w:bCs/>
          <w:color w:val="000000" w:themeColor="text1"/>
          <w:sz w:val="24"/>
          <w:szCs w:val="24"/>
          <w:highlight w:val="none"/>
        </w:rPr>
      </w:pPr>
      <w:r>
        <w:rPr>
          <w:rFonts w:hint="eastAsia" w:ascii="宋体" w:hAnsi="宋体"/>
          <w:b/>
          <w:bCs/>
          <w:color w:val="000000" w:themeColor="text1"/>
          <w:sz w:val="24"/>
          <w:szCs w:val="24"/>
          <w:highlight w:val="none"/>
        </w:rPr>
        <w:t xml:space="preserve">4.</w:t>
      </w:r>
      <w:r>
        <w:rPr>
          <w:rFonts w:hint="eastAsia" w:ascii="宋体" w:hAnsi="宋体"/>
          <w:b/>
          <w:bCs/>
          <w:color w:val="000000" w:themeColor="text1"/>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color w:val="000000" w:themeColor="text1"/>
          <w:highlight w:val="none"/>
        </w:rPr>
      </w:r>
      <w:r/>
    </w:p>
    <w:p>
      <w:pPr>
        <w:pStyle w:val="919"/>
        <w:ind w:firstLine="480"/>
        <w:spacing w:line="264" w:lineRule="auto"/>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三、小微企业价格扣除</w:t>
      </w:r>
      <w:r>
        <w:rPr>
          <w:color w:val="000000" w:themeColor="text1"/>
          <w:highlight w:val="none"/>
        </w:rPr>
      </w:r>
      <w:r/>
    </w:p>
    <w:p>
      <w:pPr>
        <w:pStyle w:val="919"/>
        <w:ind w:firstLine="480"/>
        <w:spacing w:line="264" w:lineRule="auto"/>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本项目服务全部由小微企业承接的，</w:t>
      </w:r>
      <w:r>
        <w:rPr>
          <w:rFonts w:hint="eastAsia" w:ascii="宋体" w:hAnsi="宋体" w:cs="宋体"/>
          <w:color w:val="000000" w:themeColor="text1"/>
          <w:sz w:val="24"/>
          <w:szCs w:val="24"/>
          <w:highlight w:val="none"/>
        </w:rPr>
        <w:t xml:space="preserve">对报价给予</w:t>
      </w:r>
      <w:r>
        <w:rPr>
          <w:rFonts w:hint="eastAsia" w:ascii="宋体" w:hAnsi="宋体"/>
          <w:color w:val="000000" w:themeColor="text1"/>
          <w:sz w:val="24"/>
          <w:szCs w:val="24"/>
          <w:highlight w:val="none"/>
        </w:rPr>
        <w:t xml:space="preserve">10%</w:t>
      </w:r>
      <w:r>
        <w:rPr>
          <w:rFonts w:hint="eastAsia" w:ascii="宋体" w:hAnsi="宋体" w:cs="宋体"/>
          <w:color w:val="000000" w:themeColor="text1"/>
          <w:sz w:val="24"/>
          <w:szCs w:val="24"/>
          <w:highlight w:val="none"/>
        </w:rPr>
        <w:t xml:space="preserve">的扣除，用扣除后的价格参与评审。</w:t>
      </w:r>
      <w:r>
        <w:rPr>
          <w:color w:val="000000" w:themeColor="text1"/>
          <w:highlight w:val="none"/>
        </w:rPr>
      </w:r>
      <w:r/>
    </w:p>
    <w:p>
      <w:pPr>
        <w:pStyle w:val="919"/>
        <w:ind w:firstLine="480"/>
        <w:spacing w:line="264"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2.残疾人福利性单位视同小型、微型企业，给予</w:t>
      </w:r>
      <w:r>
        <w:rPr>
          <w:rFonts w:hint="eastAsia" w:ascii="宋体" w:hAnsi="宋体"/>
          <w:color w:val="000000" w:themeColor="text1"/>
          <w:sz w:val="24"/>
          <w:szCs w:val="24"/>
          <w:highlight w:val="none"/>
        </w:rPr>
        <w:t xml:space="preserve">与小微企业相同</w:t>
      </w:r>
      <w:r>
        <w:rPr>
          <w:rFonts w:hint="eastAsia" w:ascii="宋体" w:hAnsi="宋体" w:cs="宋体"/>
          <w:color w:val="000000" w:themeColor="text1"/>
          <w:sz w:val="24"/>
          <w:szCs w:val="24"/>
          <w:highlight w:val="none"/>
        </w:rPr>
        <w:t xml:space="preserve">的价格扣除，用扣除后的价格参与评审；监狱和戒毒企业视同小型、微型企业，给予</w:t>
      </w:r>
      <w:r>
        <w:rPr>
          <w:rFonts w:hint="eastAsia" w:ascii="宋体" w:hAnsi="宋体"/>
          <w:color w:val="000000" w:themeColor="text1"/>
          <w:sz w:val="24"/>
          <w:szCs w:val="24"/>
          <w:highlight w:val="none"/>
        </w:rPr>
        <w:t xml:space="preserve">与小微企业相同</w:t>
      </w:r>
      <w:r>
        <w:rPr>
          <w:rFonts w:hint="eastAsia" w:ascii="宋体" w:hAnsi="宋体" w:cs="宋体"/>
          <w:color w:val="000000" w:themeColor="text1"/>
          <w:sz w:val="24"/>
          <w:szCs w:val="24"/>
          <w:highlight w:val="none"/>
        </w:rPr>
        <w:t xml:space="preserve">的价格扣除，用扣除后的价格参与评审。残疾人福利性单位、监狱企业属于小型、微型企业的，不重复享受价格扣除。</w:t>
      </w:r>
      <w:r>
        <w:rPr>
          <w:color w:val="000000" w:themeColor="text1"/>
          <w:highlight w:val="none"/>
        </w:rPr>
      </w:r>
      <w:r/>
    </w:p>
    <w:p>
      <w:pPr>
        <w:pStyle w:val="919"/>
        <w:ind w:firstLine="480"/>
        <w:spacing w:line="264" w:lineRule="auto"/>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五、评标标准</w:t>
      </w:r>
      <w:r>
        <w:rPr>
          <w:color w:val="000000" w:themeColor="text1"/>
          <w:highlight w:val="none"/>
        </w:rPr>
      </w:r>
      <w:r/>
    </w:p>
    <w:tbl>
      <w:tblPr>
        <w:tblW w:w="975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919"/>
              <w:jc w:val="center"/>
              <w:spacing w:before="122" w:line="288" w:lineRule="auto"/>
              <w:rPr>
                <w:rFonts w:ascii="宋体" w:hAnsi="宋体" w:cs="宋体"/>
                <w:b/>
                <w:bCs/>
                <w:color w:val="000000" w:themeColor="text1"/>
                <w:spacing w:val="-3"/>
                <w:highlight w:val="none"/>
              </w:rPr>
            </w:pPr>
            <w:r>
              <w:rPr>
                <w:rFonts w:ascii="宋体" w:hAnsi="宋体" w:cs="宋体"/>
                <w:b/>
                <w:bCs/>
                <w:color w:val="000000" w:themeColor="text1"/>
                <w:spacing w:val="-3"/>
                <w:highlight w:val="none"/>
              </w:rPr>
              <w:t xml:space="preserve">序号</w:t>
            </w:r>
            <w:r>
              <w:rPr>
                <w:color w:val="000000" w:themeColor="text1"/>
                <w:highlight w:val="none"/>
              </w:rPr>
            </w:r>
            <w:r/>
          </w:p>
        </w:tc>
        <w:tc>
          <w:tcPr>
            <w:tcW w:w="1180" w:type="dxa"/>
            <w:vAlign w:val="top"/>
            <w:textDirection w:val="lrTb"/>
            <w:noWrap w:val="false"/>
          </w:tcPr>
          <w:p>
            <w:pPr>
              <w:pStyle w:val="919"/>
              <w:jc w:val="center"/>
              <w:spacing w:before="122" w:line="288" w:lineRule="auto"/>
              <w:rPr>
                <w:rFonts w:ascii="宋体" w:hAnsi="宋体" w:cs="宋体"/>
                <w:b/>
                <w:bCs/>
                <w:color w:val="000000" w:themeColor="text1"/>
                <w:spacing w:val="-3"/>
                <w:highlight w:val="none"/>
              </w:rPr>
            </w:pPr>
            <w:r>
              <w:rPr>
                <w:rFonts w:ascii="宋体" w:hAnsi="宋体" w:cs="宋体"/>
                <w:b/>
                <w:bCs/>
                <w:color w:val="000000" w:themeColor="text1"/>
                <w:spacing w:val="-3"/>
                <w:highlight w:val="none"/>
              </w:rPr>
              <w:t xml:space="preserve">评审因素</w:t>
            </w:r>
            <w:r>
              <w:rPr>
                <w:color w:val="000000" w:themeColor="text1"/>
                <w:highlight w:val="none"/>
              </w:rPr>
            </w:r>
            <w:r/>
          </w:p>
        </w:tc>
        <w:tc>
          <w:tcPr>
            <w:tcW w:w="6624" w:type="dxa"/>
            <w:vAlign w:val="top"/>
            <w:textDirection w:val="lrTb"/>
            <w:noWrap w:val="false"/>
          </w:tcPr>
          <w:p>
            <w:pPr>
              <w:pStyle w:val="919"/>
              <w:jc w:val="center"/>
              <w:spacing w:before="122" w:line="288" w:lineRule="auto"/>
              <w:rPr>
                <w:rFonts w:ascii="宋体" w:hAnsi="宋体" w:cs="宋体"/>
                <w:b/>
                <w:bCs/>
                <w:color w:val="000000" w:themeColor="text1"/>
                <w:spacing w:val="-3"/>
                <w:highlight w:val="none"/>
              </w:rPr>
            </w:pPr>
            <w:r>
              <w:rPr>
                <w:rFonts w:ascii="宋体" w:hAnsi="宋体" w:cs="宋体"/>
                <w:b/>
                <w:bCs/>
                <w:color w:val="000000" w:themeColor="text1"/>
                <w:spacing w:val="-3"/>
                <w:highlight w:val="none"/>
              </w:rPr>
              <w:t xml:space="preserve">评审细则</w:t>
            </w:r>
            <w:r>
              <w:rPr>
                <w:color w:val="000000" w:themeColor="text1"/>
                <w:highlight w:val="none"/>
              </w:rPr>
            </w:r>
            <w:r/>
          </w:p>
        </w:tc>
        <w:tc>
          <w:tcPr>
            <w:tcW w:w="573" w:type="dxa"/>
            <w:vAlign w:val="top"/>
            <w:textDirection w:val="lrTb"/>
            <w:noWrap w:val="false"/>
          </w:tcPr>
          <w:p>
            <w:pPr>
              <w:pStyle w:val="919"/>
              <w:jc w:val="center"/>
              <w:spacing w:before="122" w:line="288" w:lineRule="auto"/>
              <w:rPr>
                <w:rFonts w:ascii="宋体" w:hAnsi="宋体" w:cs="宋体"/>
                <w:b/>
                <w:bCs/>
                <w:color w:val="000000" w:themeColor="text1"/>
                <w:spacing w:val="-3"/>
                <w:highlight w:val="none"/>
              </w:rPr>
            </w:pPr>
            <w:r>
              <w:rPr>
                <w:rFonts w:ascii="宋体" w:hAnsi="宋体" w:cs="宋体"/>
                <w:b/>
                <w:bCs/>
                <w:color w:val="000000" w:themeColor="text1"/>
                <w:spacing w:val="-3"/>
                <w:highlight w:val="none"/>
              </w:rPr>
              <w:t xml:space="preserve">分值</w:t>
            </w:r>
            <w:r>
              <w:rPr>
                <w:color w:val="000000" w:themeColor="text1"/>
                <w:highlight w:val="none"/>
              </w:rPr>
            </w:r>
            <w:r/>
          </w:p>
        </w:tc>
        <w:tc>
          <w:tcPr>
            <w:tcW w:w="861" w:type="dxa"/>
            <w:vAlign w:val="top"/>
            <w:textDirection w:val="lrTb"/>
            <w:noWrap w:val="false"/>
          </w:tcPr>
          <w:p>
            <w:pPr>
              <w:pStyle w:val="919"/>
              <w:jc w:val="center"/>
              <w:spacing w:before="122" w:line="288" w:lineRule="auto"/>
              <w:rPr>
                <w:rFonts w:ascii="宋体" w:hAnsi="宋体" w:cs="宋体"/>
                <w:b/>
                <w:bCs/>
                <w:color w:val="000000" w:themeColor="text1"/>
                <w:spacing w:val="-3"/>
                <w:highlight w:val="none"/>
              </w:rPr>
            </w:pPr>
            <w:r>
              <w:rPr>
                <w:rFonts w:ascii="宋体" w:hAnsi="宋体" w:cs="宋体"/>
                <w:b/>
                <w:bCs/>
                <w:color w:val="000000" w:themeColor="text1"/>
                <w:spacing w:val="-3"/>
                <w:highlight w:val="none"/>
              </w:rPr>
              <w:t xml:space="preserve">类型</w:t>
            </w:r>
            <w:r>
              <w:rPr>
                <w:color w:val="000000" w:themeColor="text1"/>
                <w:highlight w:val="none"/>
              </w:rPr>
            </w:r>
            <w:r/>
          </w:p>
        </w:tc>
      </w:tr>
      <w:tr>
        <w:trPr>
          <w:trHeight w:val="465"/>
        </w:trPr>
        <w:tc>
          <w:tcPr>
            <w:gridSpan w:val="5"/>
            <w:tcW w:w="9757" w:type="dxa"/>
            <w:vAlign w:val="top"/>
            <w:textDirection w:val="lrTb"/>
            <w:noWrap w:val="false"/>
          </w:tcPr>
          <w:p>
            <w:pPr>
              <w:pStyle w:val="919"/>
              <w:ind w:left="114"/>
              <w:spacing w:before="122" w:line="264" w:lineRule="auto"/>
              <w:rPr>
                <w:rFonts w:ascii="宋体" w:hAnsi="宋体" w:cs="宋体"/>
                <w:color w:val="000000" w:themeColor="text1"/>
                <w:highlight w:val="none"/>
              </w:rPr>
            </w:pPr>
            <w:r>
              <w:rPr>
                <w:rFonts w:hint="eastAsia" w:ascii="宋体" w:hAnsi="宋体" w:cs="宋体"/>
                <w:b/>
                <w:bCs/>
                <w:color w:val="000000" w:themeColor="text1"/>
                <w:spacing w:val="-3"/>
                <w:highlight w:val="none"/>
              </w:rPr>
              <w:t xml:space="preserve">1.</w:t>
            </w:r>
            <w:r>
              <w:rPr>
                <w:rFonts w:ascii="宋体" w:hAnsi="宋体" w:cs="宋体"/>
                <w:b/>
                <w:bCs/>
                <w:color w:val="000000" w:themeColor="text1"/>
                <w:spacing w:val="-3"/>
                <w:highlight w:val="none"/>
              </w:rPr>
              <w:t xml:space="preserve">价</w:t>
            </w:r>
            <w:r>
              <w:rPr>
                <w:rFonts w:ascii="宋体" w:hAnsi="宋体" w:cs="宋体"/>
                <w:b/>
                <w:bCs/>
                <w:color w:val="000000" w:themeColor="text1"/>
                <w:spacing w:val="-2"/>
                <w:highlight w:val="none"/>
              </w:rPr>
              <w:t xml:space="preserve">格</w:t>
            </w:r>
            <w:r>
              <w:rPr>
                <w:color w:val="000000" w:themeColor="text1"/>
                <w:highlight w:val="none"/>
              </w:rPr>
            </w:r>
            <w:r/>
          </w:p>
        </w:tc>
      </w:tr>
      <w:tr>
        <w:trPr>
          <w:trHeight w:val="1202"/>
        </w:trPr>
        <w:tc>
          <w:tcPr>
            <w:tcW w:w="519"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ascii="宋体" w:hAnsi="宋体" w:cs="宋体"/>
                <w:color w:val="000000" w:themeColor="text1"/>
                <w:spacing w:val="-6"/>
                <w:highlight w:val="none"/>
              </w:rPr>
              <w:t xml:space="preserve">1</w:t>
            </w:r>
            <w:r>
              <w:rPr>
                <w:rFonts w:ascii="宋体" w:hAnsi="宋体" w:cs="宋体"/>
                <w:color w:val="000000" w:themeColor="text1"/>
                <w:spacing w:val="-5"/>
                <w:highlight w:val="none"/>
              </w:rPr>
              <w:t xml:space="preserve">.1</w:t>
            </w:r>
            <w:r>
              <w:rPr>
                <w:color w:val="000000" w:themeColor="text1"/>
                <w:highlight w:val="none"/>
              </w:rPr>
            </w:r>
            <w:r/>
          </w:p>
        </w:tc>
        <w:tc>
          <w:tcPr>
            <w:tcW w:w="1180" w:type="dxa"/>
            <w:vAlign w:val="center"/>
            <w:textDirection w:val="lrTb"/>
            <w:noWrap w:val="false"/>
          </w:tcPr>
          <w:p>
            <w:pPr>
              <w:pStyle w:val="919"/>
              <w:jc w:val="left"/>
              <w:spacing w:before="68" w:line="264" w:lineRule="auto"/>
              <w:rPr>
                <w:rFonts w:ascii="宋体" w:hAnsi="宋体" w:cs="宋体"/>
                <w:color w:val="000000" w:themeColor="text1"/>
                <w:highlight w:val="none"/>
              </w:rPr>
            </w:pPr>
            <w:r>
              <w:rPr>
                <w:rFonts w:ascii="宋体" w:hAnsi="宋体" w:cs="宋体"/>
                <w:color w:val="000000" w:themeColor="text1"/>
                <w:spacing w:val="-2"/>
                <w:highlight w:val="none"/>
              </w:rPr>
              <w:t xml:space="preserve">价格分</w:t>
            </w:r>
            <w:r>
              <w:rPr>
                <w:color w:val="000000" w:themeColor="text1"/>
                <w:highlight w:val="none"/>
              </w:rPr>
            </w:r>
            <w:r/>
          </w:p>
        </w:tc>
        <w:tc>
          <w:tcPr>
            <w:tcW w:w="6624" w:type="dxa"/>
            <w:vAlign w:val="center"/>
            <w:textDirection w:val="lrTb"/>
            <w:noWrap w:val="false"/>
          </w:tcPr>
          <w:p>
            <w:pPr>
              <w:pStyle w:val="919"/>
              <w:jc w:val="left"/>
              <w:spacing w:line="264" w:lineRule="auto"/>
              <w:rPr>
                <w:rFonts w:hint="eastAsia" w:ascii="宋体" w:hAnsi="宋体" w:cs="宋体"/>
                <w:color w:val="000000" w:themeColor="text1"/>
                <w:highlight w:val="none"/>
              </w:rPr>
            </w:pPr>
            <w:r>
              <w:rPr>
                <w:rFonts w:hint="eastAsia" w:ascii="宋体" w:hAnsi="宋体" w:cs="宋体"/>
                <w:color w:val="000000" w:themeColor="text1"/>
                <w:spacing w:val="1"/>
                <w:highlight w:val="none"/>
              </w:rPr>
              <w:t xml:space="preserve">采用低价优先</w:t>
            </w:r>
            <w:r>
              <w:rPr>
                <w:rFonts w:hint="eastAsia" w:ascii="宋体" w:hAnsi="宋体" w:cs="宋体"/>
                <w:color w:val="000000" w:themeColor="text1"/>
                <w:highlight w:val="none"/>
              </w:rPr>
              <w:t xml:space="preserve">法计算，即满足招标文件要求且投标价格最低的投标</w:t>
            </w:r>
            <w:r>
              <w:rPr>
                <w:rFonts w:hint="eastAsia" w:ascii="宋体" w:hAnsi="宋体" w:cs="宋体"/>
                <w:color w:val="000000" w:themeColor="text1"/>
                <w:spacing w:val="1"/>
                <w:highlight w:val="none"/>
              </w:rPr>
              <w:t xml:space="preserve">报价为评标基准</w:t>
            </w:r>
            <w:r>
              <w:rPr>
                <w:rFonts w:hint="eastAsia" w:ascii="宋体" w:hAnsi="宋体" w:cs="宋体"/>
                <w:color w:val="000000" w:themeColor="text1"/>
                <w:highlight w:val="none"/>
              </w:rPr>
              <w:t xml:space="preserve">价，其价格分为满分。其他投标人的价格分统一按</w:t>
            </w:r>
            <w:r>
              <w:rPr>
                <w:rFonts w:hint="eastAsia" w:ascii="宋体" w:hAnsi="宋体" w:cs="宋体"/>
                <w:color w:val="000000" w:themeColor="text1"/>
                <w:spacing w:val="-1"/>
                <w:highlight w:val="none"/>
              </w:rPr>
              <w:t xml:space="preserve">照下列公</w:t>
            </w:r>
            <w:r>
              <w:rPr>
                <w:rFonts w:hint="eastAsia" w:ascii="宋体" w:hAnsi="宋体" w:cs="宋体"/>
                <w:color w:val="000000" w:themeColor="text1"/>
                <w:highlight w:val="none"/>
              </w:rPr>
              <w:t xml:space="preserve">式计算：投标报价得分=（评标基准价/投标报价）×价格分值（小数点保留两位）</w:t>
            </w:r>
            <w:r>
              <w:rPr>
                <w:color w:val="000000" w:themeColor="text1"/>
                <w:highlight w:val="none"/>
              </w:rPr>
            </w:r>
            <w:r/>
          </w:p>
          <w:p>
            <w:pPr>
              <w:pStyle w:val="919"/>
              <w:jc w:val="left"/>
              <w:spacing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因落实政府采购政策进行价格调整的，以调整后的价格计算评标基准价和投标报价。</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spacing w:val="-4"/>
                <w:highlight w:val="none"/>
              </w:rPr>
            </w:pPr>
            <w:r>
              <w:rPr>
                <w:rFonts w:hint="eastAsia" w:ascii="宋体" w:hAnsi="宋体" w:cs="宋体"/>
                <w:color w:val="000000" w:themeColor="text1"/>
                <w:highlight w:val="none"/>
              </w:rPr>
              <w:t xml:space="preserve">20</w:t>
            </w:r>
            <w:r>
              <w:rPr>
                <w:color w:val="000000" w:themeColor="text1"/>
                <w:highlight w:val="none"/>
              </w:rPr>
            </w:r>
            <w:r/>
          </w:p>
        </w:tc>
        <w:tc>
          <w:tcPr>
            <w:tcW w:w="861" w:type="dxa"/>
            <w:vAlign w:val="center"/>
            <w:textDirection w:val="lrTb"/>
            <w:noWrap w:val="false"/>
          </w:tcPr>
          <w:p>
            <w:pPr>
              <w:pStyle w:val="919"/>
              <w:jc w:val="center"/>
              <w:spacing w:before="68" w:line="264" w:lineRule="auto"/>
              <w:rPr>
                <w:rFonts w:hint="eastAsia" w:ascii="宋体" w:hAnsi="宋体" w:cs="宋体"/>
                <w:color w:val="000000" w:themeColor="text1"/>
                <w:spacing w:val="-4"/>
                <w:highlight w:val="none"/>
              </w:rPr>
            </w:pPr>
            <w:r>
              <w:rPr>
                <w:rFonts w:hint="eastAsia" w:ascii="宋体" w:hAnsi="宋体" w:cs="宋体"/>
                <w:color w:val="000000" w:themeColor="text1"/>
                <w:spacing w:val="-4"/>
                <w:highlight w:val="none"/>
              </w:rPr>
              <w:t xml:space="preserve">价格分</w:t>
            </w:r>
            <w:r>
              <w:rPr>
                <w:color w:val="000000" w:themeColor="text1"/>
                <w:highlight w:val="none"/>
              </w:rPr>
            </w:r>
            <w:r/>
          </w:p>
        </w:tc>
      </w:tr>
      <w:tr>
        <w:trPr>
          <w:trHeight w:val="465"/>
        </w:trPr>
        <w:tc>
          <w:tcPr>
            <w:gridSpan w:val="5"/>
            <w:tcW w:w="9757" w:type="dxa"/>
            <w:vAlign w:val="top"/>
            <w:textDirection w:val="lrTb"/>
            <w:noWrap w:val="false"/>
          </w:tcPr>
          <w:p>
            <w:pPr>
              <w:pStyle w:val="919"/>
              <w:ind w:left="114"/>
              <w:spacing w:before="123" w:line="264" w:lineRule="auto"/>
              <w:rPr>
                <w:rFonts w:ascii="宋体" w:hAnsi="宋体" w:cs="宋体"/>
                <w:color w:val="000000" w:themeColor="text1"/>
                <w:highlight w:val="none"/>
              </w:rPr>
            </w:pPr>
            <w:r>
              <w:rPr>
                <w:rFonts w:hint="eastAsia" w:ascii="宋体" w:hAnsi="宋体" w:cs="宋体"/>
                <w:b/>
                <w:bCs/>
                <w:color w:val="000000" w:themeColor="text1"/>
                <w:spacing w:val="-3"/>
                <w:highlight w:val="none"/>
              </w:rPr>
              <w:t xml:space="preserve">2.服务</w:t>
            </w:r>
            <w:r>
              <w:rPr>
                <w:color w:val="000000" w:themeColor="text1"/>
                <w:highlight w:val="none"/>
              </w:rPr>
            </w:r>
            <w:r/>
          </w:p>
        </w:tc>
      </w:tr>
      <w:tr>
        <w:trPr>
          <w:trHeight w:val="895"/>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2.1</w:t>
            </w:r>
            <w:r>
              <w:rPr>
                <w:color w:val="000000" w:themeColor="text1"/>
                <w:highlight w:val="none"/>
              </w:rPr>
            </w:r>
            <w:r/>
          </w:p>
        </w:tc>
        <w:tc>
          <w:tcPr>
            <w:tcW w:w="1180" w:type="dxa"/>
            <w:vAlign w:val="center"/>
            <w:textDirection w:val="lrTb"/>
            <w:noWrap w:val="false"/>
          </w:tcPr>
          <w:p>
            <w:pPr>
              <w:pStyle w:val="919"/>
              <w:jc w:val="left"/>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产品技术参数</w:t>
            </w:r>
            <w:r>
              <w:rPr>
                <w:color w:val="000000" w:themeColor="text1"/>
                <w:highlight w:val="none"/>
              </w:rPr>
            </w:r>
            <w:r/>
          </w:p>
        </w:tc>
        <w:tc>
          <w:tcPr>
            <w:tcW w:w="6624" w:type="dxa"/>
            <w:vAlign w:val="center"/>
            <w:textDirection w:val="lrTb"/>
            <w:noWrap w:val="false"/>
          </w:tcPr>
          <w:p>
            <w:pPr>
              <w:pStyle w:val="919"/>
              <w:spacing w:line="264" w:lineRule="auto"/>
              <w:rPr>
                <w:rFonts w:hint="eastAsia" w:ascii="宋体" w:hAnsi="宋体" w:cs="宋体"/>
                <w:color w:val="000000" w:themeColor="text1"/>
                <w:spacing w:val="1"/>
                <w:highlight w:val="none"/>
              </w:rPr>
            </w:pPr>
            <w:r>
              <w:rPr>
                <w:rFonts w:hint="eastAsia" w:ascii="宋体" w:hAnsi="宋体" w:cs="宋体"/>
                <w:color w:val="000000" w:themeColor="text1"/>
                <w:highlight w:val="none"/>
              </w:rPr>
              <w:t xml:space="preserve">产品技术参数全部满足招标文件技术要求的得满分，打★指标为必须满足项，如有负偏离将作为无效投标，打▲指标为重要指标，有1项负偏离扣1分，其余指标有1项负偏离扣0.5分。</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26</w:t>
            </w:r>
            <w:r>
              <w:rPr>
                <w:color w:val="000000" w:themeColor="text1"/>
                <w:highlight w:val="none"/>
              </w:rPr>
            </w:r>
            <w:r/>
          </w:p>
        </w:tc>
        <w:tc>
          <w:tcPr>
            <w:tcW w:w="861" w:type="dxa"/>
            <w:vAlign w:val="center"/>
            <w:textDirection w:val="lrTb"/>
            <w:noWrap w:val="false"/>
          </w:tcPr>
          <w:p>
            <w:pPr>
              <w:pStyle w:val="919"/>
              <w:jc w:val="center"/>
              <w:spacing w:before="68" w:line="264" w:lineRule="auto"/>
              <w:rPr>
                <w:rFonts w:hint="eastAsia" w:ascii="宋体" w:hAnsi="宋体" w:cs="宋体"/>
                <w:color w:val="000000" w:themeColor="text1"/>
                <w:highlight w:val="none"/>
              </w:rPr>
            </w:pPr>
            <w:r>
              <w:rPr>
                <w:rFonts w:hint="eastAsia" w:ascii="宋体" w:hAnsi="宋体" w:cs="宋体"/>
                <w:color w:val="000000" w:themeColor="text1"/>
                <w:spacing w:val="-6"/>
                <w:highlight w:val="none"/>
              </w:rPr>
              <w:t xml:space="preserve">客</w:t>
            </w:r>
            <w:r>
              <w:rPr>
                <w:rFonts w:hint="eastAsia" w:ascii="宋体" w:hAnsi="宋体" w:cs="宋体"/>
                <w:color w:val="000000" w:themeColor="text1"/>
                <w:spacing w:val="-4"/>
                <w:highlight w:val="none"/>
              </w:rPr>
              <w:t xml:space="preserve">观分</w:t>
            </w:r>
            <w:r>
              <w:rPr>
                <w:color w:val="000000" w:themeColor="text1"/>
                <w:highlight w:val="none"/>
              </w:rPr>
            </w:r>
            <w:r/>
          </w:p>
        </w:tc>
      </w:tr>
      <w:tr>
        <w:trPr>
          <w:trHeight w:val="895"/>
        </w:trPr>
        <w:tc>
          <w:tcPr>
            <w:tcW w:w="519" w:type="dxa"/>
            <w:vAlign w:val="center"/>
            <w:textDirection w:val="lrTb"/>
            <w:noWrap w:val="false"/>
          </w:tcPr>
          <w:p>
            <w:pPr>
              <w:pStyle w:val="919"/>
              <w:jc w:val="center"/>
              <w:spacing w:before="68" w:line="264" w:lineRule="auto"/>
              <w:rPr>
                <w:rFonts w:hint="eastAsia" w:ascii="宋体" w:hAnsi="宋体" w:cs="宋体"/>
                <w:color w:val="000000" w:themeColor="text1"/>
                <w:spacing w:val="-2"/>
                <w:highlight w:val="none"/>
              </w:rPr>
            </w:pPr>
            <w:r>
              <w:rPr>
                <w:rFonts w:ascii="宋体" w:hAnsi="宋体" w:cs="宋体"/>
                <w:color w:val="000000" w:themeColor="text1"/>
                <w:spacing w:val="-2"/>
                <w:highlight w:val="none"/>
              </w:rPr>
              <w:t xml:space="preserve">2.</w:t>
            </w:r>
            <w:r>
              <w:rPr>
                <w:rFonts w:hint="eastAsia" w:ascii="宋体" w:hAnsi="宋体" w:cs="宋体"/>
                <w:color w:val="000000" w:themeColor="text1"/>
                <w:spacing w:val="-2"/>
                <w:highlight w:val="none"/>
              </w:rPr>
              <w:t xml:space="preserve">2</w:t>
            </w:r>
            <w:r>
              <w:rPr>
                <w:color w:val="000000" w:themeColor="text1"/>
                <w:highlight w:val="none"/>
              </w:rPr>
            </w:r>
            <w:r/>
          </w:p>
        </w:tc>
        <w:tc>
          <w:tcPr>
            <w:tcW w:w="1180" w:type="dxa"/>
            <w:vAlign w:val="center"/>
            <w:textDirection w:val="lrTb"/>
            <w:noWrap w:val="false"/>
          </w:tcPr>
          <w:p>
            <w:pPr>
              <w:pStyle w:val="919"/>
              <w:ind w:right="108"/>
              <w:jc w:val="left"/>
              <w:spacing w:before="68" w:line="264" w:lineRule="auto"/>
              <w:rPr>
                <w:rFonts w:hint="eastAsia" w:ascii="宋体" w:hAnsi="宋体" w:cs="宋体"/>
                <w:color w:val="000000" w:themeColor="text1"/>
                <w:spacing w:val="-2"/>
                <w:highlight w:val="none"/>
              </w:rPr>
            </w:pPr>
            <w:r>
              <w:rPr>
                <w:color w:val="000000" w:themeColor="text1"/>
                <w:spacing w:val="-2"/>
                <w:highlight w:val="none"/>
              </w:rPr>
              <w:t xml:space="preserve">前端设备维</w:t>
            </w:r>
            <w:r>
              <w:rPr>
                <w:color w:val="000000" w:themeColor="text1"/>
                <w:spacing w:val="-4"/>
                <w:highlight w:val="none"/>
              </w:rPr>
              <w:t xml:space="preserve">护方案</w:t>
            </w:r>
            <w:r>
              <w:rPr>
                <w:color w:val="000000" w:themeColor="text1"/>
                <w:highlight w:val="none"/>
              </w:rPr>
            </w:r>
            <w:r/>
          </w:p>
        </w:tc>
        <w:tc>
          <w:tcPr>
            <w:tcW w:w="6624" w:type="dxa"/>
            <w:vAlign w:val="center"/>
            <w:textDirection w:val="lrTb"/>
            <w:noWrap w:val="false"/>
          </w:tcPr>
          <w:p>
            <w:pPr>
              <w:pStyle w:val="919"/>
              <w:rPr>
                <w:rFonts w:hint="eastAsia"/>
                <w:color w:val="000000" w:themeColor="text1"/>
                <w:highlight w:val="none"/>
              </w:rPr>
            </w:pPr>
            <w:r>
              <w:rPr>
                <w:rFonts w:hint="eastAsia"/>
                <w:color w:val="000000" w:themeColor="text1"/>
                <w:highlight w:val="none"/>
              </w:rPr>
              <w:t xml:space="preserve">根据本项目采购需求编制前端设备维护方案，内容包含：1.前端设备的维护保养内容和周期；2.前端设备维护保养实施组织方案；3.维护保养备品备件的配置与管理；4.维护保养配置的工具、器材、人员及管理等方面综合评分。</w:t>
            </w:r>
            <w:r>
              <w:rPr>
                <w:color w:val="000000" w:themeColor="text1"/>
                <w:highlight w:val="none"/>
              </w:rPr>
            </w:r>
            <w:r/>
          </w:p>
          <w:p>
            <w:pPr>
              <w:pStyle w:val="919"/>
              <w:rPr>
                <w:rFonts w:hint="eastAsia" w:ascii="宋体" w:hAnsi="宋体" w:cs="宋体"/>
                <w:color w:val="000000" w:themeColor="text1"/>
                <w:spacing w:val="1"/>
                <w:highlight w:val="none"/>
              </w:rPr>
            </w:pPr>
            <w:r>
              <w:rPr>
                <w:rFonts w:hint="eastAsia"/>
                <w:color w:val="000000" w:themeColor="text1"/>
                <w:highlight w:val="none"/>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1.5分；部分符合得1分；不符合或不提供不得分。</w:t>
            </w:r>
            <w:r>
              <w:rPr>
                <w:color w:val="000000" w:themeColor="text1"/>
                <w:highlight w:val="none"/>
              </w:rPr>
            </w:r>
            <w:r/>
          </w:p>
        </w:tc>
        <w:tc>
          <w:tcPr>
            <w:tcW w:w="573" w:type="dxa"/>
            <w:vAlign w:val="center"/>
            <w:textDirection w:val="lrTb"/>
            <w:noWrap w:val="false"/>
          </w:tcPr>
          <w:p>
            <w:pPr>
              <w:pStyle w:val="919"/>
              <w:jc w:val="center"/>
              <w:spacing w:before="68"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861" w:type="dxa"/>
            <w:vAlign w:val="center"/>
            <w:textDirection w:val="lrTb"/>
            <w:noWrap w:val="false"/>
          </w:tcPr>
          <w:p>
            <w:pPr>
              <w:pStyle w:val="919"/>
              <w:jc w:val="center"/>
              <w:spacing w:before="68" w:line="264" w:lineRule="auto"/>
              <w:rPr>
                <w:rFonts w:hint="eastAsia" w:ascii="宋体" w:hAnsi="宋体" w:cs="宋体"/>
                <w:color w:val="000000" w:themeColor="text1"/>
                <w:highlight w:val="none"/>
              </w:rPr>
            </w:pPr>
            <w:r>
              <w:rPr>
                <w:rFonts w:ascii="宋体" w:hAnsi="宋体" w:cs="宋体"/>
                <w:color w:val="000000" w:themeColor="text1"/>
                <w:spacing w:val="-6"/>
                <w:highlight w:val="none"/>
              </w:rPr>
              <w:t xml:space="preserve">主</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895"/>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2.3</w:t>
            </w:r>
            <w:r>
              <w:rPr>
                <w:color w:val="000000" w:themeColor="text1"/>
                <w:highlight w:val="none"/>
              </w:rPr>
            </w:r>
            <w:r/>
          </w:p>
        </w:tc>
        <w:tc>
          <w:tcPr>
            <w:tcW w:w="1180" w:type="dxa"/>
            <w:vAlign w:val="center"/>
            <w:textDirection w:val="lrTb"/>
            <w:noWrap w:val="false"/>
          </w:tcPr>
          <w:p>
            <w:pPr>
              <w:pStyle w:val="919"/>
              <w:ind w:right="108"/>
              <w:jc w:val="left"/>
              <w:spacing w:before="68" w:line="264" w:lineRule="auto"/>
              <w:rPr>
                <w:rFonts w:hint="eastAsia" w:ascii="宋体" w:hAnsi="宋体" w:cs="宋体"/>
                <w:color w:val="000000" w:themeColor="text1"/>
                <w:spacing w:val="-2"/>
                <w:highlight w:val="none"/>
              </w:rPr>
            </w:pPr>
            <w:r>
              <w:rPr>
                <w:color w:val="000000" w:themeColor="text1"/>
                <w:spacing w:val="-2"/>
                <w:highlight w:val="none"/>
              </w:rPr>
              <w:t xml:space="preserve">应急抢修保障方案</w:t>
            </w:r>
            <w:r>
              <w:rPr>
                <w:color w:val="000000" w:themeColor="text1"/>
                <w:highlight w:val="none"/>
              </w:rPr>
            </w:r>
            <w:r/>
          </w:p>
        </w:tc>
        <w:tc>
          <w:tcPr>
            <w:tcW w:w="6624" w:type="dxa"/>
            <w:vAlign w:val="center"/>
            <w:textDirection w:val="lrTb"/>
            <w:noWrap w:val="false"/>
          </w:tcPr>
          <w:p>
            <w:pPr>
              <w:pStyle w:val="1044"/>
              <w:ind w:right="139"/>
              <w:rPr>
                <w:rFonts w:hint="eastAsia" w:ascii="Calibri" w:hAnsi="Calibri" w:eastAsia="Calibri"/>
                <w:color w:val="000000" w:themeColor="text1"/>
                <w:spacing w:val="-2"/>
                <w:sz w:val="20"/>
                <w:szCs w:val="21"/>
                <w:highlight w:val="none"/>
              </w:rPr>
            </w:pPr>
            <w:r>
              <w:rPr>
                <w:rFonts w:hint="eastAsia" w:ascii="Calibri" w:hAnsi="Calibri" w:eastAsia="Calibri"/>
                <w:color w:val="000000" w:themeColor="text1"/>
                <w:spacing w:val="-2"/>
                <w:sz w:val="20"/>
                <w:szCs w:val="21"/>
                <w:highlight w:val="none"/>
                <w:lang w:bidi="ar-SA"/>
              </w:rPr>
              <w:t xml:space="preserve">根据本项目采购需求编制应急抢修保障方案，</w:t>
            </w:r>
            <w:r>
              <w:rPr>
                <w:rFonts w:hint="eastAsia" w:ascii="Calibri" w:hAnsi="Calibri" w:eastAsia="Calibri"/>
                <w:color w:val="000000" w:themeColor="text1"/>
                <w:spacing w:val="-2"/>
                <w:sz w:val="20"/>
                <w:szCs w:val="21"/>
                <w:highlight w:val="none"/>
                <w:lang w:val="en-US" w:bidi="ar-SA"/>
              </w:rPr>
              <w:t xml:space="preserve">内容包含：1.</w:t>
            </w:r>
            <w:r>
              <w:rPr>
                <w:rFonts w:hint="eastAsia" w:ascii="Calibri" w:hAnsi="Calibri" w:eastAsia="Calibri"/>
                <w:color w:val="000000" w:themeColor="text1"/>
                <w:spacing w:val="-2"/>
                <w:sz w:val="20"/>
                <w:szCs w:val="21"/>
                <w:highlight w:val="none"/>
                <w:lang w:bidi="ar-SA"/>
              </w:rPr>
              <w:t xml:space="preserve">应急抢修实施组织方案；</w:t>
            </w:r>
            <w:r>
              <w:rPr>
                <w:rFonts w:hint="eastAsia" w:ascii="Calibri" w:hAnsi="Calibri" w:eastAsia="Calibri"/>
                <w:color w:val="000000" w:themeColor="text1"/>
                <w:spacing w:val="-2"/>
                <w:sz w:val="20"/>
                <w:szCs w:val="21"/>
                <w:highlight w:val="none"/>
                <w:lang w:val="en-US" w:bidi="ar-SA"/>
              </w:rPr>
              <w:t xml:space="preserve">2.</w:t>
            </w:r>
            <w:r>
              <w:rPr>
                <w:rFonts w:hint="eastAsia" w:ascii="Calibri" w:hAnsi="Calibri" w:eastAsia="Calibri"/>
                <w:color w:val="000000" w:themeColor="text1"/>
                <w:spacing w:val="-2"/>
                <w:sz w:val="20"/>
                <w:szCs w:val="21"/>
                <w:highlight w:val="none"/>
                <w:lang w:bidi="ar-SA"/>
              </w:rPr>
              <w:t xml:space="preserve">应急抢修的备品；</w:t>
            </w:r>
            <w:r>
              <w:rPr>
                <w:rFonts w:hint="eastAsia" w:ascii="Calibri" w:hAnsi="Calibri" w:eastAsia="Calibri"/>
                <w:color w:val="000000" w:themeColor="text1"/>
                <w:spacing w:val="-2"/>
                <w:sz w:val="20"/>
                <w:szCs w:val="21"/>
                <w:highlight w:val="none"/>
                <w:lang w:val="en-US" w:bidi="ar-SA"/>
              </w:rPr>
              <w:t xml:space="preserve">3.</w:t>
            </w:r>
            <w:r>
              <w:rPr>
                <w:rFonts w:hint="eastAsia" w:ascii="Calibri" w:hAnsi="Calibri" w:eastAsia="Calibri"/>
                <w:color w:val="000000" w:themeColor="text1"/>
                <w:spacing w:val="-2"/>
                <w:sz w:val="20"/>
                <w:szCs w:val="21"/>
                <w:highlight w:val="none"/>
                <w:lang w:bidi="ar-SA"/>
              </w:rPr>
              <w:t xml:space="preserve">备件配置与管理；</w:t>
            </w:r>
            <w:r>
              <w:rPr>
                <w:rFonts w:hint="eastAsia" w:ascii="Calibri" w:hAnsi="Calibri" w:eastAsia="Calibri"/>
                <w:color w:val="000000" w:themeColor="text1"/>
                <w:spacing w:val="-2"/>
                <w:sz w:val="20"/>
                <w:szCs w:val="21"/>
                <w:highlight w:val="none"/>
                <w:lang w:val="en-US" w:bidi="ar-SA"/>
              </w:rPr>
              <w:t xml:space="preserve">4.</w:t>
            </w:r>
            <w:r>
              <w:rPr>
                <w:rFonts w:hint="eastAsia" w:ascii="Calibri" w:hAnsi="Calibri" w:eastAsia="Calibri"/>
                <w:color w:val="000000" w:themeColor="text1"/>
                <w:spacing w:val="-2"/>
                <w:sz w:val="20"/>
                <w:szCs w:val="21"/>
                <w:highlight w:val="none"/>
                <w:lang w:bidi="ar-SA"/>
              </w:rPr>
              <w:t xml:space="preserve">应急抢修配置的工具、器材、人员及管理等方面综合评分。</w:t>
            </w:r>
            <w:r>
              <w:rPr>
                <w:color w:val="000000" w:themeColor="text1"/>
                <w:highlight w:val="none"/>
              </w:rPr>
            </w:r>
            <w:r/>
          </w:p>
          <w:p>
            <w:pPr>
              <w:pStyle w:val="931"/>
              <w:ind w:left="0"/>
              <w:rPr>
                <w:rFonts w:hint="eastAsia" w:ascii="宋体" w:hAnsi="宋体" w:eastAsia="宋体"/>
                <w:color w:val="000000" w:themeColor="text1"/>
                <w:sz w:val="21"/>
                <w:highlight w:val="none"/>
              </w:rPr>
            </w:pPr>
            <w:r>
              <w:rPr>
                <w:rFonts w:hint="eastAsia"/>
                <w:color w:val="000000" w:themeColor="text1"/>
                <w:spacing w:val="-2"/>
                <w:highlight w:val="none"/>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spacing w:val="-2"/>
                <w:highlight w:val="none"/>
                <w:lang w:val="en-US"/>
              </w:rPr>
              <w:t xml:space="preserve">1.5</w:t>
            </w:r>
            <w:r>
              <w:rPr>
                <w:rFonts w:hint="eastAsia"/>
                <w:color w:val="000000" w:themeColor="text1"/>
                <w:spacing w:val="-2"/>
                <w:highlight w:val="none"/>
              </w:rPr>
              <w:t xml:space="preserve">分；部分符合得1分；不符合或不提供不得分。</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861" w:type="dxa"/>
            <w:vAlign w:val="center"/>
            <w:textDirection w:val="lrTb"/>
            <w:noWrap w:val="false"/>
          </w:tcPr>
          <w:p>
            <w:pPr>
              <w:pStyle w:val="919"/>
              <w:jc w:val="center"/>
              <w:spacing w:before="68" w:line="264" w:lineRule="auto"/>
              <w:rPr>
                <w:rFonts w:ascii="宋体" w:hAnsi="宋体" w:cs="宋体"/>
                <w:color w:val="000000" w:themeColor="text1"/>
                <w:spacing w:val="-6"/>
                <w:highlight w:val="none"/>
              </w:rPr>
            </w:pPr>
            <w:r>
              <w:rPr>
                <w:rFonts w:ascii="宋体" w:hAnsi="宋体" w:cs="宋体"/>
                <w:color w:val="000000" w:themeColor="text1"/>
                <w:spacing w:val="-6"/>
                <w:highlight w:val="none"/>
              </w:rPr>
              <w:t xml:space="preserve">主</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895"/>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2.4</w:t>
            </w:r>
            <w:r>
              <w:rPr>
                <w:color w:val="000000" w:themeColor="text1"/>
                <w:highlight w:val="none"/>
              </w:rPr>
            </w:r>
            <w:r/>
          </w:p>
        </w:tc>
        <w:tc>
          <w:tcPr>
            <w:tcW w:w="1180" w:type="dxa"/>
            <w:vAlign w:val="center"/>
            <w:textDirection w:val="lrTb"/>
            <w:noWrap w:val="false"/>
          </w:tcPr>
          <w:p>
            <w:pPr>
              <w:pStyle w:val="919"/>
              <w:ind w:right="108"/>
              <w:jc w:val="left"/>
              <w:spacing w:before="68" w:line="264" w:lineRule="auto"/>
              <w:rPr>
                <w:rFonts w:hint="eastAsia"/>
                <w:color w:val="000000" w:themeColor="text1"/>
                <w:spacing w:val="-2"/>
                <w:highlight w:val="none"/>
              </w:rPr>
            </w:pPr>
            <w:r>
              <w:rPr>
                <w:color w:val="000000" w:themeColor="text1"/>
                <w:spacing w:val="-2"/>
                <w:highlight w:val="none"/>
              </w:rPr>
              <w:t xml:space="preserve">现场勘测</w:t>
            </w:r>
            <w:r>
              <w:rPr>
                <w:rFonts w:hint="eastAsia"/>
                <w:color w:val="000000" w:themeColor="text1"/>
                <w:spacing w:val="-2"/>
                <w:highlight w:val="none"/>
              </w:rPr>
              <w:t xml:space="preserve">方案</w:t>
            </w:r>
            <w:r>
              <w:rPr>
                <w:color w:val="000000" w:themeColor="text1"/>
                <w:highlight w:val="none"/>
              </w:rPr>
            </w:r>
            <w:r/>
          </w:p>
        </w:tc>
        <w:tc>
          <w:tcPr>
            <w:tcW w:w="6624" w:type="dxa"/>
            <w:vAlign w:val="center"/>
            <w:textDirection w:val="lrTb"/>
            <w:noWrap w:val="false"/>
          </w:tcPr>
          <w:p>
            <w:pPr>
              <w:pStyle w:val="1044"/>
              <w:ind w:right="108"/>
              <w:spacing w:before="76"/>
              <w:rPr>
                <w:rFonts w:hint="eastAsia"/>
                <w:color w:val="000000" w:themeColor="text1"/>
                <w:spacing w:val="-14"/>
                <w:highlight w:val="none"/>
              </w:rPr>
            </w:pPr>
            <w:r>
              <w:rPr>
                <w:rFonts w:hint="eastAsia" w:ascii="Calibri" w:hAnsi="Calibri" w:eastAsia="Calibri"/>
                <w:color w:val="000000" w:themeColor="text1"/>
                <w:spacing w:val="-2"/>
                <w:sz w:val="20"/>
                <w:szCs w:val="21"/>
                <w:highlight w:val="none"/>
                <w:lang w:bidi="ar-SA"/>
              </w:rPr>
              <w:t xml:space="preserve">根据本项目采购需求编制</w:t>
            </w:r>
            <w:r>
              <w:rPr>
                <w:color w:val="000000" w:themeColor="text1"/>
                <w:spacing w:val="-2"/>
                <w:highlight w:val="none"/>
              </w:rPr>
              <w:t xml:space="preserve">现场勘测</w:t>
            </w:r>
            <w:r>
              <w:rPr>
                <w:rFonts w:hint="eastAsia"/>
                <w:color w:val="000000" w:themeColor="text1"/>
                <w:spacing w:val="-2"/>
                <w:highlight w:val="none"/>
                <w:lang w:val="en-US"/>
              </w:rPr>
              <w:t xml:space="preserve">方案，</w:t>
            </w:r>
            <w:r>
              <w:rPr>
                <w:rFonts w:hint="eastAsia" w:ascii="Calibri" w:hAnsi="Calibri" w:eastAsia="Calibri"/>
                <w:color w:val="000000" w:themeColor="text1"/>
                <w:spacing w:val="-2"/>
                <w:sz w:val="20"/>
                <w:szCs w:val="21"/>
                <w:highlight w:val="none"/>
                <w:lang w:val="en-US" w:bidi="ar-SA"/>
              </w:rPr>
              <w:t xml:space="preserve">内容包含：</w:t>
            </w:r>
            <w:r>
              <w:rPr>
                <w:rFonts w:hint="eastAsia"/>
                <w:color w:val="000000" w:themeColor="text1"/>
                <w:spacing w:val="-2"/>
                <w:highlight w:val="none"/>
                <w:lang w:val="en-US"/>
              </w:rPr>
              <w:t xml:space="preserve">1.</w:t>
            </w:r>
            <w:r>
              <w:rPr>
                <w:color w:val="000000" w:themeColor="text1"/>
                <w:spacing w:val="-2"/>
                <w:highlight w:val="none"/>
              </w:rPr>
              <w:t xml:space="preserve">监控点位前端摄像机功能及能否正常工作</w:t>
            </w:r>
            <w:r>
              <w:rPr>
                <w:rFonts w:hint="eastAsia"/>
                <w:color w:val="000000" w:themeColor="text1"/>
                <w:spacing w:val="-2"/>
                <w:highlight w:val="none"/>
              </w:rPr>
              <w:t xml:space="preserve">；</w:t>
            </w:r>
            <w:r>
              <w:rPr>
                <w:rFonts w:hint="eastAsia"/>
                <w:color w:val="000000" w:themeColor="text1"/>
                <w:spacing w:val="-2"/>
                <w:highlight w:val="none"/>
                <w:lang w:val="en-US"/>
              </w:rPr>
              <w:t xml:space="preserve">2.</w:t>
            </w:r>
            <w:r>
              <w:rPr>
                <w:color w:val="000000" w:themeColor="text1"/>
                <w:spacing w:val="-2"/>
                <w:highlight w:val="none"/>
              </w:rPr>
              <w:t xml:space="preserve">前端信号线缆走向和汇聚点</w:t>
            </w:r>
            <w:r>
              <w:rPr>
                <w:rFonts w:hint="eastAsia"/>
                <w:color w:val="000000" w:themeColor="text1"/>
                <w:spacing w:val="-2"/>
                <w:highlight w:val="none"/>
              </w:rPr>
              <w:t xml:space="preserve">；</w:t>
            </w:r>
            <w:r>
              <w:rPr>
                <w:rFonts w:hint="eastAsia"/>
                <w:color w:val="000000" w:themeColor="text1"/>
                <w:spacing w:val="-2"/>
                <w:highlight w:val="none"/>
                <w:lang w:val="en-US"/>
              </w:rPr>
              <w:t xml:space="preserve">3.</w:t>
            </w:r>
            <w:r>
              <w:rPr>
                <w:color w:val="000000" w:themeColor="text1"/>
                <w:spacing w:val="-2"/>
                <w:highlight w:val="none"/>
              </w:rPr>
              <w:t xml:space="preserve">前端供电线缆走向和接入方式</w:t>
            </w:r>
            <w:r>
              <w:rPr>
                <w:rFonts w:hint="eastAsia"/>
                <w:color w:val="000000" w:themeColor="text1"/>
                <w:spacing w:val="-2"/>
                <w:highlight w:val="none"/>
              </w:rPr>
              <w:t xml:space="preserve">；</w:t>
            </w:r>
            <w:r>
              <w:rPr>
                <w:rFonts w:hint="eastAsia"/>
                <w:color w:val="000000" w:themeColor="text1"/>
                <w:spacing w:val="-2"/>
                <w:highlight w:val="none"/>
                <w:lang w:val="en-US"/>
              </w:rPr>
              <w:t xml:space="preserve">4.</w:t>
            </w:r>
            <w:r>
              <w:rPr>
                <w:color w:val="000000" w:themeColor="text1"/>
                <w:highlight w:val="none"/>
              </w:rPr>
              <w:t xml:space="preserve">前端机箱式样、安装位置、系统平台现状等要素</w:t>
            </w:r>
            <w:r>
              <w:rPr>
                <w:rFonts w:hint="eastAsia" w:ascii="Calibri" w:hAnsi="Calibri" w:eastAsia="Calibri"/>
                <w:color w:val="000000" w:themeColor="text1"/>
                <w:spacing w:val="-2"/>
                <w:sz w:val="20"/>
                <w:szCs w:val="21"/>
                <w:highlight w:val="none"/>
                <w:lang w:bidi="ar-SA"/>
              </w:rPr>
              <w:t xml:space="preserve">综合评分</w:t>
            </w:r>
            <w:r>
              <w:rPr>
                <w:rFonts w:hint="eastAsia"/>
                <w:color w:val="000000" w:themeColor="text1"/>
                <w:highlight w:val="none"/>
              </w:rPr>
              <w:t xml:space="preserve">。</w:t>
            </w:r>
            <w:r>
              <w:rPr>
                <w:color w:val="000000" w:themeColor="text1"/>
                <w:highlight w:val="none"/>
              </w:rPr>
            </w:r>
            <w:r/>
          </w:p>
          <w:p>
            <w:pPr>
              <w:pStyle w:val="931"/>
              <w:ind w:left="0"/>
              <w:rPr>
                <w:rFonts w:hint="eastAsia"/>
                <w:color w:val="000000" w:themeColor="text1"/>
                <w:spacing w:val="-2"/>
                <w:highlight w:val="none"/>
              </w:rPr>
            </w:pPr>
            <w:r>
              <w:rPr>
                <w:rFonts w:hint="eastAsia"/>
                <w:color w:val="000000" w:themeColor="text1"/>
                <w:spacing w:val="-2"/>
                <w:highlight w:val="none"/>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spacing w:val="-2"/>
                <w:highlight w:val="none"/>
                <w:lang w:val="en-US"/>
              </w:rPr>
              <w:t xml:space="preserve">1.5</w:t>
            </w:r>
            <w:r>
              <w:rPr>
                <w:rFonts w:hint="eastAsia"/>
                <w:color w:val="000000" w:themeColor="text1"/>
                <w:spacing w:val="-2"/>
                <w:highlight w:val="none"/>
              </w:rPr>
              <w:t xml:space="preserve">分；部分符合得1分；不符合或不提供不得分。</w:t>
            </w:r>
            <w:r>
              <w:rPr>
                <w:color w:val="000000" w:themeColor="text1"/>
                <w:highlight w:val="none"/>
              </w:rPr>
            </w:r>
            <w:r/>
          </w:p>
          <w:p>
            <w:pPr>
              <w:pStyle w:val="919"/>
              <w:rPr>
                <w:color w:val="000000" w:themeColor="text1"/>
                <w:spacing w:val="-6"/>
                <w:highlight w:val="none"/>
              </w:rPr>
            </w:pPr>
            <w:r>
              <w:rPr>
                <w:color w:val="000000" w:themeColor="text1"/>
                <w:spacing w:val="-6"/>
                <w:highlight w:val="none"/>
              </w:rPr>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861" w:type="dxa"/>
            <w:vAlign w:val="center"/>
            <w:textDirection w:val="lrTb"/>
            <w:noWrap w:val="false"/>
          </w:tcPr>
          <w:p>
            <w:pPr>
              <w:pStyle w:val="919"/>
              <w:jc w:val="center"/>
              <w:spacing w:before="68" w:line="264" w:lineRule="auto"/>
              <w:rPr>
                <w:rFonts w:ascii="宋体" w:hAnsi="宋体" w:cs="宋体"/>
                <w:color w:val="000000" w:themeColor="text1"/>
                <w:spacing w:val="-6"/>
                <w:highlight w:val="none"/>
              </w:rPr>
            </w:pPr>
            <w:r>
              <w:rPr>
                <w:rFonts w:ascii="宋体" w:hAnsi="宋体" w:cs="宋体"/>
                <w:color w:val="000000" w:themeColor="text1"/>
                <w:spacing w:val="-6"/>
                <w:highlight w:val="none"/>
              </w:rPr>
              <w:t xml:space="preserve">主</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895"/>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2.5</w:t>
            </w:r>
            <w:r>
              <w:rPr>
                <w:color w:val="000000" w:themeColor="text1"/>
                <w:highlight w:val="none"/>
              </w:rPr>
            </w:r>
            <w:r/>
          </w:p>
        </w:tc>
        <w:tc>
          <w:tcPr>
            <w:tcW w:w="1180" w:type="dxa"/>
            <w:vAlign w:val="center"/>
            <w:textDirection w:val="lrTb"/>
            <w:noWrap w:val="false"/>
          </w:tcPr>
          <w:p>
            <w:pPr>
              <w:pStyle w:val="919"/>
              <w:ind w:right="108"/>
              <w:jc w:val="left"/>
              <w:spacing w:before="68" w:line="264" w:lineRule="auto"/>
              <w:rPr>
                <w:color w:val="000000" w:themeColor="text1"/>
                <w:spacing w:val="-2"/>
                <w:highlight w:val="none"/>
              </w:rPr>
            </w:pPr>
            <w:r>
              <w:rPr>
                <w:color w:val="000000" w:themeColor="text1"/>
                <w:spacing w:val="-2"/>
                <w:highlight w:val="none"/>
              </w:rPr>
              <w:t xml:space="preserve">传输系统维</w:t>
            </w:r>
            <w:r>
              <w:rPr>
                <w:color w:val="000000" w:themeColor="text1"/>
                <w:spacing w:val="-4"/>
                <w:highlight w:val="none"/>
              </w:rPr>
              <w:t xml:space="preserve">护方案</w:t>
            </w:r>
            <w:r>
              <w:rPr>
                <w:color w:val="000000" w:themeColor="text1"/>
                <w:highlight w:val="none"/>
              </w:rPr>
            </w:r>
            <w:r/>
          </w:p>
        </w:tc>
        <w:tc>
          <w:tcPr>
            <w:tcW w:w="6624" w:type="dxa"/>
            <w:vAlign w:val="center"/>
            <w:textDirection w:val="lrTb"/>
            <w:noWrap w:val="false"/>
          </w:tcPr>
          <w:p>
            <w:pPr>
              <w:pStyle w:val="1044"/>
              <w:ind w:right="110"/>
              <w:spacing w:before="76"/>
              <w:rPr>
                <w:rFonts w:hint="eastAsia"/>
                <w:color w:val="000000" w:themeColor="text1"/>
                <w:highlight w:val="none"/>
              </w:rPr>
            </w:pPr>
            <w:r>
              <w:rPr>
                <w:rFonts w:hint="eastAsia"/>
                <w:color w:val="000000" w:themeColor="text1"/>
                <w:highlight w:val="none"/>
              </w:rPr>
              <w:t xml:space="preserve">根据本项目采购需求编制</w:t>
            </w:r>
            <w:r>
              <w:rPr>
                <w:rFonts w:hint="eastAsia"/>
                <w:color w:val="000000" w:themeColor="text1"/>
                <w:highlight w:val="none"/>
                <w:lang w:val="en-US"/>
              </w:rPr>
              <w:t xml:space="preserve">传输系统维护方案，内容包含：1.传输系统的维护保养内容和周期；2.传输系统维护保养实施组织方案；3.维护保养备品备件的配置与管理；4.维护保养配置的工具、器材、人员及管理等</w:t>
            </w:r>
            <w:r>
              <w:rPr>
                <w:rFonts w:hint="eastAsia"/>
                <w:color w:val="000000" w:themeColor="text1"/>
                <w:highlight w:val="none"/>
              </w:rPr>
              <w:t xml:space="preserve">方面综合评分。</w:t>
            </w:r>
            <w:r>
              <w:rPr>
                <w:color w:val="000000" w:themeColor="text1"/>
                <w:highlight w:val="none"/>
              </w:rPr>
            </w:r>
            <w:r/>
          </w:p>
          <w:p>
            <w:pPr>
              <w:pStyle w:val="1044"/>
              <w:ind w:right="110"/>
              <w:spacing w:before="76"/>
              <w:rPr>
                <w:color w:val="000000" w:themeColor="text1"/>
                <w:spacing w:val="-7"/>
                <w:highlight w:val="none"/>
              </w:rPr>
            </w:pPr>
            <w:r>
              <w:rPr>
                <w:rFonts w:hint="eastAsia"/>
                <w:color w:val="000000" w:themeColor="text1"/>
                <w:highlight w:val="none"/>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highlight w:val="none"/>
                <w:lang w:val="en-US"/>
              </w:rPr>
              <w:t xml:space="preserve">1.5</w:t>
            </w:r>
            <w:r>
              <w:rPr>
                <w:rFonts w:hint="eastAsia"/>
                <w:color w:val="000000" w:themeColor="text1"/>
                <w:highlight w:val="none"/>
              </w:rPr>
              <w:t xml:space="preserve">分；部分符合得1分；不符合或不提供不得分。</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861" w:type="dxa"/>
            <w:vAlign w:val="center"/>
            <w:textDirection w:val="lrTb"/>
            <w:noWrap w:val="false"/>
          </w:tcPr>
          <w:p>
            <w:pPr>
              <w:pStyle w:val="919"/>
              <w:jc w:val="center"/>
              <w:spacing w:before="68" w:line="264" w:lineRule="auto"/>
              <w:rPr>
                <w:rFonts w:ascii="宋体" w:hAnsi="宋体" w:cs="宋体"/>
                <w:color w:val="000000" w:themeColor="text1"/>
                <w:spacing w:val="-6"/>
                <w:highlight w:val="none"/>
              </w:rPr>
            </w:pPr>
            <w:r>
              <w:rPr>
                <w:rFonts w:ascii="宋体" w:hAnsi="宋体" w:cs="宋体"/>
                <w:color w:val="000000" w:themeColor="text1"/>
                <w:spacing w:val="-6"/>
                <w:highlight w:val="none"/>
              </w:rPr>
              <w:t xml:space="preserve">主</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895"/>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2.6</w:t>
            </w:r>
            <w:r>
              <w:rPr>
                <w:color w:val="000000" w:themeColor="text1"/>
                <w:highlight w:val="none"/>
              </w:rPr>
            </w:r>
            <w:r/>
          </w:p>
        </w:tc>
        <w:tc>
          <w:tcPr>
            <w:tcW w:w="1180" w:type="dxa"/>
            <w:vAlign w:val="center"/>
            <w:textDirection w:val="lrTb"/>
            <w:noWrap w:val="false"/>
          </w:tcPr>
          <w:p>
            <w:pPr>
              <w:pStyle w:val="919"/>
              <w:rPr>
                <w:color w:val="000000" w:themeColor="text1"/>
                <w:spacing w:val="-2"/>
                <w:highlight w:val="none"/>
              </w:rPr>
            </w:pPr>
            <w:r>
              <w:rPr>
                <w:color w:val="000000" w:themeColor="text1"/>
                <w:spacing w:val="-2"/>
                <w:highlight w:val="none"/>
              </w:rPr>
              <w:t xml:space="preserve">系统平台</w:t>
            </w:r>
            <w:r>
              <w:rPr>
                <w:color w:val="000000" w:themeColor="text1"/>
                <w:highlight w:val="none"/>
              </w:rPr>
            </w:r>
            <w:r/>
          </w:p>
          <w:p>
            <w:pPr>
              <w:pStyle w:val="919"/>
              <w:rPr>
                <w:color w:val="000000" w:themeColor="text1"/>
                <w:highlight w:val="none"/>
              </w:rPr>
            </w:pPr>
            <w:r>
              <w:rPr>
                <w:color w:val="000000" w:themeColor="text1"/>
                <w:spacing w:val="-2"/>
                <w:highlight w:val="none"/>
              </w:rPr>
              <w:t xml:space="preserve">维护方案</w:t>
            </w:r>
            <w:r>
              <w:rPr>
                <w:color w:val="000000" w:themeColor="text1"/>
                <w:highlight w:val="none"/>
              </w:rPr>
            </w:r>
            <w:r/>
          </w:p>
          <w:p>
            <w:pPr>
              <w:pStyle w:val="919"/>
              <w:ind w:right="108"/>
              <w:jc w:val="left"/>
              <w:spacing w:before="68" w:line="264" w:lineRule="auto"/>
              <w:rPr>
                <w:color w:val="000000" w:themeColor="text1"/>
                <w:spacing w:val="-2"/>
                <w:highlight w:val="none"/>
              </w:rPr>
            </w:pPr>
            <w:r>
              <w:rPr>
                <w:color w:val="000000" w:themeColor="text1"/>
                <w:spacing w:val="-2"/>
                <w:highlight w:val="none"/>
              </w:rPr>
            </w:r>
            <w:r>
              <w:rPr>
                <w:color w:val="000000" w:themeColor="text1"/>
                <w:highlight w:val="none"/>
              </w:rPr>
            </w:r>
            <w:r/>
          </w:p>
        </w:tc>
        <w:tc>
          <w:tcPr>
            <w:tcW w:w="6624" w:type="dxa"/>
            <w:vAlign w:val="center"/>
            <w:textDirection w:val="lrTb"/>
            <w:noWrap w:val="false"/>
          </w:tcPr>
          <w:p>
            <w:pPr>
              <w:pStyle w:val="1044"/>
              <w:ind w:right="110"/>
              <w:spacing w:before="76"/>
              <w:rPr>
                <w:rFonts w:hint="eastAsia"/>
                <w:color w:val="000000" w:themeColor="text1"/>
                <w:spacing w:val="-1"/>
                <w:highlight w:val="none"/>
              </w:rPr>
            </w:pPr>
            <w:r>
              <w:rPr>
                <w:rFonts w:hint="eastAsia"/>
                <w:color w:val="000000" w:themeColor="text1"/>
                <w:spacing w:val="-1"/>
                <w:highlight w:val="none"/>
              </w:rPr>
              <w:t xml:space="preserve">根据本项目采购需求编制</w:t>
            </w:r>
            <w:r>
              <w:rPr>
                <w:color w:val="000000" w:themeColor="text1"/>
                <w:spacing w:val="-1"/>
                <w:highlight w:val="none"/>
              </w:rPr>
              <w:t xml:space="preserve">系统平台维护方案</w:t>
            </w:r>
            <w:r>
              <w:rPr>
                <w:rFonts w:hint="eastAsia"/>
                <w:color w:val="000000" w:themeColor="text1"/>
                <w:spacing w:val="-1"/>
                <w:highlight w:val="none"/>
                <w:lang w:val="en-US"/>
              </w:rPr>
              <w:t xml:space="preserve">，内容包含：1.</w:t>
            </w:r>
            <w:r>
              <w:rPr>
                <w:color w:val="000000" w:themeColor="text1"/>
                <w:spacing w:val="-1"/>
                <w:highlight w:val="none"/>
              </w:rPr>
              <w:t xml:space="preserve">系统平台的维护保养内容和周期</w:t>
            </w:r>
            <w:r>
              <w:rPr>
                <w:rFonts w:hint="eastAsia"/>
                <w:color w:val="000000" w:themeColor="text1"/>
                <w:spacing w:val="-1"/>
                <w:highlight w:val="none"/>
              </w:rPr>
              <w:t xml:space="preserve">；</w:t>
            </w:r>
            <w:r>
              <w:rPr>
                <w:rFonts w:hint="eastAsia"/>
                <w:color w:val="000000" w:themeColor="text1"/>
                <w:spacing w:val="-1"/>
                <w:highlight w:val="none"/>
                <w:lang w:val="en-US"/>
              </w:rPr>
              <w:t xml:space="preserve">2.</w:t>
            </w:r>
            <w:r>
              <w:rPr>
                <w:color w:val="000000" w:themeColor="text1"/>
                <w:spacing w:val="-1"/>
                <w:highlight w:val="none"/>
              </w:rPr>
              <w:t xml:space="preserve">系统平台维护保养实施组织方案</w:t>
            </w:r>
            <w:r>
              <w:rPr>
                <w:rFonts w:hint="eastAsia"/>
                <w:color w:val="000000" w:themeColor="text1"/>
                <w:spacing w:val="-1"/>
                <w:highlight w:val="none"/>
              </w:rPr>
              <w:t xml:space="preserve">；</w:t>
            </w:r>
            <w:r>
              <w:rPr>
                <w:rFonts w:hint="eastAsia"/>
                <w:color w:val="000000" w:themeColor="text1"/>
                <w:spacing w:val="-1"/>
                <w:highlight w:val="none"/>
                <w:lang w:val="en-US"/>
              </w:rPr>
              <w:t xml:space="preserve">3.</w:t>
            </w:r>
            <w:r>
              <w:rPr>
                <w:color w:val="000000" w:themeColor="text1"/>
                <w:spacing w:val="-1"/>
                <w:highlight w:val="none"/>
              </w:rPr>
              <w:t xml:space="preserve">维护保养备品备件的配置与管理</w:t>
            </w:r>
            <w:r>
              <w:rPr>
                <w:rFonts w:hint="eastAsia"/>
                <w:color w:val="000000" w:themeColor="text1"/>
                <w:spacing w:val="-1"/>
                <w:highlight w:val="none"/>
              </w:rPr>
              <w:t xml:space="preserve">；</w:t>
            </w:r>
            <w:r>
              <w:rPr>
                <w:rFonts w:hint="eastAsia"/>
                <w:color w:val="000000" w:themeColor="text1"/>
                <w:spacing w:val="-1"/>
                <w:highlight w:val="none"/>
                <w:lang w:val="en-US"/>
              </w:rPr>
              <w:t xml:space="preserve">4.</w:t>
            </w:r>
            <w:r>
              <w:rPr>
                <w:color w:val="000000" w:themeColor="text1"/>
                <w:spacing w:val="-1"/>
                <w:highlight w:val="none"/>
              </w:rPr>
              <w:t xml:space="preserve">维护保养配置的工具、器材、人员及管理等</w:t>
            </w:r>
            <w:r>
              <w:rPr>
                <w:rFonts w:hint="eastAsia"/>
                <w:color w:val="000000" w:themeColor="text1"/>
                <w:spacing w:val="-1"/>
                <w:highlight w:val="none"/>
              </w:rPr>
              <w:t xml:space="preserve">方面综合评分。</w:t>
            </w:r>
            <w:r>
              <w:rPr>
                <w:color w:val="000000" w:themeColor="text1"/>
                <w:highlight w:val="none"/>
              </w:rPr>
            </w:r>
            <w:r/>
          </w:p>
          <w:p>
            <w:pPr>
              <w:pStyle w:val="1044"/>
              <w:ind w:right="110"/>
              <w:spacing w:before="76"/>
              <w:rPr>
                <w:color w:val="000000" w:themeColor="text1"/>
                <w:spacing w:val="-6"/>
                <w:highlight w:val="none"/>
              </w:rPr>
            </w:pPr>
            <w:r>
              <w:rPr>
                <w:rFonts w:hint="eastAsia"/>
                <w:color w:val="000000" w:themeColor="text1"/>
                <w:spacing w:val="-1"/>
                <w:highlight w:val="none"/>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spacing w:val="-1"/>
                <w:highlight w:val="none"/>
                <w:lang w:val="en-US"/>
              </w:rPr>
              <w:t xml:space="preserve">1.5</w:t>
            </w:r>
            <w:r>
              <w:rPr>
                <w:rFonts w:hint="eastAsia"/>
                <w:color w:val="000000" w:themeColor="text1"/>
                <w:spacing w:val="-1"/>
                <w:highlight w:val="none"/>
              </w:rPr>
              <w:t xml:space="preserve">分；部分符合得1分；不符合或不提供不得分。</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861" w:type="dxa"/>
            <w:vAlign w:val="center"/>
            <w:textDirection w:val="lrTb"/>
            <w:noWrap w:val="false"/>
          </w:tcPr>
          <w:p>
            <w:pPr>
              <w:pStyle w:val="919"/>
              <w:jc w:val="center"/>
              <w:spacing w:before="68" w:line="264" w:lineRule="auto"/>
              <w:rPr>
                <w:rFonts w:ascii="宋体" w:hAnsi="宋体" w:cs="宋体"/>
                <w:color w:val="000000" w:themeColor="text1"/>
                <w:spacing w:val="-6"/>
                <w:highlight w:val="none"/>
              </w:rPr>
            </w:pPr>
            <w:r>
              <w:rPr>
                <w:rFonts w:ascii="宋体" w:hAnsi="宋体" w:cs="宋体"/>
                <w:color w:val="000000" w:themeColor="text1"/>
                <w:spacing w:val="-6"/>
                <w:highlight w:val="none"/>
              </w:rPr>
              <w:t xml:space="preserve">主</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460"/>
        </w:trPr>
        <w:tc>
          <w:tcPr>
            <w:gridSpan w:val="5"/>
            <w:tcW w:w="9757" w:type="dxa"/>
            <w:vAlign w:val="center"/>
            <w:textDirection w:val="lrTb"/>
            <w:noWrap w:val="false"/>
          </w:tcPr>
          <w:p>
            <w:pPr>
              <w:pStyle w:val="919"/>
              <w:spacing w:line="264" w:lineRule="auto"/>
              <w:rPr>
                <w:rFonts w:ascii="宋体" w:hAnsi="宋体" w:cs="宋体"/>
                <w:color w:val="000000" w:themeColor="text1"/>
                <w:highlight w:val="none"/>
              </w:rPr>
            </w:pPr>
            <w:r>
              <w:rPr>
                <w:rFonts w:hint="eastAsia" w:ascii="宋体" w:hAnsi="宋体" w:cs="宋体"/>
                <w:b/>
                <w:bCs/>
                <w:color w:val="000000" w:themeColor="text1"/>
                <w:spacing w:val="-3"/>
                <w:highlight w:val="none"/>
              </w:rPr>
              <w:t xml:space="preserve">3.业绩</w:t>
            </w:r>
            <w:r>
              <w:rPr>
                <w:color w:val="000000" w:themeColor="text1"/>
                <w:highlight w:val="none"/>
              </w:rPr>
            </w:r>
            <w:r/>
          </w:p>
        </w:tc>
      </w:tr>
      <w:tr>
        <w:trPr>
          <w:trHeight w:val="1019"/>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ascii="宋体" w:hAnsi="宋体" w:cs="宋体"/>
                <w:color w:val="000000" w:themeColor="text1"/>
                <w:spacing w:val="-2"/>
                <w:highlight w:val="none"/>
              </w:rPr>
              <w:t xml:space="preserve">3.1</w:t>
            </w:r>
            <w:r>
              <w:rPr>
                <w:color w:val="000000" w:themeColor="text1"/>
                <w:highlight w:val="none"/>
              </w:rPr>
            </w:r>
            <w:r/>
          </w:p>
        </w:tc>
        <w:tc>
          <w:tcPr>
            <w:tcW w:w="1180" w:type="dxa"/>
            <w:vAlign w:val="center"/>
            <w:textDirection w:val="lrTb"/>
            <w:noWrap w:val="false"/>
          </w:tcPr>
          <w:p>
            <w:pPr>
              <w:pStyle w:val="919"/>
              <w:spacing w:before="69" w:line="264" w:lineRule="auto"/>
              <w:rPr>
                <w:rFonts w:ascii="宋体" w:hAnsi="宋体" w:cs="宋体"/>
                <w:color w:val="000000" w:themeColor="text1"/>
                <w:spacing w:val="-2"/>
                <w:highlight w:val="none"/>
              </w:rPr>
            </w:pPr>
            <w:r>
              <w:rPr>
                <w:rFonts w:hint="eastAsia" w:ascii="宋体" w:hAnsi="宋体" w:cs="宋体"/>
                <w:color w:val="000000" w:themeColor="text1"/>
                <w:spacing w:val="-1"/>
                <w:highlight w:val="none"/>
              </w:rPr>
              <w:t xml:space="preserve">投标人业绩</w:t>
            </w:r>
            <w:r>
              <w:rPr>
                <w:color w:val="000000" w:themeColor="text1"/>
                <w:highlight w:val="none"/>
              </w:rPr>
            </w:r>
            <w:r/>
          </w:p>
        </w:tc>
        <w:tc>
          <w:tcPr>
            <w:tcW w:w="6624" w:type="dxa"/>
            <w:vAlign w:val="center"/>
            <w:textDirection w:val="lrTb"/>
            <w:noWrap w:val="false"/>
          </w:tcPr>
          <w:p>
            <w:pPr>
              <w:pStyle w:val="931"/>
              <w:ind w:left="0"/>
              <w:rPr>
                <w:color w:val="000000" w:themeColor="text1"/>
                <w:highlight w:val="none"/>
              </w:rPr>
            </w:pPr>
            <w:r>
              <w:rPr>
                <w:rFonts w:ascii="宋体" w:hAnsi="宋体" w:eastAsia="宋体"/>
                <w:color w:val="000000" w:themeColor="text1"/>
                <w:spacing w:val="-2"/>
                <w:sz w:val="22"/>
                <w:szCs w:val="22"/>
                <w:highlight w:val="none"/>
                <w:lang w:bidi="zh-CN"/>
              </w:rPr>
              <w:t xml:space="preserve">提供自20</w:t>
            </w:r>
            <w:r>
              <w:rPr>
                <w:rFonts w:ascii="宋体" w:hAnsi="宋体" w:eastAsia="宋体"/>
                <w:color w:val="000000" w:themeColor="text1"/>
                <w:spacing w:val="-2"/>
                <w:sz w:val="22"/>
                <w:szCs w:val="22"/>
                <w:highlight w:val="none"/>
                <w:lang w:val="en-GB" w:bidi="zh-CN"/>
              </w:rPr>
              <w:t xml:space="preserve">2</w:t>
            </w:r>
            <w:r>
              <w:rPr>
                <w:rFonts w:hint="eastAsia" w:ascii="宋体" w:hAnsi="宋体" w:eastAsia="宋体"/>
                <w:color w:val="000000" w:themeColor="text1"/>
                <w:spacing w:val="-2"/>
                <w:sz w:val="22"/>
                <w:szCs w:val="22"/>
                <w:highlight w:val="none"/>
                <w:lang w:val="en-US" w:bidi="zh-CN"/>
              </w:rPr>
              <w:t xml:space="preserve">3</w:t>
            </w:r>
            <w:r>
              <w:rPr>
                <w:rFonts w:ascii="宋体" w:hAnsi="宋体" w:eastAsia="宋体"/>
                <w:color w:val="000000" w:themeColor="text1"/>
                <w:spacing w:val="-2"/>
                <w:sz w:val="22"/>
                <w:szCs w:val="22"/>
                <w:highlight w:val="none"/>
                <w:lang w:bidi="zh-CN"/>
              </w:rPr>
              <w:t xml:space="preserve">年</w:t>
            </w:r>
            <w:r>
              <w:rPr>
                <w:rFonts w:hint="eastAsia" w:ascii="宋体" w:hAnsi="宋体" w:eastAsia="宋体"/>
                <w:color w:val="000000" w:themeColor="text1"/>
                <w:spacing w:val="-2"/>
                <w:sz w:val="22"/>
                <w:szCs w:val="22"/>
                <w:highlight w:val="none"/>
                <w:lang w:val="en-US" w:bidi="zh-CN"/>
              </w:rPr>
              <w:t xml:space="preserve">9</w:t>
            </w:r>
            <w:r>
              <w:rPr>
                <w:rFonts w:ascii="宋体" w:hAnsi="宋体" w:eastAsia="宋体"/>
                <w:color w:val="000000" w:themeColor="text1"/>
                <w:spacing w:val="-2"/>
                <w:sz w:val="22"/>
                <w:szCs w:val="22"/>
                <w:highlight w:val="none"/>
                <w:lang w:bidi="zh-CN"/>
              </w:rPr>
              <w:t xml:space="preserve">月1日以来完成过类似</w:t>
            </w:r>
            <w:r>
              <w:rPr>
                <w:rFonts w:hint="eastAsia" w:ascii="宋体" w:hAnsi="宋体" w:eastAsia="宋体"/>
                <w:color w:val="000000" w:themeColor="text1"/>
                <w:spacing w:val="-2"/>
                <w:sz w:val="22"/>
                <w:szCs w:val="22"/>
                <w:highlight w:val="none"/>
                <w:lang w:bidi="zh-CN"/>
              </w:rPr>
              <w:t xml:space="preserve">项目（至少包含道路</w:t>
            </w:r>
            <w:r>
              <w:rPr>
                <w:rFonts w:ascii="宋体" w:hAnsi="宋体" w:eastAsia="宋体"/>
                <w:color w:val="000000" w:themeColor="text1"/>
                <w:spacing w:val="-2"/>
                <w:sz w:val="22"/>
                <w:szCs w:val="22"/>
                <w:highlight w:val="none"/>
                <w:lang w:bidi="zh-CN"/>
              </w:rPr>
              <w:t xml:space="preserve">信号灯</w:t>
            </w:r>
            <w:r>
              <w:rPr>
                <w:rFonts w:hint="eastAsia" w:ascii="宋体" w:hAnsi="宋体" w:eastAsia="宋体"/>
                <w:color w:val="000000" w:themeColor="text1"/>
                <w:spacing w:val="-2"/>
                <w:sz w:val="22"/>
                <w:szCs w:val="22"/>
                <w:highlight w:val="none"/>
                <w:lang w:val="en-US" w:bidi="zh-CN"/>
              </w:rPr>
              <w:t xml:space="preserve">或视频监控</w:t>
            </w:r>
            <w:r>
              <w:rPr>
                <w:rFonts w:hint="eastAsia" w:ascii="宋体" w:hAnsi="宋体" w:eastAsia="宋体"/>
                <w:color w:val="000000" w:themeColor="text1"/>
                <w:spacing w:val="-2"/>
                <w:sz w:val="22"/>
                <w:szCs w:val="22"/>
                <w:highlight w:val="none"/>
                <w:lang w:bidi="zh-CN"/>
              </w:rPr>
              <w:t xml:space="preserve">类）</w:t>
            </w:r>
            <w:r>
              <w:rPr>
                <w:rFonts w:ascii="宋体" w:hAnsi="宋体" w:eastAsia="宋体"/>
                <w:color w:val="000000" w:themeColor="text1"/>
                <w:spacing w:val="-2"/>
                <w:sz w:val="22"/>
                <w:szCs w:val="22"/>
                <w:highlight w:val="none"/>
                <w:lang w:bidi="zh-CN"/>
              </w:rPr>
              <w:t xml:space="preserve">的成功案例，每提供</w:t>
            </w:r>
            <w:r>
              <w:rPr>
                <w:rFonts w:hint="eastAsia" w:ascii="宋体" w:hAnsi="宋体" w:eastAsia="宋体"/>
                <w:color w:val="000000" w:themeColor="text1"/>
                <w:spacing w:val="-2"/>
                <w:sz w:val="22"/>
                <w:szCs w:val="22"/>
                <w:highlight w:val="none"/>
                <w:lang w:bidi="zh-CN"/>
              </w:rPr>
              <w:t xml:space="preserve">1</w:t>
            </w:r>
            <w:r>
              <w:rPr>
                <w:rFonts w:ascii="宋体" w:hAnsi="宋体" w:eastAsia="宋体"/>
                <w:color w:val="000000" w:themeColor="text1"/>
                <w:spacing w:val="-2"/>
                <w:sz w:val="22"/>
                <w:szCs w:val="22"/>
                <w:highlight w:val="none"/>
                <w:lang w:bidi="zh-CN"/>
              </w:rPr>
              <w:t xml:space="preserve">个得</w:t>
            </w:r>
            <w:r>
              <w:rPr>
                <w:rFonts w:hint="eastAsia" w:ascii="宋体" w:hAnsi="宋体" w:eastAsia="宋体"/>
                <w:color w:val="000000" w:themeColor="text1"/>
                <w:spacing w:val="-2"/>
                <w:sz w:val="22"/>
                <w:szCs w:val="22"/>
                <w:highlight w:val="none"/>
                <w:lang w:bidi="zh-CN"/>
              </w:rPr>
              <w:t xml:space="preserve">3</w:t>
            </w:r>
            <w:r>
              <w:rPr>
                <w:rFonts w:ascii="宋体" w:hAnsi="宋体" w:eastAsia="宋体"/>
                <w:color w:val="000000" w:themeColor="text1"/>
                <w:spacing w:val="-2"/>
                <w:sz w:val="22"/>
                <w:szCs w:val="22"/>
                <w:highlight w:val="none"/>
                <w:lang w:bidi="zh-CN"/>
              </w:rPr>
              <w:t xml:space="preserve">分，最多得</w:t>
            </w:r>
            <w:r>
              <w:rPr>
                <w:rFonts w:hint="eastAsia" w:ascii="宋体" w:hAnsi="宋体" w:eastAsia="宋体"/>
                <w:color w:val="000000" w:themeColor="text1"/>
                <w:spacing w:val="-2"/>
                <w:sz w:val="22"/>
                <w:szCs w:val="22"/>
                <w:highlight w:val="none"/>
                <w:lang w:bidi="zh-CN"/>
              </w:rPr>
              <w:t xml:space="preserve">9</w:t>
            </w:r>
            <w:r>
              <w:rPr>
                <w:rFonts w:ascii="宋体" w:hAnsi="宋体" w:eastAsia="宋体"/>
                <w:color w:val="000000" w:themeColor="text1"/>
                <w:spacing w:val="-2"/>
                <w:sz w:val="22"/>
                <w:szCs w:val="22"/>
                <w:highlight w:val="none"/>
                <w:lang w:bidi="zh-CN"/>
              </w:rPr>
              <w:t xml:space="preserve">分。（</w:t>
            </w:r>
            <w:r>
              <w:rPr>
                <w:rFonts w:hint="eastAsia" w:ascii="宋体" w:hAnsi="宋体" w:eastAsia="宋体"/>
                <w:color w:val="000000" w:themeColor="text1"/>
                <w:spacing w:val="-2"/>
                <w:sz w:val="22"/>
                <w:szCs w:val="22"/>
                <w:highlight w:val="none"/>
                <w:lang w:bidi="zh-CN"/>
              </w:rPr>
              <w:t xml:space="preserve">时间以合同签订时间为准，</w:t>
            </w:r>
            <w:r>
              <w:rPr>
                <w:rFonts w:ascii="宋体" w:hAnsi="宋体" w:eastAsia="宋体"/>
                <w:color w:val="000000" w:themeColor="text1"/>
                <w:spacing w:val="-2"/>
                <w:sz w:val="22"/>
                <w:szCs w:val="22"/>
                <w:highlight w:val="none"/>
                <w:lang w:bidi="zh-CN"/>
              </w:rPr>
              <w:t xml:space="preserve">提供合同</w:t>
            </w:r>
            <w:r>
              <w:rPr>
                <w:rFonts w:hint="eastAsia" w:ascii="宋体" w:hAnsi="宋体" w:eastAsia="宋体"/>
                <w:color w:val="000000" w:themeColor="text1"/>
                <w:spacing w:val="-2"/>
                <w:sz w:val="22"/>
                <w:szCs w:val="22"/>
                <w:highlight w:val="none"/>
                <w:lang w:bidi="zh-CN"/>
              </w:rPr>
              <w:t xml:space="preserve">及发票</w:t>
            </w:r>
            <w:r>
              <w:rPr>
                <w:rFonts w:ascii="宋体" w:hAnsi="宋体" w:eastAsia="宋体"/>
                <w:color w:val="000000" w:themeColor="text1"/>
                <w:spacing w:val="-2"/>
                <w:sz w:val="22"/>
                <w:szCs w:val="22"/>
                <w:highlight w:val="none"/>
                <w:lang w:bidi="zh-CN"/>
              </w:rPr>
              <w:t xml:space="preserve">，能反映相关</w:t>
            </w:r>
            <w:r>
              <w:rPr>
                <w:rFonts w:hint="eastAsia" w:ascii="宋体" w:hAnsi="宋体" w:eastAsia="宋体"/>
                <w:color w:val="000000" w:themeColor="text1"/>
                <w:spacing w:val="-2"/>
                <w:sz w:val="22"/>
                <w:szCs w:val="22"/>
                <w:highlight w:val="none"/>
                <w:lang w:bidi="zh-CN"/>
              </w:rPr>
              <w:t xml:space="preserve">证明</w:t>
            </w:r>
            <w:r>
              <w:rPr>
                <w:rFonts w:ascii="宋体" w:hAnsi="宋体" w:eastAsia="宋体"/>
                <w:color w:val="000000" w:themeColor="text1"/>
                <w:spacing w:val="-2"/>
                <w:sz w:val="22"/>
                <w:szCs w:val="22"/>
                <w:highlight w:val="none"/>
                <w:lang w:bidi="zh-CN"/>
              </w:rPr>
              <w:t xml:space="preserve">信息，未提供的不得分）。</w:t>
            </w:r>
            <w:r>
              <w:rPr>
                <w:color w:val="000000" w:themeColor="text1"/>
                <w:highlight w:val="none"/>
              </w:rPr>
            </w:r>
            <w:r/>
          </w:p>
        </w:tc>
        <w:tc>
          <w:tcPr>
            <w:tcW w:w="573" w:type="dxa"/>
            <w:vAlign w:val="center"/>
            <w:textDirection w:val="lrTb"/>
            <w:noWrap w:val="false"/>
          </w:tcPr>
          <w:p>
            <w:pPr>
              <w:pStyle w:val="919"/>
              <w:jc w:val="center"/>
              <w:spacing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861" w:type="dxa"/>
            <w:vAlign w:val="center"/>
            <w:textDirection w:val="lrTb"/>
            <w:noWrap w:val="false"/>
          </w:tcPr>
          <w:p>
            <w:pPr>
              <w:pStyle w:val="919"/>
              <w:jc w:val="center"/>
              <w:spacing w:before="68" w:line="264" w:lineRule="auto"/>
              <w:rPr>
                <w:rFonts w:hint="eastAsia" w:ascii="宋体" w:hAnsi="宋体" w:cs="宋体"/>
                <w:color w:val="000000" w:themeColor="text1"/>
                <w:highlight w:val="none"/>
              </w:rPr>
            </w:pPr>
            <w:r>
              <w:rPr>
                <w:rFonts w:hint="eastAsia" w:ascii="宋体" w:hAnsi="宋体" w:cs="宋体"/>
                <w:color w:val="000000" w:themeColor="text1"/>
                <w:spacing w:val="-6"/>
                <w:highlight w:val="none"/>
              </w:rPr>
              <w:t xml:space="preserve">客</w:t>
            </w:r>
            <w:r>
              <w:rPr>
                <w:rFonts w:hint="eastAsia" w:ascii="宋体" w:hAnsi="宋体" w:cs="宋体"/>
                <w:color w:val="000000" w:themeColor="text1"/>
                <w:spacing w:val="-4"/>
                <w:highlight w:val="none"/>
              </w:rPr>
              <w:t xml:space="preserve">观分</w:t>
            </w:r>
            <w:r>
              <w:rPr>
                <w:color w:val="000000" w:themeColor="text1"/>
                <w:highlight w:val="none"/>
              </w:rPr>
            </w:r>
            <w:r/>
          </w:p>
        </w:tc>
      </w:tr>
      <w:tr>
        <w:trPr>
          <w:trHeight w:val="427"/>
        </w:trPr>
        <w:tc>
          <w:tcPr>
            <w:gridSpan w:val="5"/>
            <w:tcW w:w="9757" w:type="dxa"/>
            <w:vAlign w:val="top"/>
            <w:textDirection w:val="lrTb"/>
            <w:noWrap w:val="false"/>
          </w:tcPr>
          <w:p>
            <w:pPr>
              <w:pStyle w:val="919"/>
              <w:spacing w:before="123" w:line="264" w:lineRule="auto"/>
              <w:rPr>
                <w:rFonts w:ascii="宋体" w:hAnsi="宋体" w:cs="宋体"/>
                <w:color w:val="000000" w:themeColor="text1"/>
                <w:highlight w:val="none"/>
              </w:rPr>
            </w:pPr>
            <w:r>
              <w:rPr>
                <w:rFonts w:hint="eastAsia" w:ascii="宋体" w:hAnsi="宋体" w:cs="宋体"/>
                <w:b/>
                <w:bCs/>
                <w:color w:val="000000" w:themeColor="text1"/>
                <w:spacing w:val="-3"/>
                <w:highlight w:val="none"/>
              </w:rPr>
              <w:t xml:space="preserve">4.履约能力</w:t>
            </w:r>
            <w:r>
              <w:rPr>
                <w:color w:val="000000" w:themeColor="text1"/>
                <w:highlight w:val="none"/>
              </w:rPr>
            </w:r>
            <w:r/>
          </w:p>
        </w:tc>
      </w:tr>
      <w:tr>
        <w:trPr>
          <w:trHeight w:val="672"/>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ascii="宋体" w:hAnsi="宋体" w:cs="宋体"/>
                <w:color w:val="000000" w:themeColor="text1"/>
                <w:spacing w:val="-2"/>
                <w:highlight w:val="none"/>
              </w:rPr>
              <w:t xml:space="preserve">4.1</w:t>
            </w:r>
            <w:r>
              <w:rPr>
                <w:color w:val="000000" w:themeColor="text1"/>
                <w:highlight w:val="none"/>
              </w:rPr>
            </w:r>
            <w:r/>
          </w:p>
        </w:tc>
        <w:tc>
          <w:tcPr>
            <w:tcW w:w="1180" w:type="dxa"/>
            <w:vAlign w:val="center"/>
            <w:textDirection w:val="lrTb"/>
            <w:noWrap w:val="false"/>
          </w:tcPr>
          <w:p>
            <w:pPr>
              <w:pStyle w:val="919"/>
              <w:spacing w:before="69" w:line="264" w:lineRule="auto"/>
              <w:rPr>
                <w:rFonts w:hint="eastAsia" w:ascii="宋体" w:hAnsi="宋体" w:cs="宋体"/>
                <w:color w:val="000000" w:themeColor="text1"/>
                <w:spacing w:val="-1"/>
                <w:highlight w:val="none"/>
              </w:rPr>
            </w:pPr>
            <w:r>
              <w:rPr>
                <w:color w:val="000000" w:themeColor="text1"/>
                <w:spacing w:val="-2"/>
                <w:highlight w:val="none"/>
              </w:rPr>
              <w:t xml:space="preserve">拟投入本项</w:t>
            </w:r>
            <w:r>
              <w:rPr>
                <w:color w:val="000000" w:themeColor="text1"/>
                <w:spacing w:val="-4"/>
                <w:highlight w:val="none"/>
              </w:rPr>
              <w:t xml:space="preserve">目的人员</w:t>
            </w:r>
            <w:r>
              <w:rPr>
                <w:color w:val="000000" w:themeColor="text1"/>
                <w:highlight w:val="none"/>
              </w:rPr>
            </w:r>
            <w:r/>
          </w:p>
        </w:tc>
        <w:tc>
          <w:tcPr>
            <w:tcW w:w="6624" w:type="dxa"/>
            <w:vAlign w:val="center"/>
            <w:textDirection w:val="lrTb"/>
            <w:noWrap w:val="false"/>
          </w:tcPr>
          <w:p>
            <w:pPr>
              <w:pStyle w:val="1044"/>
              <w:numPr>
                <w:ilvl w:val="0"/>
                <w:numId w:val="6"/>
              </w:numPr>
              <w:ind w:right="170"/>
              <w:spacing w:before="90"/>
              <w:rPr>
                <w:color w:val="000000" w:themeColor="text1"/>
                <w:spacing w:val="-2"/>
                <w:highlight w:val="none"/>
              </w:rPr>
            </w:pPr>
            <w:r>
              <w:rPr>
                <w:color w:val="000000" w:themeColor="text1"/>
                <w:spacing w:val="-2"/>
                <w:highlight w:val="none"/>
              </w:rPr>
              <w:t xml:space="preserve">项目经理同时具有机电工程专业国家注册二级建造师及以上资格证书和安全员B类</w:t>
            </w:r>
            <w:r>
              <w:rPr>
                <w:rFonts w:hint="eastAsia"/>
                <w:color w:val="000000" w:themeColor="text1"/>
                <w:spacing w:val="-2"/>
                <w:highlight w:val="none"/>
              </w:rPr>
              <w:t xml:space="preserve">或以上</w:t>
            </w:r>
            <w:r>
              <w:rPr>
                <w:color w:val="000000" w:themeColor="text1"/>
                <w:spacing w:val="-2"/>
                <w:highlight w:val="none"/>
              </w:rPr>
              <w:t xml:space="preserve">证书，</w:t>
            </w:r>
            <w:r>
              <w:rPr>
                <w:rFonts w:hint="eastAsia"/>
                <w:color w:val="000000" w:themeColor="text1"/>
                <w:spacing w:val="-2"/>
                <w:highlight w:val="none"/>
              </w:rPr>
              <w:t xml:space="preserve">须驻场服务，</w:t>
            </w:r>
            <w:r>
              <w:rPr>
                <w:color w:val="000000" w:themeColor="text1"/>
                <w:spacing w:val="-2"/>
                <w:highlight w:val="none"/>
              </w:rPr>
              <w:t xml:space="preserve">得</w:t>
            </w:r>
            <w:r>
              <w:rPr>
                <w:rFonts w:hint="eastAsia"/>
                <w:color w:val="000000" w:themeColor="text1"/>
                <w:spacing w:val="-2"/>
                <w:highlight w:val="none"/>
              </w:rPr>
              <w:t xml:space="preserve">3</w:t>
            </w:r>
            <w:r>
              <w:rPr>
                <w:color w:val="000000" w:themeColor="text1"/>
                <w:spacing w:val="-2"/>
                <w:highlight w:val="none"/>
              </w:rPr>
              <w:t xml:space="preserve">分，缺一不得分</w:t>
            </w:r>
            <w:r>
              <w:rPr>
                <w:rFonts w:hint="eastAsia"/>
                <w:color w:val="000000" w:themeColor="text1"/>
                <w:spacing w:val="-2"/>
                <w:highlight w:val="none"/>
              </w:rPr>
              <w:t xml:space="preserve">。（</w:t>
            </w:r>
            <w:r>
              <w:rPr>
                <w:color w:val="000000" w:themeColor="text1"/>
                <w:spacing w:val="-2"/>
                <w:highlight w:val="none"/>
              </w:rPr>
              <w:t xml:space="preserve">提供人员证书及投标人为其缴纳的202</w:t>
            </w:r>
            <w:r>
              <w:rPr>
                <w:rFonts w:hint="eastAsia"/>
                <w:color w:val="000000" w:themeColor="text1"/>
                <w:spacing w:val="-2"/>
                <w:highlight w:val="none"/>
                <w:lang w:val="en-US"/>
              </w:rPr>
              <w:t xml:space="preserve">6</w:t>
            </w:r>
            <w:r>
              <w:rPr>
                <w:color w:val="000000" w:themeColor="text1"/>
                <w:spacing w:val="-2"/>
                <w:highlight w:val="none"/>
              </w:rPr>
              <w:t xml:space="preserve">年</w:t>
            </w:r>
            <w:r>
              <w:rPr>
                <w:rFonts w:hint="eastAsia"/>
                <w:color w:val="000000" w:themeColor="text1"/>
                <w:spacing w:val="-2"/>
                <w:highlight w:val="none"/>
              </w:rPr>
              <w:t xml:space="preserve">1</w:t>
            </w:r>
            <w:r>
              <w:rPr>
                <w:color w:val="000000" w:themeColor="text1"/>
                <w:spacing w:val="-2"/>
                <w:highlight w:val="none"/>
              </w:rPr>
              <w:t xml:space="preserve">月</w:t>
            </w:r>
            <w:r>
              <w:rPr>
                <w:rFonts w:hint="eastAsia"/>
                <w:color w:val="000000" w:themeColor="text1"/>
                <w:spacing w:val="-2"/>
                <w:highlight w:val="none"/>
              </w:rPr>
              <w:t xml:space="preserve">以来</w:t>
            </w:r>
            <w:r>
              <w:rPr>
                <w:color w:val="000000" w:themeColor="text1"/>
                <w:spacing w:val="-2"/>
                <w:highlight w:val="none"/>
              </w:rPr>
              <w:t xml:space="preserve">任意一个月的社保证明，证明材料缺项或未提供的不得分</w:t>
            </w:r>
            <w:r>
              <w:rPr>
                <w:rFonts w:hint="eastAsia"/>
                <w:color w:val="000000" w:themeColor="text1"/>
                <w:spacing w:val="-2"/>
                <w:highlight w:val="none"/>
              </w:rPr>
              <w:t xml:space="preserve">）</w:t>
            </w:r>
            <w:r>
              <w:rPr>
                <w:color w:val="000000" w:themeColor="text1"/>
                <w:spacing w:val="-2"/>
                <w:highlight w:val="none"/>
              </w:rPr>
              <w:t xml:space="preserve">。</w:t>
            </w:r>
            <w:r>
              <w:rPr>
                <w:color w:val="000000" w:themeColor="text1"/>
                <w:highlight w:val="none"/>
              </w:rPr>
            </w:r>
            <w:r/>
          </w:p>
          <w:p>
            <w:pPr>
              <w:pStyle w:val="1044"/>
              <w:numPr>
                <w:ilvl w:val="0"/>
                <w:numId w:val="6"/>
              </w:numPr>
              <w:ind w:right="170"/>
              <w:spacing w:before="90"/>
              <w:rPr>
                <w:color w:val="000000" w:themeColor="text1"/>
                <w:spacing w:val="-2"/>
                <w:highlight w:val="none"/>
              </w:rPr>
            </w:pPr>
            <w:r>
              <w:rPr>
                <w:rFonts w:hint="eastAsia"/>
                <w:color w:val="000000" w:themeColor="text1"/>
                <w:spacing w:val="-2"/>
                <w:highlight w:val="none"/>
                <w:lang w:val="en-US"/>
              </w:rPr>
              <w:t xml:space="preserve">安全员</w:t>
            </w:r>
            <w:r>
              <w:rPr>
                <w:rFonts w:hint="eastAsia"/>
                <w:color w:val="000000" w:themeColor="text1"/>
                <w:spacing w:val="-2"/>
                <w:highlight w:val="none"/>
              </w:rPr>
              <w:t xml:space="preserve">须具有有效期内安全员C类或以上证</w:t>
            </w:r>
            <w:r>
              <w:rPr>
                <w:rFonts w:hint="eastAsia"/>
                <w:color w:val="000000" w:themeColor="text1"/>
                <w:spacing w:val="-2"/>
                <w:highlight w:val="none"/>
                <w:lang w:val="en-US"/>
              </w:rPr>
              <w:t xml:space="preserve">书</w:t>
            </w:r>
            <w:r>
              <w:rPr>
                <w:rFonts w:hint="eastAsia"/>
                <w:color w:val="000000" w:themeColor="text1"/>
                <w:spacing w:val="-2"/>
                <w:highlight w:val="none"/>
              </w:rPr>
              <w:t xml:space="preserve">，须驻场服务，</w:t>
            </w:r>
            <w:r>
              <w:rPr>
                <w:rFonts w:hint="eastAsia"/>
                <w:color w:val="000000" w:themeColor="text1"/>
                <w:spacing w:val="-2"/>
                <w:highlight w:val="none"/>
                <w:lang w:val="en-US"/>
              </w:rPr>
              <w:t xml:space="preserve">得2分，不提供不得分。</w:t>
            </w:r>
            <w:r>
              <w:rPr>
                <w:rFonts w:hint="eastAsia"/>
                <w:color w:val="000000" w:themeColor="text1"/>
                <w:spacing w:val="-2"/>
                <w:highlight w:val="none"/>
              </w:rPr>
              <w:t xml:space="preserve">（</w:t>
            </w:r>
            <w:r>
              <w:rPr>
                <w:color w:val="000000" w:themeColor="text1"/>
                <w:spacing w:val="-2"/>
                <w:highlight w:val="none"/>
              </w:rPr>
              <w:t xml:space="preserve">提供人员证书</w:t>
            </w:r>
            <w:r>
              <w:rPr>
                <w:rFonts w:hint="eastAsia"/>
                <w:color w:val="000000" w:themeColor="text1"/>
                <w:spacing w:val="-2"/>
                <w:highlight w:val="none"/>
              </w:rPr>
              <w:t xml:space="preserve">及投标人</w:t>
            </w:r>
            <w:r>
              <w:rPr>
                <w:color w:val="000000" w:themeColor="text1"/>
                <w:spacing w:val="-2"/>
                <w:highlight w:val="none"/>
              </w:rPr>
              <w:t xml:space="preserve">为其缴纳的202</w:t>
            </w:r>
            <w:r>
              <w:rPr>
                <w:rFonts w:hint="eastAsia"/>
                <w:color w:val="000000" w:themeColor="text1"/>
                <w:spacing w:val="-2"/>
                <w:highlight w:val="none"/>
                <w:lang w:val="en-US"/>
              </w:rPr>
              <w:t xml:space="preserve">6</w:t>
            </w:r>
            <w:r>
              <w:rPr>
                <w:color w:val="000000" w:themeColor="text1"/>
                <w:spacing w:val="-2"/>
                <w:highlight w:val="none"/>
              </w:rPr>
              <w:t xml:space="preserve">年</w:t>
            </w:r>
            <w:r>
              <w:rPr>
                <w:rFonts w:hint="eastAsia"/>
                <w:color w:val="000000" w:themeColor="text1"/>
                <w:spacing w:val="-2"/>
                <w:highlight w:val="none"/>
              </w:rPr>
              <w:t xml:space="preserve">1</w:t>
            </w:r>
            <w:r>
              <w:rPr>
                <w:color w:val="000000" w:themeColor="text1"/>
                <w:spacing w:val="-2"/>
                <w:highlight w:val="none"/>
              </w:rPr>
              <w:t xml:space="preserve">月</w:t>
            </w:r>
            <w:r>
              <w:rPr>
                <w:rFonts w:hint="eastAsia"/>
                <w:color w:val="000000" w:themeColor="text1"/>
                <w:spacing w:val="-2"/>
                <w:highlight w:val="none"/>
              </w:rPr>
              <w:t xml:space="preserve">以来</w:t>
            </w:r>
            <w:r>
              <w:rPr>
                <w:color w:val="000000" w:themeColor="text1"/>
                <w:spacing w:val="-2"/>
                <w:highlight w:val="none"/>
              </w:rPr>
              <w:t xml:space="preserve">任意一个月的社保证明，证明材料缺项或未提供的不得分</w:t>
            </w:r>
            <w:r>
              <w:rPr>
                <w:rFonts w:hint="eastAsia"/>
                <w:color w:val="000000" w:themeColor="text1"/>
                <w:spacing w:val="-2"/>
                <w:highlight w:val="none"/>
              </w:rPr>
              <w:t xml:space="preserve">）</w:t>
            </w:r>
            <w:r>
              <w:rPr>
                <w:color w:val="000000" w:themeColor="text1"/>
                <w:spacing w:val="-2"/>
                <w:highlight w:val="none"/>
              </w:rPr>
              <w:t xml:space="preserve">。</w:t>
            </w:r>
            <w:r>
              <w:rPr>
                <w:color w:val="000000" w:themeColor="text1"/>
                <w:highlight w:val="none"/>
              </w:rPr>
            </w:r>
            <w:r/>
          </w:p>
          <w:p>
            <w:pPr>
              <w:pStyle w:val="1044"/>
              <w:numPr>
                <w:ilvl w:val="0"/>
                <w:numId w:val="6"/>
              </w:numPr>
              <w:ind w:right="170"/>
              <w:spacing w:before="90"/>
              <w:rPr>
                <w:color w:val="000000" w:themeColor="text1"/>
                <w:spacing w:val="-2"/>
                <w:highlight w:val="none"/>
              </w:rPr>
            </w:pPr>
            <w:r>
              <w:rPr>
                <w:rFonts w:hint="eastAsia"/>
                <w:color w:val="000000" w:themeColor="text1"/>
                <w:spacing w:val="-2"/>
                <w:highlight w:val="none"/>
                <w:lang w:val="en-US"/>
              </w:rPr>
              <w:t xml:space="preserve">网络平台维护员1名，具有有</w:t>
            </w:r>
            <w:r>
              <w:rPr>
                <w:rFonts w:hint="eastAsia"/>
                <w:color w:val="000000" w:themeColor="text1"/>
                <w:highlight w:val="none"/>
                <w:lang w:val="en-US"/>
              </w:rPr>
              <w:t xml:space="preserve">效期内的网络安全能力认证或网络工程师或网络技术工程师的</w:t>
            </w:r>
            <w:r>
              <w:rPr>
                <w:rFonts w:hint="eastAsia"/>
                <w:color w:val="000000" w:themeColor="text1"/>
                <w:spacing w:val="-2"/>
                <w:highlight w:val="none"/>
              </w:rPr>
              <w:t xml:space="preserve">，须驻场服务，得2分。（</w:t>
            </w:r>
            <w:r>
              <w:rPr>
                <w:color w:val="000000" w:themeColor="text1"/>
                <w:spacing w:val="-2"/>
                <w:highlight w:val="none"/>
              </w:rPr>
              <w:t xml:space="preserve">提供人员证书</w:t>
            </w:r>
            <w:r>
              <w:rPr>
                <w:rFonts w:hint="eastAsia"/>
                <w:color w:val="000000" w:themeColor="text1"/>
                <w:spacing w:val="-2"/>
                <w:highlight w:val="none"/>
              </w:rPr>
              <w:t xml:space="preserve">及投标人</w:t>
            </w:r>
            <w:r>
              <w:rPr>
                <w:color w:val="000000" w:themeColor="text1"/>
                <w:spacing w:val="-2"/>
                <w:highlight w:val="none"/>
              </w:rPr>
              <w:t xml:space="preserve">为其缴纳的202</w:t>
            </w:r>
            <w:r>
              <w:rPr>
                <w:rFonts w:hint="eastAsia"/>
                <w:color w:val="000000" w:themeColor="text1"/>
                <w:spacing w:val="-2"/>
                <w:highlight w:val="none"/>
                <w:lang w:val="en-US"/>
              </w:rPr>
              <w:t xml:space="preserve">6</w:t>
            </w:r>
            <w:r>
              <w:rPr>
                <w:color w:val="000000" w:themeColor="text1"/>
                <w:spacing w:val="-2"/>
                <w:highlight w:val="none"/>
              </w:rPr>
              <w:t xml:space="preserve">年</w:t>
            </w:r>
            <w:r>
              <w:rPr>
                <w:rFonts w:hint="eastAsia"/>
                <w:color w:val="000000" w:themeColor="text1"/>
                <w:spacing w:val="-2"/>
                <w:highlight w:val="none"/>
              </w:rPr>
              <w:t xml:space="preserve">1</w:t>
            </w:r>
            <w:r>
              <w:rPr>
                <w:color w:val="000000" w:themeColor="text1"/>
                <w:spacing w:val="-2"/>
                <w:highlight w:val="none"/>
              </w:rPr>
              <w:t xml:space="preserve">月</w:t>
            </w:r>
            <w:r>
              <w:rPr>
                <w:rFonts w:hint="eastAsia"/>
                <w:color w:val="000000" w:themeColor="text1"/>
                <w:spacing w:val="-2"/>
                <w:highlight w:val="none"/>
              </w:rPr>
              <w:t xml:space="preserve">以来</w:t>
            </w:r>
            <w:r>
              <w:rPr>
                <w:color w:val="000000" w:themeColor="text1"/>
                <w:spacing w:val="-2"/>
                <w:highlight w:val="none"/>
              </w:rPr>
              <w:t xml:space="preserve">任意一个月的社保证明，证明材料缺项或未提供的不得分</w:t>
            </w:r>
            <w:r>
              <w:rPr>
                <w:rFonts w:hint="eastAsia"/>
                <w:color w:val="000000" w:themeColor="text1"/>
                <w:spacing w:val="-2"/>
                <w:highlight w:val="none"/>
              </w:rPr>
              <w:t xml:space="preserve">）</w:t>
            </w:r>
            <w:r>
              <w:rPr>
                <w:color w:val="000000" w:themeColor="text1"/>
                <w:spacing w:val="-2"/>
                <w:highlight w:val="none"/>
              </w:rPr>
              <w:t xml:space="preserve">。</w:t>
            </w:r>
            <w:r>
              <w:rPr>
                <w:color w:val="000000" w:themeColor="text1"/>
                <w:highlight w:val="none"/>
              </w:rPr>
            </w:r>
            <w:r/>
          </w:p>
          <w:p>
            <w:pPr>
              <w:pStyle w:val="919"/>
              <w:spacing w:line="264" w:lineRule="auto"/>
              <w:rPr>
                <w:rFonts w:hint="eastAsia" w:ascii="宋体" w:hAnsi="宋体" w:cs="宋体"/>
                <w:color w:val="000000" w:themeColor="text1"/>
                <w:highlight w:val="none"/>
              </w:rPr>
            </w:pPr>
            <w:r>
              <w:rPr>
                <w:rFonts w:hint="eastAsia"/>
                <w:color w:val="000000" w:themeColor="text1"/>
                <w:spacing w:val="-2"/>
                <w:highlight w:val="none"/>
              </w:rPr>
              <w:t xml:space="preserve">（4）投入本项目的维护人员（项目经理除外）须具有有效期内</w:t>
            </w:r>
            <w:r>
              <w:rPr>
                <w:rFonts w:hint="eastAsia"/>
                <w:color w:val="000000" w:themeColor="text1"/>
                <w:spacing w:val="-2"/>
                <w:highlight w:val="none"/>
              </w:rPr>
              <w:t xml:space="preserve">电工证、登高作业证</w:t>
            </w:r>
            <w:r>
              <w:rPr>
                <w:rFonts w:hint="eastAsia"/>
                <w:color w:val="000000" w:themeColor="text1"/>
                <w:spacing w:val="-2"/>
                <w:highlight w:val="none"/>
              </w:rPr>
              <w:t xml:space="preserve">各2人，每有一人得1分，最高的得4分。一人多证按一证计算，不重复计分。（</w:t>
            </w:r>
            <w:r>
              <w:rPr>
                <w:color w:val="000000" w:themeColor="text1"/>
                <w:spacing w:val="-2"/>
                <w:highlight w:val="none"/>
              </w:rPr>
              <w:t xml:space="preserve">提供人员证书</w:t>
            </w:r>
            <w:r>
              <w:rPr>
                <w:rFonts w:hint="eastAsia"/>
                <w:color w:val="000000" w:themeColor="text1"/>
                <w:spacing w:val="-2"/>
                <w:highlight w:val="none"/>
              </w:rPr>
              <w:t xml:space="preserve">及投标人</w:t>
            </w:r>
            <w:r>
              <w:rPr>
                <w:color w:val="000000" w:themeColor="text1"/>
                <w:spacing w:val="-2"/>
                <w:highlight w:val="none"/>
              </w:rPr>
              <w:t xml:space="preserve">为其缴纳的202</w:t>
            </w:r>
            <w:r>
              <w:rPr>
                <w:rFonts w:hint="eastAsia"/>
                <w:color w:val="000000" w:themeColor="text1"/>
                <w:spacing w:val="-2"/>
                <w:highlight w:val="none"/>
              </w:rPr>
              <w:t xml:space="preserve">6</w:t>
            </w:r>
            <w:r>
              <w:rPr>
                <w:color w:val="000000" w:themeColor="text1"/>
                <w:spacing w:val="-2"/>
                <w:highlight w:val="none"/>
              </w:rPr>
              <w:t xml:space="preserve">年</w:t>
            </w:r>
            <w:r>
              <w:rPr>
                <w:rFonts w:hint="eastAsia"/>
                <w:color w:val="000000" w:themeColor="text1"/>
                <w:spacing w:val="-2"/>
                <w:highlight w:val="none"/>
              </w:rPr>
              <w:t xml:space="preserve">1</w:t>
            </w:r>
            <w:r>
              <w:rPr>
                <w:color w:val="000000" w:themeColor="text1"/>
                <w:spacing w:val="-2"/>
                <w:highlight w:val="none"/>
              </w:rPr>
              <w:t xml:space="preserve">月</w:t>
            </w:r>
            <w:r>
              <w:rPr>
                <w:rFonts w:hint="eastAsia"/>
                <w:color w:val="000000" w:themeColor="text1"/>
                <w:spacing w:val="-2"/>
                <w:highlight w:val="none"/>
              </w:rPr>
              <w:t xml:space="preserve">以来</w:t>
            </w:r>
            <w:r>
              <w:rPr>
                <w:color w:val="000000" w:themeColor="text1"/>
                <w:spacing w:val="-2"/>
                <w:highlight w:val="none"/>
              </w:rPr>
              <w:t xml:space="preserve">任意一个月的社保证明，证明材料缺项或未提供的不得分</w:t>
            </w:r>
            <w:r>
              <w:rPr>
                <w:rFonts w:hint="eastAsia"/>
                <w:color w:val="000000" w:themeColor="text1"/>
                <w:spacing w:val="-2"/>
                <w:highlight w:val="none"/>
              </w:rPr>
              <w:t xml:space="preserve">）</w:t>
            </w:r>
            <w:r>
              <w:rPr>
                <w:color w:val="000000" w:themeColor="text1"/>
                <w:spacing w:val="-2"/>
                <w:highlight w:val="none"/>
              </w:rPr>
              <w:t xml:space="preserve">。</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11</w:t>
            </w:r>
            <w:r>
              <w:rPr>
                <w:color w:val="000000" w:themeColor="text1"/>
                <w:highlight w:val="none"/>
              </w:rPr>
            </w:r>
            <w:r/>
          </w:p>
        </w:tc>
        <w:tc>
          <w:tcPr>
            <w:tcW w:w="861"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spacing w:val="-6"/>
                <w:highlight w:val="none"/>
              </w:rPr>
              <w:t xml:space="preserve">客</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672"/>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4.2</w:t>
            </w:r>
            <w:r>
              <w:rPr>
                <w:color w:val="000000" w:themeColor="text1"/>
                <w:highlight w:val="none"/>
              </w:rPr>
            </w:r>
            <w:r/>
          </w:p>
        </w:tc>
        <w:tc>
          <w:tcPr>
            <w:tcW w:w="1180" w:type="dxa"/>
            <w:vAlign w:val="center"/>
            <w:textDirection w:val="lrTb"/>
            <w:noWrap w:val="false"/>
          </w:tcPr>
          <w:p>
            <w:pPr>
              <w:pStyle w:val="919"/>
              <w:spacing w:before="69" w:line="264" w:lineRule="auto"/>
              <w:rPr>
                <w:color w:val="000000" w:themeColor="text1"/>
                <w:spacing w:val="-2"/>
                <w:highlight w:val="none"/>
              </w:rPr>
            </w:pPr>
            <w:r>
              <w:rPr>
                <w:color w:val="000000" w:themeColor="text1"/>
                <w:spacing w:val="-2"/>
                <w:highlight w:val="none"/>
              </w:rPr>
              <w:t xml:space="preserve">本地化服务</w:t>
            </w:r>
            <w:r>
              <w:rPr>
                <w:color w:val="000000" w:themeColor="text1"/>
                <w:highlight w:val="none"/>
              </w:rPr>
            </w:r>
            <w:r/>
          </w:p>
        </w:tc>
        <w:tc>
          <w:tcPr>
            <w:tcW w:w="6624" w:type="dxa"/>
            <w:vAlign w:val="center"/>
            <w:textDirection w:val="lrTb"/>
            <w:noWrap w:val="false"/>
          </w:tcPr>
          <w:p>
            <w:pPr>
              <w:pStyle w:val="919"/>
              <w:spacing w:line="264" w:lineRule="auto"/>
              <w:rPr>
                <w:rFonts w:hint="eastAsia"/>
                <w:color w:val="000000" w:themeColor="text1"/>
                <w:spacing w:val="-2"/>
                <w:highlight w:val="none"/>
              </w:rPr>
            </w:pPr>
            <w:r>
              <w:rPr>
                <w:color w:val="000000" w:themeColor="text1"/>
                <w:spacing w:val="-2"/>
                <w:highlight w:val="none"/>
              </w:rPr>
              <w:t xml:space="preserve">投标人具有本地化服务能力，在南京地区有完整的售后服务体系，</w:t>
            </w:r>
            <w:r>
              <w:rPr>
                <w:color w:val="000000" w:themeColor="text1"/>
                <w:spacing w:val="-3"/>
                <w:highlight w:val="none"/>
              </w:rPr>
              <w:t xml:space="preserve">能确保及时解决运行维护中的各种问题，得</w:t>
            </w:r>
            <w:r>
              <w:rPr>
                <w:rFonts w:hint="eastAsia"/>
                <w:color w:val="000000" w:themeColor="text1"/>
                <w:highlight w:val="none"/>
              </w:rPr>
              <w:t xml:space="preserve">2</w:t>
            </w:r>
            <w:r>
              <w:rPr>
                <w:color w:val="000000" w:themeColor="text1"/>
                <w:spacing w:val="-23"/>
                <w:highlight w:val="none"/>
              </w:rPr>
              <w:t xml:space="preserve">分</w:t>
            </w:r>
            <w:r>
              <w:rPr>
                <w:rFonts w:hint="eastAsia"/>
                <w:color w:val="000000" w:themeColor="text1"/>
                <w:spacing w:val="-23"/>
                <w:highlight w:val="none"/>
              </w:rPr>
              <w:t xml:space="preserve">。</w:t>
            </w:r>
            <w:r>
              <w:rPr>
                <w:color w:val="000000" w:themeColor="text1"/>
                <w:highlight w:val="none"/>
              </w:rPr>
              <w:t xml:space="preserve">（提供书面承诺书</w:t>
            </w:r>
            <w:r>
              <w:rPr>
                <w:color w:val="000000" w:themeColor="text1"/>
                <w:spacing w:val="-2"/>
                <w:highlight w:val="none"/>
              </w:rPr>
              <w:t xml:space="preserve">或有效证明材料）</w:t>
            </w:r>
            <w:r>
              <w:rPr>
                <w:rFonts w:hint="eastAsia"/>
                <w:color w:val="000000" w:themeColor="text1"/>
                <w:spacing w:val="-2"/>
                <w:highlight w:val="none"/>
              </w:rPr>
              <w:t xml:space="preserve">。</w:t>
            </w:r>
            <w:r>
              <w:rPr>
                <w:color w:val="000000" w:themeColor="text1"/>
                <w:highlight w:val="none"/>
              </w:rPr>
            </w:r>
            <w:r/>
          </w:p>
        </w:tc>
        <w:tc>
          <w:tcPr>
            <w:tcW w:w="573" w:type="dxa"/>
            <w:vAlign w:val="center"/>
            <w:textDirection w:val="lrTb"/>
            <w:noWrap w:val="false"/>
          </w:tcPr>
          <w:p>
            <w:pPr>
              <w:pStyle w:val="919"/>
              <w:jc w:val="center"/>
              <w:spacing w:before="68"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861" w:type="dxa"/>
            <w:vAlign w:val="center"/>
            <w:textDirection w:val="lrTb"/>
            <w:noWrap w:val="false"/>
          </w:tcPr>
          <w:p>
            <w:pPr>
              <w:pStyle w:val="919"/>
              <w:jc w:val="center"/>
              <w:spacing w:before="68" w:line="264" w:lineRule="auto"/>
              <w:rPr>
                <w:rFonts w:hint="eastAsia" w:ascii="宋体" w:hAnsi="宋体" w:cs="宋体"/>
                <w:color w:val="000000" w:themeColor="text1"/>
                <w:spacing w:val="-6"/>
                <w:highlight w:val="none"/>
              </w:rPr>
            </w:pPr>
            <w:r>
              <w:rPr>
                <w:rFonts w:hint="eastAsia" w:ascii="宋体" w:hAnsi="宋体" w:cs="宋体"/>
                <w:color w:val="000000" w:themeColor="text1"/>
                <w:spacing w:val="-6"/>
                <w:highlight w:val="none"/>
              </w:rPr>
              <w:t xml:space="preserve">客</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672"/>
        </w:trPr>
        <w:tc>
          <w:tcPr>
            <w:tcW w:w="519" w:type="dxa"/>
            <w:vAlign w:val="center"/>
            <w:textDirection w:val="lrTb"/>
            <w:noWrap w:val="false"/>
          </w:tcPr>
          <w:p>
            <w:pPr>
              <w:pStyle w:val="919"/>
              <w:jc w:val="center"/>
              <w:spacing w:before="68" w:line="264" w:lineRule="auto"/>
              <w:rPr>
                <w:rFonts w:ascii="宋体" w:hAnsi="宋体" w:cs="宋体"/>
                <w:color w:val="000000" w:themeColor="text1"/>
                <w:spacing w:val="-2"/>
                <w:highlight w:val="none"/>
              </w:rPr>
            </w:pPr>
            <w:r>
              <w:rPr>
                <w:rFonts w:hint="eastAsia" w:ascii="宋体" w:hAnsi="宋体" w:cs="宋体"/>
                <w:color w:val="000000" w:themeColor="text1"/>
                <w:spacing w:val="-2"/>
                <w:highlight w:val="none"/>
              </w:rPr>
              <w:t xml:space="preserve">4.</w:t>
            </w:r>
            <w:r>
              <w:rPr>
                <w:rFonts w:ascii="宋体" w:hAnsi="宋体" w:cs="宋体"/>
                <w:color w:val="000000" w:themeColor="text1"/>
                <w:spacing w:val="-2"/>
                <w:highlight w:val="none"/>
              </w:rPr>
              <w:t xml:space="preserve">3</w:t>
            </w:r>
            <w:r>
              <w:rPr>
                <w:color w:val="000000" w:themeColor="text1"/>
                <w:highlight w:val="none"/>
              </w:rPr>
            </w:r>
            <w:r/>
          </w:p>
        </w:tc>
        <w:tc>
          <w:tcPr>
            <w:tcW w:w="1180" w:type="dxa"/>
            <w:vAlign w:val="center"/>
            <w:textDirection w:val="lrTb"/>
            <w:noWrap w:val="false"/>
          </w:tcPr>
          <w:p>
            <w:pPr>
              <w:pStyle w:val="919"/>
              <w:spacing w:before="69" w:line="264" w:lineRule="auto"/>
              <w:rPr>
                <w:rFonts w:hint="eastAsia" w:ascii="宋体" w:hAnsi="宋体" w:cs="宋体"/>
                <w:color w:val="000000" w:themeColor="text1"/>
                <w:spacing w:val="-1"/>
                <w:highlight w:val="none"/>
              </w:rPr>
            </w:pPr>
            <w:r>
              <w:rPr>
                <w:rFonts w:hint="eastAsia" w:ascii="宋体" w:hAnsi="宋体" w:cs="宋体"/>
                <w:color w:val="000000" w:themeColor="text1"/>
                <w:spacing w:val="-1"/>
                <w:highlight w:val="none"/>
              </w:rPr>
              <w:t xml:space="preserve">履约能力</w:t>
            </w:r>
            <w:r>
              <w:rPr>
                <w:color w:val="000000" w:themeColor="text1"/>
                <w:highlight w:val="none"/>
              </w:rPr>
            </w:r>
            <w:r/>
          </w:p>
        </w:tc>
        <w:tc>
          <w:tcPr>
            <w:tcW w:w="6624" w:type="dxa"/>
            <w:vAlign w:val="center"/>
            <w:textDirection w:val="lrTb"/>
            <w:noWrap w:val="false"/>
          </w:tcPr>
          <w:p>
            <w:pPr>
              <w:pStyle w:val="1044"/>
              <w:ind w:right="117"/>
              <w:spacing w:before="90"/>
              <w:rPr>
                <w:rFonts w:hint="eastAsia"/>
                <w:color w:val="000000" w:themeColor="text1"/>
                <w:spacing w:val="-3"/>
                <w:highlight w:val="none"/>
              </w:rPr>
            </w:pPr>
            <w:r>
              <w:rPr>
                <w:rFonts w:hint="eastAsia"/>
                <w:color w:val="000000" w:themeColor="text1"/>
                <w:spacing w:val="-3"/>
                <w:highlight w:val="none"/>
              </w:rPr>
              <w:t xml:space="preserve">投标人提供投入本项目维护用的高空作业车：</w:t>
            </w:r>
            <w:r>
              <w:rPr>
                <w:rFonts w:hint="eastAsia"/>
                <w:color w:val="000000" w:themeColor="text1"/>
                <w:highlight w:val="none"/>
                <w:lang w:val="en-US"/>
              </w:rPr>
              <w:t xml:space="preserve">每提供一辆带折叠臂、混合臂或伸缩臂，最大作业高度≥6米，最大作业幅度≥4米，工作斗载荷≥100kg的，得1分，本项最多2分。须提供专项作业车辆行驶证，行驶证所有者名称须和投标人名称一致。</w:t>
            </w:r>
            <w:r>
              <w:rPr>
                <w:color w:val="000000" w:themeColor="text1"/>
                <w:highlight w:val="none"/>
              </w:rPr>
            </w:r>
            <w:r/>
          </w:p>
        </w:tc>
        <w:tc>
          <w:tcPr>
            <w:tcW w:w="573" w:type="dxa"/>
            <w:vAlign w:val="center"/>
            <w:textDirection w:val="lrTb"/>
            <w:noWrap w:val="false"/>
          </w:tcPr>
          <w:p>
            <w:pPr>
              <w:pStyle w:val="919"/>
              <w:jc w:val="center"/>
              <w:spacing w:before="68"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861" w:type="dxa"/>
            <w:vAlign w:val="center"/>
            <w:textDirection w:val="lrTb"/>
            <w:noWrap w:val="false"/>
          </w:tcPr>
          <w:p>
            <w:pPr>
              <w:pStyle w:val="919"/>
              <w:jc w:val="center"/>
              <w:spacing w:before="68" w:line="264" w:lineRule="auto"/>
              <w:rPr>
                <w:rFonts w:hint="eastAsia" w:ascii="宋体" w:hAnsi="宋体" w:cs="宋体"/>
                <w:color w:val="000000" w:themeColor="text1"/>
                <w:highlight w:val="none"/>
              </w:rPr>
            </w:pPr>
            <w:r>
              <w:rPr>
                <w:rFonts w:hint="eastAsia" w:ascii="宋体" w:hAnsi="宋体" w:cs="宋体"/>
                <w:color w:val="000000" w:themeColor="text1"/>
                <w:spacing w:val="-6"/>
                <w:highlight w:val="none"/>
              </w:rPr>
              <w:t xml:space="preserve">客</w:t>
            </w:r>
            <w:r>
              <w:rPr>
                <w:rFonts w:ascii="宋体" w:hAnsi="宋体" w:cs="宋体"/>
                <w:color w:val="000000" w:themeColor="text1"/>
                <w:spacing w:val="-4"/>
                <w:highlight w:val="none"/>
              </w:rPr>
              <w:t xml:space="preserve">观</w:t>
            </w:r>
            <w:r>
              <w:rPr>
                <w:rFonts w:hint="eastAsia" w:ascii="宋体" w:hAnsi="宋体" w:cs="宋体"/>
                <w:color w:val="000000" w:themeColor="text1"/>
                <w:spacing w:val="-4"/>
                <w:highlight w:val="none"/>
              </w:rPr>
              <w:t xml:space="preserve">分</w:t>
            </w:r>
            <w:r>
              <w:rPr>
                <w:color w:val="000000" w:themeColor="text1"/>
                <w:highlight w:val="none"/>
              </w:rPr>
            </w:r>
            <w:r/>
          </w:p>
        </w:tc>
      </w:tr>
      <w:tr>
        <w:trPr>
          <w:trHeight w:val="474"/>
        </w:trPr>
        <w:tc>
          <w:tcPr>
            <w:tcW w:w="519" w:type="dxa"/>
            <w:vAlign w:val="center"/>
            <w:textDirection w:val="lrTb"/>
            <w:noWrap w:val="false"/>
          </w:tcPr>
          <w:p>
            <w:pPr>
              <w:pStyle w:val="919"/>
              <w:jc w:val="center"/>
              <w:spacing w:line="264" w:lineRule="auto"/>
              <w:rPr>
                <w:rFonts w:hint="eastAsia" w:ascii="宋体" w:hAnsi="宋体" w:cs="宋体"/>
                <w:color w:val="000000" w:themeColor="text1"/>
                <w:highlight w:val="none"/>
              </w:rPr>
            </w:pPr>
            <w:r>
              <w:rPr>
                <w:rFonts w:ascii="宋体" w:hAnsi="宋体" w:cs="宋体"/>
                <w:color w:val="000000" w:themeColor="text1"/>
                <w:spacing w:val="-3"/>
                <w:highlight w:val="none"/>
              </w:rPr>
              <w:t xml:space="preserve">合</w:t>
            </w:r>
            <w:r>
              <w:rPr>
                <w:rFonts w:ascii="宋体" w:hAnsi="宋体" w:cs="宋体"/>
                <w:color w:val="000000" w:themeColor="text1"/>
                <w:spacing w:val="-2"/>
                <w:highlight w:val="none"/>
              </w:rPr>
              <w:t xml:space="preserve">计</w:t>
            </w:r>
            <w:r>
              <w:rPr>
                <w:color w:val="000000" w:themeColor="text1"/>
                <w:highlight w:val="none"/>
              </w:rPr>
            </w:r>
            <w:r/>
          </w:p>
        </w:tc>
        <w:tc>
          <w:tcPr>
            <w:gridSpan w:val="2"/>
            <w:tcW w:w="7804" w:type="dxa"/>
            <w:vAlign w:val="center"/>
            <w:textDirection w:val="lrTb"/>
            <w:noWrap w:val="false"/>
          </w:tcPr>
          <w:p>
            <w:pPr>
              <w:pStyle w:val="919"/>
              <w:ind w:left="172"/>
              <w:jc w:val="center"/>
              <w:spacing w:before="123" w:line="264" w:lineRule="auto"/>
              <w:rPr>
                <w:rFonts w:ascii="宋体" w:hAnsi="宋体" w:cs="宋体"/>
                <w:color w:val="000000" w:themeColor="text1"/>
                <w:spacing w:val="-2"/>
                <w:highlight w:val="none"/>
              </w:rPr>
            </w:pPr>
            <w:r>
              <w:rPr>
                <w:rFonts w:ascii="宋体" w:hAnsi="宋体" w:cs="宋体"/>
                <w:color w:val="000000" w:themeColor="text1"/>
                <w:spacing w:val="-2"/>
                <w:highlight w:val="none"/>
              </w:rPr>
            </w:r>
            <w:r>
              <w:rPr>
                <w:color w:val="000000" w:themeColor="text1"/>
                <w:highlight w:val="none"/>
              </w:rPr>
            </w:r>
            <w:r/>
          </w:p>
        </w:tc>
        <w:tc>
          <w:tcPr>
            <w:gridSpan w:val="2"/>
            <w:tcW w:w="1434" w:type="dxa"/>
            <w:vAlign w:val="center"/>
            <w:textDirection w:val="lrTb"/>
            <w:noWrap w:val="false"/>
          </w:tcPr>
          <w:p>
            <w:pPr>
              <w:pStyle w:val="919"/>
              <w:jc w:val="center"/>
              <w:spacing w:line="264" w:lineRule="auto"/>
              <w:rPr>
                <w:rFonts w:hint="eastAsia" w:ascii="宋体" w:hAnsi="宋体" w:cs="宋体"/>
                <w:color w:val="000000" w:themeColor="text1"/>
                <w:highlight w:val="none"/>
              </w:rPr>
            </w:pPr>
            <w:r>
              <w:rPr>
                <w:rFonts w:ascii="宋体" w:hAnsi="宋体" w:cs="宋体"/>
                <w:color w:val="000000" w:themeColor="text1"/>
                <w:spacing w:val="-11"/>
                <w:highlight w:val="none"/>
              </w:rPr>
              <w:t xml:space="preserve">100分</w:t>
            </w:r>
            <w:r>
              <w:rPr>
                <w:color w:val="000000" w:themeColor="text1"/>
                <w:highlight w:val="none"/>
              </w:rPr>
            </w:r>
            <w:r/>
          </w:p>
        </w:tc>
      </w:tr>
    </w:tbl>
    <w:p>
      <w:pPr>
        <w:pStyle w:val="919"/>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5"/>
      <w:r/>
      <w:bookmarkEnd w:id="56"/>
      <w:r/>
      <w:bookmarkEnd w:id="58"/>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919"/>
        <w:jc w:val="center"/>
        <w:rPr>
          <w:rFonts w:hint="eastAsia" w:ascii="宋体" w:hAnsi="宋体"/>
          <w:b/>
          <w:sz w:val="72"/>
        </w:rPr>
      </w:pPr>
      <w:r/>
      <w:bookmarkStart w:id="59" w:name="_Hlt26671244"/>
      <w:r/>
      <w:bookmarkEnd w:id="59"/>
      <w:r/>
      <w:bookmarkStart w:id="60" w:name="_Hlt26955039"/>
      <w:r/>
      <w:bookmarkEnd w:id="60"/>
      <w:r/>
      <w:bookmarkStart w:id="61" w:name="_Toc120614282"/>
      <w:r/>
      <w:bookmarkStart w:id="62" w:name="_Toc26554094"/>
      <w:r/>
      <w:bookmarkStart w:id="63" w:name="_Toc49090576"/>
      <w:r>
        <w:rPr>
          <w:rFonts w:hint="eastAsia" w:ascii="宋体" w:hAnsi="宋体"/>
          <w:b/>
          <w:sz w:val="72"/>
        </w:rPr>
      </w:r>
      <w:r/>
    </w:p>
    <w:p>
      <w:pPr>
        <w:pStyle w:val="91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9"/>
        <w:jc w:val="center"/>
        <w:rPr>
          <w:rFonts w:hint="eastAsia" w:ascii="宋体" w:hAnsi="宋体"/>
          <w:b/>
          <w:sz w:val="72"/>
        </w:rPr>
      </w:pPr>
      <w:r>
        <w:rPr>
          <w:rFonts w:hint="eastAsia" w:ascii="宋体" w:hAnsi="宋体"/>
          <w:b/>
          <w:sz w:val="72"/>
        </w:rPr>
      </w:r>
      <w:r/>
    </w:p>
    <w:p>
      <w:pPr>
        <w:pStyle w:val="919"/>
        <w:jc w:val="center"/>
        <w:rPr>
          <w:rFonts w:hint="eastAsia" w:ascii="宋体" w:hAnsi="宋体"/>
          <w:b/>
          <w:sz w:val="72"/>
        </w:rPr>
      </w:pPr>
      <w:r>
        <w:rPr>
          <w:rFonts w:hint="eastAsia" w:ascii="宋体" w:hAnsi="宋体"/>
          <w:b/>
          <w:sz w:val="72"/>
        </w:rPr>
      </w:r>
      <w:r/>
    </w:p>
    <w:p>
      <w:pPr>
        <w:pStyle w:val="919"/>
        <w:jc w:val="center"/>
        <w:rPr>
          <w:rFonts w:hint="eastAsia" w:ascii="宋体" w:hAnsi="宋体"/>
          <w:b/>
          <w:sz w:val="36"/>
        </w:rPr>
      </w:pPr>
      <w:r>
        <w:rPr>
          <w:rFonts w:hint="eastAsia" w:ascii="宋体" w:hAnsi="宋体"/>
          <w:b/>
          <w:sz w:val="36"/>
        </w:rPr>
      </w:r>
      <w:r/>
    </w:p>
    <w:p>
      <w:pPr>
        <w:pStyle w:val="919"/>
        <w:jc w:val="center"/>
        <w:rPr>
          <w:rFonts w:hint="eastAsia" w:ascii="宋体" w:hAnsi="宋体"/>
          <w:b/>
          <w:sz w:val="36"/>
        </w:rPr>
      </w:pPr>
      <w:r>
        <w:rPr>
          <w:rFonts w:hint="eastAsia" w:ascii="宋体" w:hAnsi="宋体"/>
          <w:b/>
          <w:sz w:val="36"/>
        </w:rPr>
      </w:r>
      <w:r/>
    </w:p>
    <w:p>
      <w:pPr>
        <w:pStyle w:val="919"/>
        <w:jc w:val="center"/>
        <w:rPr>
          <w:rFonts w:hint="eastAsia" w:ascii="宋体" w:hAnsi="宋体"/>
          <w:b/>
          <w:sz w:val="36"/>
        </w:rPr>
      </w:pPr>
      <w:r>
        <w:rPr>
          <w:rFonts w:hint="eastAsia" w:ascii="宋体" w:hAnsi="宋体"/>
          <w:b/>
          <w:sz w:val="36"/>
        </w:rPr>
      </w:r>
      <w:r/>
    </w:p>
    <w:p>
      <w:pPr>
        <w:pStyle w:val="91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1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91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spacing w:line="440" w:lineRule="exact"/>
        <w:rPr>
          <w:rFonts w:ascii="宋体" w:hAnsi="宋体"/>
        </w:rPr>
      </w:pPr>
      <w:r>
        <w:rPr>
          <w:rFonts w:ascii="宋体" w:hAnsi="宋体"/>
        </w:rPr>
      </w:r>
      <w:r/>
    </w:p>
    <w:p>
      <w:pPr>
        <w:pStyle w:val="919"/>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十二、分包情况说明及分包意向协议（如有）</w:t>
      </w:r>
      <w:r>
        <w:rPr>
          <w:rFonts w:hint="eastAsia" w:ascii="宋体" w:hAnsi="宋体" w:cs="宋体"/>
          <w:sz w:val="28"/>
          <w:szCs w:val="28"/>
        </w:rPr>
      </w:r>
      <w:r/>
    </w:p>
    <w:p>
      <w:pPr>
        <w:pStyle w:val="998"/>
        <w:rPr>
          <w:rFonts w:hint="eastAsia"/>
        </w:rPr>
      </w:pPr>
      <w:r>
        <w:rPr>
          <w:rFonts w:hint="eastAsia"/>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r>
      <w:r/>
    </w:p>
    <w:p>
      <w:pPr>
        <w:pStyle w:val="919"/>
        <w:ind w:firstLine="480"/>
        <w:spacing w:line="440" w:lineRule="exact"/>
        <w:rPr>
          <w:rFonts w:ascii="宋体" w:hAnsi="宋体"/>
          <w:sz w:val="24"/>
        </w:rPr>
      </w:pPr>
      <w:r>
        <w:rPr>
          <w:rFonts w:ascii="宋体" w:hAnsi="宋体"/>
          <w:sz w:val="24"/>
        </w:rPr>
      </w:r>
      <w:r/>
    </w:p>
    <w:p>
      <w:pPr>
        <w:pStyle w:val="1001"/>
        <w:rPr>
          <w:sz w:val="24"/>
        </w:rPr>
      </w:pPr>
      <w:r>
        <w:rPr>
          <w:sz w:val="24"/>
        </w:rPr>
      </w:r>
      <w:r/>
    </w:p>
    <w:p>
      <w:pPr>
        <w:pStyle w:val="1001"/>
        <w:rPr>
          <w:sz w:val="24"/>
        </w:rPr>
      </w:pPr>
      <w:r>
        <w:rPr>
          <w:sz w:val="24"/>
        </w:rPr>
      </w:r>
      <w:r/>
    </w:p>
    <w:p>
      <w:pPr>
        <w:pStyle w:val="1001"/>
        <w:rPr>
          <w:sz w:val="24"/>
        </w:rPr>
      </w:pPr>
      <w:r>
        <w:rPr>
          <w:sz w:val="24"/>
        </w:rPr>
      </w:r>
      <w:r/>
    </w:p>
    <w:p>
      <w:pPr>
        <w:pStyle w:val="1001"/>
        <w:rPr>
          <w:sz w:val="24"/>
        </w:rPr>
      </w:pPr>
      <w:r>
        <w:rPr>
          <w:sz w:val="24"/>
        </w:rPr>
      </w:r>
      <w:r/>
    </w:p>
    <w:p>
      <w:pPr>
        <w:pStyle w:val="1001"/>
        <w:rPr>
          <w:sz w:val="24"/>
        </w:rPr>
      </w:pPr>
      <w:r>
        <w:rPr>
          <w:sz w:val="24"/>
        </w:rPr>
      </w:r>
      <w:r/>
    </w:p>
    <w:p>
      <w:pPr>
        <w:pStyle w:val="919"/>
        <w:ind w:firstLine="480"/>
        <w:spacing w:line="440" w:lineRule="exact"/>
        <w:rPr>
          <w:rFonts w:ascii="宋体" w:hAnsi="宋体"/>
          <w:sz w:val="24"/>
        </w:rPr>
      </w:pPr>
      <w:r>
        <w:rPr>
          <w:rFonts w:ascii="宋体" w:hAnsi="宋体"/>
          <w:sz w:val="24"/>
        </w:rPr>
      </w:r>
      <w:r/>
    </w:p>
    <w:p>
      <w:pPr>
        <w:pStyle w:val="919"/>
        <w:rPr>
          <w:rFonts w:hint="eastAsia" w:ascii="黑体" w:hAnsi="黑体" w:eastAsia="黑体"/>
          <w:i/>
          <w:sz w:val="32"/>
          <w:szCs w:val="32"/>
          <w:u w:val="single"/>
        </w:rPr>
      </w:pPr>
      <w:r/>
      <w:bookmarkEnd w:id="61"/>
      <w:r/>
      <w:bookmarkEnd w:id="62"/>
      <w:r/>
      <w:bookmarkEnd w:id="63"/>
      <w:r/>
      <w:bookmarkStart w:id="64" w:name="_Toc120614284"/>
      <w:r>
        <w:rPr>
          <w:rFonts w:hint="eastAsia" w:ascii="黑体" w:hAnsi="黑体" w:eastAsia="黑体"/>
          <w:i/>
          <w:sz w:val="32"/>
          <w:szCs w:val="32"/>
          <w:u w:val="single"/>
        </w:rPr>
      </w:r>
      <w:r/>
    </w:p>
    <w:p>
      <w:pPr>
        <w:pStyle w:val="919"/>
        <w:rPr>
          <w:rFonts w:hint="eastAsia" w:ascii="黑体" w:hAnsi="黑体" w:eastAsia="黑体"/>
          <w:i/>
          <w:sz w:val="32"/>
          <w:szCs w:val="32"/>
          <w:u w:val="single"/>
        </w:rPr>
      </w:pPr>
      <w:r>
        <w:rPr>
          <w:rFonts w:hint="eastAsia" w:ascii="黑体" w:hAnsi="黑体" w:eastAsia="黑体"/>
          <w:i/>
          <w:sz w:val="32"/>
          <w:szCs w:val="32"/>
          <w:u w:val="single"/>
        </w:rPr>
      </w:r>
      <w:r/>
    </w:p>
    <w:p>
      <w:pPr>
        <w:pStyle w:val="919"/>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rPr>
          <w:rFonts w:hint="eastAsia" w:ascii="黑体" w:hAnsi="黑体" w:eastAsia="黑体"/>
          <w:sz w:val="32"/>
          <w:szCs w:val="32"/>
        </w:rPr>
      </w:r>
      <w:r/>
    </w:p>
    <w:p>
      <w:pPr>
        <w:pStyle w:val="91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1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91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1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919"/>
        <w:ind w:firstLine="492"/>
        <w:spacing w:line="460" w:lineRule="exact"/>
        <w:rPr>
          <w:color w:val="000000"/>
          <w:sz w:val="24"/>
          <w:szCs w:val="24"/>
        </w:rPr>
      </w:pPr>
      <w:r>
        <w:rPr>
          <w:color w:val="000000"/>
          <w:sz w:val="24"/>
          <w:szCs w:val="24"/>
        </w:rPr>
      </w:r>
      <w:r/>
    </w:p>
    <w:p>
      <w:pPr>
        <w:pStyle w:val="1038"/>
        <w:rPr>
          <w:color w:val="000000"/>
          <w:sz w:val="24"/>
          <w:szCs w:val="24"/>
        </w:rPr>
      </w:pPr>
      <w:r>
        <w:rPr>
          <w:color w:val="000000"/>
          <w:sz w:val="24"/>
          <w:szCs w:val="24"/>
        </w:rPr>
      </w:r>
      <w:r/>
    </w:p>
    <w:p>
      <w:pPr>
        <w:pStyle w:val="919"/>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9"/>
        <w:rPr>
          <w:sz w:val="24"/>
          <w:szCs w:val="24"/>
        </w:rPr>
      </w:pPr>
      <w:r>
        <w:rPr>
          <w:sz w:val="24"/>
          <w:szCs w:val="24"/>
        </w:rPr>
      </w:r>
      <w:r/>
    </w:p>
    <w:p>
      <w:pPr>
        <w:pStyle w:val="919"/>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919"/>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1010"/>
        <w:ind w:firstLine="480"/>
        <w:spacing w:line="420" w:lineRule="exact"/>
        <w:tabs>
          <w:tab w:val="left" w:pos="360" w:leader="none"/>
        </w:tabs>
        <w:rPr>
          <w:rFonts w:hint="eastAsia"/>
          <w:sz w:val="24"/>
          <w:szCs w:val="24"/>
        </w:rPr>
      </w:pP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1010"/>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1010"/>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934"/>
        <w:ind w:firstLine="0"/>
        <w:rPr>
          <w:rFonts w:hint="eastAsia"/>
        </w:rPr>
      </w:pPr>
      <w:r>
        <w:rPr>
          <w:rFonts w:hint="eastAsia"/>
        </w:rPr>
      </w:r>
      <w:r/>
    </w:p>
    <w:p>
      <w:pPr>
        <w:pStyle w:val="1010"/>
        <w:ind w:firstLine="480"/>
        <w:spacing w:line="480" w:lineRule="exact"/>
        <w:tabs>
          <w:tab w:val="left" w:pos="360" w:leader="none"/>
        </w:tabs>
        <w:rPr>
          <w:rFonts w:hint="eastAsia"/>
          <w:sz w:val="24"/>
          <w:szCs w:val="24"/>
        </w:rPr>
      </w:pP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1010"/>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1010"/>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919"/>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91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12"/>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rPr>
          <w:rFonts w:hint="eastAsia"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.一旦我方中标，我方将根据招标文件的规定，严格履行合同的责任和义务，并保证在招标文件规定的时间内完成项目，交付贵方验收、使用。</w:t>
      </w:r>
      <w:r>
        <w:rPr>
          <w:rFonts w:hint="eastAsia" w:ascii="宋体" w:hAnsi="宋体"/>
          <w:szCs w:val="21"/>
        </w:rPr>
      </w:r>
      <w:r/>
    </w:p>
    <w:p>
      <w:pPr>
        <w:pStyle w:val="919"/>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89"/>
        <w:ind w:firstLine="480"/>
        <w:rPr>
          <w:rFonts w:hint="eastAsia"/>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sz w:val="24"/>
          <w:szCs w:val="24"/>
        </w:rPr>
        <w:t xml:space="preserve">内打“√”）               </w:t>
      </w:r>
      <w:r>
        <w:rPr>
          <w:rFonts w:hint="eastAsia"/>
          <w:sz w:val="24"/>
          <w:szCs w:val="24"/>
        </w:rPr>
      </w:r>
      <w:r/>
    </w:p>
    <w:p>
      <w:pPr>
        <w:pStyle w:val="989"/>
        <w:ind w:firstLine="480"/>
        <w:rPr>
          <w:rFonts w:hint="eastAsia"/>
          <w:sz w:val="24"/>
          <w:szCs w:val="24"/>
        </w:rPr>
      </w:pPr>
      <w:r>
        <w:rPr>
          <w:rFonts w:hint="eastAsia"/>
          <w:sz w:val="24"/>
          <w:szCs w:val="24"/>
        </w:rPr>
        <w:t xml:space="preserve">9.我方与本次投标有关信息</w:t>
      </w:r>
      <w:r>
        <w:rPr>
          <w:rFonts w:hint="eastAsia"/>
          <w:sz w:val="24"/>
          <w:szCs w:val="24"/>
        </w:rPr>
      </w:r>
      <w:r/>
    </w:p>
    <w:p>
      <w:pPr>
        <w:pStyle w:val="1012"/>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2"/>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1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1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12"/>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2"/>
        <w:ind w:left="420"/>
        <w:spacing w:before="0" w:after="0" w:line="420" w:lineRule="exact"/>
        <w:rPr>
          <w:rFonts w:hint="eastAsia" w:ascii="宋体" w:hAnsi="宋体"/>
          <w:szCs w:val="21"/>
        </w:rPr>
      </w:pPr>
      <w:r>
        <w:rPr>
          <w:rFonts w:hint="eastAsia" w:ascii="宋体" w:hAnsi="宋体"/>
          <w:szCs w:val="21"/>
        </w:rPr>
      </w:r>
      <w:r/>
    </w:p>
    <w:p>
      <w:pPr>
        <w:pStyle w:val="919"/>
        <w:ind w:firstLine="240"/>
        <w:jc w:val="center"/>
        <w:spacing w:line="560" w:lineRule="exact"/>
        <w:rPr>
          <w:rFonts w:hint="eastAsia" w:ascii="宋体" w:hAnsi="宋体"/>
          <w:bCs/>
          <w:sz w:val="24"/>
        </w:rPr>
      </w:pPr>
      <w:r>
        <w:rPr>
          <w:rFonts w:hint="eastAsia" w:ascii="宋体" w:hAnsi="宋体"/>
          <w:bCs/>
          <w:sz w:val="24"/>
        </w:rPr>
      </w:r>
      <w:r/>
    </w:p>
    <w:p>
      <w:pPr>
        <w:pStyle w:val="91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919"/>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919"/>
        <w:spacing w:line="336"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9"/>
        <w:spacing w:line="336" w:lineRule="auto"/>
        <w:rPr>
          <w:sz w:val="24"/>
          <w:szCs w:val="24"/>
        </w:rPr>
      </w:pPr>
      <w:r>
        <w:rPr>
          <w:rFonts w:hint="eastAsia" w:ascii="宋体" w:hAnsi="宋体"/>
          <w:sz w:val="24"/>
          <w:szCs w:val="24"/>
        </w:rPr>
        <w:t xml:space="preserve">项目名称：</w:t>
      </w:r>
      <w:r>
        <w:rPr>
          <w:sz w:val="24"/>
          <w:szCs w:val="24"/>
        </w:rPr>
      </w:r>
      <w:r/>
    </w:p>
    <w:p>
      <w:pPr>
        <w:pStyle w:val="919"/>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19"/>
              <w:jc w:val="center"/>
              <w:spacing w:line="336"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012"/>
              <w:ind w:firstLine="0"/>
              <w:spacing w:before="0" w:after="0" w:line="336"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19"/>
        <w:spacing w:line="336" w:lineRule="auto"/>
        <w:rPr>
          <w:rFonts w:ascii="宋体" w:hAnsi="宋体"/>
          <w:sz w:val="24"/>
          <w:szCs w:val="24"/>
        </w:rPr>
      </w:pPr>
      <w:r>
        <w:rPr>
          <w:rFonts w:ascii="宋体" w:hAnsi="宋体"/>
          <w:sz w:val="24"/>
          <w:szCs w:val="24"/>
        </w:rPr>
      </w:r>
      <w:r/>
    </w:p>
    <w:p>
      <w:pPr>
        <w:pStyle w:val="919"/>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19"/>
        <w:rPr>
          <w:rFonts w:hint="eastAsia" w:ascii="黑体" w:hAnsi="黑体" w:eastAsia="黑体"/>
          <w:b/>
          <w:i/>
          <w:sz w:val="32"/>
          <w:szCs w:val="32"/>
          <w:u w:val="single"/>
        </w:rPr>
      </w:pPr>
      <w:r>
        <w:rPr>
          <w:rFonts w:hint="eastAsia" w:ascii="黑体" w:hAnsi="黑体" w:eastAsia="黑体"/>
          <w:b/>
          <w:i/>
          <w:sz w:val="32"/>
          <w:szCs w:val="32"/>
          <w:u w:val="single"/>
        </w:rPr>
      </w:r>
      <w:r/>
    </w:p>
    <w:p>
      <w:pPr>
        <w:pStyle w:val="919"/>
        <w:rPr>
          <w:rFonts w:hint="eastAsia" w:ascii="黑体" w:hAnsi="黑体" w:eastAsia="黑体"/>
          <w:b/>
          <w:i/>
          <w:sz w:val="32"/>
          <w:szCs w:val="32"/>
          <w:u w:val="single"/>
        </w:rPr>
      </w:pPr>
      <w:r>
        <w:rPr>
          <w:rFonts w:hint="eastAsia" w:ascii="黑体" w:hAnsi="黑体" w:eastAsia="黑体"/>
          <w:b/>
          <w:i/>
          <w:sz w:val="32"/>
          <w:szCs w:val="32"/>
          <w:u w:val="single"/>
        </w:rPr>
      </w:r>
      <w:r/>
    </w:p>
    <w:p>
      <w:pPr>
        <w:pStyle w:val="989"/>
        <w:rPr>
          <w:rFonts w:hint="eastAsia"/>
        </w:rPr>
      </w:pPr>
      <w:r>
        <w:rPr>
          <w:rFonts w:hint="eastAsia"/>
        </w:rPr>
      </w:r>
      <w:r/>
    </w:p>
    <w:p>
      <w:pPr>
        <w:pStyle w:val="91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rPr>
          <w:rFonts w:hint="eastAsia" w:ascii="黑体" w:hAnsi="黑体" w:eastAsia="黑体"/>
          <w:sz w:val="32"/>
          <w:szCs w:val="32"/>
        </w:rPr>
      </w:r>
      <w:r/>
    </w:p>
    <w:p>
      <w:pPr>
        <w:pStyle w:val="91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919"/>
        <w:ind w:right="180" w:firstLine="480"/>
        <w:spacing w:line="360" w:lineRule="auto"/>
        <w:rPr>
          <w:rFonts w:hint="eastAsia" w:ascii="宋体" w:hAnsi="宋体"/>
          <w:sz w:val="24"/>
          <w:szCs w:val="24"/>
        </w:rPr>
      </w:pPr>
      <w:r/>
      <w:bookmarkStart w:id="65" w:name="OLE_LINK3"/>
      <w:r>
        <w:rPr>
          <w:rFonts w:hint="eastAsia" w:ascii="宋体" w:hAnsi="宋体"/>
          <w:sz w:val="24"/>
          <w:szCs w:val="24"/>
        </w:rPr>
        <w:t xml:space="preserve">投标人名称：（加盖电子公章）</w:t>
      </w:r>
      <w:r>
        <w:rPr>
          <w:rFonts w:hint="eastAsia" w:ascii="宋体" w:hAnsi="宋体"/>
          <w:sz w:val="24"/>
          <w:szCs w:val="24"/>
        </w:rPr>
      </w:r>
      <w:r/>
    </w:p>
    <w:p>
      <w:pPr>
        <w:pStyle w:val="91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65"/>
      <w:r>
        <w:rPr>
          <w:rFonts w:hint="eastAsia"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1240"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919"/>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919"/>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91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91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19"/>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919"/>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b/>
                <w:bCs/>
                <w:sz w:val="24"/>
                <w:szCs w:val="24"/>
              </w:rPr>
            </w:r>
            <w:r/>
          </w:p>
          <w:p>
            <w:pPr>
              <w:pStyle w:val="919"/>
              <w:spacing w:line="0" w:lineRule="atLeast"/>
              <w:rPr>
                <w:rFonts w:hint="eastAsia" w:ascii="宋体" w:hAnsi="宋体"/>
                <w:sz w:val="24"/>
                <w:szCs w:val="24"/>
              </w:rPr>
            </w:pPr>
            <w:r>
              <w:rPr>
                <w:rFonts w:hint="eastAsia" w:ascii="宋体" w:hAnsi="宋体"/>
                <w:b/>
                <w:bCs/>
                <w:color w:val="0000ff"/>
                <w:sz w:val="24"/>
                <w:szCs w:val="24"/>
              </w:rPr>
            </w:r>
            <w:r/>
          </w:p>
        </w:tc>
      </w:tr>
    </w:tbl>
    <w:p>
      <w:pPr>
        <w:pStyle w:val="919"/>
        <w:spacing w:line="360" w:lineRule="auto"/>
        <w:rPr>
          <w:rFonts w:ascii="宋体" w:hAnsi="宋体"/>
          <w:sz w:val="24"/>
        </w:rPr>
      </w:pPr>
      <w:r>
        <w:rPr>
          <w:rFonts w:ascii="宋体" w:hAnsi="宋体"/>
          <w:sz w:val="24"/>
        </w:rPr>
      </w:r>
      <w:r/>
    </w:p>
    <w:p>
      <w:pPr>
        <w:pStyle w:val="983"/>
        <w:ind w:firstLine="480"/>
        <w:jc w:val="both"/>
        <w:spacing w:before="0" w:beforeAutospacing="0" w:after="0" w:afterAutospacing="0" w:line="360" w:lineRule="auto"/>
      </w:pPr>
      <w:r>
        <w:t xml:space="preserve">备注： </w:t>
      </w:r>
      <w:r/>
    </w:p>
    <w:p>
      <w:pPr>
        <w:pStyle w:val="983"/>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83"/>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983"/>
        <w:ind w:firstLine="480"/>
        <w:jc w:val="both"/>
        <w:spacing w:before="0" w:beforeAutospacing="0" w:after="0" w:afterAutospacing="0" w:line="360" w:lineRule="auto"/>
        <w:rPr>
          <w:rFonts w:hint="eastAsia"/>
          <w:b/>
          <w:bCs/>
          <w:color w:val="000000"/>
        </w:rPr>
      </w:pPr>
      <w:r>
        <w:rPr>
          <w:rFonts w:hint="eastAsia"/>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rPr>
      </w:r>
      <w:r/>
    </w:p>
    <w:p>
      <w:pPr>
        <w:pStyle w:val="983"/>
        <w:ind w:firstLine="480"/>
        <w:jc w:val="both"/>
        <w:spacing w:before="0" w:beforeAutospacing="0" w:after="0" w:afterAutospacing="0" w:line="360" w:lineRule="auto"/>
        <w:rPr>
          <w:rFonts w:hint="eastAsia"/>
        </w:rPr>
      </w:pPr>
      <w:r>
        <w:rPr>
          <w:rFonts w:hint="eastAsia"/>
        </w:rPr>
      </w:r>
      <w:r/>
    </w:p>
    <w:p>
      <w:pPr>
        <w:pStyle w:val="919"/>
        <w:jc w:val="center"/>
        <w:spacing w:line="360" w:lineRule="auto"/>
        <w:rPr>
          <w:rFonts w:hint="eastAsia" w:ascii="黑体" w:eastAsia="黑体"/>
          <w:sz w:val="32"/>
          <w:szCs w:val="32"/>
        </w:rPr>
      </w:pPr>
      <w:r>
        <w:rPr>
          <w:rFonts w:hint="eastAsia" w:ascii="黑体" w:eastAsia="黑体"/>
          <w:sz w:val="32"/>
          <w:szCs w:val="32"/>
        </w:rPr>
      </w:r>
      <w:r/>
    </w:p>
    <w:p>
      <w:pPr>
        <w:pStyle w:val="989"/>
        <w:ind w:firstLine="640"/>
        <w:rPr>
          <w:rFonts w:hint="eastAsia" w:ascii="黑体" w:eastAsia="黑体"/>
          <w:sz w:val="32"/>
          <w:szCs w:val="32"/>
        </w:rPr>
      </w:pPr>
      <w:r>
        <w:rPr>
          <w:rFonts w:hint="eastAsia" w:ascii="黑体" w:eastAsia="黑体"/>
          <w:sz w:val="32"/>
          <w:szCs w:val="32"/>
        </w:rPr>
      </w:r>
      <w:r/>
    </w:p>
    <w:p>
      <w:pPr>
        <w:pStyle w:val="919"/>
        <w:jc w:val="left"/>
        <w:spacing w:line="360" w:lineRule="auto"/>
        <w:rPr>
          <w:rFonts w:hint="eastAsia" w:ascii="黑体" w:hAnsi="黑体" w:eastAsia="黑体"/>
          <w:sz w:val="32"/>
          <w:szCs w:val="32"/>
        </w:rPr>
      </w:pPr>
      <w:r>
        <w:rPr>
          <w:rFonts w:hint="eastAsia" w:ascii="黑体" w:hAnsi="黑体" w:eastAsia="黑体"/>
          <w:sz w:val="32"/>
          <w:szCs w:val="32"/>
        </w:rPr>
        <w:t xml:space="preserve">六、</w:t>
      </w:r>
      <w:bookmarkEnd w:id="44"/>
      <w:r/>
      <w:bookmarkEnd w:id="45"/>
      <w:r/>
      <w:bookmarkEnd w:id="64"/>
      <w:r>
        <w:rPr>
          <w:rFonts w:hint="eastAsia" w:ascii="黑体" w:hAnsi="黑体" w:eastAsia="黑体"/>
          <w:sz w:val="32"/>
          <w:szCs w:val="32"/>
        </w:rPr>
        <w:t xml:space="preserve">技术要求响应及偏离表</w:t>
      </w:r>
      <w:r>
        <w:rPr>
          <w:rFonts w:hint="eastAsia" w:ascii="黑体" w:hAnsi="黑体" w:eastAsia="黑体"/>
          <w:sz w:val="32"/>
          <w:szCs w:val="32"/>
        </w:rPr>
      </w:r>
      <w:r/>
    </w:p>
    <w:p>
      <w:pPr>
        <w:pStyle w:val="91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19"/>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91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pPr>
            <w:r/>
            <w:r/>
          </w:p>
          <w:p>
            <w:pPr>
              <w:pStyle w:val="989"/>
              <w:rPr>
                <w:rFonts w:hint="eastAsia"/>
              </w:rPr>
            </w:pPr>
            <w:r>
              <w:rPr>
                <w:rFonts w:hint="eastAsia"/>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r>
      <w:r/>
    </w:p>
    <w:p>
      <w:pPr>
        <w:pStyle w:val="983"/>
        <w:ind w:firstLine="480"/>
        <w:jc w:val="both"/>
        <w:spacing w:before="0" w:beforeAutospacing="0" w:after="0" w:afterAutospacing="0" w:line="360" w:lineRule="auto"/>
      </w:pPr>
      <w:r>
        <w:t xml:space="preserve">备注： </w:t>
      </w:r>
      <w:r/>
    </w:p>
    <w:p>
      <w:pPr>
        <w:pStyle w:val="983"/>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83"/>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rPr>
      </w:r>
      <w:r/>
    </w:p>
    <w:p>
      <w:pPr>
        <w:pStyle w:val="983"/>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919"/>
        <w:rPr>
          <w:rFonts w:hint="eastAsia" w:ascii="黑体" w:hAnsi="黑体" w:eastAsia="黑体"/>
          <w:iCs/>
          <w:sz w:val="32"/>
          <w:szCs w:val="32"/>
        </w:rPr>
      </w:pPr>
      <w:r>
        <w:rPr>
          <w:rFonts w:hint="eastAsia" w:ascii="黑体" w:hAnsi="黑体" w:eastAsia="黑体"/>
          <w:iCs/>
          <w:sz w:val="32"/>
          <w:szCs w:val="32"/>
        </w:rPr>
        <w:t xml:space="preserve">七、商务要求响应及偏离表</w:t>
      </w:r>
      <w:r>
        <w:rPr>
          <w:rFonts w:hint="eastAsia" w:ascii="黑体" w:hAnsi="黑体" w:eastAsia="黑体"/>
          <w:iCs/>
          <w:sz w:val="32"/>
          <w:szCs w:val="32"/>
        </w:rPr>
      </w:r>
      <w:r/>
    </w:p>
    <w:p>
      <w:pPr>
        <w:pStyle w:val="91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19"/>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19"/>
              <w:jc w:val="center"/>
              <w:rPr>
                <w:rFonts w:hint="eastAsia" w:ascii="宋体" w:hAnsi="宋体"/>
                <w:sz w:val="24"/>
                <w:szCs w:val="24"/>
              </w:rPr>
            </w:pPr>
            <w:r/>
            <w:bookmarkStart w:id="66" w:name="_Hlt26671372"/>
            <w:r/>
            <w:bookmarkEnd w:id="66"/>
            <w:r/>
            <w:bookmarkStart w:id="67" w:name="_Hlt24879081"/>
            <w:r/>
            <w:bookmarkEnd w:id="67"/>
            <w:r/>
            <w:bookmarkStart w:id="68" w:name="_Hlt26955064"/>
            <w:r/>
            <w:bookmarkEnd w:id="68"/>
            <w:r/>
            <w:bookmarkStart w:id="69" w:name="_Hlt26671343"/>
            <w:r/>
            <w:bookmarkEnd w:id="69"/>
            <w:r/>
            <w:bookmarkStart w:id="70" w:name="_Hlt26580838"/>
            <w:r/>
            <w:bookmarkEnd w:id="70"/>
            <w:r/>
            <w:bookmarkStart w:id="71" w:name="_Hlt26955056"/>
            <w:r/>
            <w:bookmarkEnd w:id="71"/>
            <w:r/>
            <w:bookmarkStart w:id="72" w:name="_Hlt26609391"/>
            <w:r/>
            <w:bookmarkEnd w:id="72"/>
            <w:r/>
            <w:bookmarkStart w:id="73" w:name="_Hlt26782999"/>
            <w:r/>
            <w:bookmarkEnd w:id="73"/>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91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19"/>
              <w:jc w:val="center"/>
            </w:pPr>
            <w:r/>
            <w:r/>
          </w:p>
          <w:p>
            <w:pPr>
              <w:pStyle w:val="989"/>
              <w:rPr>
                <w:rFonts w:hint="eastAsia"/>
              </w:rPr>
            </w:pPr>
            <w:r>
              <w:rPr>
                <w:rFonts w:hint="eastAsia"/>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83"/>
        <w:ind w:firstLine="480"/>
        <w:jc w:val="both"/>
        <w:spacing w:before="0" w:beforeAutospacing="0" w:after="0" w:afterAutospacing="0" w:line="360" w:lineRule="auto"/>
        <w:rPr>
          <w:rFonts w:hint="eastAsia"/>
        </w:rPr>
      </w:pP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83"/>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8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9"/>
      </w:p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31"/>
        <w:rPr>
          <w:rFonts w:hint="eastAsia" w:ascii="宋体" w:hAnsi="宋体" w:cs="仿宋"/>
          <w:b/>
          <w:bCs/>
          <w:sz w:val="32"/>
          <w:szCs w:val="32"/>
        </w:rPr>
      </w:pPr>
      <w:r>
        <w:rPr>
          <w:rFonts w:hint="eastAsia" w:ascii="宋体" w:hAnsi="宋体" w:cs="仿宋"/>
          <w:b/>
          <w:bCs/>
          <w:sz w:val="32"/>
          <w:szCs w:val="32"/>
        </w:rPr>
      </w:r>
      <w:r/>
    </w:p>
    <w:p>
      <w:pPr>
        <w:pStyle w:val="919"/>
        <w:rPr>
          <w:rFonts w:hint="eastAsia" w:ascii="宋体" w:hAnsi="宋体" w:cs="仿宋"/>
          <w:b/>
          <w:bCs/>
          <w:sz w:val="32"/>
          <w:szCs w:val="32"/>
        </w:rPr>
      </w:pPr>
      <w:r>
        <w:rPr>
          <w:rFonts w:hint="eastAsia" w:ascii="宋体" w:hAnsi="宋体" w:cs="仿宋"/>
          <w:b/>
          <w:bCs/>
          <w:sz w:val="32"/>
          <w:szCs w:val="32"/>
        </w:rPr>
      </w:r>
      <w:r/>
    </w:p>
    <w:p>
      <w:pPr>
        <w:pStyle w:val="919"/>
        <w:rPr>
          <w:rFonts w:hint="eastAsia" w:ascii="黑体" w:hAnsi="黑体" w:eastAsia="黑体"/>
          <w:iCs/>
          <w:sz w:val="32"/>
          <w:szCs w:val="32"/>
        </w:rPr>
      </w:pPr>
      <w:r>
        <w:rPr>
          <w:rFonts w:hint="eastAsia" w:ascii="黑体" w:hAnsi="黑体" w:eastAsia="黑体"/>
          <w:iCs/>
          <w:sz w:val="32"/>
          <w:szCs w:val="32"/>
        </w:rPr>
      </w:r>
      <w:r/>
    </w:p>
    <w:p>
      <w:pPr>
        <w:pStyle w:val="919"/>
        <w:rPr>
          <w:rFonts w:hint="eastAsia" w:ascii="黑体" w:hAnsi="黑体" w:eastAsia="黑体"/>
          <w:iCs/>
          <w:sz w:val="32"/>
          <w:szCs w:val="32"/>
        </w:rPr>
      </w:pP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91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91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1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1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31"/>
        <w:spacing w:line="360" w:lineRule="auto"/>
        <w:rPr>
          <w:rFonts w:hint="eastAsia" w:ascii="宋体" w:hAnsi="宋体"/>
          <w:sz w:val="24"/>
          <w:szCs w:val="24"/>
        </w:rPr>
      </w:pPr>
      <w:r>
        <w:rPr>
          <w:rFonts w:hint="eastAsia" w:ascii="宋体" w:hAnsi="宋体"/>
          <w:sz w:val="24"/>
          <w:szCs w:val="24"/>
        </w:rPr>
      </w:r>
      <w:r/>
    </w:p>
    <w:p>
      <w:pPr>
        <w:pStyle w:val="919"/>
        <w:spacing w:line="360" w:lineRule="auto"/>
        <w:rPr>
          <w:rFonts w:hint="eastAsia"/>
        </w:rPr>
      </w:pPr>
      <w:r>
        <w:rPr>
          <w:rFonts w:hint="eastAsia"/>
        </w:rPr>
      </w:r>
      <w:r/>
    </w:p>
    <w:p>
      <w:pPr>
        <w:pStyle w:val="9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9"/>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9"/>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919"/>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19"/>
        <w:ind w:firstLine="480"/>
        <w:jc w:val="left"/>
        <w:spacing w:line="360" w:lineRule="auto"/>
        <w:rPr>
          <w:rFonts w:hint="eastAsia" w:ascii="宋体" w:hAnsi="宋体"/>
          <w:b/>
          <w:bCs/>
          <w:sz w:val="28"/>
          <w:szCs w:val="28"/>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w:t>
      </w:r>
      <w:r>
        <w:rPr>
          <w:rFonts w:hint="eastAsia" w:ascii="宋体" w:hAnsi="宋体"/>
          <w:b/>
          <w:bCs/>
          <w:sz w:val="28"/>
          <w:szCs w:val="28"/>
        </w:rPr>
        <w:t xml:space="preserve">招标文件第四章采购需求“</w:t>
      </w:r>
      <w:r>
        <w:rPr>
          <w:rFonts w:ascii="宋体" w:hAnsi="宋体"/>
          <w:b/>
          <w:bCs/>
          <w:sz w:val="28"/>
          <w:szCs w:val="28"/>
        </w:rPr>
        <w:t xml:space="preserve">项目</w:t>
      </w:r>
      <w:r>
        <w:rPr>
          <w:rFonts w:hint="eastAsia" w:ascii="宋体" w:hAnsi="宋体"/>
          <w:b/>
          <w:bCs/>
          <w:sz w:val="28"/>
          <w:szCs w:val="28"/>
        </w:rPr>
        <w:t xml:space="preserve">清单”中的“服务”产品需在此声明函中的“标的名称”中全部列明，并填写承接企业的具体情况。</w:t>
      </w:r>
      <w:r>
        <w:rPr>
          <w:rFonts w:hint="eastAsia" w:ascii="宋体" w:hAnsi="宋体"/>
          <w:b/>
          <w:bCs/>
          <w:sz w:val="28"/>
          <w:szCs w:val="28"/>
        </w:rPr>
      </w:r>
      <w:r/>
    </w:p>
    <w:p>
      <w:pPr>
        <w:pStyle w:val="919"/>
        <w:jc w:val="left"/>
        <w:spacing w:line="360" w:lineRule="auto"/>
        <w:rPr>
          <w:rFonts w:hint="eastAsia" w:ascii="黑体" w:hAnsi="黑体" w:eastAsia="黑体"/>
          <w:sz w:val="32"/>
          <w:szCs w:val="32"/>
        </w:rPr>
      </w:pP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91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91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31"/>
        <w:spacing w:line="360" w:lineRule="auto"/>
        <w:rPr>
          <w:rFonts w:hint="eastAsia" w:ascii="宋体" w:hAnsi="宋体"/>
          <w:sz w:val="24"/>
          <w:szCs w:val="24"/>
        </w:rPr>
      </w:pPr>
      <w:r>
        <w:rPr>
          <w:rFonts w:hint="eastAsia" w:ascii="宋体" w:hAnsi="宋体"/>
          <w:sz w:val="24"/>
          <w:szCs w:val="24"/>
        </w:rPr>
      </w:r>
      <w:r/>
    </w:p>
    <w:p>
      <w:pPr>
        <w:pStyle w:val="919"/>
        <w:spacing w:line="360" w:lineRule="auto"/>
        <w:rPr>
          <w:rFonts w:hint="eastAsia"/>
        </w:rPr>
      </w:pPr>
      <w:r>
        <w:rPr>
          <w:rFonts w:hint="eastAsia"/>
        </w:rPr>
      </w:r>
      <w:r/>
    </w:p>
    <w:p>
      <w:pPr>
        <w:pStyle w:val="9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r>
      <w:r/>
    </w:p>
    <w:p>
      <w:pPr>
        <w:pStyle w:val="919"/>
        <w:ind w:firstLine="480"/>
        <w:spacing w:line="480" w:lineRule="exact"/>
        <w:rPr>
          <w:rFonts w:ascii="宋体" w:hAnsi="宋体"/>
          <w:sz w:val="24"/>
        </w:rPr>
      </w:pPr>
      <w:r>
        <w:rPr>
          <w:rFonts w:ascii="宋体" w:hAnsi="宋体"/>
          <w:sz w:val="24"/>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9"/>
        <w:jc w:val="left"/>
        <w:spacing w:line="360" w:lineRule="auto"/>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rPr>
          <w:rFonts w:hint="eastAsia" w:ascii="黑体" w:hAnsi="黑体" w:eastAsia="黑体"/>
          <w:iCs/>
          <w:sz w:val="32"/>
          <w:szCs w:val="32"/>
        </w:rPr>
      </w:r>
      <w:r/>
    </w:p>
    <w:p>
      <w:pPr>
        <w:pStyle w:val="91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919"/>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919"/>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919"/>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919"/>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19"/>
        <w:ind w:firstLine="645"/>
        <w:spacing w:line="360" w:lineRule="auto"/>
        <w:rPr>
          <w:rFonts w:hint="eastAsia" w:ascii="宋体" w:hAnsi="宋体"/>
          <w:sz w:val="24"/>
        </w:rPr>
      </w:pPr>
      <w:r>
        <w:rPr>
          <w:rFonts w:hint="eastAsia" w:ascii="宋体" w:hAnsi="宋体"/>
          <w:sz w:val="24"/>
        </w:rPr>
      </w:r>
      <w:r/>
    </w:p>
    <w:p>
      <w:pPr>
        <w:pStyle w:val="91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9"/>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19"/>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19"/>
        <w:ind w:firstLine="482"/>
        <w:spacing w:line="360" w:lineRule="auto"/>
        <w:rPr>
          <w:rFonts w:hint="eastAsia" w:ascii="宋体" w:hAnsi="宋体"/>
          <w:b/>
          <w:bCs/>
          <w:sz w:val="24"/>
        </w:rPr>
      </w:pPr>
      <w:r>
        <w:rPr>
          <w:rFonts w:hint="eastAsia" w:ascii="宋体" w:hAnsi="宋体"/>
          <w:b/>
          <w:bCs/>
          <w:sz w:val="24"/>
          <w:szCs w:val="24"/>
        </w:rPr>
        <w:t xml:space="preserve">2.</w:t>
      </w:r>
      <w:r>
        <w:rPr>
          <w:rFonts w:hint="eastAsia" w:ascii="宋体" w:hAnsi="宋体"/>
          <w:b/>
          <w:bCs/>
          <w:sz w:val="24"/>
        </w:rPr>
        <w:t xml:space="preserve">除另有说明外，本招标文件要求加盖电子公章之处，加盖牵头单位的电子公章即可。</w:t>
      </w:r>
      <w:r>
        <w:rPr>
          <w:rFonts w:hint="eastAsia" w:ascii="宋体" w:hAnsi="宋体"/>
          <w:b/>
          <w:bCs/>
          <w:sz w:val="24"/>
        </w:rPr>
      </w:r>
      <w:r/>
    </w:p>
    <w:p>
      <w:pPr>
        <w:pStyle w:val="989"/>
        <w:ind w:firstLine="480"/>
        <w:rPr>
          <w:rFonts w:hint="eastAsia"/>
          <w:sz w:val="24"/>
        </w:rPr>
      </w:pPr>
      <w:r>
        <w:rPr>
          <w:rFonts w:hint="eastAsia"/>
          <w:sz w:val="24"/>
        </w:rPr>
      </w:r>
      <w:r/>
    </w:p>
    <w:p>
      <w:pPr>
        <w:pStyle w:val="919"/>
        <w:rPr>
          <w:rFonts w:hint="eastAsia"/>
        </w:rPr>
      </w:pPr>
      <w:r>
        <w:rPr>
          <w:rFonts w:hint="eastAsia"/>
        </w:rPr>
      </w:r>
      <w:r/>
    </w:p>
    <w:p>
      <w:pPr>
        <w:pStyle w:val="919"/>
        <w:ind w:firstLine="645"/>
        <w:spacing w:line="560" w:lineRule="exact"/>
        <w:rPr>
          <w:rFonts w:ascii="宋体" w:hAnsi="宋体"/>
          <w:sz w:val="24"/>
        </w:rPr>
      </w:pPr>
      <w:r>
        <w:rPr>
          <w:rFonts w:ascii="宋体" w:hAnsi="宋体"/>
          <w:sz w:val="24"/>
        </w:rPr>
      </w:r>
      <w:r/>
    </w:p>
    <w:p>
      <w:pPr>
        <w:pStyle w:val="919"/>
        <w:ind w:firstLine="645"/>
        <w:spacing w:line="560" w:lineRule="exact"/>
        <w:rPr>
          <w:rFonts w:hint="eastAsia" w:ascii="宋体" w:hAnsi="宋体"/>
          <w:sz w:val="24"/>
        </w:rPr>
      </w:pPr>
      <w:r>
        <w:rPr>
          <w:rFonts w:hint="eastAsia" w:ascii="宋体" w:hAnsi="宋体"/>
          <w:sz w:val="24"/>
        </w:rPr>
      </w:r>
      <w:r/>
    </w:p>
    <w:p>
      <w:pPr>
        <w:pStyle w:val="931"/>
        <w:rPr>
          <w:rFonts w:hint="eastAsia" w:ascii="宋体" w:hAnsi="宋体"/>
          <w:sz w:val="24"/>
        </w:rPr>
      </w:pPr>
      <w:r>
        <w:rPr>
          <w:rFonts w:hint="eastAsia" w:ascii="宋体" w:hAnsi="宋体"/>
          <w:sz w:val="24"/>
        </w:rPr>
      </w:r>
      <w:r/>
    </w:p>
    <w:p>
      <w:pPr>
        <w:pStyle w:val="919"/>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91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8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95"/>
          <w:rFonts w:hint="eastAsia"/>
          <w:i w:val="0"/>
          <w:u w:val="single"/>
          <w:shd w:val="clear" w:color="auto" w:fill="ffffff"/>
        </w:rPr>
        <w:t xml:space="preserve">（产品名称1）</w:t>
      </w:r>
      <w:r>
        <w:rPr>
          <w:rStyle w:val="99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95"/>
          <w:rFonts w:hint="eastAsia"/>
          <w:i w:val="0"/>
          <w:u w:val="single"/>
          <w:shd w:val="clear" w:color="auto" w:fill="ffffff"/>
        </w:rPr>
        <w:t xml:space="preserve">（厂名）</w:t>
      </w:r>
      <w:r>
        <w:rPr>
          <w:rStyle w:val="995"/>
          <w:rFonts w:hint="eastAsia"/>
          <w:i w:val="0"/>
          <w:shd w:val="clear" w:color="auto" w:fill="ffffff"/>
          <w:vertAlign w:val="superscript"/>
        </w:rPr>
        <w:t xml:space="preserve">2</w:t>
      </w:r>
      <w:r>
        <w:rPr>
          <w:rFonts w:hint="eastAsia"/>
          <w:shd w:val="clear" w:color="auto" w:fill="ffffff"/>
        </w:rPr>
        <w:t xml:space="preserve">，厂址为</w:t>
      </w:r>
      <w:r>
        <w:rPr>
          <w:rStyle w:val="995"/>
          <w:rFonts w:hint="eastAsia"/>
          <w:i w:val="0"/>
          <w:u w:val="single"/>
          <w:shd w:val="clear" w:color="auto" w:fill="ffffff"/>
        </w:rPr>
        <w:t xml:space="preserve">（生产厂址）</w:t>
      </w:r>
      <w:r>
        <w:rPr>
          <w:rFonts w:hint="eastAsia"/>
          <w:shd w:val="clear" w:color="auto" w:fill="ffffff"/>
        </w:rPr>
        <w:t xml:space="preserve">。</w:t>
      </w:r>
      <w:r>
        <w:rPr>
          <w:rStyle w:val="995"/>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995"/>
          <w:rFonts w:hint="eastAsia"/>
          <w:i w:val="0"/>
          <w:u w:val="single"/>
          <w:shd w:val="clear" w:color="auto" w:fill="ffffff"/>
        </w:rPr>
        <w:t xml:space="preserve">（规定比例）</w:t>
      </w:r>
      <w:r>
        <w:rPr>
          <w:rStyle w:val="995"/>
          <w:rFonts w:hint="eastAsia"/>
          <w:i w:val="0"/>
          <w:shd w:val="clear" w:color="auto" w:fill="ffffff"/>
          <w:vertAlign w:val="superscript"/>
        </w:rPr>
        <w:t xml:space="preserve">3</w:t>
      </w:r>
      <w:r>
        <w:rPr>
          <w:rFonts w:hint="eastAsia"/>
          <w:shd w:val="clear" w:color="auto" w:fill="ffffff"/>
        </w:rPr>
        <w:t xml:space="preserve">。</w:t>
      </w:r>
      <w:r>
        <w:rPr>
          <w:rStyle w:val="995"/>
          <w:rFonts w:hint="eastAsia"/>
          <w:i w:val="0"/>
          <w:u w:val="single"/>
          <w:shd w:val="clear" w:color="auto" w:fill="ffffff"/>
        </w:rPr>
        <w:t xml:space="preserve">（产品名称1）</w:t>
      </w:r>
      <w:r>
        <w:rPr>
          <w:rFonts w:hint="eastAsia"/>
          <w:shd w:val="clear" w:color="auto" w:fill="ffffff"/>
        </w:rPr>
        <w:t xml:space="preserve">的</w:t>
      </w:r>
      <w:r>
        <w:rPr>
          <w:rStyle w:val="995"/>
          <w:rFonts w:hint="eastAsia"/>
          <w:i w:val="0"/>
          <w:u w:val="single"/>
          <w:shd w:val="clear" w:color="auto" w:fill="ffffff"/>
        </w:rPr>
        <w:t xml:space="preserve">（关键组件）</w:t>
      </w:r>
      <w:r>
        <w:rPr>
          <w:rStyle w:val="995"/>
          <w:rFonts w:hint="eastAsia"/>
          <w:i w:val="0"/>
          <w:shd w:val="clear" w:color="auto" w:fill="ffffff"/>
          <w:vertAlign w:val="superscript"/>
        </w:rPr>
        <w:t xml:space="preserve">4</w:t>
      </w:r>
      <w:r>
        <w:rPr>
          <w:rFonts w:hint="eastAsia"/>
          <w:shd w:val="clear" w:color="auto" w:fill="ffffff"/>
        </w:rPr>
        <w:t xml:space="preserve">在中国境内生产。</w:t>
      </w:r>
      <w:r>
        <w:rPr>
          <w:rStyle w:val="995"/>
          <w:rFonts w:hint="eastAsia"/>
          <w:i w:val="0"/>
          <w:u w:val="single"/>
          <w:shd w:val="clear" w:color="auto" w:fill="ffffff"/>
        </w:rPr>
        <w:t xml:space="preserve">（产品名称1）</w:t>
      </w:r>
      <w:r>
        <w:rPr>
          <w:rFonts w:hint="eastAsia"/>
          <w:shd w:val="clear" w:color="auto" w:fill="ffffff"/>
        </w:rPr>
        <w:t xml:space="preserve">的</w:t>
      </w:r>
      <w:r>
        <w:rPr>
          <w:rStyle w:val="995"/>
          <w:rFonts w:hint="eastAsia"/>
          <w:i w:val="0"/>
          <w:u w:val="single"/>
          <w:shd w:val="clear" w:color="auto" w:fill="ffffff"/>
        </w:rPr>
        <w:t xml:space="preserve">（关键工序）</w:t>
      </w:r>
      <w:r>
        <w:rPr>
          <w:rStyle w:val="995"/>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8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95"/>
          <w:rFonts w:hint="eastAsia"/>
          <w:i w:val="0"/>
          <w:u w:val="single"/>
          <w:shd w:val="clear" w:color="auto" w:fill="ffffff"/>
        </w:rPr>
        <w:t xml:space="preserve">（产品名称2）</w:t>
      </w:r>
      <w:r>
        <w:rPr>
          <w:rFonts w:hint="eastAsia"/>
          <w:shd w:val="clear" w:color="auto" w:fill="ffffff"/>
        </w:rPr>
        <w:t xml:space="preserve">，生产厂为</w:t>
      </w:r>
      <w:r>
        <w:rPr>
          <w:rStyle w:val="995"/>
          <w:rFonts w:hint="eastAsia"/>
          <w:i w:val="0"/>
          <w:u w:val="single"/>
          <w:shd w:val="clear" w:color="auto" w:fill="ffffff"/>
        </w:rPr>
        <w:t xml:space="preserve">（厂名）</w:t>
      </w:r>
      <w:r>
        <w:rPr>
          <w:rFonts w:hint="eastAsia"/>
          <w:shd w:val="clear" w:color="auto" w:fill="ffffff"/>
        </w:rPr>
        <w:t xml:space="preserve">，厂址为</w:t>
      </w:r>
      <w:r>
        <w:rPr>
          <w:rStyle w:val="995"/>
          <w:rFonts w:hint="eastAsia"/>
          <w:i w:val="0"/>
          <w:u w:val="single"/>
          <w:shd w:val="clear" w:color="auto" w:fill="ffffff"/>
        </w:rPr>
        <w:t xml:space="preserve">（生产厂址）</w:t>
      </w:r>
      <w:r>
        <w:rPr>
          <w:rFonts w:hint="eastAsia"/>
          <w:shd w:val="clear" w:color="auto" w:fill="ffffff"/>
        </w:rPr>
        <w:t xml:space="preserve">。</w:t>
      </w:r>
      <w:r>
        <w:rPr>
          <w:rStyle w:val="995"/>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995"/>
          <w:rFonts w:hint="eastAsia"/>
          <w:i w:val="0"/>
          <w:u w:val="single"/>
          <w:shd w:val="clear" w:color="auto" w:fill="ffffff"/>
        </w:rPr>
        <w:t xml:space="preserve">（规定比例）</w:t>
      </w:r>
      <w:r>
        <w:rPr>
          <w:rFonts w:hint="eastAsia"/>
          <w:shd w:val="clear" w:color="auto" w:fill="ffffff"/>
        </w:rPr>
        <w:t xml:space="preserve">。</w:t>
      </w:r>
      <w:r>
        <w:rPr>
          <w:rStyle w:val="995"/>
          <w:rFonts w:hint="eastAsia"/>
          <w:i w:val="0"/>
          <w:u w:val="single"/>
          <w:shd w:val="clear" w:color="auto" w:fill="ffffff"/>
        </w:rPr>
        <w:t xml:space="preserve">（产品名称2）</w:t>
      </w:r>
      <w:r>
        <w:rPr>
          <w:rFonts w:hint="eastAsia"/>
          <w:shd w:val="clear" w:color="auto" w:fill="ffffff"/>
        </w:rPr>
        <w:t xml:space="preserve">的</w:t>
      </w:r>
      <w:r>
        <w:rPr>
          <w:rStyle w:val="995"/>
          <w:rFonts w:hint="eastAsia"/>
          <w:i w:val="0"/>
          <w:u w:val="single"/>
          <w:shd w:val="clear" w:color="auto" w:fill="ffffff"/>
        </w:rPr>
        <w:t xml:space="preserve">（关键组件）</w:t>
      </w:r>
      <w:r>
        <w:rPr>
          <w:rFonts w:hint="eastAsia"/>
          <w:shd w:val="clear" w:color="auto" w:fill="ffffff"/>
        </w:rPr>
        <w:t xml:space="preserve">在中国境内生产。</w:t>
      </w:r>
      <w:r>
        <w:rPr>
          <w:rStyle w:val="995"/>
          <w:rFonts w:hint="eastAsia"/>
          <w:i w:val="0"/>
          <w:u w:val="single"/>
          <w:shd w:val="clear" w:color="auto" w:fill="ffffff"/>
        </w:rPr>
        <w:t xml:space="preserve">（产品名称2）</w:t>
      </w:r>
      <w:r>
        <w:rPr>
          <w:rFonts w:hint="eastAsia"/>
          <w:shd w:val="clear" w:color="auto" w:fill="ffffff"/>
        </w:rPr>
        <w:t xml:space="preserve">的</w:t>
      </w:r>
      <w:r>
        <w:rPr>
          <w:rStyle w:val="995"/>
          <w:rFonts w:hint="eastAsia"/>
          <w:i w:val="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8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83"/>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98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8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8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8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8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8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8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sz w:val="21"/>
          <w:szCs w:val="21"/>
          <w:shd w:val="clear" w:color="auto" w:fill="ffffff"/>
        </w:rPr>
      </w:r>
      <w:r/>
    </w:p>
    <w:p>
      <w:pPr>
        <w:pStyle w:val="983"/>
        <w:ind w:firstLine="420"/>
        <w:spacing w:before="24" w:beforeAutospacing="0" w:after="24" w:afterAutospacing="0" w:line="360" w:lineRule="auto"/>
        <w:shd w:val="clear" w:color="auto" w:fill="ffffff"/>
      </w:pPr>
      <w:r/>
      <w:r/>
    </w:p>
    <w:p>
      <w:pPr>
        <w:pStyle w:val="919"/>
        <w:jc w:val="left"/>
        <w:spacing w:line="360" w:lineRule="auto"/>
        <w:widowControl/>
      </w:pPr>
      <w:r>
        <w:rPr>
          <w:rFonts w:hint="eastAsia"/>
          <w:shd w:val="clear" w:color="auto" w:fill="ffffff"/>
        </w:rPr>
        <w:br w:type="page" w:clear="all"/>
      </w:r>
      <w:r>
        <w:rPr>
          <w:rFonts w:hint="eastAsia" w:ascii="黑体" w:hAnsi="黑体" w:eastAsia="黑体"/>
          <w:iCs/>
          <w:sz w:val="32"/>
          <w:szCs w:val="32"/>
        </w:rPr>
        <w:t xml:space="preserve">十二、分包情况说明及分包意向协议</w:t>
      </w:r>
      <w:r/>
    </w:p>
    <w:p>
      <w:pPr>
        <w:pStyle w:val="919"/>
        <w:jc w:val="center"/>
        <w:widowControl/>
      </w:pPr>
      <w:r>
        <w:rPr>
          <w:rFonts w:ascii="宋体" w:hAnsi="宋体" w:cs="宋体"/>
          <w:b/>
          <w:bCs/>
          <w:color w:val="000000"/>
          <w:sz w:val="36"/>
          <w:szCs w:val="36"/>
          <w:lang w:bidi="ar"/>
        </w:rPr>
        <w:t xml:space="preserve">分包情况说明</w:t>
      </w:r>
      <w:r/>
    </w:p>
    <w:p>
      <w:pPr>
        <w:pStyle w:val="919"/>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pStyle w:val="919"/>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19"/>
              <w:jc w:val="center"/>
              <w:widowControl/>
              <w:rPr>
                <w:rFonts w:hint="eastAsia"/>
              </w:rPr>
            </w:pPr>
            <w:r>
              <w:rPr>
                <w:rFonts w:hint="eastAsia"/>
              </w:rPr>
              <w:t xml:space="preserve">序号</w:t>
            </w:r>
            <w:r>
              <w:rPr>
                <w:rFonts w:hint="eastAsia"/>
              </w:rPr>
            </w:r>
            <w:r/>
          </w:p>
        </w:tc>
        <w:tc>
          <w:tcPr>
            <w:tcW w:w="1543" w:type="dxa"/>
            <w:vAlign w:val="center"/>
            <w:textDirection w:val="lrTb"/>
            <w:noWrap w:val="false"/>
          </w:tcPr>
          <w:p>
            <w:pPr>
              <w:pStyle w:val="919"/>
              <w:jc w:val="center"/>
              <w:widowControl/>
            </w:pPr>
            <w:r>
              <w:rPr>
                <w:rFonts w:hint="eastAsia"/>
              </w:rPr>
              <w:t xml:space="preserve">分包承担主体名称</w:t>
            </w:r>
            <w:r/>
          </w:p>
        </w:tc>
        <w:tc>
          <w:tcPr>
            <w:tcW w:w="1543" w:type="dxa"/>
            <w:vAlign w:val="center"/>
            <w:textDirection w:val="lrTb"/>
            <w:noWrap w:val="false"/>
          </w:tcPr>
          <w:p>
            <w:pPr>
              <w:pStyle w:val="919"/>
              <w:jc w:val="center"/>
              <w:widowControl/>
            </w:pPr>
            <w:r>
              <w:rPr>
                <w:rFonts w:hint="eastAsia"/>
              </w:rPr>
              <w:t xml:space="preserve">分包承担主体类型（大型、中型、小型、微型）</w:t>
            </w:r>
            <w:r/>
          </w:p>
        </w:tc>
        <w:tc>
          <w:tcPr>
            <w:tcW w:w="1596" w:type="dxa"/>
            <w:vAlign w:val="center"/>
            <w:textDirection w:val="lrTb"/>
            <w:noWrap w:val="false"/>
          </w:tcPr>
          <w:p>
            <w:pPr>
              <w:pStyle w:val="919"/>
              <w:jc w:val="center"/>
              <w:widowControl/>
            </w:pPr>
            <w:r>
              <w:rPr>
                <w:rFonts w:hint="eastAsia"/>
              </w:rPr>
              <w:t xml:space="preserve">分包承担主体资质</w:t>
            </w:r>
            <w:r/>
          </w:p>
        </w:tc>
        <w:tc>
          <w:tcPr>
            <w:tcW w:w="1811" w:type="dxa"/>
            <w:vAlign w:val="center"/>
            <w:textDirection w:val="lrTb"/>
            <w:noWrap w:val="false"/>
          </w:tcPr>
          <w:p>
            <w:pPr>
              <w:pStyle w:val="919"/>
              <w:jc w:val="center"/>
              <w:widowControl/>
            </w:pPr>
            <w:r>
              <w:rPr>
                <w:rFonts w:hint="eastAsia"/>
              </w:rPr>
              <w:t xml:space="preserve">分包标的内容</w:t>
            </w:r>
            <w:r/>
          </w:p>
        </w:tc>
        <w:tc>
          <w:tcPr>
            <w:tcW w:w="1586" w:type="dxa"/>
            <w:vAlign w:val="center"/>
            <w:textDirection w:val="lrTb"/>
            <w:noWrap w:val="false"/>
          </w:tcPr>
          <w:p>
            <w:pPr>
              <w:pStyle w:val="919"/>
              <w:jc w:val="center"/>
              <w:widowControl/>
            </w:pPr>
            <w:r>
              <w:rPr>
                <w:rFonts w:hint="eastAsia"/>
              </w:rPr>
              <w:t xml:space="preserve">分包合同金额（元）</w:t>
            </w:r>
            <w:r/>
          </w:p>
        </w:tc>
        <w:tc>
          <w:tcPr>
            <w:tcW w:w="1287" w:type="dxa"/>
            <w:vAlign w:val="center"/>
            <w:textDirection w:val="lrTb"/>
            <w:noWrap w:val="false"/>
          </w:tcPr>
          <w:p>
            <w:pPr>
              <w:pStyle w:val="919"/>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919"/>
              <w:jc w:val="center"/>
              <w:widowControl/>
              <w:rPr>
                <w:rFonts w:hint="eastAsia"/>
              </w:rPr>
            </w:pPr>
            <w:r>
              <w:rPr>
                <w:rFonts w:hint="eastAsia"/>
              </w:rPr>
              <w:t xml:space="preserve">1</w:t>
            </w:r>
            <w:r>
              <w:rPr>
                <w:rFonts w:hint="eastAsia"/>
              </w:rPr>
            </w:r>
            <w:r/>
          </w:p>
        </w:tc>
        <w:tc>
          <w:tcPr>
            <w:tcW w:w="1543" w:type="dxa"/>
            <w:vAlign w:val="center"/>
            <w:textDirection w:val="lrTb"/>
            <w:noWrap w:val="false"/>
          </w:tcPr>
          <w:p>
            <w:pPr>
              <w:pStyle w:val="919"/>
              <w:jc w:val="center"/>
              <w:widowControl/>
            </w:pPr>
            <w:r/>
            <w:r/>
          </w:p>
        </w:tc>
        <w:tc>
          <w:tcPr>
            <w:tcW w:w="1543" w:type="dxa"/>
            <w:vAlign w:val="center"/>
            <w:textDirection w:val="lrTb"/>
            <w:noWrap w:val="false"/>
          </w:tcPr>
          <w:p>
            <w:pPr>
              <w:pStyle w:val="919"/>
              <w:jc w:val="center"/>
              <w:widowControl/>
            </w:pPr>
            <w:r/>
            <w:r/>
          </w:p>
        </w:tc>
        <w:tc>
          <w:tcPr>
            <w:tcW w:w="1596" w:type="dxa"/>
            <w:vAlign w:val="center"/>
            <w:textDirection w:val="lrTb"/>
            <w:noWrap w:val="false"/>
          </w:tcPr>
          <w:p>
            <w:pPr>
              <w:pStyle w:val="919"/>
              <w:jc w:val="center"/>
              <w:widowControl/>
            </w:pPr>
            <w:r/>
            <w:r/>
          </w:p>
        </w:tc>
        <w:tc>
          <w:tcPr>
            <w:tcW w:w="1811" w:type="dxa"/>
            <w:vAlign w:val="center"/>
            <w:textDirection w:val="lrTb"/>
            <w:noWrap w:val="false"/>
          </w:tcPr>
          <w:p>
            <w:pPr>
              <w:pStyle w:val="919"/>
              <w:jc w:val="center"/>
              <w:widowControl/>
            </w:pPr>
            <w:r/>
            <w:r/>
          </w:p>
        </w:tc>
        <w:tc>
          <w:tcPr>
            <w:tcW w:w="1586" w:type="dxa"/>
            <w:vAlign w:val="center"/>
            <w:textDirection w:val="lrTb"/>
            <w:noWrap w:val="false"/>
          </w:tcPr>
          <w:p>
            <w:pPr>
              <w:pStyle w:val="919"/>
              <w:jc w:val="center"/>
              <w:widowControl/>
            </w:pPr>
            <w:r/>
            <w:r/>
          </w:p>
        </w:tc>
        <w:tc>
          <w:tcPr>
            <w:tcW w:w="1287" w:type="dxa"/>
            <w:vAlign w:val="center"/>
            <w:textDirection w:val="lrTb"/>
            <w:noWrap w:val="false"/>
          </w:tcPr>
          <w:p>
            <w:pPr>
              <w:pStyle w:val="919"/>
              <w:jc w:val="center"/>
              <w:widowControl/>
            </w:pPr>
            <w:r/>
            <w:r/>
          </w:p>
        </w:tc>
      </w:tr>
      <w:tr>
        <w:trPr>
          <w:trHeight w:val="488"/>
        </w:trPr>
        <w:tc>
          <w:tcPr>
            <w:tcW w:w="596" w:type="dxa"/>
            <w:vAlign w:val="center"/>
            <w:textDirection w:val="lrTb"/>
            <w:noWrap w:val="false"/>
          </w:tcPr>
          <w:p>
            <w:pPr>
              <w:pStyle w:val="919"/>
              <w:jc w:val="center"/>
              <w:widowControl/>
              <w:rPr>
                <w:rFonts w:hint="eastAsia"/>
              </w:rPr>
            </w:pPr>
            <w:r>
              <w:rPr>
                <w:rFonts w:hint="eastAsia"/>
              </w:rPr>
              <w:t xml:space="preserve">2</w:t>
            </w:r>
            <w:r>
              <w:rPr>
                <w:rFonts w:hint="eastAsia"/>
              </w:rPr>
            </w:r>
            <w:r/>
          </w:p>
        </w:tc>
        <w:tc>
          <w:tcPr>
            <w:tcW w:w="1543" w:type="dxa"/>
            <w:vAlign w:val="center"/>
            <w:textDirection w:val="lrTb"/>
            <w:noWrap w:val="false"/>
          </w:tcPr>
          <w:p>
            <w:pPr>
              <w:pStyle w:val="919"/>
              <w:jc w:val="center"/>
              <w:widowControl/>
            </w:pPr>
            <w:r/>
            <w:r/>
          </w:p>
        </w:tc>
        <w:tc>
          <w:tcPr>
            <w:tcW w:w="1543" w:type="dxa"/>
            <w:vAlign w:val="center"/>
            <w:textDirection w:val="lrTb"/>
            <w:noWrap w:val="false"/>
          </w:tcPr>
          <w:p>
            <w:pPr>
              <w:pStyle w:val="919"/>
              <w:jc w:val="center"/>
              <w:widowControl/>
            </w:pPr>
            <w:r/>
            <w:r/>
          </w:p>
        </w:tc>
        <w:tc>
          <w:tcPr>
            <w:tcW w:w="1596" w:type="dxa"/>
            <w:vAlign w:val="center"/>
            <w:textDirection w:val="lrTb"/>
            <w:noWrap w:val="false"/>
          </w:tcPr>
          <w:p>
            <w:pPr>
              <w:pStyle w:val="919"/>
              <w:jc w:val="center"/>
              <w:widowControl/>
            </w:pPr>
            <w:r/>
            <w:r/>
          </w:p>
        </w:tc>
        <w:tc>
          <w:tcPr>
            <w:tcW w:w="1811" w:type="dxa"/>
            <w:vAlign w:val="center"/>
            <w:textDirection w:val="lrTb"/>
            <w:noWrap w:val="false"/>
          </w:tcPr>
          <w:p>
            <w:pPr>
              <w:pStyle w:val="919"/>
              <w:jc w:val="center"/>
              <w:widowControl/>
            </w:pPr>
            <w:r/>
            <w:r/>
          </w:p>
        </w:tc>
        <w:tc>
          <w:tcPr>
            <w:tcW w:w="1586" w:type="dxa"/>
            <w:vAlign w:val="center"/>
            <w:textDirection w:val="lrTb"/>
            <w:noWrap w:val="false"/>
          </w:tcPr>
          <w:p>
            <w:pPr>
              <w:pStyle w:val="919"/>
              <w:jc w:val="center"/>
              <w:widowControl/>
            </w:pPr>
            <w:r/>
            <w:r/>
          </w:p>
        </w:tc>
        <w:tc>
          <w:tcPr>
            <w:tcW w:w="1287" w:type="dxa"/>
            <w:vAlign w:val="center"/>
            <w:textDirection w:val="lrTb"/>
            <w:noWrap w:val="false"/>
          </w:tcPr>
          <w:p>
            <w:pPr>
              <w:pStyle w:val="919"/>
              <w:jc w:val="center"/>
              <w:widowControl/>
            </w:pPr>
            <w:r/>
            <w:r/>
          </w:p>
        </w:tc>
      </w:tr>
      <w:tr>
        <w:trPr>
          <w:trHeight w:val="456"/>
        </w:trPr>
        <w:tc>
          <w:tcPr>
            <w:tcW w:w="596" w:type="dxa"/>
            <w:vAlign w:val="center"/>
            <w:textDirection w:val="lrTb"/>
            <w:noWrap w:val="false"/>
          </w:tcPr>
          <w:p>
            <w:pPr>
              <w:pStyle w:val="919"/>
              <w:jc w:val="center"/>
              <w:widowControl/>
            </w:pPr>
            <w:r>
              <w:rPr>
                <w:rFonts w:hint="eastAsia"/>
              </w:rPr>
              <w:t xml:space="preserve">...</w:t>
            </w:r>
            <w:r/>
          </w:p>
        </w:tc>
        <w:tc>
          <w:tcPr>
            <w:tcW w:w="1543" w:type="dxa"/>
            <w:vAlign w:val="center"/>
            <w:textDirection w:val="lrTb"/>
            <w:noWrap w:val="false"/>
          </w:tcPr>
          <w:p>
            <w:pPr>
              <w:pStyle w:val="919"/>
              <w:jc w:val="center"/>
              <w:widowControl/>
            </w:pPr>
            <w:r/>
            <w:r/>
          </w:p>
        </w:tc>
        <w:tc>
          <w:tcPr>
            <w:tcW w:w="1543" w:type="dxa"/>
            <w:vAlign w:val="center"/>
            <w:textDirection w:val="lrTb"/>
            <w:noWrap w:val="false"/>
          </w:tcPr>
          <w:p>
            <w:pPr>
              <w:pStyle w:val="919"/>
              <w:jc w:val="center"/>
              <w:widowControl/>
            </w:pPr>
            <w:r/>
            <w:r/>
          </w:p>
        </w:tc>
        <w:tc>
          <w:tcPr>
            <w:tcW w:w="1596" w:type="dxa"/>
            <w:vAlign w:val="center"/>
            <w:textDirection w:val="lrTb"/>
            <w:noWrap w:val="false"/>
          </w:tcPr>
          <w:p>
            <w:pPr>
              <w:pStyle w:val="919"/>
              <w:jc w:val="center"/>
              <w:widowControl/>
            </w:pPr>
            <w:r/>
            <w:r/>
          </w:p>
        </w:tc>
        <w:tc>
          <w:tcPr>
            <w:tcW w:w="1811" w:type="dxa"/>
            <w:vAlign w:val="center"/>
            <w:textDirection w:val="lrTb"/>
            <w:noWrap w:val="false"/>
          </w:tcPr>
          <w:p>
            <w:pPr>
              <w:pStyle w:val="919"/>
              <w:jc w:val="center"/>
              <w:widowControl/>
            </w:pPr>
            <w:r/>
            <w:r/>
          </w:p>
        </w:tc>
        <w:tc>
          <w:tcPr>
            <w:tcW w:w="1586" w:type="dxa"/>
            <w:vAlign w:val="center"/>
            <w:textDirection w:val="lrTb"/>
            <w:noWrap w:val="false"/>
          </w:tcPr>
          <w:p>
            <w:pPr>
              <w:pStyle w:val="919"/>
              <w:jc w:val="center"/>
              <w:widowControl/>
            </w:pPr>
            <w:r/>
            <w:r/>
          </w:p>
        </w:tc>
        <w:tc>
          <w:tcPr>
            <w:tcW w:w="1287" w:type="dxa"/>
            <w:vAlign w:val="center"/>
            <w:textDirection w:val="lrTb"/>
            <w:noWrap w:val="false"/>
          </w:tcPr>
          <w:p>
            <w:pPr>
              <w:pStyle w:val="919"/>
              <w:jc w:val="center"/>
              <w:widowControl/>
            </w:pPr>
            <w:r/>
            <w:r/>
          </w:p>
        </w:tc>
      </w:tr>
      <w:tr>
        <w:trPr>
          <w:trHeight w:val="475"/>
        </w:trPr>
        <w:tc>
          <w:tcPr>
            <w:gridSpan w:val="5"/>
            <w:tcW w:w="7089" w:type="dxa"/>
            <w:vAlign w:val="center"/>
            <w:textDirection w:val="lrTb"/>
            <w:noWrap w:val="false"/>
          </w:tcPr>
          <w:p>
            <w:pPr>
              <w:pStyle w:val="919"/>
              <w:jc w:val="center"/>
              <w:widowControl/>
              <w:rPr>
                <w:rFonts w:hint="eastAsia"/>
              </w:rPr>
            </w:pPr>
            <w:r>
              <w:rPr>
                <w:rFonts w:hint="eastAsia"/>
              </w:rPr>
              <w:t xml:space="preserve">合计</w:t>
            </w:r>
            <w:r>
              <w:rPr>
                <w:rFonts w:hint="eastAsia"/>
              </w:rPr>
            </w:r>
            <w:r/>
          </w:p>
        </w:tc>
        <w:tc>
          <w:tcPr>
            <w:tcW w:w="1586" w:type="dxa"/>
            <w:vAlign w:val="center"/>
            <w:textDirection w:val="lrTb"/>
            <w:noWrap w:val="false"/>
          </w:tcPr>
          <w:p>
            <w:pPr>
              <w:pStyle w:val="919"/>
              <w:jc w:val="center"/>
              <w:widowControl/>
            </w:pPr>
            <w:r/>
            <w:r/>
          </w:p>
        </w:tc>
        <w:tc>
          <w:tcPr>
            <w:tcW w:w="1287" w:type="dxa"/>
            <w:vAlign w:val="center"/>
            <w:textDirection w:val="lrTb"/>
            <w:noWrap w:val="false"/>
          </w:tcPr>
          <w:p>
            <w:pPr>
              <w:pStyle w:val="919"/>
              <w:jc w:val="center"/>
              <w:widowControl/>
            </w:pPr>
            <w:r/>
            <w:r/>
          </w:p>
        </w:tc>
      </w:tr>
    </w:tbl>
    <w:p>
      <w:pPr>
        <w:pStyle w:val="919"/>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19"/>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19"/>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pStyle w:val="919"/>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91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19"/>
        <w:ind w:firstLine="480"/>
        <w:jc w:val="left"/>
        <w:widowControl/>
      </w:pPr>
      <w:r>
        <w:rPr>
          <w:rFonts w:hint="eastAsia" w:ascii="宋体" w:hAnsi="宋体" w:cs="宋体"/>
          <w:color w:val="000000"/>
          <w:sz w:val="24"/>
          <w:szCs w:val="24"/>
          <w:lang w:bidi="ar"/>
        </w:rPr>
        <w:t xml:space="preserve">注： </w:t>
      </w:r>
      <w:r/>
    </w:p>
    <w:p>
      <w:pPr>
        <w:pStyle w:val="919"/>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pStyle w:val="919"/>
        <w:ind w:firstLine="480"/>
        <w:jc w:val="left"/>
        <w:widowControl/>
        <w:rPr>
          <w:rFonts w:hint="eastAsia"/>
        </w:rPr>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919"/>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919"/>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pStyle w:val="919"/>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pStyle w:val="919"/>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pStyle w:val="919"/>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pStyle w:val="919"/>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pStyle w:val="919"/>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pStyle w:val="919"/>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pStyle w:val="919"/>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19"/>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19"/>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pStyle w:val="919"/>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pStyle w:val="919"/>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pStyle w:val="919"/>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19"/>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19"/>
        <w:ind w:firstLine="480"/>
        <w:jc w:val="left"/>
        <w:widowControl/>
      </w:pPr>
      <w:r>
        <w:rPr>
          <w:rFonts w:hint="eastAsia" w:ascii="宋体" w:hAnsi="宋体" w:cs="宋体"/>
          <w:color w:val="000000"/>
          <w:sz w:val="24"/>
          <w:szCs w:val="24"/>
          <w:lang w:bidi="ar"/>
        </w:rPr>
        <w:t xml:space="preserve">注： </w:t>
      </w:r>
      <w:r/>
    </w:p>
    <w:p>
      <w:pPr>
        <w:pStyle w:val="919"/>
        <w:ind w:firstLine="480"/>
        <w:jc w:val="left"/>
        <w:widowControl/>
      </w:pPr>
      <w:r>
        <w:rPr>
          <w:color w:val="000000"/>
          <w:sz w:val="24"/>
          <w:szCs w:val="24"/>
          <w:lang w:bidi="ar"/>
        </w:rPr>
        <w:t xml:space="preserve">1. 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pStyle w:val="919"/>
        <w:ind w:firstLine="480"/>
        <w:jc w:val="left"/>
        <w:widowControl/>
      </w:pPr>
      <w:r>
        <w:rPr>
          <w:color w:val="000000"/>
          <w:sz w:val="24"/>
          <w:szCs w:val="24"/>
          <w:lang w:bidi="ar"/>
        </w:rPr>
        <w:t xml:space="preserve">2. </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pStyle w:val="919"/>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pStyle w:val="919"/>
        <w:ind w:firstLine="480"/>
        <w:jc w:val="left"/>
        <w:widowControl/>
      </w:pPr>
      <w:r>
        <w:rPr>
          <w:color w:val="000000"/>
          <w:sz w:val="24"/>
          <w:szCs w:val="24"/>
          <w:lang w:bidi="ar"/>
        </w:rPr>
        <w:t xml:space="preserve">3. </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p>
    <w:p>
      <w:pPr>
        <w:pStyle w:val="91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91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1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9"/>
        <w:rPr>
          <w:rFonts w:hint="eastAsia" w:ascii="宋体" w:hAnsi="宋体"/>
          <w:sz w:val="24"/>
          <w:szCs w:val="24"/>
        </w:rPr>
      </w:pPr>
      <w:r>
        <w:rPr>
          <w:rFonts w:hint="eastAsia" w:ascii="宋体" w:hAnsi="宋体"/>
          <w:sz w:val="24"/>
          <w:szCs w:val="24"/>
        </w:rPr>
      </w:r>
      <w:r/>
    </w:p>
    <w:p>
      <w:pPr>
        <w:pStyle w:val="91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1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19"/>
        <w:ind w:firstLine="480"/>
        <w:spacing w:line="480" w:lineRule="exact"/>
        <w:rPr>
          <w:rFonts w:hint="eastAsia" w:ascii="宋体" w:hAnsi="宋体"/>
          <w:bCs/>
          <w:sz w:val="24"/>
          <w:szCs w:val="24"/>
        </w:rPr>
      </w:pPr>
      <w:r>
        <w:rPr>
          <w:rFonts w:hint="eastAsia" w:ascii="宋体" w:hAnsi="宋体"/>
          <w:bCs/>
          <w:sz w:val="24"/>
          <w:szCs w:val="24"/>
        </w:rPr>
      </w:r>
      <w:r/>
    </w:p>
    <w:p>
      <w:pPr>
        <w:pStyle w:val="919"/>
        <w:ind w:firstLine="480"/>
        <w:spacing w:line="480" w:lineRule="exact"/>
        <w:rPr>
          <w:rFonts w:hint="eastAsia" w:ascii="宋体" w:hAnsi="宋体"/>
          <w:bCs/>
          <w:sz w:val="24"/>
          <w:szCs w:val="24"/>
        </w:rPr>
      </w:pPr>
      <w:r>
        <w:rPr>
          <w:rFonts w:hint="eastAsia" w:ascii="宋体" w:hAnsi="宋体"/>
          <w:bCs/>
          <w:sz w:val="24"/>
          <w:szCs w:val="24"/>
        </w:rPr>
      </w:r>
      <w:r/>
    </w:p>
    <w:p>
      <w:pPr>
        <w:pStyle w:val="91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91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Fonts w:ascii="宋体" w:hAnsi="宋体"/>
      </w:rPr>
      <w:framePr w:wrap="around" w:vAnchor="text" w:hAnchor="margin" w:xAlign="center" w:y="1"/>
    </w:pPr>
    <w:r>
      <w:rPr>
        <w:rFonts w:ascii="宋体" w:hAnsi="宋体"/>
      </w:rPr>
      <w:fldChar w:fldCharType="begin"/>
    </w:r>
    <w:r>
      <w:rPr>
        <w:rStyle w:val="993"/>
        <w:rFonts w:ascii="宋体" w:hAnsi="宋体"/>
      </w:rPr>
      <w:instrText xml:space="preserve">PAGE  </w:instrText>
    </w:r>
    <w:r>
      <w:rPr>
        <w:rFonts w:ascii="宋体" w:hAnsi="宋体"/>
      </w:rPr>
      <w:fldChar w:fldCharType="separate"/>
    </w:r>
    <w:r>
      <w:rPr>
        <w:rStyle w:val="993"/>
        <w:rFonts w:ascii="宋体" w:hAnsi="宋体"/>
      </w:rPr>
      <w:t xml:space="preserve">４０</w:t>
    </w:r>
    <w:r>
      <w:rPr>
        <w:rFonts w:ascii="宋体" w:hAnsi="宋体"/>
      </w:rPr>
      <w:fldChar w:fldCharType="end"/>
    </w:r>
    <w:r>
      <w:rPr>
        <w:rStyle w:val="993"/>
        <w:rFonts w:ascii="宋体" w:hAnsi="宋体"/>
      </w:rPr>
    </w:r>
    <w:r/>
  </w:p>
  <w:p>
    <w:pPr>
      <w:pStyle w:val="9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rPr>
                              <w:rFonts w:hint="eastAsia"/>
                            </w:rPr>
                            <w:t xml:space="preserve">０</w:t>
                          </w:r>
                          <w:r>
                            <w:fldChar w:fldCharType="end"/>
                          </w:r>
                          <w:r/>
                        </w:p>
                        <w:p>
                          <w:pPr>
                            <w:pStyle w:val="919"/>
                          </w:pPr>
                          <w:r/>
                          <w:r/>
                        </w:p>
                        <w:p>
                          <w:pPr>
                            <w:pStyle w:val="919"/>
                          </w:pPr>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rPr>
                        <w:rFonts w:hint="eastAsia"/>
                      </w:rPr>
                      <w:t xml:space="preserve">０</w:t>
                    </w:r>
                    <w:r>
                      <w:fldChar w:fldCharType="end"/>
                    </w:r>
                    <w:r/>
                  </w:p>
                  <w:p>
                    <w:pPr>
                      <w:pStyle w:val="919"/>
                    </w:pPr>
                    <w:r/>
                    <w:r/>
                  </w:p>
                  <w:p>
                    <w:pPr>
                      <w:pStyle w:val="919"/>
                    </w:pPr>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9"/>
        <w:ind w:left="1440" w:hanging="360"/>
      </w:pPr>
      <w:rPr>
        <w:rFonts w:ascii="Courier New" w:hAnsi="Courier New" w:eastAsia="Courier New" w:cs="Courier New"/>
      </w:rPr>
    </w:lvl>
    <w:lvl w:ilvl="2">
      <w:start w:val="1"/>
      <w:numFmt w:val="bullet"/>
      <w:isLgl w:val="false"/>
      <w:suff w:val="tab"/>
      <w:lvlText w:val="§"/>
      <w:lvlJc w:val="left"/>
      <w:pPr>
        <w:pStyle w:val="919"/>
        <w:ind w:left="2160" w:hanging="360"/>
      </w:pPr>
      <w:rPr>
        <w:rFonts w:ascii="Wingdings" w:hAnsi="Wingdings" w:eastAsia="Wingdings" w:cs="Wingdings"/>
      </w:rPr>
    </w:lvl>
    <w:lvl w:ilvl="3">
      <w:start w:val="1"/>
      <w:numFmt w:val="bullet"/>
      <w:isLgl w:val="false"/>
      <w:suff w:val="tab"/>
      <w:lvlText w:val="·"/>
      <w:lvlJc w:val="left"/>
      <w:pPr>
        <w:pStyle w:val="919"/>
        <w:ind w:left="2880" w:hanging="360"/>
      </w:pPr>
      <w:rPr>
        <w:rFonts w:ascii="Symbol" w:hAnsi="Symbol" w:eastAsia="Symbol" w:cs="Symbol"/>
      </w:rPr>
    </w:lvl>
    <w:lvl w:ilvl="4">
      <w:start w:val="1"/>
      <w:numFmt w:val="bullet"/>
      <w:isLgl w:val="false"/>
      <w:suff w:val="tab"/>
      <w:lvlText w:val="o"/>
      <w:lvlJc w:val="left"/>
      <w:pPr>
        <w:pStyle w:val="919"/>
        <w:ind w:left="3600" w:hanging="360"/>
      </w:pPr>
      <w:rPr>
        <w:rFonts w:ascii="Courier New" w:hAnsi="Courier New" w:eastAsia="Courier New" w:cs="Courier New"/>
      </w:rPr>
    </w:lvl>
    <w:lvl w:ilvl="5">
      <w:start w:val="1"/>
      <w:numFmt w:val="bullet"/>
      <w:isLgl w:val="false"/>
      <w:suff w:val="tab"/>
      <w:lvlText w:val="§"/>
      <w:lvlJc w:val="left"/>
      <w:pPr>
        <w:pStyle w:val="919"/>
        <w:ind w:left="4320" w:hanging="360"/>
      </w:pPr>
      <w:rPr>
        <w:rFonts w:ascii="Wingdings" w:hAnsi="Wingdings" w:eastAsia="Wingdings" w:cs="Wingdings"/>
      </w:rPr>
    </w:lvl>
    <w:lvl w:ilvl="6">
      <w:start w:val="1"/>
      <w:numFmt w:val="bullet"/>
      <w:isLgl w:val="false"/>
      <w:suff w:val="tab"/>
      <w:lvlText w:val="·"/>
      <w:lvlJc w:val="left"/>
      <w:pPr>
        <w:pStyle w:val="919"/>
        <w:ind w:left="5040" w:hanging="360"/>
      </w:pPr>
      <w:rPr>
        <w:rFonts w:ascii="Symbol" w:hAnsi="Symbol" w:eastAsia="Symbol" w:cs="Symbol"/>
      </w:rPr>
    </w:lvl>
    <w:lvl w:ilvl="7">
      <w:start w:val="1"/>
      <w:numFmt w:val="bullet"/>
      <w:isLgl w:val="false"/>
      <w:suff w:val="tab"/>
      <w:lvlText w:val="o"/>
      <w:lvlJc w:val="left"/>
      <w:pPr>
        <w:pStyle w:val="919"/>
        <w:ind w:left="5760" w:hanging="360"/>
      </w:pPr>
      <w:rPr>
        <w:rFonts w:ascii="Courier New" w:hAnsi="Courier New" w:eastAsia="Courier New" w:cs="Courier New"/>
      </w:rPr>
    </w:lvl>
    <w:lvl w:ilvl="8">
      <w:start w:val="1"/>
      <w:numFmt w:val="bullet"/>
      <w:isLgl w:val="false"/>
      <w:suff w:val="tab"/>
      <w:lvlText w:val="§"/>
      <w:lvlJc w:val="left"/>
      <w:pPr>
        <w:pStyle w:val="919"/>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4"/>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1"/>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31"/>
    <w:link w:val="919"/>
    <w:qFormat/>
    <w:pPr>
      <w:jc w:val="both"/>
      <w:widowControl w:val="off"/>
    </w:pPr>
    <w:rPr>
      <w:sz w:val="21"/>
      <w:szCs w:val="21"/>
      <w:lang w:val="en-US" w:eastAsia="zh-CN" w:bidi="ar-SA"/>
    </w:rPr>
  </w:style>
  <w:style w:type="paragraph" w:styleId="920">
    <w:name w:val="标题 1"/>
    <w:basedOn w:val="919"/>
    <w:next w:val="919"/>
    <w:link w:val="932"/>
    <w:qFormat/>
    <w:pPr>
      <w:jc w:val="center"/>
      <w:keepNext/>
      <w:outlineLvl w:val="0"/>
    </w:pPr>
    <w:rPr>
      <w:rFonts w:ascii="楷体_GB2312" w:eastAsia="楷体_GB2312"/>
      <w:sz w:val="28"/>
      <w:szCs w:val="28"/>
    </w:rPr>
  </w:style>
  <w:style w:type="paragraph" w:styleId="921">
    <w:name w:val="标题 2"/>
    <w:basedOn w:val="919"/>
    <w:next w:val="934"/>
    <w:link w:val="933"/>
    <w:qFormat/>
    <w:pPr>
      <w:jc w:val="center"/>
      <w:keepLines/>
      <w:keepNext/>
      <w:spacing w:before="260" w:after="260" w:line="416" w:lineRule="auto"/>
      <w:outlineLvl w:val="1"/>
    </w:pPr>
    <w:rPr>
      <w:rFonts w:ascii="Arial" w:hAnsi="Arial" w:eastAsia="幼圆" w:cs="Arial"/>
      <w:b/>
      <w:bCs/>
      <w:sz w:val="44"/>
      <w:szCs w:val="44"/>
    </w:rPr>
  </w:style>
  <w:style w:type="paragraph" w:styleId="922">
    <w:name w:val="标题 3"/>
    <w:basedOn w:val="919"/>
    <w:next w:val="934"/>
    <w:link w:val="936"/>
    <w:qFormat/>
    <w:pPr>
      <w:keepLines/>
      <w:keepNext/>
      <w:spacing w:before="260" w:after="260" w:line="416" w:lineRule="auto"/>
      <w:outlineLvl w:val="2"/>
    </w:pPr>
    <w:rPr>
      <w:b/>
      <w:bCs/>
      <w:sz w:val="32"/>
      <w:szCs w:val="32"/>
    </w:rPr>
  </w:style>
  <w:style w:type="paragraph" w:styleId="923">
    <w:name w:val="标题 4"/>
    <w:basedOn w:val="919"/>
    <w:next w:val="934"/>
    <w:link w:val="937"/>
    <w:qFormat/>
    <w:pPr>
      <w:keepLines/>
      <w:keepNext/>
      <w:spacing w:before="280" w:after="290" w:line="376" w:lineRule="auto"/>
      <w:outlineLvl w:val="3"/>
    </w:pPr>
    <w:rPr>
      <w:rFonts w:ascii="Arial" w:hAnsi="Arial" w:eastAsia="黑体" w:cs="Arial"/>
      <w:b/>
      <w:bCs/>
      <w:sz w:val="28"/>
      <w:szCs w:val="28"/>
    </w:rPr>
  </w:style>
  <w:style w:type="paragraph" w:styleId="924">
    <w:name w:val="标题 5"/>
    <w:basedOn w:val="919"/>
    <w:next w:val="934"/>
    <w:link w:val="938"/>
    <w:qFormat/>
    <w:pPr>
      <w:keepNext/>
      <w:outlineLvl w:val="4"/>
    </w:pPr>
    <w:rPr>
      <w:rFonts w:ascii="宋体"/>
      <w:color w:val="000000"/>
      <w:sz w:val="28"/>
      <w:szCs w:val="28"/>
    </w:rPr>
  </w:style>
  <w:style w:type="paragraph" w:styleId="925">
    <w:name w:val="标题 6"/>
    <w:basedOn w:val="919"/>
    <w:next w:val="919"/>
    <w:link w:val="939"/>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name w:val="标题 7"/>
    <w:basedOn w:val="919"/>
    <w:next w:val="919"/>
    <w:link w:val="940"/>
    <w:qFormat/>
    <w:pPr>
      <w:numPr>
        <w:ilvl w:val="6"/>
        <w:numId w:val="1"/>
      </w:numPr>
      <w:keepLines/>
      <w:keepNext/>
      <w:spacing w:before="240" w:after="64" w:line="320" w:lineRule="auto"/>
      <w:outlineLvl w:val="6"/>
    </w:pPr>
    <w:rPr>
      <w:b/>
      <w:bCs/>
      <w:sz w:val="24"/>
      <w:szCs w:val="24"/>
    </w:rPr>
  </w:style>
  <w:style w:type="paragraph" w:styleId="927">
    <w:name w:val="标题 8"/>
    <w:basedOn w:val="919"/>
    <w:next w:val="919"/>
    <w:link w:val="941"/>
    <w:qFormat/>
    <w:pPr>
      <w:numPr>
        <w:ilvl w:val="7"/>
        <w:numId w:val="1"/>
      </w:numPr>
      <w:keepLines/>
      <w:keepNext/>
      <w:spacing w:before="240" w:after="64" w:line="320" w:lineRule="auto"/>
      <w:outlineLvl w:val="7"/>
    </w:pPr>
    <w:rPr>
      <w:rFonts w:ascii="Arial" w:hAnsi="Arial" w:eastAsia="黑体"/>
      <w:sz w:val="24"/>
      <w:szCs w:val="24"/>
    </w:rPr>
  </w:style>
  <w:style w:type="paragraph" w:styleId="928">
    <w:name w:val="标题 9"/>
    <w:basedOn w:val="919"/>
    <w:next w:val="919"/>
    <w:link w:val="942"/>
    <w:qFormat/>
    <w:pPr>
      <w:numPr>
        <w:ilvl w:val="8"/>
        <w:numId w:val="1"/>
      </w:numPr>
      <w:keepLines/>
      <w:keepNext/>
      <w:spacing w:before="240" w:after="64" w:line="320" w:lineRule="auto"/>
      <w:outlineLvl w:val="8"/>
    </w:pPr>
    <w:rPr>
      <w:rFonts w:ascii="Arial" w:hAnsi="Arial" w:eastAsia="黑体"/>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paragraph" w:styleId="931">
    <w:name w:val="索引 41"/>
    <w:basedOn w:val="919"/>
    <w:next w:val="919"/>
    <w:link w:val="919"/>
    <w:semiHidden/>
    <w:qFormat/>
    <w:pPr>
      <w:ind w:left="1260"/>
    </w:pPr>
    <w:rPr>
      <w:rFonts w:ascii="Calibri" w:hAnsi="Calibri" w:eastAsia="Calibri" w:cs="宋体"/>
      <w:sz w:val="20"/>
      <w:lang w:val="zh-CN"/>
    </w:rPr>
  </w:style>
  <w:style w:type="character" w:styleId="932">
    <w:name w:val="标题 1 字符"/>
    <w:next w:val="932"/>
    <w:link w:val="920"/>
    <w:rPr>
      <w:rFonts w:ascii="楷体_GB2312" w:hAnsi="Times New Roman" w:eastAsia="楷体_GB2312" w:cs="Times New Roman"/>
      <w:sz w:val="28"/>
      <w:szCs w:val="28"/>
    </w:rPr>
  </w:style>
  <w:style w:type="character" w:styleId="933">
    <w:name w:val="标题 2 字符"/>
    <w:next w:val="933"/>
    <w:link w:val="921"/>
    <w:rPr>
      <w:rFonts w:ascii="Arial" w:hAnsi="Arial" w:eastAsia="幼圆" w:cs="Arial"/>
      <w:b/>
      <w:bCs/>
      <w:sz w:val="44"/>
      <w:szCs w:val="44"/>
    </w:rPr>
  </w:style>
  <w:style w:type="paragraph" w:styleId="934">
    <w:name w:val="正文缩进"/>
    <w:basedOn w:val="919"/>
    <w:next w:val="934"/>
    <w:link w:val="935"/>
    <w:pPr>
      <w:ind w:firstLine="420"/>
    </w:pPr>
  </w:style>
  <w:style w:type="character" w:styleId="935">
    <w:name w:val="正文缩进 字符"/>
    <w:next w:val="935"/>
    <w:link w:val="934"/>
    <w:rPr>
      <w:rFonts w:ascii="Times New Roman" w:hAnsi="Times New Roman" w:eastAsia="宋体" w:cs="Times New Roman"/>
      <w:szCs w:val="21"/>
    </w:rPr>
  </w:style>
  <w:style w:type="character" w:styleId="936">
    <w:name w:val="标题 3 字符"/>
    <w:next w:val="936"/>
    <w:link w:val="922"/>
    <w:rPr>
      <w:rFonts w:ascii="Times New Roman" w:hAnsi="Times New Roman" w:eastAsia="宋体" w:cs="Times New Roman"/>
      <w:b/>
      <w:bCs/>
      <w:sz w:val="32"/>
      <w:szCs w:val="32"/>
    </w:rPr>
  </w:style>
  <w:style w:type="character" w:styleId="937">
    <w:name w:val="标题 4 字符"/>
    <w:next w:val="937"/>
    <w:link w:val="923"/>
    <w:rPr>
      <w:rFonts w:ascii="Arial" w:hAnsi="Arial" w:eastAsia="黑体" w:cs="Arial"/>
      <w:b/>
      <w:bCs/>
      <w:sz w:val="28"/>
      <w:szCs w:val="28"/>
    </w:rPr>
  </w:style>
  <w:style w:type="character" w:styleId="938">
    <w:name w:val="标题 5 字符"/>
    <w:next w:val="938"/>
    <w:link w:val="924"/>
    <w:rPr>
      <w:rFonts w:ascii="宋体" w:hAnsi="Times New Roman" w:eastAsia="宋体" w:cs="Times New Roman"/>
      <w:color w:val="000000"/>
      <w:sz w:val="28"/>
      <w:szCs w:val="28"/>
    </w:rPr>
  </w:style>
  <w:style w:type="character" w:styleId="939">
    <w:name w:val="标题 6 字符"/>
    <w:next w:val="939"/>
    <w:link w:val="925"/>
    <w:rPr>
      <w:rFonts w:ascii="Arial" w:hAnsi="Arial" w:eastAsia="黑体" w:cs="Times New Roman"/>
      <w:b/>
      <w:bCs/>
      <w:sz w:val="24"/>
      <w:szCs w:val="24"/>
    </w:rPr>
  </w:style>
  <w:style w:type="character" w:styleId="940">
    <w:name w:val="标题 7 字符"/>
    <w:next w:val="940"/>
    <w:link w:val="926"/>
    <w:rPr>
      <w:rFonts w:ascii="Times New Roman" w:hAnsi="Times New Roman" w:eastAsia="宋体" w:cs="Times New Roman"/>
      <w:b/>
      <w:bCs/>
      <w:sz w:val="24"/>
      <w:szCs w:val="24"/>
    </w:rPr>
  </w:style>
  <w:style w:type="character" w:styleId="941">
    <w:name w:val="标题 8 字符"/>
    <w:next w:val="941"/>
    <w:link w:val="927"/>
    <w:rPr>
      <w:rFonts w:ascii="Arial" w:hAnsi="Arial" w:eastAsia="黑体" w:cs="Times New Roman"/>
      <w:sz w:val="24"/>
      <w:szCs w:val="24"/>
    </w:rPr>
  </w:style>
  <w:style w:type="character" w:styleId="942">
    <w:name w:val="标题 9 字符"/>
    <w:next w:val="942"/>
    <w:link w:val="928"/>
    <w:rPr>
      <w:rFonts w:ascii="Arial" w:hAnsi="Arial" w:eastAsia="黑体" w:cs="Times New Roman"/>
      <w:szCs w:val="21"/>
    </w:rPr>
  </w:style>
  <w:style w:type="paragraph" w:styleId="943">
    <w:name w:val="列表 3"/>
    <w:basedOn w:val="919"/>
    <w:next w:val="943"/>
    <w:link w:val="919"/>
    <w:pPr>
      <w:ind w:left="100" w:hanging="200"/>
    </w:pPr>
  </w:style>
  <w:style w:type="paragraph" w:styleId="944">
    <w:name w:val="目录 7"/>
    <w:basedOn w:val="919"/>
    <w:next w:val="919"/>
    <w:link w:val="919"/>
    <w:semiHidden/>
    <w:pPr>
      <w:ind w:left="1260"/>
      <w:jc w:val="left"/>
    </w:pPr>
  </w:style>
  <w:style w:type="paragraph" w:styleId="945">
    <w:name w:val="文档结构图"/>
    <w:basedOn w:val="919"/>
    <w:next w:val="945"/>
    <w:link w:val="946"/>
    <w:semiHidden/>
    <w:pPr>
      <w:shd w:val="clear" w:color="auto" w:fill="000080"/>
    </w:pPr>
  </w:style>
  <w:style w:type="character" w:styleId="946">
    <w:name w:val="文档结构图 字符"/>
    <w:next w:val="946"/>
    <w:link w:val="945"/>
    <w:semiHidden/>
    <w:rPr>
      <w:rFonts w:ascii="Times New Roman" w:hAnsi="Times New Roman" w:eastAsia="宋体" w:cs="Times New Roman"/>
      <w:szCs w:val="21"/>
      <w:shd w:val="clear" w:color="auto" w:fill="000080"/>
    </w:rPr>
  </w:style>
  <w:style w:type="paragraph" w:styleId="947">
    <w:name w:val="批注文字"/>
    <w:basedOn w:val="919"/>
    <w:next w:val="947"/>
    <w:link w:val="948"/>
    <w:semiHidden/>
    <w:pPr>
      <w:jc w:val="left"/>
    </w:pPr>
  </w:style>
  <w:style w:type="character" w:styleId="948">
    <w:name w:val="批注文字 字符"/>
    <w:next w:val="948"/>
    <w:link w:val="947"/>
    <w:semiHidden/>
    <w:rPr>
      <w:rFonts w:ascii="Times New Roman" w:hAnsi="Times New Roman" w:eastAsia="宋体" w:cs="Times New Roman"/>
      <w:szCs w:val="21"/>
    </w:rPr>
  </w:style>
  <w:style w:type="paragraph" w:styleId="949">
    <w:name w:val="正文文本 3"/>
    <w:basedOn w:val="919"/>
    <w:next w:val="949"/>
    <w:link w:val="950"/>
    <w:rPr>
      <w:rFonts w:ascii="仿宋_GB2312" w:hAnsi="Arial" w:eastAsia="仿宋_GB2312"/>
      <w:sz w:val="32"/>
      <w:szCs w:val="32"/>
    </w:rPr>
  </w:style>
  <w:style w:type="character" w:styleId="950">
    <w:name w:val="正文文本 3 字符"/>
    <w:next w:val="950"/>
    <w:link w:val="949"/>
    <w:rPr>
      <w:rFonts w:ascii="仿宋_GB2312" w:hAnsi="Arial" w:eastAsia="仿宋_GB2312" w:cs="Times New Roman"/>
      <w:sz w:val="32"/>
      <w:szCs w:val="32"/>
    </w:rPr>
  </w:style>
  <w:style w:type="paragraph" w:styleId="951">
    <w:name w:val="正文文本"/>
    <w:basedOn w:val="919"/>
    <w:next w:val="951"/>
    <w:link w:val="952"/>
    <w:rPr>
      <w:rFonts w:ascii="楷体_GB2312" w:hAnsi="Arial" w:eastAsia="楷体_GB2312"/>
      <w:sz w:val="28"/>
      <w:szCs w:val="28"/>
    </w:rPr>
  </w:style>
  <w:style w:type="character" w:styleId="952">
    <w:name w:val="正文文本 字符"/>
    <w:next w:val="952"/>
    <w:link w:val="951"/>
    <w:rPr>
      <w:rFonts w:ascii="楷体_GB2312" w:hAnsi="Arial" w:eastAsia="楷体_GB2312" w:cs="Times New Roman"/>
      <w:sz w:val="28"/>
      <w:szCs w:val="28"/>
    </w:rPr>
  </w:style>
  <w:style w:type="paragraph" w:styleId="953">
    <w:name w:val="正文文本缩进"/>
    <w:basedOn w:val="919"/>
    <w:next w:val="955"/>
    <w:link w:val="954"/>
    <w:pPr>
      <w:ind w:firstLine="645"/>
    </w:pPr>
    <w:rPr>
      <w:rFonts w:ascii="楷体_GB2312" w:eastAsia="楷体_GB2312"/>
      <w:sz w:val="32"/>
      <w:szCs w:val="32"/>
    </w:rPr>
  </w:style>
  <w:style w:type="character" w:styleId="954">
    <w:name w:val="正文文本缩进 字符"/>
    <w:next w:val="954"/>
    <w:link w:val="953"/>
    <w:rPr>
      <w:rFonts w:ascii="楷体_GB2312" w:hAnsi="Times New Roman" w:eastAsia="楷体_GB2312" w:cs="Times New Roman"/>
      <w:sz w:val="32"/>
      <w:szCs w:val="32"/>
    </w:rPr>
  </w:style>
  <w:style w:type="paragraph" w:styleId="955">
    <w:name w:val="寄信人地址"/>
    <w:basedOn w:val="919"/>
    <w:next w:val="955"/>
    <w:link w:val="919"/>
    <w:qFormat/>
    <w:rPr>
      <w:rFonts w:ascii="Arial" w:hAnsi="Arial" w:eastAsia="宋体" w:cs="宋体"/>
    </w:rPr>
  </w:style>
  <w:style w:type="paragraph" w:styleId="956">
    <w:name w:val="列表 2"/>
    <w:basedOn w:val="919"/>
    <w:next w:val="956"/>
    <w:link w:val="919"/>
    <w:pPr>
      <w:ind w:left="100" w:hanging="200"/>
    </w:pPr>
  </w:style>
  <w:style w:type="paragraph" w:styleId="957">
    <w:name w:val="目录 5"/>
    <w:basedOn w:val="919"/>
    <w:next w:val="919"/>
    <w:link w:val="919"/>
    <w:semiHidden/>
    <w:pPr>
      <w:ind w:left="840"/>
      <w:jc w:val="left"/>
    </w:pPr>
  </w:style>
  <w:style w:type="paragraph" w:styleId="958">
    <w:name w:val="目录 3"/>
    <w:basedOn w:val="919"/>
    <w:next w:val="919"/>
    <w:link w:val="919"/>
    <w:semiHidden/>
    <w:pPr>
      <w:ind w:left="420"/>
      <w:jc w:val="left"/>
    </w:pPr>
    <w:rPr>
      <w:i/>
      <w:iCs/>
      <w:szCs w:val="24"/>
    </w:rPr>
  </w:style>
  <w:style w:type="paragraph" w:styleId="959">
    <w:name w:val="纯文本"/>
    <w:basedOn w:val="919"/>
    <w:next w:val="959"/>
    <w:link w:val="960"/>
    <w:rPr>
      <w:rFonts w:ascii="宋体" w:hAnsi="Courier New" w:cs="Courier New"/>
    </w:rPr>
  </w:style>
  <w:style w:type="character" w:styleId="960">
    <w:name w:val="纯文本 字符"/>
    <w:next w:val="960"/>
    <w:link w:val="959"/>
    <w:rPr>
      <w:rFonts w:ascii="宋体" w:hAnsi="Courier New" w:eastAsia="宋体" w:cs="Courier New"/>
      <w:szCs w:val="21"/>
    </w:rPr>
  </w:style>
  <w:style w:type="paragraph" w:styleId="961">
    <w:name w:val="目录 8"/>
    <w:basedOn w:val="919"/>
    <w:next w:val="919"/>
    <w:link w:val="919"/>
    <w:semiHidden/>
    <w:pPr>
      <w:ind w:left="1470"/>
      <w:jc w:val="left"/>
    </w:pPr>
  </w:style>
  <w:style w:type="paragraph" w:styleId="962">
    <w:name w:val="日期"/>
    <w:basedOn w:val="919"/>
    <w:next w:val="919"/>
    <w:link w:val="963"/>
    <w:rPr>
      <w:sz w:val="24"/>
      <w:szCs w:val="24"/>
    </w:rPr>
  </w:style>
  <w:style w:type="character" w:styleId="963">
    <w:name w:val="日期 字符"/>
    <w:next w:val="963"/>
    <w:link w:val="962"/>
    <w:rPr>
      <w:rFonts w:ascii="Times New Roman" w:hAnsi="Times New Roman" w:eastAsia="宋体" w:cs="Times New Roman"/>
      <w:sz w:val="24"/>
      <w:szCs w:val="24"/>
    </w:rPr>
  </w:style>
  <w:style w:type="paragraph" w:styleId="964">
    <w:name w:val="正文文本缩进 2"/>
    <w:basedOn w:val="919"/>
    <w:next w:val="964"/>
    <w:link w:val="965"/>
    <w:pPr>
      <w:ind w:left="630" w:firstLine="645"/>
    </w:pPr>
    <w:rPr>
      <w:rFonts w:ascii="Arial" w:hAnsi="Arial" w:eastAsia="仿宋_GB2312" w:cs="Arial"/>
      <w:sz w:val="32"/>
      <w:szCs w:val="32"/>
    </w:rPr>
  </w:style>
  <w:style w:type="character" w:styleId="965">
    <w:name w:val="正文文本缩进 2 字符"/>
    <w:next w:val="965"/>
    <w:link w:val="964"/>
    <w:rPr>
      <w:rFonts w:ascii="Arial" w:hAnsi="Arial" w:eastAsia="仿宋_GB2312" w:cs="Arial"/>
      <w:sz w:val="32"/>
      <w:szCs w:val="32"/>
    </w:rPr>
  </w:style>
  <w:style w:type="paragraph" w:styleId="966">
    <w:name w:val="批注框文本"/>
    <w:basedOn w:val="919"/>
    <w:next w:val="966"/>
    <w:link w:val="967"/>
    <w:semiHidden/>
    <w:rPr>
      <w:sz w:val="18"/>
      <w:szCs w:val="18"/>
    </w:rPr>
  </w:style>
  <w:style w:type="character" w:styleId="967">
    <w:name w:val="批注框文本 字符"/>
    <w:next w:val="967"/>
    <w:link w:val="966"/>
    <w:semiHidden/>
    <w:rPr>
      <w:rFonts w:ascii="Times New Roman" w:hAnsi="Times New Roman" w:eastAsia="宋体" w:cs="Times New Roman"/>
      <w:sz w:val="18"/>
      <w:szCs w:val="18"/>
    </w:rPr>
  </w:style>
  <w:style w:type="paragraph" w:styleId="968">
    <w:name w:val="页脚"/>
    <w:basedOn w:val="919"/>
    <w:next w:val="968"/>
    <w:link w:val="969"/>
    <w:pPr>
      <w:jc w:val="left"/>
      <w:tabs>
        <w:tab w:val="center" w:pos="4153" w:leader="none"/>
        <w:tab w:val="right" w:pos="8306" w:leader="none"/>
      </w:tabs>
    </w:pPr>
    <w:rPr>
      <w:sz w:val="18"/>
      <w:szCs w:val="18"/>
    </w:rPr>
  </w:style>
  <w:style w:type="character" w:styleId="969">
    <w:name w:val="页脚 字符"/>
    <w:next w:val="969"/>
    <w:link w:val="968"/>
    <w:rPr>
      <w:rFonts w:ascii="Times New Roman" w:hAnsi="Times New Roman" w:eastAsia="宋体" w:cs="Times New Roman"/>
      <w:sz w:val="18"/>
      <w:szCs w:val="18"/>
    </w:rPr>
  </w:style>
  <w:style w:type="paragraph" w:styleId="970">
    <w:name w:val="页眉"/>
    <w:basedOn w:val="919"/>
    <w:next w:val="970"/>
    <w:link w:val="971"/>
    <w:pPr>
      <w:jc w:val="center"/>
      <w:tabs>
        <w:tab w:val="center" w:pos="4153" w:leader="none"/>
        <w:tab w:val="right" w:pos="8306" w:leader="none"/>
      </w:tabs>
      <w:pBdr>
        <w:bottom w:val="single" w:color="000000" w:sz="6" w:space="1"/>
      </w:pBdr>
    </w:pPr>
    <w:rPr>
      <w:sz w:val="18"/>
      <w:szCs w:val="18"/>
    </w:rPr>
  </w:style>
  <w:style w:type="character" w:styleId="971">
    <w:name w:val="页眉 字符"/>
    <w:next w:val="971"/>
    <w:link w:val="970"/>
    <w:rPr>
      <w:rFonts w:ascii="Times New Roman" w:hAnsi="Times New Roman" w:eastAsia="宋体" w:cs="Times New Roman"/>
      <w:sz w:val="18"/>
      <w:szCs w:val="18"/>
    </w:rPr>
  </w:style>
  <w:style w:type="paragraph" w:styleId="972">
    <w:name w:val="目录 1"/>
    <w:basedOn w:val="919"/>
    <w:next w:val="919"/>
    <w:link w:val="919"/>
    <w:semiHidden/>
    <w:pPr>
      <w:jc w:val="left"/>
      <w:spacing w:before="120" w:after="120" w:line="400" w:lineRule="exact"/>
      <w:tabs>
        <w:tab w:val="right" w:pos="8720" w:leader="dot"/>
      </w:tabs>
    </w:pPr>
    <w:rPr>
      <w:rFonts w:ascii="宋体" w:hAnsi="宋体"/>
      <w:caps/>
      <w:sz w:val="24"/>
      <w:szCs w:val="24"/>
    </w:rPr>
  </w:style>
  <w:style w:type="paragraph" w:styleId="973">
    <w:name w:val="目录 4"/>
    <w:basedOn w:val="919"/>
    <w:next w:val="919"/>
    <w:link w:val="919"/>
    <w:semiHidden/>
    <w:pPr>
      <w:ind w:left="630"/>
      <w:jc w:val="left"/>
    </w:pPr>
  </w:style>
  <w:style w:type="paragraph" w:styleId="974">
    <w:name w:val="列表"/>
    <w:basedOn w:val="919"/>
    <w:next w:val="974"/>
    <w:link w:val="919"/>
    <w:pPr>
      <w:ind w:left="200" w:hanging="200"/>
    </w:pPr>
  </w:style>
  <w:style w:type="paragraph" w:styleId="975">
    <w:name w:val="目录 6"/>
    <w:basedOn w:val="919"/>
    <w:next w:val="919"/>
    <w:link w:val="919"/>
    <w:semiHidden/>
    <w:pPr>
      <w:ind w:left="1050"/>
      <w:jc w:val="left"/>
    </w:pPr>
  </w:style>
  <w:style w:type="paragraph" w:styleId="976">
    <w:name w:val="正文文本缩进 3"/>
    <w:basedOn w:val="919"/>
    <w:next w:val="976"/>
    <w:link w:val="977"/>
    <w:pPr>
      <w:ind w:left="645" w:firstLine="645"/>
    </w:pPr>
    <w:rPr>
      <w:rFonts w:ascii="Arial" w:hAnsi="Arial" w:eastAsia="仿宋_GB2312" w:cs="Arial"/>
      <w:color w:val="ffff00"/>
      <w:sz w:val="32"/>
      <w:szCs w:val="32"/>
    </w:rPr>
  </w:style>
  <w:style w:type="character" w:styleId="977">
    <w:name w:val="正文文本缩进 3 字符"/>
    <w:next w:val="977"/>
    <w:link w:val="976"/>
    <w:rPr>
      <w:rFonts w:ascii="Arial" w:hAnsi="Arial" w:eastAsia="仿宋_GB2312" w:cs="Arial"/>
      <w:color w:val="ffff00"/>
      <w:sz w:val="32"/>
      <w:szCs w:val="32"/>
    </w:rPr>
  </w:style>
  <w:style w:type="paragraph" w:styleId="978">
    <w:name w:val="图表目录"/>
    <w:basedOn w:val="919"/>
    <w:next w:val="919"/>
    <w:link w:val="919"/>
    <w:semiHidden/>
    <w:pPr>
      <w:ind w:left="840" w:hanging="420"/>
    </w:pPr>
  </w:style>
  <w:style w:type="paragraph" w:styleId="979">
    <w:name w:val="目录 2"/>
    <w:basedOn w:val="919"/>
    <w:next w:val="919"/>
    <w:link w:val="919"/>
    <w:semiHidden/>
    <w:pPr>
      <w:ind w:left="210"/>
      <w:jc w:val="left"/>
    </w:pPr>
    <w:rPr>
      <w:smallCaps/>
      <w:szCs w:val="24"/>
    </w:rPr>
  </w:style>
  <w:style w:type="paragraph" w:styleId="980">
    <w:name w:val="目录 9"/>
    <w:basedOn w:val="919"/>
    <w:next w:val="919"/>
    <w:link w:val="919"/>
    <w:semiHidden/>
    <w:pPr>
      <w:ind w:left="1680"/>
      <w:jc w:val="left"/>
    </w:pPr>
  </w:style>
  <w:style w:type="paragraph" w:styleId="981">
    <w:name w:val="正文文本 2"/>
    <w:basedOn w:val="919"/>
    <w:next w:val="981"/>
    <w:link w:val="982"/>
    <w:pPr>
      <w:jc w:val="center"/>
      <w:widowControl/>
    </w:pPr>
    <w:rPr>
      <w:rFonts w:ascii="楷体_GB2312" w:eastAsia="楷体_GB2312"/>
      <w:sz w:val="28"/>
      <w:szCs w:val="28"/>
    </w:rPr>
  </w:style>
  <w:style w:type="character" w:styleId="982">
    <w:name w:val="正文文本 2 字符"/>
    <w:next w:val="982"/>
    <w:link w:val="981"/>
    <w:rPr>
      <w:rFonts w:ascii="楷体_GB2312" w:hAnsi="Times New Roman" w:eastAsia="楷体_GB2312" w:cs="Times New Roman"/>
      <w:sz w:val="28"/>
      <w:szCs w:val="28"/>
    </w:rPr>
  </w:style>
  <w:style w:type="paragraph" w:styleId="983">
    <w:name w:val="普通(网站)"/>
    <w:basedOn w:val="919"/>
    <w:next w:val="983"/>
    <w:link w:val="919"/>
    <w:uiPriority w:val="99"/>
    <w:pPr>
      <w:jc w:val="left"/>
      <w:spacing w:before="100" w:beforeAutospacing="1" w:after="100" w:afterAutospacing="1"/>
      <w:widowControl/>
    </w:pPr>
    <w:rPr>
      <w:rFonts w:ascii="宋体" w:hAnsi="宋体" w:cs="宋体"/>
      <w:sz w:val="24"/>
      <w:szCs w:val="24"/>
    </w:rPr>
  </w:style>
  <w:style w:type="paragraph" w:styleId="984">
    <w:name w:val="索引 1"/>
    <w:basedOn w:val="919"/>
    <w:next w:val="919"/>
    <w:link w:val="919"/>
    <w:semiHidden/>
    <w:pPr>
      <w:spacing w:line="240" w:lineRule="atLeast"/>
    </w:pPr>
    <w:rPr>
      <w:b/>
      <w:bCs/>
    </w:rPr>
  </w:style>
  <w:style w:type="paragraph" w:styleId="985">
    <w:name w:val="批注主题"/>
    <w:basedOn w:val="947"/>
    <w:next w:val="947"/>
    <w:link w:val="986"/>
    <w:semiHidden/>
    <w:rPr>
      <w:b/>
      <w:bCs/>
    </w:rPr>
  </w:style>
  <w:style w:type="character" w:styleId="986">
    <w:name w:val="批注主题 字符"/>
    <w:next w:val="986"/>
    <w:link w:val="985"/>
    <w:semiHidden/>
    <w:rPr>
      <w:rFonts w:ascii="Times New Roman" w:hAnsi="Times New Roman" w:eastAsia="宋体" w:cs="Times New Roman"/>
      <w:b/>
      <w:bCs/>
      <w:szCs w:val="21"/>
    </w:rPr>
  </w:style>
  <w:style w:type="paragraph" w:styleId="987">
    <w:name w:val="正文首行缩进"/>
    <w:basedOn w:val="919"/>
    <w:next w:val="987"/>
    <w:link w:val="988"/>
    <w:pPr>
      <w:ind w:firstLine="200"/>
      <w:spacing w:line="360" w:lineRule="auto"/>
    </w:pPr>
    <w:rPr>
      <w:rFonts w:ascii="仿宋_GB2312" w:eastAsia="仿宋_GB2312"/>
      <w:sz w:val="30"/>
      <w:szCs w:val="30"/>
    </w:rPr>
  </w:style>
  <w:style w:type="character" w:styleId="988">
    <w:name w:val="正文首行缩进 字符"/>
    <w:next w:val="988"/>
    <w:link w:val="987"/>
    <w:rPr>
      <w:rFonts w:ascii="仿宋_GB2312" w:hAnsi="Times New Roman" w:eastAsia="仿宋_GB2312" w:cs="Times New Roman"/>
      <w:sz w:val="30"/>
      <w:szCs w:val="30"/>
    </w:rPr>
  </w:style>
  <w:style w:type="paragraph" w:styleId="989">
    <w:name w:val="正文首行缩进 2"/>
    <w:basedOn w:val="953"/>
    <w:next w:val="919"/>
    <w:link w:val="990"/>
    <w:pPr>
      <w:ind w:firstLine="420"/>
      <w:spacing w:line="360" w:lineRule="auto"/>
    </w:pPr>
    <w:rPr>
      <w:rFonts w:ascii="宋体" w:hAnsi="宋体" w:eastAsia="宋体"/>
      <w:sz w:val="21"/>
      <w:szCs w:val="20"/>
    </w:rPr>
  </w:style>
  <w:style w:type="character" w:styleId="990">
    <w:name w:val="正文首行缩进 2 字符"/>
    <w:next w:val="990"/>
    <w:link w:val="989"/>
    <w:rPr>
      <w:rFonts w:ascii="宋体" w:hAnsi="宋体" w:eastAsia="宋体" w:cs="Times New Roman"/>
      <w:sz w:val="32"/>
      <w:szCs w:val="20"/>
    </w:rPr>
  </w:style>
  <w:style w:type="table" w:styleId="991">
    <w:name w:val="网格型"/>
    <w:basedOn w:val="930"/>
    <w:next w:val="991"/>
    <w:link w:val="919"/>
    <w:pPr>
      <w:jc w:val="both"/>
      <w:widowControl w:val="off"/>
    </w:pPr>
    <w:rPr>
      <w:rFonts w:ascii="Times New Roman" w:hAnsi="Times New Roman" w:eastAsia="宋体" w:cs="Times New Roman"/>
      <w:sz w:val="20"/>
      <w:szCs w:val="20"/>
    </w:rPr>
    <w:tblPr/>
  </w:style>
  <w:style w:type="character" w:styleId="992">
    <w:name w:val="要点"/>
    <w:next w:val="992"/>
    <w:link w:val="919"/>
    <w:qFormat/>
    <w:rPr>
      <w:b/>
      <w:bCs/>
    </w:rPr>
  </w:style>
  <w:style w:type="character" w:styleId="993">
    <w:name w:val="页码"/>
    <w:next w:val="993"/>
    <w:link w:val="919"/>
  </w:style>
  <w:style w:type="character" w:styleId="994">
    <w:name w:val="已访问的超链接"/>
    <w:next w:val="994"/>
    <w:link w:val="919"/>
    <w:rPr>
      <w:color w:val="800080"/>
      <w:u w:val="single"/>
    </w:rPr>
  </w:style>
  <w:style w:type="character" w:styleId="995">
    <w:name w:val="强调"/>
    <w:next w:val="995"/>
    <w:link w:val="919"/>
    <w:qFormat/>
    <w:rPr>
      <w:i/>
    </w:rPr>
  </w:style>
  <w:style w:type="character" w:styleId="996">
    <w:name w:val="超链接"/>
    <w:next w:val="996"/>
    <w:link w:val="919"/>
    <w:rPr>
      <w:color w:val="0000ff"/>
      <w:u w:val="single"/>
    </w:rPr>
  </w:style>
  <w:style w:type="character" w:styleId="997">
    <w:name w:val="批注引用"/>
    <w:next w:val="997"/>
    <w:link w:val="919"/>
    <w:semiHidden/>
    <w:rPr>
      <w:sz w:val="21"/>
      <w:szCs w:val="21"/>
    </w:rPr>
  </w:style>
  <w:style w:type="paragraph" w:styleId="998">
    <w:name w:val="正文1"/>
    <w:basedOn w:val="919"/>
    <w:next w:val="998"/>
    <w:link w:val="919"/>
    <w:qFormat/>
    <w:pPr>
      <w:ind w:left="350" w:firstLine="0"/>
    </w:pPr>
    <w:rPr>
      <w:rFonts w:cs="Times New Roman"/>
      <w:sz w:val="20"/>
      <w:szCs w:val="24"/>
    </w:rPr>
  </w:style>
  <w:style w:type="paragraph" w:styleId="999">
    <w:name w:val="正文文本缩进1"/>
    <w:basedOn w:val="919"/>
    <w:next w:val="1000"/>
    <w:link w:val="919"/>
    <w:unhideWhenUsed/>
    <w:qFormat/>
    <w:pPr>
      <w:ind w:left="420"/>
      <w:spacing w:after="120"/>
    </w:pPr>
  </w:style>
  <w:style w:type="paragraph" w:styleId="1000">
    <w:name w:val="正文首行缩进 21"/>
    <w:basedOn w:val="999"/>
    <w:next w:val="1000"/>
    <w:link w:val="919"/>
    <w:qFormat/>
    <w:pPr>
      <w:ind w:left="0" w:firstLine="420"/>
      <w:spacing w:after="0" w:line="360" w:lineRule="auto"/>
    </w:pPr>
    <w:rPr>
      <w:rFonts w:ascii="宋体" w:hAnsi="宋体"/>
      <w:sz w:val="20"/>
      <w:szCs w:val="20"/>
      <w:lang w:val="en-US" w:eastAsia="en-US"/>
    </w:rPr>
  </w:style>
  <w:style w:type="paragraph" w:styleId="1001">
    <w:name w:val="正文文本12"/>
    <w:basedOn w:val="919"/>
    <w:next w:val="1001"/>
    <w:link w:val="919"/>
    <w:uiPriority w:val="1"/>
    <w:qFormat/>
    <w:pPr>
      <w:ind w:left="120"/>
    </w:pPr>
    <w:rPr>
      <w:rFonts w:ascii="宋体" w:hAnsi="宋体" w:eastAsia="宋体" w:cs="宋体"/>
      <w:sz w:val="21"/>
      <w:szCs w:val="21"/>
      <w:lang w:val="zh-CN" w:eastAsia="zh-CN" w:bidi="zh-CN"/>
    </w:rPr>
  </w:style>
  <w:style w:type="character" w:styleId="1002">
    <w:name w:val="font5 Char"/>
    <w:next w:val="1002"/>
    <w:link w:val="919"/>
    <w:rPr>
      <w:rFonts w:ascii="宋体" w:hAnsi="宋体" w:eastAsia="宋体"/>
      <w:sz w:val="28"/>
      <w:szCs w:val="28"/>
      <w:lang w:val="en-US" w:eastAsia="zh-CN" w:bidi="ar-SA"/>
    </w:rPr>
  </w:style>
  <w:style w:type="character" w:styleId="1003">
    <w:name w:val="二级目录 Char"/>
    <w:next w:val="1003"/>
    <w:link w:val="1004"/>
    <w:rPr>
      <w:b/>
      <w:sz w:val="30"/>
      <w:szCs w:val="28"/>
    </w:rPr>
  </w:style>
  <w:style w:type="paragraph" w:styleId="1004">
    <w:name w:val="二级目录"/>
    <w:next w:val="919"/>
    <w:link w:val="1003"/>
    <w:pPr>
      <w:numPr>
        <w:ilvl w:val="0"/>
        <w:numId w:val="2"/>
      </w:numPr>
      <w:tabs>
        <w:tab w:val="left" w:pos="907" w:leader="none"/>
        <w:tab w:val="left" w:pos="1145" w:leader="none"/>
      </w:tabs>
      <w:outlineLvl w:val="1"/>
    </w:pPr>
    <w:rPr>
      <w:b/>
      <w:sz w:val="30"/>
      <w:szCs w:val="28"/>
      <w:lang w:val="en-US" w:eastAsia="zh-CN" w:bidi="ar-SA"/>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19"/>
    <w:next w:val="1006"/>
    <w:link w:val="1005"/>
    <w:qFormat/>
    <w:pPr>
      <w:contextualSpacing/>
      <w:ind w:left="720"/>
      <w:jc w:val="left"/>
      <w:widowControl/>
    </w:pPr>
    <w:rPr>
      <w:rFonts w:ascii="Calibri" w:hAnsi="Calibri" w:eastAsia="宋体" w:cs="Times New Roman"/>
      <w:sz w:val="24"/>
      <w:szCs w:val="24"/>
      <w:lang w:eastAsia="en-US" w:bidi="en-US"/>
    </w:rPr>
  </w:style>
  <w:style w:type="paragraph" w:styleId="1007">
    <w:name w:val="Body Text(ch)"/>
    <w:basedOn w:val="919"/>
    <w:next w:val="951"/>
    <w:link w:val="919"/>
    <w:pPr>
      <w:spacing w:after="120"/>
    </w:pPr>
    <w:rPr>
      <w:rFonts w:ascii="宋体" w:hAnsi="Arial"/>
      <w:bCs/>
      <w:iCs/>
      <w:szCs w:val="24"/>
    </w:rPr>
  </w:style>
  <w:style w:type="paragraph" w:styleId="1008">
    <w:name w:val="xl27"/>
    <w:basedOn w:val="919"/>
    <w:next w:val="1008"/>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6"/>
    <w:basedOn w:val="919"/>
    <w:next w:val="1009"/>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Char"/>
    <w:basedOn w:val="919"/>
    <w:next w:val="1010"/>
    <w:link w:val="919"/>
    <w:pPr>
      <w:ind w:firstLine="200"/>
      <w:tabs>
        <w:tab w:val="left" w:pos="360" w:leader="none"/>
      </w:tabs>
    </w:pPr>
    <w:rPr>
      <w:sz w:val="28"/>
      <w:szCs w:val="30"/>
    </w:rPr>
  </w:style>
  <w:style w:type="paragraph" w:styleId="1011">
    <w:name w:val=" Char"/>
    <w:basedOn w:val="945"/>
    <w:next w:val="1011"/>
    <w:link w:val="919"/>
    <w:rPr>
      <w:rFonts w:ascii="Tahoma" w:hAnsi="Tahoma"/>
      <w:sz w:val="24"/>
      <w:szCs w:val="24"/>
    </w:rPr>
  </w:style>
  <w:style w:type="paragraph" w:styleId="1012">
    <w:name w:val="普通正文"/>
    <w:basedOn w:val="919"/>
    <w:next w:val="1012"/>
    <w:link w:val="919"/>
    <w:pPr>
      <w:ind w:firstLine="480"/>
      <w:jc w:val="left"/>
      <w:spacing w:before="120" w:after="120" w:line="360" w:lineRule="auto"/>
    </w:pPr>
    <w:rPr>
      <w:rFonts w:ascii="Arial" w:hAnsi="Arial"/>
      <w:sz w:val="24"/>
      <w:szCs w:val="24"/>
    </w:rPr>
  </w:style>
  <w:style w:type="paragraph" w:styleId="1013">
    <w:name w:val="table_lines"/>
    <w:basedOn w:val="919"/>
    <w:next w:val="1013"/>
    <w:link w:val="919"/>
    <w:pPr>
      <w:jc w:val="left"/>
      <w:widowControl/>
    </w:pPr>
    <w:rPr>
      <w:sz w:val="20"/>
      <w:szCs w:val="20"/>
      <w:lang w:val="de-DE" w:eastAsia="de-DE"/>
    </w:rPr>
  </w:style>
  <w:style w:type="paragraph" w:styleId="1014">
    <w:name w:val="附录1"/>
    <w:next w:val="1014"/>
    <w:link w:val="919"/>
    <w:pPr>
      <w:numPr>
        <w:ilvl w:val="0"/>
        <w:numId w:val="2"/>
      </w:numPr>
      <w:spacing w:before="240" w:line="600" w:lineRule="atLeast"/>
      <w:tabs>
        <w:tab w:val="left" w:pos="907" w:leader="none"/>
      </w:tabs>
    </w:pPr>
    <w:rPr>
      <w:b/>
      <w:i/>
      <w:sz w:val="28"/>
      <w:lang w:val="en-US" w:eastAsia="zh-CN" w:bidi="ar-SA"/>
    </w:rPr>
  </w:style>
  <w:style w:type="paragraph" w:styleId="1015">
    <w:name w:val="font7"/>
    <w:basedOn w:val="919"/>
    <w:next w:val="1015"/>
    <w:link w:val="919"/>
    <w:pPr>
      <w:jc w:val="left"/>
      <w:spacing w:before="100" w:beforeAutospacing="1" w:after="100" w:afterAutospacing="1"/>
      <w:widowControl/>
    </w:pPr>
    <w:rPr>
      <w:rFonts w:hint="eastAsia" w:ascii="宋体" w:hAnsi="宋体"/>
      <w:sz w:val="18"/>
      <w:szCs w:val="18"/>
    </w:rPr>
  </w:style>
  <w:style w:type="paragraph" w:styleId="1016">
    <w:name w:val=" Char Char Char Char"/>
    <w:basedOn w:val="945"/>
    <w:next w:val="1016"/>
    <w:link w:val="919"/>
    <w:pPr>
      <w:spacing w:line="360" w:lineRule="auto"/>
    </w:pPr>
    <w:rPr>
      <w:rFonts w:ascii="Tahoma" w:hAnsi="Tahoma"/>
      <w:sz w:val="24"/>
      <w:szCs w:val="24"/>
    </w:rPr>
  </w:style>
  <w:style w:type="paragraph" w:styleId="1017">
    <w:name w:val="列出段落"/>
    <w:basedOn w:val="919"/>
    <w:next w:val="1017"/>
    <w:link w:val="919"/>
    <w:qFormat/>
    <w:pPr>
      <w:contextualSpacing/>
      <w:ind w:left="720"/>
      <w:jc w:val="left"/>
      <w:widowControl/>
    </w:pPr>
    <w:rPr>
      <w:rFonts w:ascii="Calibri" w:hAnsi="Calibri"/>
      <w:sz w:val="24"/>
      <w:szCs w:val="24"/>
      <w:lang w:eastAsia="en-US" w:bidi="en-US"/>
    </w:rPr>
  </w:style>
  <w:style w:type="paragraph" w:styleId="1018">
    <w:name w:val="4"/>
    <w:basedOn w:val="919"/>
    <w:next w:val="976"/>
    <w:link w:val="919"/>
    <w:pPr>
      <w:ind w:firstLine="420"/>
      <w:spacing w:line="360" w:lineRule="auto"/>
    </w:pPr>
    <w:rPr>
      <w:color w:val="ff0000"/>
      <w:sz w:val="24"/>
      <w:szCs w:val="24"/>
    </w:rPr>
  </w:style>
  <w:style w:type="paragraph" w:styleId="1019">
    <w:name w:val="普通 (Web)"/>
    <w:basedOn w:val="919"/>
    <w:next w:val="1019"/>
    <w:link w:val="919"/>
    <w:pPr>
      <w:jc w:val="left"/>
      <w:spacing w:before="100" w:beforeAutospacing="1" w:after="100" w:afterAutospacing="1"/>
      <w:widowControl/>
    </w:pPr>
    <w:rPr>
      <w:rFonts w:ascii="宋体" w:hAnsi="宋体"/>
      <w:sz w:val="24"/>
      <w:szCs w:val="24"/>
    </w:rPr>
  </w:style>
  <w:style w:type="paragraph" w:styleId="1020">
    <w:name w:val=" Char Char Char Char Char Char Char Char Char Char"/>
    <w:basedOn w:val="919"/>
    <w:next w:val="1020"/>
    <w:link w:val="919"/>
    <w:pPr>
      <w:spacing w:line="360" w:lineRule="auto"/>
    </w:pPr>
    <w:rPr>
      <w:sz w:val="24"/>
      <w:szCs w:val="20"/>
    </w:rPr>
  </w:style>
  <w:style w:type="paragraph" w:styleId="1021">
    <w:name w:val="样式1"/>
    <w:basedOn w:val="919"/>
    <w:next w:val="1021"/>
    <w:link w:val="919"/>
    <w:pPr>
      <w:numPr>
        <w:ilvl w:val="0"/>
        <w:numId w:val="3"/>
      </w:numPr>
      <w:tabs>
        <w:tab w:val="left" w:pos="709" w:leader="none"/>
      </w:tabs>
    </w:pPr>
    <w:rPr>
      <w:rFonts w:ascii="宋体" w:hAnsi="宋体"/>
    </w:rPr>
  </w:style>
  <w:style w:type="paragraph" w:styleId="1022">
    <w:name w:val="font6"/>
    <w:basedOn w:val="919"/>
    <w:next w:val="1022"/>
    <w:link w:val="919"/>
    <w:pPr>
      <w:jc w:val="left"/>
      <w:spacing w:before="100" w:beforeAutospacing="1" w:after="100" w:afterAutospacing="1"/>
      <w:widowControl/>
    </w:pPr>
    <w:rPr>
      <w:rFonts w:hint="eastAsia" w:ascii="宋体" w:hAnsi="宋体"/>
      <w:sz w:val="28"/>
      <w:szCs w:val="28"/>
      <w:u w:val="single"/>
    </w:rPr>
  </w:style>
  <w:style w:type="paragraph" w:styleId="1023">
    <w:name w:val="xl25"/>
    <w:basedOn w:val="919"/>
    <w:next w:val="1023"/>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图标"/>
    <w:basedOn w:val="919"/>
    <w:next w:val="919"/>
    <w:link w:val="9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name w:val="标题3"/>
    <w:basedOn w:val="919"/>
    <w:next w:val="919"/>
    <w:link w:val="919"/>
    <w:pPr>
      <w:ind w:firstLine="624"/>
      <w:spacing w:line="590" w:lineRule="atLeast"/>
    </w:pPr>
    <w:rPr>
      <w:rFonts w:ascii="方正黑体_GBK" w:eastAsia="方正黑体_GBK"/>
      <w:sz w:val="32"/>
      <w:szCs w:val="32"/>
    </w:rPr>
  </w:style>
  <w:style w:type="paragraph" w:styleId="1026">
    <w:name w:val="xl24"/>
    <w:basedOn w:val="919"/>
    <w:next w:val="1026"/>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9"/>
    <w:basedOn w:val="919"/>
    <w:next w:val="1027"/>
    <w:link w:val="9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name w:val="Char Char Char Char Char Char Char Char"/>
    <w:basedOn w:val="919"/>
    <w:next w:val="1028"/>
    <w:link w:val="919"/>
    <w:pPr>
      <w:jc w:val="left"/>
      <w:spacing w:after="160" w:line="240" w:lineRule="exact"/>
      <w:widowControl/>
    </w:pPr>
    <w:rPr>
      <w:rFonts w:ascii="Verdana" w:hAnsi="Verdana"/>
      <w:sz w:val="20"/>
      <w:szCs w:val="20"/>
      <w:lang w:eastAsia="en-US"/>
    </w:rPr>
  </w:style>
  <w:style w:type="paragraph" w:styleId="1029">
    <w:name w:val="xl28"/>
    <w:basedOn w:val="919"/>
    <w:next w:val="1029"/>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0">
    <w:name w:val=" Char Char Char Char Char Char Char Char"/>
    <w:basedOn w:val="919"/>
    <w:next w:val="1030"/>
    <w:link w:val="919"/>
    <w:pPr>
      <w:jc w:val="left"/>
      <w:spacing w:after="160" w:line="240" w:lineRule="exact"/>
      <w:widowControl/>
    </w:pPr>
    <w:rPr>
      <w:rFonts w:ascii="Verdana" w:hAnsi="Verdana"/>
      <w:sz w:val="20"/>
      <w:szCs w:val="20"/>
      <w:lang w:eastAsia="en-US"/>
    </w:rPr>
  </w:style>
  <w:style w:type="paragraph" w:styleId="1031">
    <w:name w:val="xl30"/>
    <w:basedOn w:val="919"/>
    <w:next w:val="1031"/>
    <w:link w:val="919"/>
    <w:pPr>
      <w:jc w:val="center"/>
      <w:spacing w:before="100" w:beforeAutospacing="1" w:after="100" w:afterAutospacing="1"/>
      <w:widowControl/>
    </w:pPr>
    <w:rPr>
      <w:rFonts w:ascii="宋体" w:hAnsi="宋体"/>
      <w:b/>
      <w:bCs/>
      <w:sz w:val="36"/>
      <w:szCs w:val="36"/>
    </w:rPr>
  </w:style>
  <w:style w:type="paragraph" w:styleId="1032">
    <w:name w:val="Char Char Char Char"/>
    <w:basedOn w:val="945"/>
    <w:next w:val="1032"/>
    <w:link w:val="919"/>
    <w:pPr>
      <w:spacing w:line="360" w:lineRule="auto"/>
    </w:pPr>
    <w:rPr>
      <w:rFonts w:ascii="Tahoma" w:hAnsi="Tahoma"/>
      <w:sz w:val="24"/>
      <w:szCs w:val="24"/>
    </w:rPr>
  </w:style>
  <w:style w:type="paragraph" w:styleId="1033">
    <w:name w:val="table_1stline"/>
    <w:basedOn w:val="919"/>
    <w:next w:val="1033"/>
    <w:link w:val="919"/>
    <w:pPr>
      <w:jc w:val="left"/>
      <w:spacing w:before="120"/>
      <w:widowControl/>
    </w:pPr>
    <w:rPr>
      <w:bCs/>
      <w:sz w:val="20"/>
      <w:szCs w:val="20"/>
      <w:lang w:val="de-DE" w:eastAsia="de-DE"/>
    </w:rPr>
  </w:style>
  <w:style w:type="paragraph" w:styleId="1034">
    <w:name w:val="font5"/>
    <w:basedOn w:val="919"/>
    <w:next w:val="1034"/>
    <w:link w:val="919"/>
    <w:pPr>
      <w:jc w:val="left"/>
      <w:spacing w:before="100" w:beforeAutospacing="1" w:after="100" w:afterAutospacing="1"/>
      <w:widowControl/>
    </w:pPr>
    <w:rPr>
      <w:rFonts w:hint="eastAsia" w:ascii="宋体" w:hAnsi="宋体"/>
      <w:sz w:val="28"/>
      <w:szCs w:val="28"/>
    </w:rPr>
  </w:style>
  <w:style w:type="paragraph" w:styleId="1035">
    <w:name w:val="标题1"/>
    <w:basedOn w:val="919"/>
    <w:next w:val="919"/>
    <w:link w:val="9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修订"/>
    <w:next w:val="1036"/>
    <w:link w:val="919"/>
    <w:uiPriority w:val="99"/>
    <w:semiHidden/>
    <w:rPr>
      <w:sz w:val="21"/>
      <w:szCs w:val="21"/>
      <w:lang w:val="en-US" w:eastAsia="zh-CN" w:bidi="ar-SA"/>
    </w:rPr>
  </w:style>
  <w:style w:type="paragraph" w:styleId="1037">
    <w:name w:val="无间隔"/>
    <w:next w:val="1037"/>
    <w:link w:val="919"/>
    <w:uiPriority w:val="99"/>
    <w:qFormat/>
    <w:pPr>
      <w:jc w:val="both"/>
      <w:widowControl w:val="off"/>
    </w:pPr>
    <w:rPr>
      <w:sz w:val="21"/>
      <w:szCs w:val="21"/>
      <w:lang w:val="en-US" w:eastAsia="zh-CN" w:bidi="ar-SA"/>
    </w:rPr>
  </w:style>
  <w:style w:type="paragraph" w:styleId="1038">
    <w:name w:val="正文文本 211"/>
    <w:basedOn w:val="919"/>
    <w:next w:val="1038"/>
    <w:link w:val="919"/>
    <w:uiPriority w:val="99"/>
    <w:qFormat/>
    <w:pPr>
      <w:jc w:val="center"/>
    </w:pPr>
    <w:rPr>
      <w:b/>
      <w:bCs/>
      <w:sz w:val="20"/>
      <w:szCs w:val="20"/>
    </w:rPr>
  </w:style>
  <w:style w:type="table" w:styleId="1039">
    <w:name w:val="Table Normal"/>
    <w:next w:val="1039"/>
    <w:link w:val="919"/>
    <w:qFormat/>
    <w:rPr>
      <w:lang w:val="en-US" w:eastAsia="zh-CN" w:bidi="ar-SA"/>
    </w:rPr>
    <w:tblPr/>
  </w:style>
  <w:style w:type="paragraph" w:styleId="1040">
    <w:name w:val="正文文本1"/>
    <w:basedOn w:val="919"/>
    <w:next w:val="919"/>
    <w:link w:val="919"/>
    <w:semiHidden/>
    <w:qFormat/>
    <w:rPr>
      <w:rFonts w:ascii="Arial" w:hAnsi="Arial" w:eastAsia="Arial" w:cs="Arial"/>
      <w:sz w:val="21"/>
      <w:szCs w:val="21"/>
      <w:lang w:val="en-US" w:eastAsia="en-US" w:bidi="ar-SA"/>
    </w:rPr>
  </w:style>
  <w:style w:type="paragraph" w:styleId="1041">
    <w:name w:val="纯文本1"/>
    <w:basedOn w:val="919"/>
    <w:next w:val="1041"/>
    <w:link w:val="919"/>
    <w:qFormat/>
    <w:rPr>
      <w:rFonts w:ascii="宋体" w:hAnsi="Courier New" w:cs="Courier New"/>
    </w:rPr>
  </w:style>
  <w:style w:type="table" w:styleId="1042">
    <w:name w:val="网格型1"/>
    <w:basedOn w:val="1043"/>
    <w:next w:val="1042"/>
    <w:link w:val="919"/>
    <w:qFormat/>
    <w:pPr>
      <w:jc w:val="both"/>
      <w:widowControl w:val="off"/>
    </w:pPr>
    <w:tblPr/>
  </w:style>
  <w:style w:type="table" w:styleId="1043">
    <w:name w:val="普通表格1"/>
    <w:next w:val="1043"/>
    <w:link w:val="919"/>
    <w:uiPriority w:val="99"/>
    <w:unhideWhenUsed/>
    <w:qFormat/>
    <w:rPr>
      <w:lang w:val="en-US" w:eastAsia="zh-CN" w:bidi="ar-SA"/>
    </w:rPr>
    <w:tblPr/>
  </w:style>
  <w:style w:type="paragraph" w:styleId="1044">
    <w:name w:val="Table Paragraph"/>
    <w:basedOn w:val="919"/>
    <w:next w:val="1044"/>
    <w:link w:val="919"/>
    <w:uiPriority w:val="1"/>
    <w:qFormat/>
    <w:pPr>
      <w:jc w:val="left"/>
    </w:pPr>
    <w:rPr>
      <w:rFonts w:ascii="宋体" w:hAnsi="宋体" w:eastAsia="宋体" w:cs="宋体"/>
      <w:sz w:val="22"/>
      <w:szCs w:val="22"/>
      <w:lang w:val="zh-CN" w:bidi="zh-CN"/>
    </w:rPr>
  </w:style>
  <w:style w:type="character" w:styleId="1045">
    <w:name w:val="15"/>
    <w:next w:val="1045"/>
    <w:link w:val="919"/>
    <w:rPr>
      <w:rFonts w:ascii="Times New Roman" w:hAnsi="Times New Roman" w:cs="Times New Roman"/>
    </w:rPr>
  </w:style>
  <w:style w:type="paragraph" w:styleId="1046">
    <w:name w:val="纯文本111"/>
    <w:basedOn w:val="919"/>
    <w:next w:val="1046"/>
    <w:link w:val="919"/>
    <w:qFormat/>
    <w:rPr>
      <w:rFonts w:ascii="宋体" w:hAnsi="Courier New"/>
      <w:sz w:val="20"/>
    </w:rPr>
  </w:style>
  <w:style w:type="character" w:styleId="1047">
    <w:name w:val="批注引用1"/>
    <w:next w:val="1047"/>
    <w:link w:val="919"/>
    <w:semiHidden/>
    <w:qFormat/>
    <w:rPr>
      <w:sz w:val="21"/>
      <w:szCs w:val="21"/>
    </w:rPr>
  </w:style>
  <w:style w:type="paragraph" w:styleId="1048">
    <w:name w:val="页脚1"/>
    <w:basedOn w:val="919"/>
    <w:next w:val="1048"/>
    <w:link w:val="919"/>
    <w:qFormat/>
    <w:pPr>
      <w:jc w:val="left"/>
      <w:tabs>
        <w:tab w:val="center" w:pos="4153" w:leader="none"/>
        <w:tab w:val="right" w:pos="8306" w:leader="none"/>
      </w:tabs>
    </w:pPr>
    <w:rPr>
      <w:sz w:val="18"/>
      <w:szCs w:val="18"/>
    </w:rPr>
  </w:style>
  <w:style w:type="paragraph" w:styleId="1049">
    <w:name w:val="Table Text"/>
    <w:basedOn w:val="919"/>
    <w:next w:val="1049"/>
    <w:link w:val="919"/>
    <w:semiHidden/>
    <w:qFormat/>
    <w:rPr>
      <w:rFonts w:ascii="宋体" w:hAnsi="宋体" w:cs="宋体"/>
      <w:lang w:eastAsia="en-US"/>
    </w:rPr>
  </w:style>
  <w:style w:type="paragraph" w:styleId="1050">
    <w:name w:val="页眉1"/>
    <w:basedOn w:val="919"/>
    <w:next w:val="1050"/>
    <w:link w:val="919"/>
    <w:qFormat/>
    <w:pPr>
      <w:jc w:val="center"/>
      <w:tabs>
        <w:tab w:val="center" w:pos="4153" w:leader="none"/>
        <w:tab w:val="right" w:pos="8306" w:leader="none"/>
      </w:tabs>
      <w:pBdr>
        <w:bottom w:val="single" w:color="000000" w:sz="6" w:space="1"/>
      </w:pBdr>
    </w:pPr>
    <w:rPr>
      <w:sz w:val="18"/>
      <w:szCs w:val="18"/>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林赵霖</cp:lastModifiedBy>
  <cp:revision>5</cp:revision>
  <dcterms:created xsi:type="dcterms:W3CDTF">2023-03-16T02:16:00Z</dcterms:created>
  <dcterms:modified xsi:type="dcterms:W3CDTF">2026-08-25T03:06:22Z</dcterms:modified>
</cp:coreProperties>
</file>